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FB158" w14:textId="04E74260" w:rsidR="00E54EAB" w:rsidRDefault="00FF7732" w:rsidP="004A4C83">
      <w:pPr>
        <w:spacing w:line="360" w:lineRule="auto"/>
        <w:jc w:val="center"/>
        <w:rPr>
          <w:b/>
          <w:bCs/>
        </w:rPr>
      </w:pPr>
      <w:r w:rsidRPr="001240D9">
        <w:rPr>
          <w:b/>
          <w:bCs/>
        </w:rPr>
        <w:t xml:space="preserve">Quantitative MRI reveals differences in </w:t>
      </w:r>
      <w:r w:rsidR="00906BA4">
        <w:rPr>
          <w:b/>
          <w:bCs/>
        </w:rPr>
        <w:t>striatal</w:t>
      </w:r>
      <w:r w:rsidRPr="001240D9">
        <w:rPr>
          <w:b/>
          <w:bCs/>
        </w:rPr>
        <w:t xml:space="preserve"> </w:t>
      </w:r>
      <w:r w:rsidR="00EE6492">
        <w:rPr>
          <w:b/>
          <w:bCs/>
        </w:rPr>
        <w:t>myelin</w:t>
      </w:r>
      <w:r w:rsidRPr="001240D9">
        <w:rPr>
          <w:b/>
          <w:bCs/>
        </w:rPr>
        <w:t xml:space="preserve"> in children with DLD</w:t>
      </w:r>
    </w:p>
    <w:p w14:paraId="5BAD035B" w14:textId="77777777" w:rsidR="00E54EAB" w:rsidRDefault="00E54EAB" w:rsidP="001512C9">
      <w:pPr>
        <w:spacing w:line="360" w:lineRule="auto"/>
        <w:rPr>
          <w:b/>
          <w:bCs/>
        </w:rPr>
      </w:pPr>
    </w:p>
    <w:p w14:paraId="1F091211" w14:textId="77777777" w:rsidR="00FF7732" w:rsidRDefault="00FF7732" w:rsidP="00FF7732">
      <w:pPr>
        <w:spacing w:line="360" w:lineRule="auto"/>
        <w:rPr>
          <w:b/>
          <w:bCs/>
        </w:rPr>
      </w:pPr>
    </w:p>
    <w:p w14:paraId="7ED0DFAC" w14:textId="3F7365D1" w:rsidR="00FF7732" w:rsidRPr="00FF7732" w:rsidRDefault="00FF7732" w:rsidP="001E319F">
      <w:pPr>
        <w:spacing w:line="360" w:lineRule="auto"/>
        <w:jc w:val="center"/>
      </w:pPr>
      <w:r w:rsidRPr="00FF7732">
        <w:t>Saloni Krishnan</w:t>
      </w:r>
      <w:r w:rsidR="00417E15" w:rsidRPr="00417E15">
        <w:rPr>
          <w:vertAlign w:val="superscript"/>
        </w:rPr>
        <w:t>1,2</w:t>
      </w:r>
    </w:p>
    <w:p w14:paraId="08AF206C" w14:textId="4366AC40" w:rsidR="0037287E" w:rsidRDefault="00FF7732">
      <w:pPr>
        <w:spacing w:line="360" w:lineRule="auto"/>
        <w:jc w:val="center"/>
        <w:rPr>
          <w:vertAlign w:val="superscript"/>
        </w:rPr>
      </w:pPr>
      <w:r w:rsidRPr="00FF7732">
        <w:t>Gabriel J. Cler</w:t>
      </w:r>
      <w:r w:rsidR="00417E15" w:rsidRPr="00417E15">
        <w:rPr>
          <w:vertAlign w:val="superscript"/>
        </w:rPr>
        <w:t>1</w:t>
      </w:r>
      <w:r w:rsidR="007325D8">
        <w:rPr>
          <w:vertAlign w:val="superscript"/>
        </w:rPr>
        <w:t>,3</w:t>
      </w:r>
    </w:p>
    <w:p w14:paraId="459123AE" w14:textId="545CB41A" w:rsidR="001E319F" w:rsidRPr="001512C9" w:rsidRDefault="00062D56">
      <w:pPr>
        <w:spacing w:line="360" w:lineRule="auto"/>
        <w:jc w:val="center"/>
      </w:pPr>
      <w:r w:rsidRPr="001512C9">
        <w:t>Harriet J. Smith</w:t>
      </w:r>
      <w:r w:rsidR="001512C9" w:rsidRPr="00417E15">
        <w:rPr>
          <w:vertAlign w:val="superscript"/>
        </w:rPr>
        <w:t>1</w:t>
      </w:r>
      <w:r w:rsidR="001512C9">
        <w:rPr>
          <w:vertAlign w:val="superscript"/>
        </w:rPr>
        <w:t>,</w:t>
      </w:r>
      <w:r w:rsidR="007325D8">
        <w:rPr>
          <w:vertAlign w:val="superscript"/>
        </w:rPr>
        <w:t>4</w:t>
      </w:r>
      <w:r w:rsidRPr="001512C9">
        <w:t xml:space="preserve"> </w:t>
      </w:r>
    </w:p>
    <w:p w14:paraId="250C374A" w14:textId="6984730A" w:rsidR="001E319F" w:rsidRPr="001512C9" w:rsidRDefault="0037287E">
      <w:pPr>
        <w:spacing w:line="360" w:lineRule="auto"/>
        <w:jc w:val="center"/>
      </w:pPr>
      <w:r w:rsidRPr="001512C9">
        <w:t>Hanna</w:t>
      </w:r>
      <w:r w:rsidR="001512C9">
        <w:t xml:space="preserve"> E.</w:t>
      </w:r>
      <w:r w:rsidR="00062D56" w:rsidRPr="001512C9">
        <w:t xml:space="preserve"> Willis</w:t>
      </w:r>
      <w:r w:rsidR="001E319F" w:rsidRPr="001512C9">
        <w:rPr>
          <w:vertAlign w:val="superscript"/>
        </w:rPr>
        <w:t>1,</w:t>
      </w:r>
      <w:r w:rsidR="007325D8">
        <w:rPr>
          <w:vertAlign w:val="superscript"/>
        </w:rPr>
        <w:t>5</w:t>
      </w:r>
    </w:p>
    <w:p w14:paraId="21C18B81" w14:textId="35E5CFD0" w:rsidR="001E319F" w:rsidRPr="001512C9" w:rsidRDefault="0037287E">
      <w:pPr>
        <w:spacing w:line="360" w:lineRule="auto"/>
        <w:jc w:val="center"/>
        <w:rPr>
          <w:vertAlign w:val="superscript"/>
        </w:rPr>
      </w:pPr>
      <w:r w:rsidRPr="00FF7732">
        <w:t>Salomi S. Asaridou</w:t>
      </w:r>
      <w:r w:rsidRPr="00417E15">
        <w:rPr>
          <w:vertAlign w:val="superscript"/>
        </w:rPr>
        <w:t>1</w:t>
      </w:r>
    </w:p>
    <w:p w14:paraId="1D18842E" w14:textId="66DE2BFC" w:rsidR="001E319F" w:rsidRDefault="001512C9">
      <w:pPr>
        <w:spacing w:line="360" w:lineRule="auto"/>
        <w:jc w:val="center"/>
      </w:pPr>
      <w:r w:rsidRPr="001512C9">
        <w:rPr>
          <w:bCs/>
        </w:rPr>
        <w:t>Máiréad P.</w:t>
      </w:r>
      <w:r w:rsidRPr="006C2432">
        <w:rPr>
          <w:b/>
        </w:rPr>
        <w:t xml:space="preserve"> </w:t>
      </w:r>
      <w:r w:rsidR="00062D56" w:rsidRPr="001512C9">
        <w:t>H</w:t>
      </w:r>
      <w:r w:rsidR="001E319F">
        <w:t>ealy</w:t>
      </w:r>
      <w:r w:rsidR="004F4B37" w:rsidRPr="00417E15">
        <w:rPr>
          <w:vertAlign w:val="superscript"/>
        </w:rPr>
        <w:t>1</w:t>
      </w:r>
      <w:r>
        <w:rPr>
          <w:vertAlign w:val="superscript"/>
        </w:rPr>
        <w:t>,</w:t>
      </w:r>
      <w:r w:rsidR="002E3DA8">
        <w:rPr>
          <w:vertAlign w:val="superscript"/>
        </w:rPr>
        <w:t>6</w:t>
      </w:r>
    </w:p>
    <w:p w14:paraId="34B80FD5" w14:textId="58789C13" w:rsidR="00FF7732" w:rsidRPr="00FF7732" w:rsidRDefault="00C24664">
      <w:pPr>
        <w:spacing w:line="360" w:lineRule="auto"/>
        <w:jc w:val="center"/>
      </w:pPr>
      <w:r>
        <w:t>Daniel Papp</w:t>
      </w:r>
      <w:r w:rsidR="00A304D2">
        <w:rPr>
          <w:vertAlign w:val="superscript"/>
        </w:rPr>
        <w:t>8</w:t>
      </w:r>
      <w:r w:rsidR="002E3DA8">
        <w:rPr>
          <w:vertAlign w:val="superscript"/>
        </w:rPr>
        <w:t>,9</w:t>
      </w:r>
    </w:p>
    <w:p w14:paraId="1880EA45" w14:textId="3D853E78" w:rsidR="00FF7732" w:rsidRPr="00FF7732" w:rsidRDefault="00FF7732" w:rsidP="00FF7732">
      <w:pPr>
        <w:spacing w:line="360" w:lineRule="auto"/>
        <w:jc w:val="center"/>
      </w:pPr>
      <w:r w:rsidRPr="00FF7732">
        <w:t>Kate E. Watkins</w:t>
      </w:r>
      <w:r w:rsidR="00417E15" w:rsidRPr="00417E15">
        <w:rPr>
          <w:vertAlign w:val="superscript"/>
        </w:rPr>
        <w:t>1</w:t>
      </w:r>
    </w:p>
    <w:p w14:paraId="4FD9B949" w14:textId="77777777" w:rsidR="00E54EAB" w:rsidRPr="00FF7732" w:rsidRDefault="00E54EAB" w:rsidP="00FF7732">
      <w:pPr>
        <w:spacing w:line="360" w:lineRule="auto"/>
      </w:pPr>
    </w:p>
    <w:p w14:paraId="6B6DA161" w14:textId="4B167BC2" w:rsidR="00FF7732" w:rsidRDefault="00417E15" w:rsidP="001512C9">
      <w:pPr>
        <w:contextualSpacing/>
        <w:rPr>
          <w:i/>
          <w:iCs/>
        </w:rPr>
      </w:pPr>
      <w:r w:rsidRPr="009E36F9">
        <w:rPr>
          <w:i/>
          <w:iCs/>
          <w:vertAlign w:val="superscript"/>
        </w:rPr>
        <w:t>1</w:t>
      </w:r>
      <w:r>
        <w:rPr>
          <w:i/>
          <w:iCs/>
        </w:rPr>
        <w:t xml:space="preserve"> </w:t>
      </w:r>
      <w:r w:rsidR="00A73C92" w:rsidRPr="00A73C92">
        <w:rPr>
          <w:i/>
          <w:iCs/>
        </w:rPr>
        <w:t>Wellcome Centre for Integrative Neuroimaging, Dept of Experimental Psychology, University of Oxford, OX2 6GG, Oxford, UK</w:t>
      </w:r>
    </w:p>
    <w:p w14:paraId="389697F2" w14:textId="77777777" w:rsidR="001512C9" w:rsidRDefault="001512C9" w:rsidP="001512C9">
      <w:pPr>
        <w:contextualSpacing/>
        <w:rPr>
          <w:i/>
          <w:iCs/>
        </w:rPr>
      </w:pPr>
    </w:p>
    <w:p w14:paraId="43512CD3" w14:textId="044FE9EC" w:rsidR="00417E15" w:rsidRDefault="00417E15" w:rsidP="001512C9">
      <w:pPr>
        <w:contextualSpacing/>
        <w:rPr>
          <w:i/>
          <w:iCs/>
        </w:rPr>
      </w:pPr>
      <w:r w:rsidRPr="009E36F9">
        <w:rPr>
          <w:i/>
          <w:iCs/>
          <w:vertAlign w:val="superscript"/>
        </w:rPr>
        <w:t>2</w:t>
      </w:r>
      <w:r>
        <w:rPr>
          <w:i/>
          <w:iCs/>
        </w:rPr>
        <w:t xml:space="preserve"> </w:t>
      </w:r>
      <w:r w:rsidR="00A73C92" w:rsidRPr="00A73C92">
        <w:rPr>
          <w:i/>
          <w:iCs/>
        </w:rPr>
        <w:t>Department of Psychology, Royal Holloway, University of London, Egham Hill, Surrey TW20 0EX</w:t>
      </w:r>
    </w:p>
    <w:p w14:paraId="08CDAF65" w14:textId="77777777" w:rsidR="001512C9" w:rsidRDefault="001512C9" w:rsidP="001512C9">
      <w:pPr>
        <w:contextualSpacing/>
        <w:rPr>
          <w:i/>
          <w:iCs/>
        </w:rPr>
      </w:pPr>
    </w:p>
    <w:p w14:paraId="797D3755" w14:textId="0C2D5C43" w:rsidR="001512C9" w:rsidRDefault="005A6873" w:rsidP="001512C9">
      <w:pPr>
        <w:contextualSpacing/>
        <w:rPr>
          <w:i/>
        </w:rPr>
      </w:pPr>
      <w:r>
        <w:rPr>
          <w:i/>
          <w:vertAlign w:val="superscript"/>
        </w:rPr>
        <w:t>3</w:t>
      </w:r>
      <w:r w:rsidR="001512C9" w:rsidRPr="006C2432">
        <w:rPr>
          <w:i/>
          <w:vertAlign w:val="superscript"/>
        </w:rPr>
        <w:t xml:space="preserve"> </w:t>
      </w:r>
      <w:r w:rsidR="007325D8">
        <w:rPr>
          <w:i/>
        </w:rPr>
        <w:t>Department of Speech and Hearing Sciences, University of Washington, Seattle WA</w:t>
      </w:r>
    </w:p>
    <w:p w14:paraId="066FDAC6" w14:textId="0C288E56" w:rsidR="007325D8" w:rsidRDefault="007325D8" w:rsidP="001512C9">
      <w:pPr>
        <w:contextualSpacing/>
        <w:rPr>
          <w:i/>
        </w:rPr>
      </w:pPr>
    </w:p>
    <w:p w14:paraId="0AE939C2" w14:textId="6B1F0E95" w:rsidR="007325D8" w:rsidRDefault="003A6670" w:rsidP="001512C9">
      <w:pPr>
        <w:contextualSpacing/>
        <w:rPr>
          <w:i/>
        </w:rPr>
      </w:pPr>
      <w:r>
        <w:rPr>
          <w:i/>
          <w:vertAlign w:val="superscript"/>
        </w:rPr>
        <w:t>4</w:t>
      </w:r>
      <w:r w:rsidR="007325D8" w:rsidRPr="006C2432">
        <w:rPr>
          <w:i/>
          <w:vertAlign w:val="superscript"/>
        </w:rPr>
        <w:t xml:space="preserve"> </w:t>
      </w:r>
      <w:r w:rsidR="007325D8" w:rsidRPr="006C2432">
        <w:rPr>
          <w:i/>
        </w:rPr>
        <w:t>MRC Cognition and Brain Sciences Unit, University of Cambridge, 15 Chaucer Road, Cambridge CB2 7EF, UK</w:t>
      </w:r>
    </w:p>
    <w:p w14:paraId="6C20D738" w14:textId="77777777" w:rsidR="001512C9" w:rsidRDefault="001512C9" w:rsidP="001512C9">
      <w:pPr>
        <w:contextualSpacing/>
        <w:rPr>
          <w:i/>
        </w:rPr>
      </w:pPr>
    </w:p>
    <w:p w14:paraId="540B6995" w14:textId="15E45646" w:rsidR="001512C9" w:rsidRDefault="005A6873" w:rsidP="001512C9">
      <w:pPr>
        <w:contextualSpacing/>
        <w:rPr>
          <w:i/>
        </w:rPr>
      </w:pPr>
      <w:r>
        <w:rPr>
          <w:i/>
          <w:vertAlign w:val="superscript"/>
        </w:rPr>
        <w:t>5</w:t>
      </w:r>
      <w:r w:rsidR="001512C9" w:rsidRPr="006C2432">
        <w:rPr>
          <w:i/>
        </w:rPr>
        <w:t xml:space="preserve"> Nuffield Department of Clinical Neurosciences, John Radcliffe Hospital, Headley Way, Headington, Oxford OX3 9DU</w:t>
      </w:r>
    </w:p>
    <w:p w14:paraId="73CE72B9" w14:textId="77777777" w:rsidR="002E3DA8" w:rsidRDefault="002E3DA8" w:rsidP="001512C9">
      <w:pPr>
        <w:contextualSpacing/>
        <w:rPr>
          <w:i/>
        </w:rPr>
      </w:pPr>
    </w:p>
    <w:p w14:paraId="19540D3D" w14:textId="7588A328" w:rsidR="001512C9" w:rsidRDefault="002E3DA8" w:rsidP="001512C9">
      <w:pPr>
        <w:contextualSpacing/>
        <w:rPr>
          <w:i/>
        </w:rPr>
      </w:pPr>
      <w:r>
        <w:rPr>
          <w:i/>
          <w:vertAlign w:val="superscript"/>
        </w:rPr>
        <w:t>6</w:t>
      </w:r>
      <w:r w:rsidR="00EA30B5">
        <w:rPr>
          <w:i/>
          <w:vertAlign w:val="superscript"/>
        </w:rPr>
        <w:t xml:space="preserve"> </w:t>
      </w:r>
      <w:r w:rsidR="001512C9" w:rsidRPr="006C2432">
        <w:rPr>
          <w:i/>
        </w:rPr>
        <w:t>Department of Psychology, University of Cambridge, Downing Street, Cambridge CB2 3EB</w:t>
      </w:r>
    </w:p>
    <w:p w14:paraId="2E1F3938" w14:textId="77777777" w:rsidR="002E3DA8" w:rsidRDefault="002E3DA8" w:rsidP="001512C9">
      <w:pPr>
        <w:contextualSpacing/>
        <w:rPr>
          <w:i/>
        </w:rPr>
      </w:pPr>
    </w:p>
    <w:p w14:paraId="4DD63C03" w14:textId="03100709" w:rsidR="002E3DA8" w:rsidRDefault="002E3DA8" w:rsidP="002E3DA8">
      <w:pPr>
        <w:rPr>
          <w:i/>
        </w:rPr>
      </w:pPr>
      <w:r>
        <w:rPr>
          <w:i/>
          <w:vertAlign w:val="superscript"/>
        </w:rPr>
        <w:t xml:space="preserve">8 </w:t>
      </w:r>
      <w:r w:rsidRPr="002E3DA8">
        <w:rPr>
          <w:i/>
        </w:rPr>
        <w:t>NeuroPoly Lab, Biomedical Engineering Department, Polytechnique Montreal, 2500 Chemin de Polytechnique, H3T 1J4, Montreal, Canada</w:t>
      </w:r>
    </w:p>
    <w:p w14:paraId="18EA8CF5" w14:textId="77777777" w:rsidR="002E3DA8" w:rsidRPr="002E3DA8" w:rsidRDefault="002E3DA8" w:rsidP="002E3DA8"/>
    <w:p w14:paraId="4344D94D" w14:textId="37DBDB40" w:rsidR="00417E15" w:rsidRDefault="002E3DA8" w:rsidP="001512C9">
      <w:pPr>
        <w:spacing w:before="120" w:after="120"/>
        <w:contextualSpacing/>
        <w:rPr>
          <w:i/>
          <w:iCs/>
        </w:rPr>
      </w:pPr>
      <w:r>
        <w:rPr>
          <w:i/>
          <w:iCs/>
          <w:vertAlign w:val="superscript"/>
        </w:rPr>
        <w:t>9</w:t>
      </w:r>
      <w:r w:rsidR="00EA30B5">
        <w:rPr>
          <w:i/>
          <w:iCs/>
        </w:rPr>
        <w:t xml:space="preserve"> </w:t>
      </w:r>
      <w:r w:rsidR="00A73C92" w:rsidRPr="00A73C92">
        <w:rPr>
          <w:i/>
          <w:iCs/>
        </w:rPr>
        <w:t>Wellcome Centre for Integrative Neuroimaging, FMRIB Centre, Nuffield Department of Clinical Neuroscience, University of Oxford, OX3 9DU, Oxford, UK</w:t>
      </w:r>
    </w:p>
    <w:p w14:paraId="02BA0555" w14:textId="77777777" w:rsidR="00E54EAB" w:rsidRDefault="00E54EAB" w:rsidP="00FF7732">
      <w:pPr>
        <w:spacing w:line="360" w:lineRule="auto"/>
        <w:rPr>
          <w:b/>
          <w:bCs/>
        </w:rPr>
      </w:pPr>
    </w:p>
    <w:p w14:paraId="4DDB0E10" w14:textId="58499A48" w:rsidR="00FF7732" w:rsidRPr="00E54EAB" w:rsidRDefault="00FF7732" w:rsidP="00FF7732">
      <w:pPr>
        <w:spacing w:line="360" w:lineRule="auto"/>
        <w:rPr>
          <w:b/>
          <w:bCs/>
        </w:rPr>
      </w:pPr>
      <w:r w:rsidRPr="00E54EAB">
        <w:rPr>
          <w:b/>
          <w:bCs/>
        </w:rPr>
        <w:t>Corresponding author:</w:t>
      </w:r>
    </w:p>
    <w:p w14:paraId="3A9852F2" w14:textId="4B4D5FF0" w:rsidR="00FF7732" w:rsidRPr="00FF7732" w:rsidRDefault="00E54EAB" w:rsidP="00FF7732">
      <w:pPr>
        <w:spacing w:line="360" w:lineRule="auto"/>
      </w:pPr>
      <w:r>
        <w:t xml:space="preserve">Dr. </w:t>
      </w:r>
      <w:r w:rsidR="00FF7732" w:rsidRPr="00FF7732">
        <w:t xml:space="preserve">Saloni Krishnan </w:t>
      </w:r>
    </w:p>
    <w:p w14:paraId="6C858B45" w14:textId="34CF1EAC" w:rsidR="00FF7732" w:rsidRPr="00FF7732" w:rsidRDefault="00FF7732" w:rsidP="00FF7732">
      <w:pPr>
        <w:spacing w:line="360" w:lineRule="auto"/>
        <w:rPr>
          <w:i/>
          <w:iCs/>
        </w:rPr>
      </w:pPr>
      <w:r w:rsidRPr="00FF7732">
        <w:rPr>
          <w:i/>
          <w:iCs/>
        </w:rPr>
        <w:t>Department of Psychology, Royal Holloway, University of London</w:t>
      </w:r>
      <w:r w:rsidR="00E54EAB">
        <w:rPr>
          <w:i/>
          <w:iCs/>
        </w:rPr>
        <w:t>, Egham Hill, Surrey TW20 0EX</w:t>
      </w:r>
    </w:p>
    <w:p w14:paraId="2B8A1189" w14:textId="72664BEE" w:rsidR="00FF7732" w:rsidRDefault="00E54EAB">
      <w:pPr>
        <w:rPr>
          <w:b/>
          <w:bCs/>
        </w:rPr>
      </w:pPr>
      <w:r w:rsidRPr="00FF7732">
        <w:t>&lt;saloni.krishnan@rhul.ac.uk&gt;</w:t>
      </w:r>
      <w:r w:rsidR="00FF7732">
        <w:rPr>
          <w:b/>
          <w:bCs/>
        </w:rPr>
        <w:br w:type="page"/>
      </w:r>
    </w:p>
    <w:p w14:paraId="55B1CA15" w14:textId="23B24CEF" w:rsidR="00FF7732" w:rsidRPr="001240D9" w:rsidRDefault="00FF7732" w:rsidP="00FF7732">
      <w:pPr>
        <w:spacing w:line="360" w:lineRule="auto"/>
        <w:jc w:val="both"/>
        <w:rPr>
          <w:b/>
          <w:bCs/>
        </w:rPr>
      </w:pPr>
      <w:r w:rsidRPr="001240D9">
        <w:rPr>
          <w:b/>
          <w:bCs/>
        </w:rPr>
        <w:lastRenderedPageBreak/>
        <w:t xml:space="preserve">Quantitative MRI reveals differences in </w:t>
      </w:r>
      <w:r w:rsidR="00C70E26">
        <w:rPr>
          <w:b/>
          <w:bCs/>
        </w:rPr>
        <w:t>striatal</w:t>
      </w:r>
      <w:r w:rsidRPr="001240D9">
        <w:rPr>
          <w:b/>
          <w:bCs/>
        </w:rPr>
        <w:t xml:space="preserve"> </w:t>
      </w:r>
      <w:r w:rsidR="00EE6492">
        <w:rPr>
          <w:b/>
          <w:bCs/>
        </w:rPr>
        <w:t>myelin</w:t>
      </w:r>
      <w:r w:rsidRPr="001240D9">
        <w:rPr>
          <w:b/>
          <w:bCs/>
        </w:rPr>
        <w:t xml:space="preserve"> in children with DLD</w:t>
      </w:r>
    </w:p>
    <w:p w14:paraId="32788C79" w14:textId="77777777" w:rsidR="00FF7732" w:rsidRDefault="00FF7732">
      <w:pPr>
        <w:rPr>
          <w:b/>
          <w:bCs/>
        </w:rPr>
      </w:pPr>
    </w:p>
    <w:p w14:paraId="13A6E60F" w14:textId="02E880BC" w:rsidR="00FF7732" w:rsidRDefault="00FF7732">
      <w:pPr>
        <w:rPr>
          <w:b/>
          <w:bCs/>
        </w:rPr>
      </w:pPr>
      <w:r>
        <w:rPr>
          <w:b/>
          <w:bCs/>
        </w:rPr>
        <w:t>Abstract</w:t>
      </w:r>
    </w:p>
    <w:p w14:paraId="66DE9BB7" w14:textId="77777777" w:rsidR="00FF7732" w:rsidRDefault="00FF7732">
      <w:pPr>
        <w:rPr>
          <w:b/>
          <w:bCs/>
        </w:rPr>
      </w:pPr>
    </w:p>
    <w:p w14:paraId="6CAC411F" w14:textId="0AACA1EF" w:rsidR="00A73C92" w:rsidRDefault="00A73C92" w:rsidP="00BF70B1">
      <w:pPr>
        <w:spacing w:line="360" w:lineRule="auto"/>
        <w:jc w:val="both"/>
      </w:pPr>
      <w:r>
        <w:t>Developmental Language Disorder (DLD) is a</w:t>
      </w:r>
      <w:r w:rsidR="00F7193A">
        <w:t xml:space="preserve"> </w:t>
      </w:r>
      <w:r>
        <w:t>common neurodevelopmental disorder characterised by receptive or expressive language difficulties</w:t>
      </w:r>
      <w:r w:rsidR="00BD36D3">
        <w:t xml:space="preserve"> or both</w:t>
      </w:r>
      <w:r>
        <w:t>.</w:t>
      </w:r>
      <w:r w:rsidR="00F7193A">
        <w:t xml:space="preserve"> While t</w:t>
      </w:r>
      <w:r w:rsidR="00146C9A">
        <w:t>heoretical frameworks</w:t>
      </w:r>
      <w:r w:rsidR="00F7193A">
        <w:t xml:space="preserve"> </w:t>
      </w:r>
      <w:r w:rsidR="00146C9A">
        <w:t xml:space="preserve">and empirical studies </w:t>
      </w:r>
      <w:r w:rsidR="0013116B">
        <w:t>support the idea that there may be neural correlates of DLD</w:t>
      </w:r>
      <w:r w:rsidR="00146C9A">
        <w:t xml:space="preserve"> in frontostriatal </w:t>
      </w:r>
      <w:r w:rsidR="000E2176">
        <w:t>loops</w:t>
      </w:r>
      <w:r w:rsidR="00146C9A">
        <w:t xml:space="preserve">, findings are </w:t>
      </w:r>
      <w:r w:rsidR="000D6D30">
        <w:t>in</w:t>
      </w:r>
      <w:r w:rsidR="00146C9A">
        <w:t xml:space="preserve">consistent across studies. </w:t>
      </w:r>
      <w:r>
        <w:rPr>
          <w:rFonts w:cs="Arial"/>
        </w:rPr>
        <w:t xml:space="preserve">Here, </w:t>
      </w:r>
      <w:r>
        <w:t xml:space="preserve">we </w:t>
      </w:r>
      <w:r w:rsidR="00CD41E4">
        <w:t>use</w:t>
      </w:r>
      <w:r>
        <w:t xml:space="preserve"> a </w:t>
      </w:r>
      <w:r w:rsidR="00517B11">
        <w:t>novel semi</w:t>
      </w:r>
      <w:r>
        <w:t>quantitative imaging protocol – multiparameter mapping</w:t>
      </w:r>
      <w:r w:rsidR="00314C5D">
        <w:t xml:space="preserve"> </w:t>
      </w:r>
      <w:r>
        <w:t>(MPM)</w:t>
      </w:r>
      <w:r w:rsidR="00314C5D">
        <w:t xml:space="preserve"> </w:t>
      </w:r>
      <w:r>
        <w:t xml:space="preserve">– </w:t>
      </w:r>
      <w:r w:rsidR="00CD41E4">
        <w:t>to</w:t>
      </w:r>
      <w:r>
        <w:t xml:space="preserve"> </w:t>
      </w:r>
      <w:r w:rsidR="00517B11">
        <w:t>investigate</w:t>
      </w:r>
      <w:r>
        <w:t xml:space="preserve"> microstructural neural differences in children with DLD. </w:t>
      </w:r>
      <w:r w:rsidR="00F7193A">
        <w:t xml:space="preserve">The MPM protocol </w:t>
      </w:r>
      <w:r>
        <w:t>allow</w:t>
      </w:r>
      <w:r w:rsidR="004B3CBC">
        <w:t xml:space="preserve">s </w:t>
      </w:r>
      <w:r>
        <w:t>us</w:t>
      </w:r>
      <w:r w:rsidR="00517B11">
        <w:t xml:space="preserve"> </w:t>
      </w:r>
      <w:r w:rsidR="000D6D30">
        <w:t xml:space="preserve">to </w:t>
      </w:r>
      <w:r w:rsidR="00517B11">
        <w:t>reproducibly</w:t>
      </w:r>
      <w:r>
        <w:t xml:space="preserve"> map specific indices of tissue microstructure</w:t>
      </w:r>
      <w:r w:rsidR="000077DD">
        <w:t xml:space="preserve">. </w:t>
      </w:r>
      <w:r w:rsidR="00146C9A">
        <w:t>In</w:t>
      </w:r>
      <w:r w:rsidR="0055136C">
        <w:t xml:space="preserve"> 56 typically</w:t>
      </w:r>
      <w:r w:rsidR="0060019D">
        <w:t xml:space="preserve"> </w:t>
      </w:r>
      <w:r w:rsidR="0055136C">
        <w:t xml:space="preserve">developing children and </w:t>
      </w:r>
      <w:r w:rsidR="00632FEF">
        <w:t xml:space="preserve">33 </w:t>
      </w:r>
      <w:r w:rsidR="00CD41E4">
        <w:t>children</w:t>
      </w:r>
      <w:r w:rsidR="0055136C">
        <w:t xml:space="preserve"> with DLD</w:t>
      </w:r>
      <w:r w:rsidR="00146C9A">
        <w:t>, w</w:t>
      </w:r>
      <w:r w:rsidR="00173878">
        <w:t>e</w:t>
      </w:r>
      <w:r w:rsidR="0055136C">
        <w:t xml:space="preserve"> derived</w:t>
      </w:r>
      <w:r w:rsidR="00E16AA3">
        <w:t xml:space="preserve"> maps of</w:t>
      </w:r>
      <w:r w:rsidR="0060019D">
        <w:t>:</w:t>
      </w:r>
      <w:r w:rsidR="004B3CBC">
        <w:t xml:space="preserve"> </w:t>
      </w:r>
      <w:r w:rsidR="00CD41E4">
        <w:t>1) longitudinal relaxation rate R1 (1/T1); 2) the transverse relaxation rate R2* (1/T2*); and 3) Magnetization Transfer Saturation (MTsat).</w:t>
      </w:r>
      <w:r w:rsidR="004B3CBC">
        <w:t xml:space="preserve"> R1 and MTsat </w:t>
      </w:r>
      <w:r w:rsidR="00517B11">
        <w:t xml:space="preserve">predominantly index </w:t>
      </w:r>
      <w:r w:rsidR="004B3CBC">
        <w:t>myelin, while R2* is sensitive to iron</w:t>
      </w:r>
      <w:r w:rsidR="0060019D">
        <w:t xml:space="preserve"> content</w:t>
      </w:r>
      <w:r w:rsidR="004B3CBC">
        <w:t>.</w:t>
      </w:r>
      <w:r w:rsidR="00CD41E4" w:rsidRPr="00CD41E4">
        <w:t xml:space="preserve"> </w:t>
      </w:r>
      <w:r>
        <w:t xml:space="preserve">Children with DLD </w:t>
      </w:r>
      <w:r w:rsidR="00EA13CC">
        <w:t>showed reductions in</w:t>
      </w:r>
      <w:r w:rsidR="00A43EA4">
        <w:t xml:space="preserve"> </w:t>
      </w:r>
      <w:r>
        <w:t xml:space="preserve">MTsat values in the </w:t>
      </w:r>
      <w:r w:rsidR="00146C9A">
        <w:t xml:space="preserve">caudate nucleus bilaterally, </w:t>
      </w:r>
      <w:r w:rsidR="00517B11">
        <w:t xml:space="preserve">as well as </w:t>
      </w:r>
      <w:r w:rsidR="00146C9A">
        <w:t xml:space="preserve">in the </w:t>
      </w:r>
      <w:r>
        <w:t>left ventral sensorimotor cortex</w:t>
      </w:r>
      <w:r w:rsidR="00517B11">
        <w:t xml:space="preserve"> and</w:t>
      </w:r>
      <w:r>
        <w:t xml:space="preserve"> Heschl’s gyrus. </w:t>
      </w:r>
      <w:r w:rsidR="00517B11">
        <w:t>They also had</w:t>
      </w:r>
      <w:r>
        <w:t xml:space="preserve"> </w:t>
      </w:r>
      <w:r w:rsidR="00517B11">
        <w:t xml:space="preserve">globally </w:t>
      </w:r>
      <w:r>
        <w:t>lower</w:t>
      </w:r>
      <w:r w:rsidR="00146C9A">
        <w:t xml:space="preserve"> </w:t>
      </w:r>
      <w:r>
        <w:t>R1 values</w:t>
      </w:r>
      <w:r w:rsidR="00517B11">
        <w:t>.</w:t>
      </w:r>
      <w:r>
        <w:t xml:space="preserve"> </w:t>
      </w:r>
      <w:r w:rsidR="00146C9A">
        <w:t xml:space="preserve">No group differences were noted in R2* maps. </w:t>
      </w:r>
      <w:r>
        <w:t xml:space="preserve">Differences in MTsat and R1 </w:t>
      </w:r>
      <w:r w:rsidR="000077DD">
        <w:t>were coincident</w:t>
      </w:r>
      <w:r>
        <w:t xml:space="preserve"> in </w:t>
      </w:r>
      <w:r w:rsidR="00146C9A">
        <w:t>the caudate nucleus bilaterally</w:t>
      </w:r>
      <w:r>
        <w:t xml:space="preserve">. </w:t>
      </w:r>
      <w:r w:rsidR="0055136C">
        <w:t>Th</w:t>
      </w:r>
      <w:r w:rsidR="00691CA0">
        <w:t>ese findings support our hypothesis of corticostriatal abnormalities in DLD</w:t>
      </w:r>
      <w:r w:rsidR="0060019D">
        <w:t xml:space="preserve"> </w:t>
      </w:r>
      <w:r w:rsidR="00691CA0">
        <w:t xml:space="preserve">and </w:t>
      </w:r>
      <w:r w:rsidR="0060019D">
        <w:t xml:space="preserve">indicate abnormal </w:t>
      </w:r>
      <w:r w:rsidR="009618D4">
        <w:t xml:space="preserve">levels of </w:t>
      </w:r>
      <w:r w:rsidR="0060019D">
        <w:t>myelin</w:t>
      </w:r>
      <w:r w:rsidR="008B31EB">
        <w:t xml:space="preserve"> </w:t>
      </w:r>
      <w:r w:rsidR="0060019D">
        <w:t xml:space="preserve">in the dorsal striatum in </w:t>
      </w:r>
      <w:r w:rsidR="0055136C">
        <w:t>children with DLD.</w:t>
      </w:r>
    </w:p>
    <w:p w14:paraId="49C5FB91" w14:textId="274B3D98" w:rsidR="00A73C92" w:rsidRDefault="00A73C92" w:rsidP="00A73C92">
      <w:pPr>
        <w:jc w:val="both"/>
      </w:pPr>
    </w:p>
    <w:p w14:paraId="5D66184C" w14:textId="4B50BB33" w:rsidR="00FF7732" w:rsidRPr="00841EAC" w:rsidRDefault="00FF7732">
      <w:pPr>
        <w:rPr>
          <w:color w:val="FF0000"/>
        </w:rPr>
      </w:pPr>
      <w:r w:rsidRPr="00841EAC">
        <w:rPr>
          <w:color w:val="FF0000"/>
        </w:rPr>
        <w:br w:type="page"/>
      </w:r>
    </w:p>
    <w:p w14:paraId="6317FE9B" w14:textId="4777E3AC" w:rsidR="001240D9" w:rsidRPr="001240D9" w:rsidRDefault="001240D9" w:rsidP="004C1B56">
      <w:pPr>
        <w:spacing w:line="360" w:lineRule="auto"/>
        <w:jc w:val="both"/>
        <w:rPr>
          <w:b/>
          <w:bCs/>
        </w:rPr>
      </w:pPr>
      <w:r w:rsidRPr="001240D9">
        <w:rPr>
          <w:b/>
          <w:bCs/>
        </w:rPr>
        <w:lastRenderedPageBreak/>
        <w:t>Quantitative MRI reveals differences in subcortical microstructure in children with DLD</w:t>
      </w:r>
    </w:p>
    <w:p w14:paraId="5BA15186" w14:textId="77777777" w:rsidR="001240D9" w:rsidRPr="001240D9" w:rsidRDefault="001240D9" w:rsidP="001240D9">
      <w:pPr>
        <w:spacing w:line="360" w:lineRule="auto"/>
      </w:pPr>
    </w:p>
    <w:p w14:paraId="058A6A7C" w14:textId="1BCCF46A" w:rsidR="0070191A" w:rsidRDefault="00A25696" w:rsidP="001240D9">
      <w:pPr>
        <w:spacing w:line="360" w:lineRule="auto"/>
        <w:jc w:val="both"/>
      </w:pPr>
      <w:r>
        <w:t xml:space="preserve">Children with </w:t>
      </w:r>
      <w:r w:rsidR="001240D9" w:rsidRPr="001240D9">
        <w:t>Developmental Language Disorder</w:t>
      </w:r>
      <w:r w:rsidR="00D8056E">
        <w:t xml:space="preserve"> (DLD)</w:t>
      </w:r>
      <w:r w:rsidR="001240D9" w:rsidRPr="001240D9">
        <w:t xml:space="preserve"> struggle to learn their native language for no obvious reason. </w:t>
      </w:r>
      <w:r w:rsidR="000952EB">
        <w:t>DLD is an extremely common neurodevelopmental disorder, with r</w:t>
      </w:r>
      <w:r w:rsidR="00C01E33">
        <w:t xml:space="preserve">ecent estimates </w:t>
      </w:r>
      <w:r w:rsidR="000952EB">
        <w:t>indicating</w:t>
      </w:r>
      <w:r w:rsidR="00C01E33">
        <w:t xml:space="preserve"> the prevalence of DLD is 7%</w:t>
      </w:r>
      <w:r w:rsidR="00530E59">
        <w:t xml:space="preserve"> </w:t>
      </w:r>
      <w:r w:rsidR="00530E59">
        <w:fldChar w:fldCharType="begin"/>
      </w:r>
      <w:r w:rsidR="00ED5ABB">
        <w:instrText xml:space="preserve"> ADDIN ZOTERO_ITEM CSL_CITATION {"citationID":"O2e06X4t","properties":{"formattedCitation":"(Norbury et al., 2016)","plainCitation":"(Norbury et al., 2016)","noteIndex":0},"citationItems":[{"id":38,"uris":["http://zotero.org/users/5009496/items/KM6CDMYD"],"itemData":{"id":38,"type":"article-journal","abstract":"Background Diagnosis of ‘specific’ language impairment traditionally required nonverbal IQ to be within normal limits, often resulting in restricted access to clinical services for children with lower NVIQ. Changes to DSM-5 criteria for language disorder removed this NVIQ requirement. This study sought to delineate the impact of varying NVIQ criteria on prevalence, clinical presentation and functional impact of language disorder in the first UK population study of language impairment at school entry. Methods A population-based survey design with sample weighting procedures was used to estimate population prevalence. We surveyed state-maintained reception classrooms (n = 161 or 61% of eligible schools) in Surrey, England. From a total population of 12,398 children (ages 4–5 years), 7,267 (59%) were screened. A stratified subsample (n = 529) received comprehensive assessment of language, NVIQ, social, emotional and behavioural problems, and academic attainment. Results The total population prevalence estimate of language disorder was 9.92% (95% CI 7.38, 13.20). The prevalence of language disorder of unknown origin was estimated to be 7.58% (95% CI 5.33, 10.66), while the prevalence of language impairment associated with intellectual disability and/or existing medical diagnosis was 2.34% (95% CI 1.40, 3.91). Children with language disorder displayed elevated symptoms of social, emotional and behavioural problems relative to peers, F(1, 466) = 7.88, p = .05, and 88% did not make expected academic progress. There were no differences between those with average and low-average NVIQ scores in severity of language deficit, social, emotional and behavioural problems, or educational attainment. In contrast, children with language impairments associated with known medical diagnosis and/or intellectual disability displayed more severe deficits on multiple measures. Conclusions At school entry, approximately two children in every class of 30 pupils will experience language disorder severe enough to hinder academic progress. Access to specialist clinical services should not depend on NVIQ.","container-title":"Journal of Child Psychology and Psychiatry","DOI":"10.1111/jcpp.12573","ISSN":"1469-7610","issue":"11","language":"en","page":"1247-1257","source":"Wiley Online Library","title":"The impact of nonverbal ability on prevalence and clinical presentation of language disorder: evidence from a population study","title-short":"The impact of nonverbal ability on prevalence and clinical presentation of language disorder","URL":"https://onlinelibrary.wiley.com/doi/abs/10.1111/jcpp.12573","volume":"57","author":[{"family":"Norbury","given":"Courtenay Frazier"},{"family":"Gooch","given":"Debbie"},{"family":"Wray","given":"Charlotte"},{"family":"Baird","given":"Gillian"},{"family":"Charman","given":"Tony"},{"family":"Simonoff","given":"Emily"},{"family":"Vamvakas","given":"George"},{"family":"Pickles","given":"Andrew"}],"accessed":{"date-parts":[["2018",6,29]]},"issued":{"date-parts":[["2016"]]}}}],"schema":"https://github.com/citation-style-language/schema/raw/master/csl-citation.json"} </w:instrText>
      </w:r>
      <w:r w:rsidR="00530E59">
        <w:fldChar w:fldCharType="separate"/>
      </w:r>
      <w:r w:rsidR="00530E59">
        <w:rPr>
          <w:noProof/>
        </w:rPr>
        <w:t>(Norbury et al., 2016)</w:t>
      </w:r>
      <w:r w:rsidR="00530E59">
        <w:fldChar w:fldCharType="end"/>
      </w:r>
      <w:r w:rsidR="00C01E33">
        <w:t xml:space="preserve">. DLD has serious economic and social consequences – it is associated with a higher risk for academic underachievement, unemployment, </w:t>
      </w:r>
      <w:r w:rsidR="008725C1">
        <w:t>social and behavioural difficulties, and detriment to well-being</w:t>
      </w:r>
      <w:r w:rsidR="00554F21">
        <w:t xml:space="preserve"> </w:t>
      </w:r>
      <w:r w:rsidR="00554F21">
        <w:fldChar w:fldCharType="begin"/>
      </w:r>
      <w:r w:rsidR="00ED5ABB">
        <w:instrText xml:space="preserve"> ADDIN ZOTERO_ITEM CSL_CITATION {"citationID":"8L1xW6tE","properties":{"formattedCitation":"(Conti-Ramsden et al., 2018)","plainCitation":"(Conti-Ramsden et al., 2018)","noteIndex":0},"citationItems":[{"id":1365,"uris":["http://zotero.org/users/5009496/items/2WDNCD5U"],"itemData":{"id":1365,"type":"article-journal","abstract":"Background Developmental language disorder (DLD) presents a considerable barrier for young adults to engage in further education and training. Early studies with young adults with DLD revealed poor educational achievement and lack of opportunities to progress in education. More recent studies have provided more positive findings. Relatively sparse data exist, however, on current cohorts and the factors that predict outcomes. Aims To examine educational and employment outcomes in young adulthood in a sample of people with histories of DLD compared with an age-matched peer group without DLD. We ask: How do educational pathways and early jobs compare between those with and without DLD? Are young adults with DLD receiving similar levels of income as their peers? To what extent are language and literacy abilities associated with outcomes? Methods &amp; Procedures Participants included 84 individuals with DLD (67% males) and 88 age-matched peers without DLD (56% males). Participants were on average 24 years of age. They completed a battery of psycholinguistic, literacy and nonverbal skills assessments. Data were also collected on educational qualifications, current educational status, extent of educational support received, employment status, history and support, as well as current income. Outcomes &amp; Results Those with DLD obtained lower academic and vocational qualifications. Higher educational/vocational qualifications were associated with better language, better reading and higher performance IQ (PIQ). There were few differences between the two groups in terms of engagement with education, but the mean age at leaving education was significantly earlier in the participants with DLD. Substantially more participants with DLD reported receiving support or dispensation from their educational institution. There was no significant difference between groups in the proportion of young people currently employed, though a higher proportion of the age-matched peers was in work full time. Participants with DLD were much more likely to be in non-professional occupations. However, when examining pay in relation to types of occupation, the groups’ incomes were broadly comparable. Conclusions &amp; Implications At the group level, young people with a history of DLD more commonly have less skilled employment and more rarely achieve professional roles. At the individual level there is considerable variation with smaller but not trivial proportions of young adults with a history of DLD showing good educational and employment outcomes. There are positive aspects to early adult outcomes for some young people with a history of DLD.","container-title":"International Journal of Language &amp; Communication Disorders","DOI":"10.1111/1460-6984.12338","ISSN":"1460-6984","issue":"2","language":"en","note":"_eprint: https://onlinelibrary.wiley.com/doi/pdf/10.1111/1460-6984.12338","page":"237-255","source":"Wiley Online Library","title":"Education and employment outcomes of young adults with a history of developmental language disorder","URL":"https://onlinelibrary.wiley.com/doi/abs/10.1111/1460-6984.12338","volume":"53","author":[{"family":"Conti-Ramsden","given":"Gina"},{"family":"Durkin","given":"Kevin"},{"family":"Toseeb","given":"Umar"},{"family":"Botting","given":"Nicola"},{"family":"Pickles","given":"Andrew"}],"accessed":{"date-parts":[["2021",9,27]]},"issued":{"date-parts":[["2018"]]}}}],"schema":"https://github.com/citation-style-language/schema/raw/master/csl-citation.json"} </w:instrText>
      </w:r>
      <w:r w:rsidR="00554F21">
        <w:fldChar w:fldCharType="separate"/>
      </w:r>
      <w:r w:rsidR="00554F21">
        <w:rPr>
          <w:noProof/>
        </w:rPr>
        <w:t>(Conti-Ramsden et al., 2018)</w:t>
      </w:r>
      <w:r w:rsidR="00554F21">
        <w:fldChar w:fldCharType="end"/>
      </w:r>
      <w:r w:rsidR="00C01E33">
        <w:t xml:space="preserve">. </w:t>
      </w:r>
      <w:r w:rsidR="00270278">
        <w:t xml:space="preserve">Although we know that DLD does not result from gross neural lesions, we </w:t>
      </w:r>
      <w:r w:rsidR="00C01E33">
        <w:t xml:space="preserve">still </w:t>
      </w:r>
      <w:r w:rsidR="00270278">
        <w:t>do not have a clear picture of how brain anatomy differs in children with DLD</w:t>
      </w:r>
      <w:r w:rsidR="00F7193A">
        <w:t xml:space="preserve"> </w:t>
      </w:r>
      <w:r w:rsidR="00F7193A">
        <w:fldChar w:fldCharType="begin"/>
      </w:r>
      <w:r w:rsidR="00ED5ABB">
        <w:instrText xml:space="preserve"> ADDIN ZOTERO_ITEM CSL_CITATION {"citationID":"2m0AyInZ","properties":{"formattedCitation":"(Krishnan et al., 2016; Mayes et al., 2015)","plainCitation":"(Krishnan et al., 2016; Mayes et al., 2015)","noteIndex":0},"citationItems":[{"id":111,"uris":["http://zotero.org/users/5009496/items/HA99YAF7"],"itemData":{"id":111,"type":"article-journal","abstract":"In this paper we highlight why there is a need to examine subcortical learning systems in children with language impairment and dyslexia, rather than focusing solely on cortical areas relevant for language. First, behavioural studies find that children with these neurodevelopmental disorders perform less well than peers on procedural learning tasks that depend on corticostriatal learning circuits. Second, fMRI studies in neurotypical adults implicate corticostriatal and hippocampal systems in language learning. Finally, structural and functional abnormalities are seen in the striatum in children with language disorders. Studying corticostriatal networks in developmental language disorders could offer us insights into their neurobiological basis and elucidate possible modes of compensation for intervention.","container-title":"Trends in Cognitive Sciences","DOI":"10.1016/j.tics.2016.06.012","ISSN":"1364-6613","issue":"9","journalAbbreviation":"Trends in Cognitive Sciences","page":"701-714","source":"ScienceDirect","title":"Neurobiological Basis of Language Learning Difficulties","URL":"http://www.sciencedirect.com/science/article/pii/S1364661316300833","volume":"20","author":[{"family":"Krishnan","given":"Saloni"},{"family":"Watkins","given":"Kate E."},{"family":"Bishop","given":"Dorothy V. M."}],"accessed":{"date-parts":[["2018",6,29]]},"issued":{"date-parts":[["2016",9,1]]}}},{"id":37,"uris":["http://zotero.org/users/5009496/items/B69MLZ57"],"itemData":{"id":37,"type":"article-journal","abstract":"Aim The neurobiological contributions of childhood language disorder are not well understood. Yet there is increasing evidence that language disorder is associated with differences in brain structure and/or function in core language regions. A key hypothesis has been that children with language disorder do not show the same degree of leftward asymmetry of these regions as observed in typically developing children. We aimed to systematically review structural and functional magnetic resonance imaging (fMRI) studies to examine brain commonalities and differences between children with language disorder and typically developing controls; and differences in leftward asymmetry between these groups. Method A systematic review was conducted using MeSH terms synonymous with childhood language disorder and brain MRI methods. The search identified 1443 papers, and 18 articles met the criteria and were appraised for level and quality of evidence. Results Atypical brain structure and function was reported within traditionally recognized language regions across studies, including the inferior frontal gyrus, posterior superior temporal gyrus, and caudate nucleus. The direction of difference (e.g. increased/decreased) was variable, however, likely because of differences in language disorder groups examined and magnetic resonance data acquisition and analysis approaches. As regards asymmetry, there was some evidence of reduction of the anticipated structural and functional leftward asymmetry in frontal language regions in language disorder groups. Interpretation Mounting evidence suggests that children with language disorder have atypical brain structure and function within neural regions integral to language. There is limited support for the hypothesis that children with language disorder show a reduction of leftward structural and/or functional asymmetry in frontal language regions. Interpretation is limited, however, by a high degree of variability in language disorder assessment and phenotype, and in magnetic resonance methodologies. A large-scale magnetic resonance study of brain structure and function is required in a well-defined language disorder population cohort, with replication, to provide confirmatory data on the neural correlates of childhood language disorder.","container-title":"Developmental Medicine &amp; Child Neurology","DOI":"10.1111/dmcn.12714","ISSN":"1469-8749","issue":"8","language":"en","page":"706-717","source":"Wiley Online Library","title":"Neural correlates of childhood language disorder: a systematic review","title-short":"Neural correlates of childhood language disorder","URL":"https://onlinelibrary.wiley.com/doi/abs/10.1111/dmcn.12714","volume":"57","author":[{"family":"Mayes","given":"Angela K."},{"family":"Reilly","given":"Sheena"},{"family":"Morgan","given":"Angela T."}],"accessed":{"date-parts":[["2018",7,2]]},"issued":{"date-parts":[["2015"]]}}}],"schema":"https://github.com/citation-style-language/schema/raw/master/csl-citation.json"} </w:instrText>
      </w:r>
      <w:r w:rsidR="00F7193A">
        <w:fldChar w:fldCharType="separate"/>
      </w:r>
      <w:r w:rsidR="00F7193A">
        <w:rPr>
          <w:noProof/>
        </w:rPr>
        <w:t>(Krishnan et al., 2016; Mayes et al., 2015)</w:t>
      </w:r>
      <w:r w:rsidR="00F7193A">
        <w:fldChar w:fldCharType="end"/>
      </w:r>
      <w:r w:rsidR="00270278">
        <w:t>.</w:t>
      </w:r>
      <w:r w:rsidR="001240D9">
        <w:t xml:space="preserve"> </w:t>
      </w:r>
      <w:r w:rsidR="002F540D">
        <w:t xml:space="preserve">This is not only practically </w:t>
      </w:r>
      <w:r w:rsidR="00507937">
        <w:t>relevant</w:t>
      </w:r>
      <w:r w:rsidR="002F540D">
        <w:t xml:space="preserve"> </w:t>
      </w:r>
      <w:r w:rsidR="002E2D52">
        <w:t>but</w:t>
      </w:r>
      <w:r w:rsidR="002F540D">
        <w:t xml:space="preserve"> would also help us </w:t>
      </w:r>
      <w:r w:rsidR="00F17361">
        <w:t xml:space="preserve">to </w:t>
      </w:r>
      <w:r w:rsidR="002F540D">
        <w:t xml:space="preserve">understand </w:t>
      </w:r>
      <w:r w:rsidR="00D23795">
        <w:t>the neural underpinnings of</w:t>
      </w:r>
      <w:r w:rsidR="002F540D">
        <w:t xml:space="preserve"> language development. </w:t>
      </w:r>
      <w:r w:rsidR="001240D9">
        <w:t xml:space="preserve">Here, we use a robust new </w:t>
      </w:r>
      <w:r w:rsidR="00350062">
        <w:t>semi</w:t>
      </w:r>
      <w:r w:rsidR="000F44B0">
        <w:t xml:space="preserve">quantitative </w:t>
      </w:r>
      <w:r w:rsidR="001240D9">
        <w:t xml:space="preserve">imaging protocol – </w:t>
      </w:r>
      <w:r w:rsidR="0005142C">
        <w:t>MPM or M</w:t>
      </w:r>
      <w:r w:rsidR="001240D9">
        <w:t>ulti</w:t>
      </w:r>
      <w:r w:rsidR="0005142C">
        <w:t>-P</w:t>
      </w:r>
      <w:r w:rsidR="001240D9">
        <w:t xml:space="preserve">arameter </w:t>
      </w:r>
      <w:r w:rsidR="0005142C">
        <w:t>M</w:t>
      </w:r>
      <w:r w:rsidR="001240D9">
        <w:t>apping</w:t>
      </w:r>
      <w:r w:rsidR="00C70E26">
        <w:t xml:space="preserve"> </w:t>
      </w:r>
      <w:r w:rsidR="002E5994">
        <w:fldChar w:fldCharType="begin"/>
      </w:r>
      <w:r w:rsidR="00ED5ABB">
        <w:instrText xml:space="preserve"> ADDIN ZOTERO_ITEM CSL_CITATION {"citationID":"kntMSISr","properties":{"formattedCitation":"(Weiskopf et al., 2013, 2021)","plainCitation":"(Weiskopf et al., 2013, 2021)","noteIndex":0},"citationItems":[{"id":304,"uris":["http://zotero.org/users/5009496/items/4KHBSMK2"],"itemData":{"id":304,"type":"article-journal","abstract":"Multi-center studies using magnetic resonance imaging facilitate studying small effect sizes, global population variance and rare diseases. The reliability and sensitivity of these multi-center studies crucially depend on the comparability of the data generated at different sites and time points. The level of inter-site comparability is still controversial for conventional anatomical T1-weighted MRI data. Quantitative multi-parameter mapping (MPM) was designed to provide MR parameter measures that are comparable across sites and time points, i.e., 1mm high-resolution maps of the longitudinal relaxation rate (R1=1/T1), effective proton density (PD*), magnetization transfer saturation (MT) and effective transverse relaxation rate (R2*=1/T2*). MPM was validated at 3T for use in multi-center studies by scanning five volunteers at three different sites. We determined the inter-site bias, inter-site and intra-site coefficient of variation (CoV) for typical morphometric measures (i.e., gray matter probability maps used in voxel-based morphometry) and the four quantitative parameters. The inter-site bias and CoV were smaller than 3.1% and 8%, respectively, except for the inter-site CoV of R2* (&amp;lt; 20%). The gray matter probability maps based on the MT parameter maps had a 14% higher inter-site reproducibility than maps based on conventional T1-weighted images. The low inter-site bias and variance in the parameters and derived gray matter probability maps confirm the high comparability of the quantitative maps across sites and time points. The reliability, short acquisition time, high resolution and the detailed insights into the brain microstructure provided by MPM makes it an efficient tool for multi-center imaging studies.","container-title":"Frontiers in Neuroscience","DOI":"10.3389/fnins.2013.00095","ISSN":"1662-453X","journalAbbreviation":"Front. Neurosci.","language":"English","source":"Frontiers","title":"Quantitative multi-parameter mapping of R1, PD*, MT, and R2* at 3T: a multi-center validation","title-short":"Quantitative multi-parameter mapping of R1, PD*, MT, and R2* at 3T","URL":"https://www.frontiersin.org/articles/10.3389/fnins.2013.00095/full","volume":"7","author":[{"family":"Weiskopf","given":"Nikolaus"},{"family":"Suckling","given":"John"},{"family":"Williams","given":"Guy"},{"family":"Correia","given":"Marta Morgado"},{"family":"Inkster","given":"Becky"},{"family":"Tait","given":"Roger"},{"family":"Ooi","given":"Cinly"},{"family":"Bullmore","given":"Edward T."},{"family":"Lutti","given":"Antoine"}],"accessed":{"date-parts":[["2018",12,13]]},"issued":{"date-parts":[["2013"]]}}},{"id":1239,"uris":["http://zotero.org/users/5009496/items/CIWUCTBW"],"itemData":{"id":1239,"type":"article-journal","abstract":"Quantitative magnetic resonance imaging (qMRI) goes beyond conventional MRI, which aims primarily at local image contrast. It provides specific physical parameters related to the nuclear spin of protons in water, such as relaxation times. These parameters carry information about the local microstructural environment of the protons (such as myelin in the brain). Non-invasive in vivo histology using MRI (hMRI) aims to use this information to directly characterize biological tissue microstructure, partially replacing or complementing classical invasive histology. The understanding of MRI tissue contrast provided by hMRI is, in turn, crucial for further improvements of qMRI, and they should be considered closely interlinked. We discuss concepts, models and validation approaches, pointing out challenges and the latest advances in this field. Further, we point out links to physics, including computational and analytical approaches and developments in materials science and photonics, that aid in reference data acquisition and model validation.","container-title":"Nature Reviews Physics","DOI":"10.1038/s42254-021-00326-1","ISSN":"2522-5820","journalAbbreviation":"Nat Rev Phys","language":"en","note":"Bandiera_abtest: a\nCg_type: Nature Research Journals\nPrimary_atype: Reviews\npublisher: Nature Publishing Group\nSubject_term: Biological physics;Biophysics;Imaging techniques\nSubject_term_id: biological-physics;biophysics;imaging-techniques","page":"1-19","source":"www.nature.com","title":"Quantitative magnetic resonance imaging of brain anatomy and in vivo histology","URL":"https://www.nature.com/articles/s42254-021-00326-1","author":[{"family":"Weiskopf","given":"Nikolaus"},{"family":"Edwards","given":"Luke J."},{"family":"Helms","given":"Gunther"},{"family":"Mohammadi","given":"Siawoosh"},{"family":"Kirilina","given":"Evgeniya"}],"accessed":{"date-parts":[["2021",7,26]]},"issued":{"date-parts":[["2021",6,28]]}}}],"schema":"https://github.com/citation-style-language/schema/raw/master/csl-citation.json"} </w:instrText>
      </w:r>
      <w:r w:rsidR="002E5994">
        <w:fldChar w:fldCharType="separate"/>
      </w:r>
      <w:r w:rsidR="0005142C">
        <w:rPr>
          <w:noProof/>
        </w:rPr>
        <w:t>(Weiskopf et al., 2013, 2021)</w:t>
      </w:r>
      <w:r w:rsidR="002E5994">
        <w:fldChar w:fldCharType="end"/>
      </w:r>
      <w:r w:rsidR="001240D9">
        <w:t xml:space="preserve"> – to shed light on microstructural neural differences in </w:t>
      </w:r>
      <w:r w:rsidR="00270278">
        <w:t xml:space="preserve">a large group of </w:t>
      </w:r>
      <w:r w:rsidR="001240D9">
        <w:t>children with DLD.</w:t>
      </w:r>
    </w:p>
    <w:p w14:paraId="5C29EBB9" w14:textId="20C94EE4" w:rsidR="00EA1CC8" w:rsidRDefault="00EF61C2" w:rsidP="00D2295B">
      <w:pPr>
        <w:pStyle w:val="NormalWeb"/>
        <w:spacing w:line="360" w:lineRule="auto"/>
        <w:jc w:val="both"/>
      </w:pPr>
      <w:r>
        <w:t>There is a dearth of literature examining</w:t>
      </w:r>
      <w:r w:rsidR="002F540D">
        <w:t xml:space="preserve"> </w:t>
      </w:r>
      <w:r>
        <w:t xml:space="preserve">brain structure in </w:t>
      </w:r>
      <w:r w:rsidR="002F540D">
        <w:t>children with DLD</w:t>
      </w:r>
      <w:r>
        <w:t>, which is surprising given the prevalence and impact of DLD</w:t>
      </w:r>
      <w:r w:rsidR="00A6090F">
        <w:t xml:space="preserve">. In </w:t>
      </w:r>
      <w:r>
        <w:t>the available literature</w:t>
      </w:r>
      <w:r w:rsidR="00A6090F">
        <w:t>,</w:t>
      </w:r>
      <w:r w:rsidR="002E5994">
        <w:t xml:space="preserve"> </w:t>
      </w:r>
      <w:r w:rsidR="0070191A">
        <w:t>grey</w:t>
      </w:r>
      <w:r w:rsidR="000952EB">
        <w:t xml:space="preserve"> matter </w:t>
      </w:r>
      <w:r w:rsidR="002F540D">
        <w:t>changes</w:t>
      </w:r>
      <w:r w:rsidR="000952EB">
        <w:t xml:space="preserve"> have been noted in the left inferior frontal gyrus and the posterior superior temporal gyrus</w:t>
      </w:r>
      <w:r w:rsidR="00F7193A">
        <w:t xml:space="preserve"> </w:t>
      </w:r>
      <w:r w:rsidR="00F7193A">
        <w:fldChar w:fldCharType="begin"/>
      </w:r>
      <w:r w:rsidR="00ED5ABB">
        <w:instrText xml:space="preserve"> ADDIN ZOTERO_ITEM CSL_CITATION {"citationID":"lP7c8VQ9","properties":{"formattedCitation":"(Badcock et al., 2012; Gauger et al., 1997; Jancke et al., 2007; Lee et al., 2020; Plante, 1991; Preis et al., 1998)","plainCitation":"(Badcock et al., 2012; Gauger et al., 1997; Jancke et al., 2007; Lee et al., 2020; Plante, 1991; Preis et al., 1998)","noteIndex":0},"citationItems":[{"id":112,"uris":["http://zotero.org/users/5009496/items/QFZKQJX9"],"itemData":{"id":112,"type":"article-journal","abstract":"We assessed the relationship between brain structure and function in 10 individuals with specific language impairment (SLI), compared to six unaffected siblings, and 16 unrelated control participants with typical language. Voxel-based morphometry indicated that grey matter in the SLI group, relative to controls, was increased in the left inferior frontal cortex and decreased in the right caudate nucleus and superior temporal cortex bilaterally. The unaffected siblings also showed reduced grey matter in the caudate nucleus relative to controls. In an auditory covert naming task, the SLI group showed reduced activation in the left inferior frontal cortex, right putamen, and in the superior temporal cortex bilaterally. Despite spatially coincident structural and functional abnormalities in frontal and temporal areas, the relationships between structure and function in these regions were different. These findings suggest multiple structural and functional abnormalities in SLI that are differently associated with receptive and expressive language processing.","container-title":"Brain and Language","DOI":"10.1016/j.bandl.2011.10.006","ISSN":"1090-2155","issue":"3","journalAbbreviation":"Brain Lang","language":"eng","note":"PMID: 22137677\nPMCID: PMC3315677","page":"310-320","source":"PubMed","title":"Co-localisation of abnormal brain structure and function in specific language impairment","volume":"120","author":[{"family":"Badcock","given":"Nicholas A."},{"family":"Bishop","given":"Dorothy V. M."},{"family":"Hardiman","given":"Mervyn J."},{"family":"Barry","given":"Johanna G."},{"family":"Watkins","given":"Kate E."}],"issued":{"date-parts":[["2012",3]]}}},{"id":97,"uris":["http://zotero.org/users/5009496/items/AJMJC8QA"],"itemData":{"id":97,"type":"article-journal","abstract":"The planum temporale and pars triangularis have been found to be larger in the left hemisphere than the right in individuals with normal language skills. Brain morphology studies of individuals with developmental language disorders report reversed asymmetry or symmetry of the planum, although the bulk of this research has been completed on adults with dyslexia. Pars triangularis has not been studied in the developmental language impaired population. In this study, magnetic resonance imaging (MRI) was used for quantitative comparisons of the planum temporale (Wernicke's area) and pars triangularis (Broca's area) in children with specific language impairment (SLI) and children with normal language skills. The subjects were 11 children with SLI and 19 age- and sex-matched controls between 5.6 and 13.0 years old. Each subject received a neurolinguistic battery of tests and a high resolution volumetric MRI scan. Major results were that (a) pars triangularis was significantly smaller in the left hemisphere of children with SLI, and (b) children with SLI were more likely to have rightward asymmetry of language structures. Furthermore, anomalous morphology in these language areas correlated with depressed language ability. These findings support the hypothesis that language impairment is a consequence of an underlying neurobiological defect in areas of the brain known to subserve language.","container-title":"Journal of Speech, Language, and Hearing Research; Rockville","ISSN":"10924388","issue":"6","language":"English","page":"1272-84","source":"ProQuest","title":"Brain morphology in children with specific language impairment","URL":"https://search.proquest.com/docview/232349104/abstract/BD6AB18BF9924CCBPQ/1","volume":"40","author":[{"family":"Gauger","given":"Laurie M."},{"family":"Lombardino","given":"Linda J."},{"family":"Leonard","given":"Christiana M."}],"accessed":{"date-parts":[["2018",7,3]]},"issued":{"date-parts":[["1997",12]]}}},{"id":1258,"uris":["http://zotero.org/users/5009496/items/MSFM4XSW"],"itemData":{"id":1258,"type":"article-journal","container-title":"Brain and Language","DOI":"10.1016/j.bandl.2006.08.003","ISSN":"0093934X","issue":"1","journalAbbreviation":"Brain and Language","language":"en","page":"91-98","source":"DOI.org (Crossref)","title":"Decreased white-matter density in a left-sided fronto-temporal network in children with developmental language disorder: Evidence for anatomical anomalies in a motor-language network","title-short":"Decreased white-matter density in a left-sided fronto-temporal network in children with developmental language disorder","URL":"https://linkinghub.elsevier.com/retrieve/pii/S0093934X06003865","volume":"102","author":[{"family":"Jancke","given":"L"},{"family":"Siegenthaler","given":"T"},{"family":"Preis","given":"S"},{"family":"Steinmetz","given":"H"}],"accessed":{"date-parts":[["2021",7,28]]},"issued":{"date-parts":[["2007",7]]}}},{"id":721,"uris":["http://zotero.org/users/5009496/items/EF9EILSN"],"itemData":{"id":721,"type":"article-journal","abstract":"Developmental Language Disorder (DLD) is a neurodevelopmental disorder characterized by difficulty learning and using language, and this difficulty cannot be attributed to other developmental conditions. The aim of the current study was to examine structural differences in dorsal and ventral language pathways between adolescents and young adults with and without DLD (age range: 14–27 years) using anatomical magnetic resonance imaging (MRI) and diffusion tensor imaging (DTI). Results showed age-related structural brain differences in both dorsal and ventral pathways in individuals with DLD. These findings provide evidence for neuroanatomical correlates of persistent language deficits in adolescents/young adults with DLD, and further suggest that this brain-language relationship in DLD is better characterized by taking account the dynamic course of the disorder along development.","container-title":"Brain Imaging and Behavior","DOI":"10.1007/s11682-019-00209-1","ISSN":"1931-7565","journalAbbreviation":"Brain Imaging and Behavior","language":"en","source":"Springer Link","title":"Altered brain structures in the dorsal and ventral language pathways in individuals with and without developmental language disorder (DLD)","URL":"https://doi.org/10.1007/s11682-019-00209-1","author":[{"family":"Lee","given":"Joanna C."},{"family":"Dick","given":"Anthony Steven"},{"family":"Tomblin","given":"J. Bruce"}],"accessed":{"date-parts":[["2020",5,18]]},"issued":{"date-parts":[["2020",1,13]]}}},{"id":1261,"uris":["http://zotero.org/users/5009496/items/VL5ZVB8E"],"itemData":{"id":1261,"type":"article-journal","container-title":"Brain and Language","DOI":"10.1016/0093-934X(91)90110-M","ISSN":"0093934X","issue":"1","journalAbbreviation":"Brain and Language","language":"en","page":"52-66","source":"DOI.org (Crossref)","title":"MRI findings in boys with specific language impairment","URL":"https://linkinghub.elsevier.com/retrieve/pii/0093934X9190110M","volume":"41","author":[{"family":"Plante","given":"E"}],"accessed":{"date-parts":[["2021",7,28]]},"issued":{"date-parts":[["1991",7]]}}},{"id":1259,"uris":["http://zotero.org/users/5009496/items/GKB9QZ4K"],"itemData":{"id":1259,"type":"article-journal","container-title":"Neuropsychologia","DOI":"10.1016/S0028-3932(98)00033-5","ISSN":"00283932","issue":"9","journalAbbreviation":"Neuropsychologia","language":"en","page":"849-855","source":"DOI.org (Crossref)","title":"Normal intrasylvian anatomical asymmetry in children with developmental language disorder","URL":"https://linkinghub.elsevier.com/retrieve/pii/S0028393298000335","volume":"36","author":[{"family":"Preis","given":"S"},{"family":"JÄncke","given":"L"},{"family":"Schittler","given":"P"},{"family":"Huang","given":"Y"},{"family":"Steinmetz","given":"H"}],"accessed":{"date-parts":[["2021",7,28]]},"issued":{"date-parts":[["1998",9]]}}}],"schema":"https://github.com/citation-style-language/schema/raw/master/csl-citation.json"} </w:instrText>
      </w:r>
      <w:r w:rsidR="00F7193A">
        <w:fldChar w:fldCharType="separate"/>
      </w:r>
      <w:r w:rsidR="00184E66">
        <w:t>(Badcock et al., 2012; Gauger et al., 1997; Jancke et al., 2007; Lee et al., 2020; Plante, 1991; Preis et al., 1998)</w:t>
      </w:r>
      <w:r w:rsidR="00F7193A">
        <w:fldChar w:fldCharType="end"/>
      </w:r>
      <w:r w:rsidR="000952EB">
        <w:t>.</w:t>
      </w:r>
      <w:r w:rsidR="00BE32A1">
        <w:t xml:space="preserve"> </w:t>
      </w:r>
      <w:r w:rsidR="0006197C">
        <w:t xml:space="preserve">These are </w:t>
      </w:r>
      <w:r w:rsidR="00BC0061">
        <w:t>core</w:t>
      </w:r>
      <w:r w:rsidR="0006197C">
        <w:t xml:space="preserve"> </w:t>
      </w:r>
      <w:r w:rsidR="00BC0061">
        <w:t>regions</w:t>
      </w:r>
      <w:r w:rsidR="003806CB">
        <w:t xml:space="preserve"> for language processing</w:t>
      </w:r>
      <w:r w:rsidR="0006197C">
        <w:t>,</w:t>
      </w:r>
      <w:r w:rsidR="00BC0061">
        <w:t xml:space="preserve"> with language activation in these regions observed</w:t>
      </w:r>
      <w:r w:rsidR="0006197C">
        <w:t xml:space="preserve"> across </w:t>
      </w:r>
      <w:r w:rsidR="00BC0061">
        <w:t>the literature</w:t>
      </w:r>
      <w:r w:rsidR="0006197C">
        <w:t xml:space="preserve"> </w:t>
      </w:r>
      <w:r w:rsidR="0006197C">
        <w:fldChar w:fldCharType="begin"/>
      </w:r>
      <w:r w:rsidR="0006197C">
        <w:instrText xml:space="preserve"> ADDIN ZOTERO_ITEM CSL_CITATION {"citationID":"kBuXKSLG","properties":{"formattedCitation":"(Price, 2012)","plainCitation":"(Price, 2012)","noteIndex":0},"citationItems":[{"id":1459,"uris":["http://zotero.org/users/5009496/items/TKKHXMRM"],"itemData":{"id":1459,"type":"article-journal","abstract":"The anatomy of language has been investigated with PET or fMRI for more than 20years. Here I attempt to provide an overview of the brain areas associated with heard speech, speech production and reading. The conclusions of many hundreds of studies were considered, grouped according to the type of processing, and reported in the order that they were published. Many findings have been replicated time and time again leading to some consistent and undisputable conclusions. These are summarised in an anatomical model that indicates the location of the language areas and the most consistent functions that have been assigned to them. The implications for cognitive models of language processing are also considered. In particular, a distinction can be made between processes that are localized to specific structures (e.g. sensory and motor processing) and processes where specialisation arises in the distributed pattern of activation over many different areas that each participate in multiple functions. For example, phonological processing of heard speech is supported by the functional integration of auditory processing and articulation; and orthographic processing is supported by the functional integration of visual processing, articulation and semantics. Future studies will undoubtedly be able to improve the spatial precision with which functional regions can be dissociated but the greatest challenge will be to understand how different brain regions interact with one another in their attempts to comprehend and produce language.","collection-title":"20 YEARS OF fMRI","container-title":"NeuroImage","DOI":"10.1016/j.neuroimage.2012.04.062","ISSN":"1053-8119","issue":"2","journalAbbreviation":"NeuroImage","language":"en","page":"816-847","source":"ScienceDirect","title":"A review and synthesis of the first 20years of PET and fMRI studies of heard speech, spoken language and reading","URL":"https://www.sciencedirect.com/science/article/pii/S1053811912004703","volume":"62","author":[{"family":"Price","given":"Cathy J."}],"accessed":{"date-parts":[["2022",3,10]]},"issued":{"date-parts":[["2012",8,15]]}}}],"schema":"https://github.com/citation-style-language/schema/raw/master/csl-citation.json"} </w:instrText>
      </w:r>
      <w:r w:rsidR="0006197C">
        <w:fldChar w:fldCharType="separate"/>
      </w:r>
      <w:r w:rsidR="0006197C">
        <w:rPr>
          <w:noProof/>
        </w:rPr>
        <w:t>(Price, 2012)</w:t>
      </w:r>
      <w:r w:rsidR="0006197C">
        <w:fldChar w:fldCharType="end"/>
      </w:r>
      <w:r w:rsidR="0006197C">
        <w:t xml:space="preserve"> and across languages </w:t>
      </w:r>
      <w:r w:rsidR="0006197C">
        <w:fldChar w:fldCharType="begin"/>
      </w:r>
      <w:r w:rsidR="0006197C">
        <w:instrText xml:space="preserve"> ADDIN ZOTERO_ITEM CSL_CITATION {"citationID":"A32hZgmE","properties":{"formattedCitation":"(Ayyash et al., 2021)","plainCitation":"(Ayyash et al., 2021)","noteIndex":0},"citationItems":[{"id":1312,"uris":["http://zotero.org/users/5009496/items/26DKDJZV"],"itemData":{"id":1312,"type":"report","abstract":"Abstract\n          To understand the architecture of human language, it is critical to examine diverse languages; yet most cognitive neuroscience research has focused on a handful of primarily Indo-European languages. Here, we report a large-scale investigation of the fronto-temporal language network across 45 languages and establish the cross-linguistic generality of its key functional properties, including general topography, left-lateralization, strong functional integration among its brain regions, and functional selectivity for language processing.","genre":"preprint","language":"en","note":"DOI: 10.1101/2021.07.28.454040","publisher":"Neuroscience","source":"DOI.org (Crossref)","title":"The universal language network: A cross-linguistic investigation spanning 45 languages and 11 language families","title-short":"The universal language network","URL":"http://biorxiv.org/lookup/doi/10.1101/2021.07.28.454040","author":[{"family":"Ayyash","given":"Dima"},{"family":"Malik-Moraleda","given":"Saima"},{"family":"Gallée","given":"Jeanne"},{"family":"Affourtit","given":"Josef"},{"family":"Hoffman","given":"Malte"},{"family":"Mineroff","given":"Zachary"},{"family":"Jouravlev","given":"Olessia"},{"family":"Fedorenko","given":"Evelina"}],"accessed":{"date-parts":[["2021",8,19]]},"issued":{"date-parts":[["2021",7,29]]}}}],"schema":"https://github.com/citation-style-language/schema/raw/master/csl-citation.json"} </w:instrText>
      </w:r>
      <w:r w:rsidR="0006197C">
        <w:fldChar w:fldCharType="separate"/>
      </w:r>
      <w:r w:rsidR="0006197C">
        <w:rPr>
          <w:noProof/>
        </w:rPr>
        <w:t>(Ayyash et al., 2021)</w:t>
      </w:r>
      <w:r w:rsidR="0006197C">
        <w:fldChar w:fldCharType="end"/>
      </w:r>
      <w:r w:rsidR="0006197C">
        <w:t xml:space="preserve">. </w:t>
      </w:r>
      <w:r w:rsidR="002E5994">
        <w:t>D</w:t>
      </w:r>
      <w:r w:rsidR="000952EB">
        <w:t>ifferences have also been noted in areas homologous to these language regions, such as the right perisylvian cortex</w:t>
      </w:r>
      <w:r w:rsidR="0070191A">
        <w:t xml:space="preserve"> </w:t>
      </w:r>
      <w:r w:rsidR="0070191A">
        <w:fldChar w:fldCharType="begin"/>
      </w:r>
      <w:r w:rsidR="00ED5ABB">
        <w:instrText xml:space="preserve"> ADDIN ZOTERO_ITEM CSL_CITATION {"citationID":"JMpDcXah","properties":{"formattedCitation":"(Girbau-Massana et al., 2014; Jancke et al., 2007; Kurth et al., 2018)","plainCitation":"(Girbau-Massana et al., 2014; Jancke et al., 2007; Kurth et al., 2018)","noteIndex":0},"citationItems":[{"id":1276,"uris":["http://zotero.org/users/5009496/items/WBJY8QSM"],"itemData":{"id":1276,"type":"article-journal","container-title":"Neuropsychologia","DOI":"10.1016/j.neuropsychologia.2014.01.004","ISSN":"00283932","journalAbbreviation":"Neuropsychologia","language":"en","page":"90-100","source":"DOI.org (Crossref)","title":"Gray–white matter and cerebrospinal fluid volume differences in children with Specific Language Impairment and/or Reading Disability","URL":"https://linkinghub.elsevier.com/retrieve/pii/S0028393214000086","volume":"56","author":[{"family":"Girbau-Massana","given":"Dolors"},{"family":"Garcia-Marti","given":"Gracian"},{"family":"Marti-Bonmati","given":"Luis"},{"family":"Schwartz","given":"Richard G."}],"accessed":{"date-parts":[["2021",7,28]]},"issued":{"date-parts":[["2014",4]]}}},{"id":1258,"uris":["http://zotero.org/users/5009496/items/MSFM4XSW"],"itemData":{"id":1258,"type":"article-journal","container-title":"Brain and Language","DOI":"10.1016/j.bandl.2006.08.003","ISSN":"0093934X","issue":"1","journalAbbreviation":"Brain and Language","language":"en","page":"91-98","source":"DOI.org (Crossref)","title":"Decreased white-matter density in a left-sided fronto-temporal network in children with developmental language disorder: Evidence for anatomical anomalies in a motor-language network","title-short":"Decreased white-matter density in a left-sided fronto-temporal network in children with developmental language disorder","URL":"https://linkinghub.elsevier.com/retrieve/pii/S0093934X06003865","volume":"102","author":[{"family":"Jancke","given":"L"},{"family":"Siegenthaler","given":"T"},{"family":"Preis","given":"S"},{"family":"Steinmetz","given":"H"}],"accessed":{"date-parts":[["2021",7,28]]},"issued":{"date-parts":[["2007",7]]}}},{"id":1160,"uris":["http://zotero.org/users/5009496/items/GPJUDS23"],"itemData":{"id":1160,"type":"article-journal","abstract":"Developmental language disorder (DLD) and speech sound disorder (SSD) are common, and although scientific evidence for structural and functional alterations in DLD/SSD is accumulating, current neuroimaging studies provide an incongruent picture. Here, we hypothesized that children affected by DLD and SSD present with gray matter (or gray matter asymmetry) aberrations in brain areas associated with language processing compared to typically developing (TD) children. To assess this hypothesis, we enhanced MRI-based information with microscopically defined cytoarchitectonic probabilities of Broca's area (BA 45, BA 44) as well as an auditory area (TE 3.0). We detected a larger rightward gray matter asymmetry in BA 45 in children with DLD (n = 13) and with SSD (n = 18) compared to TD children (n = 18), albeit only on a trend level. Interestingly though, we observed significantly larger gray matter volumes in right BA 45 in DLD compared to SSD children (and also compared to TD children).","container-title":"Developmental Psychobiology","DOI":"10.1002/dev.21762","ISSN":"1098-2302","issue":"7","journalAbbreviation":"Dev Psychobiol","language":"eng","note":"PMID: 30101474","page":"814-824","source":"PubMed","title":"Altered gray matter volumes in language-associated regions in children with developmental language disorder and speech sound disorder","volume":"60","author":[{"family":"Kurth","given":"Florian"},{"family":"Luders","given":"Eileen"},{"family":"Pigdon","given":"Lauren"},{"family":"Conti-Ramsden","given":"Gina"},{"family":"Reilly","given":"Sheena"},{"family":"Morgan","given":"Angela T."}],"issued":{"date-parts":[["2018"]]}}}],"schema":"https://github.com/citation-style-language/schema/raw/master/csl-citation.json"} </w:instrText>
      </w:r>
      <w:r w:rsidR="0070191A">
        <w:fldChar w:fldCharType="separate"/>
      </w:r>
      <w:r w:rsidR="000E66C4">
        <w:rPr>
          <w:noProof/>
        </w:rPr>
        <w:t>(Girbau-Massana et al., 2014; Jancke et al., 2007; Kurth et al., 2018)</w:t>
      </w:r>
      <w:r w:rsidR="0070191A">
        <w:fldChar w:fldCharType="end"/>
      </w:r>
      <w:r w:rsidR="000952EB">
        <w:t>.</w:t>
      </w:r>
      <w:r w:rsidR="00BE32A1">
        <w:t xml:space="preserve"> </w:t>
      </w:r>
      <w:r w:rsidR="000952EB">
        <w:t xml:space="preserve">However, there is variability in the direction of differences reported in different studies – for instance, both increases and decreases in </w:t>
      </w:r>
      <w:r w:rsidR="00BD36D3">
        <w:t>grey</w:t>
      </w:r>
      <w:r w:rsidR="000952EB">
        <w:t xml:space="preserve"> matter have been noted in the left inferior frontal gyrus</w:t>
      </w:r>
      <w:r w:rsidR="00446543">
        <w:t xml:space="preserve"> </w:t>
      </w:r>
      <w:r w:rsidR="00446543">
        <w:fldChar w:fldCharType="begin"/>
      </w:r>
      <w:r w:rsidR="00ED5ABB">
        <w:instrText xml:space="preserve"> ADDIN ZOTERO_ITEM CSL_CITATION {"citationID":"mfxKR5o0","properties":{"formattedCitation":"(Badcock et al., 2012; Gauger et al., 1997; reviewed in Mayes et al., 2015)","plainCitation":"(Badcock et al., 2012; Gauger et al., 1997; reviewed in Mayes et al., 2015)","noteIndex":0},"citationItems":[{"id":112,"uris":["http://zotero.org/users/5009496/items/QFZKQJX9"],"itemData":{"id":112,"type":"article-journal","abstract":"We assessed the relationship between brain structure and function in 10 individuals with specific language impairment (SLI), compared to six unaffected siblings, and 16 unrelated control participants with typical language. Voxel-based morphometry indicated that grey matter in the SLI group, relative to controls, was increased in the left inferior frontal cortex and decreased in the right caudate nucleus and superior temporal cortex bilaterally. The unaffected siblings also showed reduced grey matter in the caudate nucleus relative to controls. In an auditory covert naming task, the SLI group showed reduced activation in the left inferior frontal cortex, right putamen, and in the superior temporal cortex bilaterally. Despite spatially coincident structural and functional abnormalities in frontal and temporal areas, the relationships between structure and function in these regions were different. These findings suggest multiple structural and functional abnormalities in SLI that are differently associated with receptive and expressive language processing.","container-title":"Brain and Language","DOI":"10.1016/j.bandl.2011.10.006","ISSN":"1090-2155","issue":"3","journalAbbreviation":"Brain Lang","language":"eng","note":"PMID: 22137677\nPMCID: PMC3315677","page":"310-320","source":"PubMed","title":"Co-localisation of abnormal brain structure and function in specific language impairment","volume":"120","author":[{"family":"Badcock","given":"Nicholas A."},{"family":"Bishop","given":"Dorothy V. M."},{"family":"Hardiman","given":"Mervyn J."},{"family":"Barry","given":"Johanna G."},{"family":"Watkins","given":"Kate E."}],"issued":{"date-parts":[["2012",3]]}}},{"id":97,"uris":["http://zotero.org/users/5009496/items/AJMJC8QA"],"itemData":{"id":97,"type":"article-journal","abstract":"The planum temporale and pars triangularis have been found to be larger in the left hemisphere than the right in individuals with normal language skills. Brain morphology studies of individuals with developmental language disorders report reversed asymmetry or symmetry of the planum, although the bulk of this research has been completed on adults with dyslexia. Pars triangularis has not been studied in the developmental language impaired population. In this study, magnetic resonance imaging (MRI) was used for quantitative comparisons of the planum temporale (Wernicke's area) and pars triangularis (Broca's area) in children with specific language impairment (SLI) and children with normal language skills. The subjects were 11 children with SLI and 19 age- and sex-matched controls between 5.6 and 13.0 years old. Each subject received a neurolinguistic battery of tests and a high resolution volumetric MRI scan. Major results were that (a) pars triangularis was significantly smaller in the left hemisphere of children with SLI, and (b) children with SLI were more likely to have rightward asymmetry of language structures. Furthermore, anomalous morphology in these language areas correlated with depressed language ability. These findings support the hypothesis that language impairment is a consequence of an underlying neurobiological defect in areas of the brain known to subserve language.","container-title":"Journal of Speech, Language, and Hearing Research; Rockville","ISSN":"10924388","issue":"6","language":"English","page":"1272-84","source":"ProQuest","title":"Brain morphology in children with specific language impairment","URL":"https://search.proquest.com/docview/232349104/abstract/BD6AB18BF9924CCBPQ/1","volume":"40","author":[{"family":"Gauger","given":"Laurie M."},{"family":"Lombardino","given":"Linda J."},{"family":"Leonard","given":"Christiana M."}],"accessed":{"date-parts":[["2018",7,3]]},"issued":{"date-parts":[["1997",12]]}}},{"id":37,"uris":["http://zotero.org/users/5009496/items/B69MLZ57"],"itemData":{"id":37,"type":"article-journal","abstract":"Aim The neurobiological contributions of childhood language disorder are not well understood. Yet there is increasing evidence that language disorder is associated with differences in brain structure and/or function in core language regions. A key hypothesis has been that children with language disorder do not show the same degree of leftward asymmetry of these regions as observed in typically developing children. We aimed to systematically review structural and functional magnetic resonance imaging (fMRI) studies to examine brain commonalities and differences between children with language disorder and typically developing controls; and differences in leftward asymmetry between these groups. Method A systematic review was conducted using MeSH terms synonymous with childhood language disorder and brain MRI methods. The search identified 1443 papers, and 18 articles met the criteria and were appraised for level and quality of evidence. Results Atypical brain structure and function was reported within traditionally recognized language regions across studies, including the inferior frontal gyrus, posterior superior temporal gyrus, and caudate nucleus. The direction of difference (e.g. increased/decreased) was variable, however, likely because of differences in language disorder groups examined and magnetic resonance data acquisition and analysis approaches. As regards asymmetry, there was some evidence of reduction of the anticipated structural and functional leftward asymmetry in frontal language regions in language disorder groups. Interpretation Mounting evidence suggests that children with language disorder have atypical brain structure and function within neural regions integral to language. There is limited support for the hypothesis that children with language disorder show a reduction of leftward structural and/or functional asymmetry in frontal language regions. Interpretation is limited, however, by a high degree of variability in language disorder assessment and phenotype, and in magnetic resonance methodologies. A large-scale magnetic resonance study of brain structure and function is required in a well-defined language disorder population cohort, with replication, to provide confirmatory data on the neural correlates of childhood language disorder.","container-title":"Developmental Medicine &amp; Child Neurology","DOI":"10.1111/dmcn.12714","ISSN":"1469-8749","issue":"8","language":"en","page":"706-717","source":"Wiley Online Library","title":"Neural correlates of childhood language disorder: a systematic review","title-short":"Neural correlates of childhood language disorder","URL":"https://onlinelibrary.wiley.com/doi/abs/10.1111/dmcn.12714","volume":"57","author":[{"family":"Mayes","given":"Angela K."},{"family":"Reilly","given":"Sheena"},{"family":"Morgan","given":"Angela T."}],"accessed":{"date-parts":[["2018",7,2]]},"issued":{"date-parts":[["2015"]]}},"prefix":"reviewed in"}],"schema":"https://github.com/citation-style-language/schema/raw/master/csl-citation.json"} </w:instrText>
      </w:r>
      <w:r w:rsidR="00446543">
        <w:fldChar w:fldCharType="separate"/>
      </w:r>
      <w:r w:rsidR="0070191A">
        <w:rPr>
          <w:noProof/>
        </w:rPr>
        <w:t>(Badcock et al., 2012; Gauger et al., 1997; reviewed in Mayes et al., 2015)</w:t>
      </w:r>
      <w:r w:rsidR="00446543">
        <w:fldChar w:fldCharType="end"/>
      </w:r>
      <w:r w:rsidR="000952EB">
        <w:t xml:space="preserve">. </w:t>
      </w:r>
    </w:p>
    <w:p w14:paraId="6F3A8CD8" w14:textId="0E15EE6B" w:rsidR="00EA1CC8" w:rsidRDefault="000952EB" w:rsidP="00D2295B">
      <w:pPr>
        <w:pStyle w:val="NormalWeb"/>
        <w:spacing w:line="360" w:lineRule="auto"/>
        <w:jc w:val="both"/>
      </w:pPr>
      <w:r>
        <w:t xml:space="preserve">In addition to </w:t>
      </w:r>
      <w:r w:rsidR="00E5535F">
        <w:t xml:space="preserve">these </w:t>
      </w:r>
      <w:r>
        <w:t>cortical changes</w:t>
      </w:r>
      <w:r w:rsidR="00E5535F">
        <w:t xml:space="preserve"> in the language network</w:t>
      </w:r>
      <w:r>
        <w:t>, w</w:t>
      </w:r>
      <w:r w:rsidR="000F44B0">
        <w:t>e</w:t>
      </w:r>
      <w:r w:rsidR="00A95FD5">
        <w:t>, and others,</w:t>
      </w:r>
      <w:r w:rsidR="000F44B0">
        <w:t xml:space="preserve"> have hypothesised that the</w:t>
      </w:r>
      <w:r w:rsidR="00C85F34">
        <w:t xml:space="preserve"> dorsal</w:t>
      </w:r>
      <w:r w:rsidR="000F44B0">
        <w:t xml:space="preserve"> striatum is important for language learning, and may be abnormal in DLD</w:t>
      </w:r>
      <w:r w:rsidR="00530E59">
        <w:t xml:space="preserve"> </w:t>
      </w:r>
      <w:r w:rsidR="00530E59">
        <w:fldChar w:fldCharType="begin"/>
      </w:r>
      <w:r w:rsidR="00ED5ABB">
        <w:instrText xml:space="preserve"> ADDIN ZOTERO_ITEM CSL_CITATION {"citationID":"pAqCDS6O","properties":{"formattedCitation":"(Krishnan et al., 2016; Ullman et al., 2020; Ullman &amp; Pierpont, 2005)","plainCitation":"(Krishnan et al., 2016; Ullman et al., 2020; Ullman &amp; Pierpont, 2005)","noteIndex":0},"citationItems":[{"id":111,"uris":["http://zotero.org/users/5009496/items/HA99YAF7"],"itemData":{"id":111,"type":"article-journal","abstract":"In this paper we highlight why there is a need to examine subcortical learning systems in children with language impairment and dyslexia, rather than focusing solely on cortical areas relevant for language. First, behavioural studies find that children with these neurodevelopmental disorders perform less well than peers on procedural learning tasks that depend on corticostriatal learning circuits. Second, fMRI studies in neurotypical adults implicate corticostriatal and hippocampal systems in language learning. Finally, structural and functional abnormalities are seen in the striatum in children with language disorders. Studying corticostriatal networks in developmental language disorders could offer us insights into their neurobiological basis and elucidate possible modes of compensation for intervention.","container-title":"Trends in Cognitive Sciences","DOI":"10.1016/j.tics.2016.06.012","ISSN":"1364-6613","issue":"9","journalAbbreviation":"Trends in Cognitive Sciences","page":"701-714","source":"ScienceDirect","title":"Neurobiological Basis of Language Learning Difficulties","URL":"http://www.sciencedirect.com/science/article/pii/S1364661316300833","volume":"20","author":[{"family":"Krishnan","given":"Saloni"},{"family":"Watkins","given":"Kate E."},{"family":"Bishop","given":"Dorothy V. M."}],"accessed":{"date-parts":[["2018",6,29]]},"issued":{"date-parts":[["2016",9,1]]}}},{"id":1301,"uris":["http://zotero.org/users/5009496/items/SYMVPP6Q"],"itemData":{"id":1301,"type":"article-journal","abstract":"Developmental disorders of language include developmental language disorder, dyslexia, and motor-speech disorders such as articulation disorder and stuttering. These disorders have generally been explained by accounts that focus on their behavioral rather than neural characteristics; their processing rather than learning impairments; and each disorder separately rather than together, despite their commonalities and comorbidities. Here we update and review a unifying neurocognitive account—the Procedural circuit Deficit Hypothesis (PDH). The PDH posits that abnormalities of brain structures underlying procedural memory (learning and memory that rely on the basal ganglia and associated circuitry) can explain numerous brain and behavioral characteristics across learning and processing, in multiple disorders, including both commonalities and differences. We describe procedural memory, examine its role in various aspects of language, and then present the PDH and relevant evidence across language-related disorders. The PDH has substantial explanatory power, and both basic research and translational implications.","container-title":"Annual Review of Psychology","DOI":"10.1146/annurev-psych-122216-011555","ISSN":"0066-4308","issue":"1","journalAbbreviation":"Annu. Rev. Psychol.","note":"publisher: Annual Reviews","page":"389-417","source":"annualreviews.org (Atypon)","title":"The Neurocognition of Developmental Disorders of Language","URL":"https://www.annualreviews.org/doi/10.1146/annurev-psych-122216-011555","volume":"71","author":[{"family":"Ullman","given":"Michael T."},{"family":"Earle","given":"F. Sayako"},{"family":"Walenski","given":"Matthew"},{"family":"Janacsek","given":"Karolina"}],"accessed":{"date-parts":[["2021",8,12]]},"issued":{"date-parts":[["2020",1,4]]}}},{"id":257,"uris":["http://zotero.org/users/5009496/items/RAC6689L"],"itemData":{"id":257,"type":"article-journal","abstract":"Specific Language Impairment (SLI) has been explained by two broad classes of hypotheses, which posit either a deficit specific to grammar, or a non-linguistic processing impairment. Here we advance an alternative perspective. According to the Procedural Deficit Hypothesis (PDH), SLI can be largely explained by the abnormal development of brain structures that constitute the procedural memory system. This system, which is composed of a network of interconnected structures rooted in frontal/basal-ganglia circuits, subserves the learning and execution of motor and cognitive skills. Crucially, recent evidence also implicates this system in important aspects of grammar. The PDH posits that a significant proportion of individuals with SLI suffer from abnormalities of this brain network, leading to impairments of the linguistic and non-linguistic functions that depend on it. In contrast, functions such as lexical and declarative memory, which depend on other brain structures, are expected to remain largely spared. Evidence from an in-depth retrospective examination of the literature is presented. It is argued that the data support the predictions of the PDH, and particularly implicate Broca's area within frontal cortex, and the caudate nucleus within the basal ganglia. Finally, broader implications are discussed, and predictions for future research are presented. It is argued that the PDH forms the basis of a novel and potentially productive perspective on SLI.","container-title":"Cortex","DOI":"10.1016/S0010-9452(08)70276-4","ISSN":"0010-9452","issue":"3","journalAbbreviation":"Cortex","page":"399-433","source":"ScienceDirect","title":"Specific Language Impairment is not Specific to Language: the Procedural Deficit Hypothesis","title-short":"Specific Language Impairment is not Specific to Language","URL":"http://www.sciencedirect.com/science/article/pii/S0010945208702764","volume":"41","author":[{"family":"Ullman","given":"Michael T."},{"family":"Pierpont","given":"Elizabeth I."}],"accessed":{"date-parts":[["2018",11,26]]},"issued":{"date-parts":[["2005",1,1]]}}}],"schema":"https://github.com/citation-style-language/schema/raw/master/csl-citation.json"} </w:instrText>
      </w:r>
      <w:r w:rsidR="00530E59">
        <w:fldChar w:fldCharType="separate"/>
      </w:r>
      <w:r w:rsidR="00C9490C">
        <w:t>(Krishnan et al., 2016; Ullman et al., 2020; Ullman &amp; Pierpont, 2005)</w:t>
      </w:r>
      <w:r w:rsidR="00530E59">
        <w:fldChar w:fldCharType="end"/>
      </w:r>
      <w:r w:rsidR="000F44B0">
        <w:t>.</w:t>
      </w:r>
      <w:r w:rsidR="00D33EB6">
        <w:t xml:space="preserve"> The dorsal striatum </w:t>
      </w:r>
      <w:r w:rsidR="0060019D">
        <w:t>is</w:t>
      </w:r>
      <w:r w:rsidR="00D33EB6">
        <w:t xml:space="preserve"> important for habitual and sequential learning </w:t>
      </w:r>
      <w:r w:rsidR="00D33EB6">
        <w:fldChar w:fldCharType="begin"/>
      </w:r>
      <w:r w:rsidR="00ED5ABB">
        <w:instrText xml:space="preserve"> ADDIN ZOTERO_ITEM CSL_CITATION {"citationID":"k3j3xxOw","properties":{"formattedCitation":"(Graybiel &amp; Grafton, 2015; Yin &amp; Knowlton, 2006)","plainCitation":"(Graybiel &amp; Grafton, 2015; Yin &amp; Knowlton, 2006)","noteIndex":0},"citationItems":[{"id":1243,"uris":["http://zotero.org/users/5009496/items/W8R22X8Q"],"itemData":{"id":1243,"type":"article-journal","abstract":"After more than a century of work concentrating on the motor functions of the basal ganglia, new ideas have emerged, suggesting that the basal ganglia also have major functions in relation to learning habits and acquiring motor skills. We review the evidence supporting the role of the striatum in optimizing behavior by refining action selection and in shaping habits and skills as a modulator of motor repertoires. These findings challenge the notion that striatal learning processes are limited to the motor domain. The learning mechanisms supported by striatal circuitry generalize to other domains, including cognitive skills and emotion-related patterns of action.","container-title":"Cold Spring Harbor Perspectives in Biology","DOI":"10.1101/cshperspect.a021691","ISSN":", 1943-0264","issue":"8","journalAbbreviation":"Cold Spring Harb Perspect Biol","language":"en","note":"Company: Cold Spring Harbor Laboratory Press\nDistributor: Cold Spring Harbor Laboratory Press\nInstitution: Cold Spring Harbor Laboratory Press\nLabel: Cold Spring Harbor Laboratory Press\npublisher: Cold Spring Harbor Lab\nPMID: 26238359","page":"a021691","source":"cshperspectives.cshlp.org","title":"The Striatum: Where Skills and Habits Meet","title-short":"The Striatum","URL":"http://cshperspectives.cshlp.org/content/7/8/a021691","volume":"7","author":[{"family":"Graybiel","given":"Ann M."},{"family":"Grafton","given":"Scott T."}],"accessed":{"date-parts":[["2021",7,27]]},"issued":{"date-parts":[["2015",1,8]]}}},{"id":1241,"uris":["http://zotero.org/users/5009496/items/6P88AUDM"],"itemData":{"id":1241,"type":"article-journal","abstract":"The basal ganglia are a set of subcortical nuclei in the cerebrum that are involved in the integration and selection of voluntary behaviour. The striatum, the major input station of the basal ganglia, has a key role in instrumental behaviour — learned behaviour that is modified by its consequences.Reward-guided instrumental behaviours usually start as goal-directed actions that are controlled by the anticipation of the outcome, but under certain conditions these behaviours can become stimulus-driven habits, which are not controlled by outcome expectancy.Habits can be operationally defined as instrumental behaviour that is impervious to changes in the value of the outcome and in the causal contingency between action and outcome. Behavioural assays that directly manipulate these variables have become indispensable in the analysis of habit formation.The dorsal striatum is traditionally viewed as a substrate for stimulus–response habit learning, but more recent evidence indicates that this view requires modification. A more detailed analysis using modern behavioural assays reveals considerable functional heterogeneity in the dorsal striatum.The dorsolateral, or sensorimotor, striatum (DLS) and the dorsomedial, or associative, striatum (DMS) differ in their anatomical connectivity, distribution of key receptors, and rules of synaptic plasticity. They can also be doubly dissociated functionally, with the DLS being crucial for stimulus-driven habits and the DMS being crucial for goal-directed actions.The DMS and DLS belong to distinct cortico-basal ganglia networks, mediating actions and habits, respectively. The process of habit formation in instrumental learning finds its neural correlate in a shift of control from the associative to the sensorimotor cortico-basal ganglia network.","container-title":"Nature Reviews Neuroscience","DOI":"10.1038/nrn1919","ISSN":"1471-0048","issue":"6","journalAbbreviation":"Nat Rev Neurosci","language":"en","note":"Bandiera_abtest: a\nCg_type: Nature Research Journals\nnumber: 6\nPrimary_atype: Reviews\npublisher: Nature Publishing Group","page":"464-476","source":"www.nature.com","title":"The role of the basal ganglia in habit formation","URL":"https://www.nature.com/articles/nrn1919","volume":"7","author":[{"family":"Yin","given":"Henry H."},{"family":"Knowlton","given":"Barbara J."}],"accessed":{"date-parts":[["2021",7,27]]},"issued":{"date-parts":[["2006",6]]}}}],"schema":"https://github.com/citation-style-language/schema/raw/master/csl-citation.json"} </w:instrText>
      </w:r>
      <w:r w:rsidR="00D33EB6">
        <w:fldChar w:fldCharType="separate"/>
      </w:r>
      <w:r w:rsidR="0070191A">
        <w:rPr>
          <w:noProof/>
        </w:rPr>
        <w:t>(Graybiel &amp; Grafton, 2015; Yin &amp; Knowlton, 2006)</w:t>
      </w:r>
      <w:r w:rsidR="00D33EB6">
        <w:fldChar w:fldCharType="end"/>
      </w:r>
      <w:r w:rsidR="00D33EB6">
        <w:t xml:space="preserve">, and </w:t>
      </w:r>
      <w:r w:rsidR="00446543">
        <w:t xml:space="preserve">we hypothesise that it </w:t>
      </w:r>
      <w:r w:rsidR="00D33EB6">
        <w:t>may play an important role in the acquisition of language</w:t>
      </w:r>
      <w:r w:rsidR="00E5535F">
        <w:t xml:space="preserve"> because of the complexity of sequencing required for language</w:t>
      </w:r>
      <w:r w:rsidR="00D33EB6">
        <w:t>.</w:t>
      </w:r>
      <w:r w:rsidR="007624DF">
        <w:t xml:space="preserve"> In accordance, a </w:t>
      </w:r>
      <w:r w:rsidR="007624DF">
        <w:lastRenderedPageBreak/>
        <w:t xml:space="preserve">series of behavioural studies has suggested that sequential learning in the linguistic and non-linguistic domains is affected in children with DLD </w:t>
      </w:r>
      <w:r w:rsidR="007624DF">
        <w:fldChar w:fldCharType="begin"/>
      </w:r>
      <w:r w:rsidR="007624DF">
        <w:instrText xml:space="preserve"> ADDIN ZOTERO_ITEM CSL_CITATION {"citationID":"ZwZ4LJfY","properties":{"formattedCitation":"(Hsu &amp; Bishop, 2014; Lum et al., 2014; but see West et al., 2018, 2021)","plainCitation":"(Hsu &amp; Bishop, 2014; Lum et al., 2014; but see West et al., 2018, 2021)","noteIndex":0},"citationItems":[{"id":259,"uris":["http://zotero.org/users/5009496/items/TMUQ8QPK"],"itemData":{"id":259,"type":"article-journal","abstract":"This study tested the procedural deficit hypothesis of specific language impairment (SLI) by comparing children's performance in two motor procedural learning tasks and an implicit verbal sequence learning task. Participants were 7- to 11-year-old children with SLI (n = 48), typically developing age-matched children (n = 20) and younger typically developing children matched for receptive grammar (n = 28). In a serial reaction time task, the children with SLI performed at the same level as the grammar-matched children, but poorer than age-matched controls in learning motor sequences. When tested with a motor procedural learning task that did not involve learning sequential relationships between discrete elements (i.e. pursuit rotor), the children with SLI performed comparably with age-matched children and better than younger grammar-matched controls. In addition, poor implicit learning of word sequences in a verbal memory task (the Hebb effect) was found in the children with SLI. Together, these findings suggest that SLI might be characterized by deficits in learning sequence-specific information, rather than generally weak procedural learning.","container-title":"Developmental Science","DOI":"10.1111/desc.12125","ISSN":"1467-7687","issue":"3","language":"en","page":"352-365","source":"Wiley Online Library","title":"Sequence-specific procedural learning deficits in children with specific language impairment","URL":"https://onlinelibrary.wiley.com/doi/abs/10.1111/desc.12125","volume":"17","author":[{"family":"Hsu","given":"Hsinjen Julie"},{"family":"Bishop","given":"Dorothy V. M."}],"accessed":{"date-parts":[["2018",11,26]]},"issued":{"date-parts":[["2014",5,1]]}}},{"id":263,"uris":["http://zotero.org/users/5009496/items/59YHW3RY"],"itemData":{"id":263,"type":"article-journal","abstract":"Meta-analysis and meta-regression were used to evaluate whether evidence to date demonstrates deficits in procedural memory in individuals with specific language impairment (SLI), and to examine reasons for inconsistencies of findings across studies. The Procedural Deficit Hypothesis (PDH) proposes that SLI is largely explained by abnormal functioning of the frontal-basal ganglia circuits that support procedural memory. It has also been suggested that declarative memory can compensate for at least some of the problems observed in individuals with SLI. A number of studies have used Serial Reaction Time (SRT) tasks to investigate procedural learning in SLI. In this report, results from eight studies that collectively examined 186 participants with SLI and 203 typically-developing peers were submitted to a meta-analysis. The average mean effect size was .328 (CI95: .071, .584) and was significant. This suggests SLI is associated with impairments of procedural learning as measured by the SRT task. Differences among individual study effect sizes, examined with meta-regression, indicated that smaller effect sizes were found in studies with older participants, and in studies that had a larger number of trials on the SRT task. The contributions of age and SRT task characteristics to learning are discussed with respect to impaired and compensatory neural mechanisms in SLI.","container-title":"Cortex","DOI":"10.1016/j.cortex.2013.10.011","ISSN":"0010-9452","journalAbbreviation":"Cortex","page":"1-10","source":"ScienceDirect","title":"Procedural learning deficits in specific language impairment (SLI): A meta-analysis of serial reaction time task performance","title-short":"Procedural learning deficits in specific language impairment (SLI)","URL":"http://www.sciencedirect.com/science/article/pii/S0010945213002566","volume":"51","author":[{"family":"Lum","given":"Jarrad A. G."},{"family":"Conti-Ramsden","given":"Gina"},{"family":"Morgan","given":"Angela T."},{"family":"Ullman","given":"Michael T."}],"accessed":{"date-parts":[["2018",11,27]]},"issued":{"date-parts":[["2014",2,1]]}}},{"id":7,"uris":["http://zotero.org/users/5009496/items/BLRJHFZ5"],"itemData":{"id":7,"type":"article-journal","abstract":"Impaired procedural learning has been suggested as a possible cause of developmental dyslexia (DD) and specific language impairment (SLI). This study examined the relationship between measures of verbal and non-verbal implicit and explicit learning and measures of language, literacy and arithmetic attainment in a large sample of 7 to 8-year-old children. Measures of verbal explicit learning were correlated with measures of attainment. In contrast, no relationships between measures of implicit learning and attainment were found. Critically, the reliability of the implicit learning tasks was poor. Our results show that measures of procedural learning, as currently used, are typically unreliable and insensitive to individual differences. A video abstract of this article can be viewed at: https://www.youtube.com/watch?v=YnvV-BvNWSo","container-title":"Developmental Science","DOI":"10.1111/desc.12552","ISSN":"1467-7687","issue":"2","language":"en","page":"e12552","source":"Wiley Online Library","title":"The procedural learning deficit hypothesis of language learning disorders: we see some problems","title-short":"The procedural learning deficit hypothesis of language learning disorders","URL":"https://onlinelibrary.wiley.com/doi/abs/10.1111/desc.12552","volume":"21","author":[{"family":"West","given":"Gillian"},{"family":"Vadillo","given":"Miguel A."},{"family":"Shanks","given":"David R."},{"family":"Hulme","given":"Charles"}],"accessed":{"date-parts":[["2018",11,26]]},"issued":{"date-parts":[["2018",3,1]]}},"prefix":"but see"},{"id":1249,"uris":["http://zotero.org/users/5009496/items/U3SH53YL"],"itemData":{"id":1249,"type":"article-journal","abstract":"Impaired procedural learning has been suggested as a possible cause of developmental dyslexia (DD) and developmental language disorder (DLD). We evaluate this theory by performing a series of meta-analyses on evidence from the six procedural learning tasks that have most commonly been used to test this theory: the serial reaction time, Hebb learning, artificial grammar and statistical learning, weather prediction, and contextual cuing tasks. Studies using serial reaction time and Hebb learning tasks yielded small group deficits in comparisons between language impaired and typically developing controls (g = −.30 and −.32, respectively). However, a meta-analysis of correlational studies showed that the serial reaction time task was not a reliable correlate of language-related ability in unselected samples (r = .03). Larger group deficits were, however, found in studies using artificial grammar and statistical learning tasks (g = −.48) and the weather prediction task (g = −.63). Possible reasons for the discrepancy in results from different tasks that all purportedly measure procedural learning are highlighted. We conclude that current data do not provide an adequate test of the theory that a generalized procedural learning deficit is a causal risk factor for developmental dyslexia or developmental language disorder. (PsycInfo Database Record (c) 2021 APA, all rights reserved)","container-title":"Developmental Psychology","DOI":"10.1037/dev0001172","ISSN":"1939-0599(Electronic),0012-1649(Print)","issue":"5","note":"publisher-place: US\npublisher: American Psychological Association","page":"749-770","source":"APA PsycNET","title":"Is a procedural learning deficit a causal risk factor for developmental language disorder or dyslexia? A meta-analytic review","title-short":"Is a procedural learning deficit a causal risk factor for developmental language disorder or dyslexia?","volume":"57","author":[{"family":"West","given":"Gillian"},{"family":"Melby-Lervåg","given":"Monica"},{"family":"Hulme","given":"Charles"}],"issued":{"date-parts":[["2021"]]}}}],"schema":"https://github.com/citation-style-language/schema/raw/master/csl-citation.json"} </w:instrText>
      </w:r>
      <w:r w:rsidR="007624DF">
        <w:fldChar w:fldCharType="separate"/>
      </w:r>
      <w:r w:rsidR="007624DF">
        <w:rPr>
          <w:noProof/>
        </w:rPr>
        <w:t>(Hsu &amp; Bishop, 2014; Lum et al., 2014; but see West et al., 2018, 2021)</w:t>
      </w:r>
      <w:r w:rsidR="007624DF">
        <w:fldChar w:fldCharType="end"/>
      </w:r>
      <w:r w:rsidR="007624DF">
        <w:t xml:space="preserve">. </w:t>
      </w:r>
      <w:r w:rsidR="0070191A">
        <w:t xml:space="preserve"> </w:t>
      </w:r>
      <w:r w:rsidR="007624DF">
        <w:t>I</w:t>
      </w:r>
      <w:r w:rsidR="0070191A">
        <w:t xml:space="preserve">n studies that probe complex sequential production in the </w:t>
      </w:r>
      <w:r w:rsidR="00E5535F">
        <w:t>vocal</w:t>
      </w:r>
      <w:r w:rsidR="0070191A">
        <w:t xml:space="preserve"> domain, the dorsal striatum is implicated </w:t>
      </w:r>
      <w:r w:rsidR="0070191A">
        <w:fldChar w:fldCharType="begin"/>
      </w:r>
      <w:r w:rsidR="00ED5ABB">
        <w:instrText xml:space="preserve"> ADDIN ZOTERO_ITEM CSL_CITATION {"citationID":"vIqVt72H","properties":{"formattedCitation":"(A. M. Rauschecker et al., 2008; Simmonds et al., 2014; Skipper et al., 2020)","plainCitation":"(A. M. Rauschecker et al., 2008; Simmonds et al., 2014; Skipper et al., 2020)","noteIndex":0},"citationItems":[{"id":308,"uris":["http://zotero.org/users/5009496/items/G2BQQVNX"],"itemData":{"id":308,"type":"article-journal","abstract":"Learning to articulate novel combinations of phonemes that form new words through a small number of auditory exposures is crucial for development of language and our capacity for fluent speech, yet the underlying neural mechanisms are largely unknown. We used functional magnetic resonance imaging to reveal repetition–suppression effects accompanying such learning and reflecting discrete changes in brain activity due to stimulus-specific fine-tuning of neural representations. In an event-related design, subjects were repeatedly exposed to auditory pseudowords, which they covertly repeated. Covert responses during scanning and postscanning overt responses showed evidence of learning. An extensive set of regions activated bilaterally when listening to and covertly repeating novel pseudoword stimuli. Activity decreased, with repeated exposures, in a subset of these areas mostly in the left hemisphere, including premotor cortex, supplementary motor area, inferior frontal gyrus, superior temporal cortex, and cerebellum. The changes most likely reflect more efficient representation of the articulation patterns of these novel words in two connected systems, one involved in the perception of pseudoword stimuli (in the left superior temporal cortex) and one for processing the output of speech (in the left frontal cortex). Both of these systems contribute to vocal learning. Hum Brain Mapp 2008. © 2007 Wiley-Liss, Inc.","container-title":"Human Brain Mapping","DOI":"10.1002/hbm.20460","ISSN":"1097-0193","issue":"11","language":"en","page":"1231-1242","source":"Wiley Online Library","title":"Changes in neural activity associated with learning to articulate novel auditory pseudowords by covert repetition","URL":"https://onlinelibrary.wiley.com/doi/abs/10.1002/hbm.20460","volume":"29","author":[{"family":"Rauschecker","given":"Andreas M."},{"family":"Pringle","given":"Abbie"},{"family":"Watkins","given":"Kate E."}],"accessed":{"date-parts":[["2018",12,17]]},"issued":{"date-parts":[["2008"]]}}},{"id":322,"uris":["http://zotero.org/users/5009496/items/QP4QWJ36"],"itemData":{"id":322,"type":"article-journal","abstract":"Research on mammals predicts that the anterior striatum is a central component of human motor learning. However, because vocalizations in most mammals are innate, much of the neurobiology of human vocal learning has been inferred from studies on songbirds. Essential for song learning is a pathway, the homolog of mammalian cortical-basal ganglia “loops,” which includes the avian striatum. The present functional magnetic resonance imaging (fMRI) study investigated adult human vocal learning, a skill that persists throughout life, albeit imperfectly given that late-acquired languages are spoken with an accent. Monolingual adult participants were scanned while repeating novel non-native words. After training on the pronunciation of half the words for 1 wk, participants underwent a second scan. During scanning there was no external feedback on performance. Activity declined sharply in left and right anterior striatum, both within and between scanning sessions, and this change was independent of training and performance. This indicates that adult speakers rapidly adapt to the novel articulatory movements, possibly by using motor sequences from their native speech to approximate those required for the novel speech sounds. Improved accuracy correlated only with activity in motor-sensory perisylvian cortex. We propose that future studies on vocal learning, using different behavioral and pharmacological manipulations, will provide insights into adult striatal plasticity and its potential for modification in both educational and clinical contexts.","container-title":"Journal of Neurophysiology","DOI":"10.1152/jn.00901.2013","ISSN":"0022-3077","issue":"4","journalAbbreviation":"Journal of Neurophysiology","page":"792-801","source":"physiology.org (Atypon)","title":"The response of the anterior striatum during adult human vocal learning","URL":"https://www.physiology.org/doi/full/10.1152/jn.00901.2013","volume":"112","author":[{"family":"Simmonds","given":"Anna J."},{"family":"Leech","given":"Robert"},{"family":"Iverson","given":"Paul"},{"family":"Wise","given":"Richard J. S."}],"accessed":{"date-parts":[["2018",12,18]]},"issued":{"date-parts":[["2014",5,7]]}}},{"id":1248,"uris":["http://zotero.org/users/5009496/items/GR4XRMGV"],"itemData":{"id":1248,"type":"report","abstract":"There is a widespread assumption that there are a static set of ‘language regions’ in the brain. Yet, people still regularly produce familiar ‘formulaic’ expressions when those regions are severely damaged. This suggests that the neurobiology of language varies with the extent of word sequence learning and might not be fixed. We test the hypothesis that perceiving sentences is mostly supported by sensorimotor regions involved in speech production and not ‘language regions’ after overlearning. Twelve participants underwent two sessions of behavioural testing and functional magnetic resonance imaging (fMRI), separated by 15 days. During this period, they repeated two sentences 30 times each, twice a day. In both fMRI sessions, participants ‘passively’ listened to those two sentences and novel sentences. Lastly, they spoke novel sentences. Behavioural results confirm that participants overlearned sentences. Correspondingly, there was an increase or recruitment of sensorimotor regions involved in sentence production and a reduction in activity or inactivity for overlearned sentences in regions involved in listening to novel sentences. The global network organization of the brain changed by ~45%, mostly through lost connectivity. Thus, there was a profound reorganization of the neurobiology of speech perception after overlearning towards sensorimotor regions not considered in most contemporary models and away from the ‘language regions’ posited by those models. These same sensorimotor regions are generally preserved in aphasia and Alzheimer’s disease, perhaps explaining residual abilities with formulaic language. These and other results warrant reconsidering static neurobiological models of language.","genre":"preprint","language":"en","note":"DOI: 10.1101/2020.09.11.293167","publisher":"Neuroscience","source":"DOI.org (Crossref)","title":"Reorganization of the neurobiology of language after sentence overlearning","URL":"http://biorxiv.org/lookup/doi/10.1101/2020.09.11.293167","author":[{"family":"Skipper","given":"Jeremy I"},{"family":"Aliko","given":"Sarah"},{"family":"Brown","given":"Stephen"},{"family":"Jo","given":"Yoon Ju"},{"family":"Lo","given":"Serena"},{"family":"Molimpakis","given":"Emilia"},{"family":"Lametti","given":"Daniel R"}],"accessed":{"date-parts":[["2021",7,27]]},"issued":{"date-parts":[["2020",9,12]]}}}],"schema":"https://github.com/citation-style-language/schema/raw/master/csl-citation.json"} </w:instrText>
      </w:r>
      <w:r w:rsidR="0070191A">
        <w:fldChar w:fldCharType="separate"/>
      </w:r>
      <w:r w:rsidR="00ED5ABB">
        <w:rPr>
          <w:noProof/>
        </w:rPr>
        <w:t>(Rauschecker et al., 2008; Simmonds et al., 2014; Skipper et al., 2020)</w:t>
      </w:r>
      <w:r w:rsidR="0070191A">
        <w:fldChar w:fldCharType="end"/>
      </w:r>
      <w:r w:rsidR="0070191A">
        <w:t xml:space="preserve">. </w:t>
      </w:r>
      <w:r w:rsidR="00ED5ABB">
        <w:t xml:space="preserve">The striatum is structurally and functionally connected to regions associated with language production, with the </w:t>
      </w:r>
      <w:r w:rsidR="00D00C18">
        <w:t xml:space="preserve">head of the dorsolateral </w:t>
      </w:r>
      <w:r w:rsidR="00ED5ABB">
        <w:t xml:space="preserve">caudate nucleus receiving </w:t>
      </w:r>
      <w:r w:rsidR="00995C1F">
        <w:t>inputs</w:t>
      </w:r>
      <w:r w:rsidR="00ED5ABB">
        <w:t xml:space="preserve"> from inferior frontal cortex, and the putamen receiving </w:t>
      </w:r>
      <w:r w:rsidR="00995C1F">
        <w:t>inputs</w:t>
      </w:r>
      <w:r w:rsidR="00ED5ABB">
        <w:t xml:space="preserve"> from motor</w:t>
      </w:r>
      <w:r w:rsidR="00D00C18">
        <w:t xml:space="preserve">, </w:t>
      </w:r>
      <w:r w:rsidR="00ED5ABB">
        <w:t xml:space="preserve">premotor </w:t>
      </w:r>
      <w:r w:rsidR="00D00C18">
        <w:t>and supplementary</w:t>
      </w:r>
      <w:r w:rsidR="003638B6">
        <w:t xml:space="preserve"> </w:t>
      </w:r>
      <w:r w:rsidR="00D00C18">
        <w:t xml:space="preserve">motor </w:t>
      </w:r>
      <w:r w:rsidR="00ED5ABB">
        <w:t xml:space="preserve">cortex </w:t>
      </w:r>
      <w:r w:rsidR="00ED5ABB">
        <w:fldChar w:fldCharType="begin"/>
      </w:r>
      <w:r w:rsidR="005916B5">
        <w:instrText xml:space="preserve"> ADDIN ZOTERO_ITEM CSL_CITATION {"citationID":"Ucw6Qm29","properties":{"formattedCitation":"(Alexander et al., 1986; Jarbo &amp; Verstynen, 2015; Lima et al., 2016)","plainCitation":"(Alexander et al., 1986; Jarbo &amp; Verstynen, 2015; Lima et al., 2016)","noteIndex":0},"citationItems":[{"id":1453,"uris":["http://zotero.org/users/5009496/items/QD3AIAY7"],"itemData":{"id":1453,"type":"article-journal","container-title":"Annual Review of Neuroscience","DOI":"10.1146/annurev.ne.09.030186.002041","ISSN":"0147-006X, 1545-4126","issue":"1","journalAbbreviation":"Annu. Rev. Neurosci.","language":"en","page":"357-381","source":"DOI.org (Crossref)","title":"Parallel Organization of Functionally Segregated Circuits Linking Basal Ganglia and Cortex","URL":"https://www.annualreviews.org/doi/10.1146/annurev.ne.09.030186.002041","volume":"9","author":[{"family":"Alexander","given":"G E"},{"family":"DeLong","given":"M R"},{"family":"Strick","given":"P L"}],"accessed":{"date-parts":[["2022",3,10]]},"issued":{"date-parts":[["1986",3]]}}},{"id":1450,"uris":["http://zotero.org/users/5009496/items/T8K3A3CC"],"itemData":{"id":1450,"type":"article-journal","abstract":"Modification of spatial attention via reinforcement learning () requires the integration of reward, attention, and executive processes. Corticostriatal pathways are an ideal neural substrate for this integration because these projections exhibit a globally parallel (), but locally overlapping (), topographical organization. Here we explore whether there are unique striatal regions that exhibit convergent anatomical connections from orbitofrontal cortex, dorsolateral prefrontal cortex, and posterior parietal cortex. Deterministic fiber tractography on diffusion spectrum imaging data from neurologically healthy adults (N = 60) was used to map frontostriatal and parietostriatal projections. In general, projections from cortex were organized according to both a medial–lateral and a rostral–caudal gradient along the striatal nuclei. Within rostral aspects of the striatum, we identified two bilateral convergence zones (one in the caudate nucleus and another in the putamen) that consisted of voxels with unique projections from orbitofrontal cortex, dorsolateral prefrontal cortex, and parietal regions. The distributed cortical connectivity of these striatal convergence zones was confirmed with follow-up functional connectivity analysis from resting state fMRI data, in which a high percentage of structurally connected voxels also showed significant functional connectivity. The specificity of this convergent architecture to these regions of the rostral striatum was validated against control analysis of connectivity within the motor putamen. These results delineate a neurologically plausible network of converging corticostriatal projections that may support the integration of reward, executive control, and spatial attention that occurs during spatial reinforcement learning.","container-title":"The Journal of Neuroscience","DOI":"10.1523/JNEUROSCI.2636-14.2015","ISSN":"0270-6474","issue":"9","journalAbbreviation":"J Neurosci","note":"PMID: 25740516\nPMCID: PMC4461697","page":"3865-3878","source":"PubMed Central","title":"Converging Structural and Functional Connectivity of Orbitofrontal, Dorsolateral Prefrontal, and Posterior Parietal Cortex in the Human Striatum","URL":"https://www.ncbi.nlm.nih.gov/pmc/articles/PMC4461697/","volume":"35","author":[{"family":"Jarbo","given":"Kevin"},{"family":"Verstynen","given":"Timothy D."}],"accessed":{"date-parts":[["2022",3,10]]},"issued":{"date-parts":[["2015",3,4]]}}},{"id":1637,"uris":["http://zotero.org/users/5009496/items/Y978TG9D"],"itemData":{"id":1637,"type":"article-journal","container-title":"Trends in Neurosciences","DOI":"10.1016/j.tins.2016.06.003","ISSN":"01662236","issue":"8","journalAbbreviation":"Trends in Neurosciences","language":"en","page":"527-542","source":"DOI.org (Crossref)","title":"Roles of Supplementary Motor Areas in Auditory Processing and Auditory Imagery","URL":"https://linkinghub.elsevier.com/retrieve/pii/S0166223616300546","volume":"39","author":[{"family":"Lima","given":"César F."},{"family":"Krishnan","given":"Saloni"},{"family":"Scott","given":"Sophie K."}],"accessed":{"date-parts":[["2022",5,10]]},"issued":{"date-parts":[["2016",8]]}}}],"schema":"https://github.com/citation-style-language/schema/raw/master/csl-citation.json"} </w:instrText>
      </w:r>
      <w:r w:rsidR="00ED5ABB">
        <w:fldChar w:fldCharType="separate"/>
      </w:r>
      <w:r w:rsidR="005916B5">
        <w:rPr>
          <w:noProof/>
        </w:rPr>
        <w:t>(Alexander et al., 1986; Jarbo &amp; Verstynen, 2015; Lima et al., 2016)</w:t>
      </w:r>
      <w:r w:rsidR="00ED5ABB">
        <w:fldChar w:fldCharType="end"/>
      </w:r>
      <w:r w:rsidR="00ED5ABB">
        <w:t xml:space="preserve">. </w:t>
      </w:r>
      <w:r w:rsidR="00297D0C">
        <w:t xml:space="preserve">The importance of the dorsal striatum for speech and language was first highlighted by work on the KE family, who have a point mutation in the </w:t>
      </w:r>
      <w:r w:rsidR="00297D0C" w:rsidRPr="00AF41A0">
        <w:rPr>
          <w:i/>
          <w:iCs/>
        </w:rPr>
        <w:t>FOXP2</w:t>
      </w:r>
      <w:r w:rsidR="00297D0C">
        <w:t xml:space="preserve"> gene and a behavioural profile similar to DLD</w:t>
      </w:r>
      <w:r w:rsidR="00995C1F">
        <w:t xml:space="preserve"> </w:t>
      </w:r>
      <w:r w:rsidR="00995C1F">
        <w:fldChar w:fldCharType="begin"/>
      </w:r>
      <w:r w:rsidR="00995C1F">
        <w:instrText xml:space="preserve"> ADDIN ZOTERO_ITEM CSL_CITATION {"citationID":"lrmLRkgo","properties":{"formattedCitation":"(Watkins, Dronkers, et al., 2002)","plainCitation":"(Watkins, Dronkers, et al., 2002)","noteIndex":0},"citationItems":[{"id":105,"uris":["http://zotero.org/users/5009496/items/KQISFFLF"],"itemData":{"id":105,"type":"article-journal","abstract":"Abstract.  Genetic speech and language disorders provide the opportunity to investigate the biological bases of language and its development. Critical to these","container-title":"Brain","DOI":"10.1093/brain/awf058","ISSN":"0006-8950","issue":"3","journalAbbreviation":"Brain","language":"en","page":"452-464","source":"academic.oup.com","title":"Behavioural analysis of an inherited speech and language disorder: comparison with acquired aphasia","title-short":"Behavioural analysis of an inherited speech and language disorder","URL":"https://academic.oup.com/brain/article/125/3/452/519113","volume":"125","author":[{"family":"Watkins","given":"K. E."},{"family":"Dronkers","given":"N. F."},{"family":"Vargha‐Khadem","given":"F."}],"accessed":{"date-parts":[["2018",7,3]]},"issued":{"date-parts":[["2002",3,1]]}}}],"schema":"https://github.com/citation-style-language/schema/raw/master/csl-citation.json"} </w:instrText>
      </w:r>
      <w:r w:rsidR="00995C1F">
        <w:fldChar w:fldCharType="separate"/>
      </w:r>
      <w:r w:rsidR="00995C1F">
        <w:rPr>
          <w:noProof/>
        </w:rPr>
        <w:t>(Watkins, Dronkers, et al., 2002)</w:t>
      </w:r>
      <w:r w:rsidR="00995C1F">
        <w:fldChar w:fldCharType="end"/>
      </w:r>
      <w:r w:rsidR="00297D0C">
        <w:t>, as well as childhood apraxia of speech. Morphometric studies revealed that affected members</w:t>
      </w:r>
      <w:r w:rsidR="006B389D">
        <w:t xml:space="preserve"> of the KE family</w:t>
      </w:r>
      <w:r w:rsidR="00297D0C">
        <w:t xml:space="preserve"> had reduced grey matter in </w:t>
      </w:r>
      <w:r w:rsidR="003806CB">
        <w:t xml:space="preserve">regions not typically associated with language processing such as </w:t>
      </w:r>
      <w:r w:rsidR="00297D0C">
        <w:t xml:space="preserve">the head of the caudate nucleus, </w:t>
      </w:r>
      <w:r w:rsidR="00297D0C" w:rsidRPr="00D2295B">
        <w:t>areas within the sensorimotor cortex, the posterior inferior temporal cortex and the posterior lobe of the cerebellum</w:t>
      </w:r>
      <w:r w:rsidR="00297D0C">
        <w:t xml:space="preserve">, and increased grey matter in the putamen </w:t>
      </w:r>
      <w:r w:rsidR="00297D0C">
        <w:fldChar w:fldCharType="begin"/>
      </w:r>
      <w:r w:rsidR="00995C1F">
        <w:instrText xml:space="preserve"> ADDIN ZOTERO_ITEM CSL_CITATION {"citationID":"kLxR7BM9","properties":{"formattedCitation":"(Argyropoulos et al., 2019; Belton et al., 2003; Watkins, Vargha\\uc0\\u8208{}Khadem, et al., 2002)","plainCitation":"(Argyropoulos et al., 2019; Belton et al., 2003; Watkins, Vargha‐Khadem, et al., 2002)","noteIndex":0},"citationItems":[{"id":1279,"uris":["http://zotero.org/users/5009496/items/XR9D35YW"],"itemData":{"id":1279,"type":"article-journal","abstract":"Bilateral volume reduction in the caudate nucleus has been established as a prominent brain abnormality associated with a FOXP2 mutation in affected members of the ‘KE family’, who present with developmental orofacial and verbal dyspraxia in conjunction with pervasive language deficits. Despite the gene’s early and prominent expression in the cerebellum and the evidence for reciprocal cerebellum-basal ganglia connectivity, very little is known about cerebellar abnormalities in affected KE members. Using cerebellum-specific voxel-based morphometry (VBM) and volumetry, we provide converging evidence from subsets of affected KE members scanned at three time points for grey matter (GM) volume reduction bilaterally in neocerebellar lobule VIIa Crus I compared with unaffected members and unrelated controls. We also show that right Crus I volume correlates with left and total caudate nucleus volumes in affected KE members, and that right and total Crus I volumes predict the performance of affected members in non-word repetition and non-verbal orofacial praxis. Crus I also shows bilateral hypo-activation in functional MRI in the affected KE members relative to controls during non-word repetition. The association of Crus I with key aspects of the behavioural phenotype of this FOXP2 point mutation is consistent with recent evidence of cerebellar involvement in complex motor sequencing. For the first time, specific cerebello-basal ganglia loops are implicated in the execution of complex oromotor sequences needed for human speech.","container-title":"The Cerebellum","DOI":"10.1007/s12311-018-0989-3","ISSN":"1473-4230","issue":"3","journalAbbreviation":"Cerebellum","language":"en","page":"309-319","source":"Springer Link","title":"Neocerebellar Crus I Abnormalities Associated with a Speech and Language Disorder Due to a Mutation in FOXP2","URL":"https://doi.org/10.1007/s12311-018-0989-3","volume":"18","author":[{"family":"Argyropoulos","given":"G. P. D."},{"family":"Watkins","given":"K. E."},{"family":"Belton-Pagnamenta","given":"E."},{"family":"Liégeois","given":"F."},{"family":"Saleem","given":"K. S."},{"family":"Mishkin","given":"M."},{"family":"Vargha-Khadem","given":"F."}],"accessed":{"date-parts":[["2021",8,10]]},"issued":{"date-parts":[["2019",6,1]]}}},{"id":1286,"uris":["http://zotero.org/users/5009496/items/K65ZWU75"],"itemData":{"id":1286,"type":"article-journal","container-title":"Human Brain Mapping","DOI":"10.1002/hbm.10093","ISSN":"1065-9471","issue":"3","journalAbbreviation":"Hum Brain Mapp","note":"PMID: 12599277\nPMCID: PMC6872113","page":"194-200","source":"PubMed Central","title":"Bilateral brain abnormalities associated with dominantly inherited verbal and orofacial dyspraxia","URL":"https://www.ncbi.nlm.nih.gov/pmc/articles/PMC6872113/","volume":"18","author":[{"family":"Belton","given":"Emma"},{"family":"Salmond","given":"Claire H."},{"family":"Watkins","given":"Kate E."},{"family":"Vargha‐Khadem","given":"Faraneh"},{"family":"Gadian","given":"David G."}],"accessed":{"date-parts":[["2021",8,10]]},"issued":{"date-parts":[["2003",2,11]]}}},{"id":27,"uris":["http://zotero.org/users/5009496/items/9GQ6JRRQ"],"itemData":{"id":27,"type":"article-journal","abstract":"Abstract.  Analyses of brain structure in genetic speech and language disorders provide an opportunity to identify neurobiological phenotypes and further elucid","container-title":"Brain","DOI":"10.1093/brain/awf057","ISSN":"0006-8950","issue":"3","journalAbbreviation":"Brain","language":"en","page":"465-478","source":"academic.oup.com","title":"MRI analysis of an inherited speech and language disorder: structural brain abnormalities","title-short":"MRI analysis of an inherited speech and language disorder","URL":"https://academic.oup.com/brain/article/125/3/465/519110","volume":"125","author":[{"family":"Watkins","given":"K. E."},{"family":"Vargha‐Khadem","given":"F."},{"family":"Ashburner","given":"J."},{"family":"Passingham","given":"R. E."},{"family":"Connelly","given":"A."},{"family":"Friston","given":"K. J."},{"family":"Frackowiak","given":"R. S. J."},{"family":"Mishkin","given":"M."},{"family":"Gadian","given":"D. G."}],"accessed":{"date-parts":[["2018",7,3]]},"issued":{"date-parts":[["2002",3,1]]}}}],"schema":"https://github.com/citation-style-language/schema/raw/master/csl-citation.json"} </w:instrText>
      </w:r>
      <w:r w:rsidR="00297D0C">
        <w:fldChar w:fldCharType="separate"/>
      </w:r>
      <w:r w:rsidR="00995C1F" w:rsidRPr="00995C1F">
        <w:t>(Argyropoulos et al., 2019; Belton et al., 2003; Watkins, Vargha‐Khadem, et al., 2002)</w:t>
      </w:r>
      <w:r w:rsidR="00297D0C">
        <w:fldChar w:fldCharType="end"/>
      </w:r>
      <w:r w:rsidR="00297D0C">
        <w:t>.</w:t>
      </w:r>
      <w:r w:rsidR="003806CB">
        <w:t xml:space="preserve"> These studies indicate that corticostriatal circuits might have a role in co-ordinating and learning the fine auditory-motor sequencing required for language. </w:t>
      </w:r>
    </w:p>
    <w:p w14:paraId="648EDDB7" w14:textId="6464DBF7" w:rsidR="00CC1284" w:rsidRDefault="00EA1CC8" w:rsidP="00BC0061">
      <w:pPr>
        <w:pStyle w:val="NormalWeb"/>
        <w:spacing w:line="360" w:lineRule="auto"/>
        <w:jc w:val="both"/>
      </w:pPr>
      <w:r>
        <w:t>S</w:t>
      </w:r>
      <w:r w:rsidR="000F44B0">
        <w:t xml:space="preserve">tudies of children with DLD </w:t>
      </w:r>
      <w:r w:rsidR="00E16AA3">
        <w:t xml:space="preserve">analysing </w:t>
      </w:r>
      <w:r w:rsidR="000F44B0">
        <w:t>standard T1-weighted scans have</w:t>
      </w:r>
      <w:r w:rsidR="00F95ADD">
        <w:t xml:space="preserve"> </w:t>
      </w:r>
      <w:r>
        <w:t xml:space="preserve">also </w:t>
      </w:r>
      <w:r w:rsidR="000952EB">
        <w:t xml:space="preserve">indicated </w:t>
      </w:r>
      <w:r w:rsidR="0059540D">
        <w:t>reductions</w:t>
      </w:r>
      <w:r w:rsidR="000F44B0">
        <w:t xml:space="preserve"> in the size of the </w:t>
      </w:r>
      <w:r w:rsidR="00724A4D">
        <w:t xml:space="preserve">caudate </w:t>
      </w:r>
      <w:r w:rsidR="00517A92">
        <w:t>nucleus</w:t>
      </w:r>
      <w:r w:rsidR="0059540D">
        <w:t xml:space="preserve"> </w:t>
      </w:r>
      <w:r w:rsidR="0059540D">
        <w:fldChar w:fldCharType="begin"/>
      </w:r>
      <w:r w:rsidR="00ED5ABB">
        <w:instrText xml:space="preserve"> ADDIN ZOTERO_ITEM CSL_CITATION {"citationID":"7GPzbwE9","properties":{"formattedCitation":"(Badcock et al., 2012; Herbert et al., 2003; Jernigan et al., 1991)","plainCitation":"(Badcock et al., 2012; Herbert et al., 2003; Jernigan et al., 1991)","noteIndex":0},"citationItems":[{"id":112,"uris":["http://zotero.org/users/5009496/items/QFZKQJX9"],"itemData":{"id":112,"type":"article-journal","abstract":"We assessed the relationship between brain structure and function in 10 individuals with specific language impairment (SLI), compared to six unaffected siblings, and 16 unrelated control participants with typical language. Voxel-based morphometry indicated that grey matter in the SLI group, relative to controls, was increased in the left inferior frontal cortex and decreased in the right caudate nucleus and superior temporal cortex bilaterally. The unaffected siblings also showed reduced grey matter in the caudate nucleus relative to controls. In an auditory covert naming task, the SLI group showed reduced activation in the left inferior frontal cortex, right putamen, and in the superior temporal cortex bilaterally. Despite spatially coincident structural and functional abnormalities in frontal and temporal areas, the relationships between structure and function in these regions were different. These findings suggest multiple structural and functional abnormalities in SLI that are differently associated with receptive and expressive language processing.","container-title":"Brain and Language","DOI":"10.1016/j.bandl.2011.10.006","ISSN":"1090-2155","issue":"3","journalAbbreviation":"Brain Lang","language":"eng","note":"PMID: 22137677\nPMCID: PMC3315677","page":"310-320","source":"PubMed","title":"Co-localisation of abnormal brain structure and function in specific language impairment","volume":"120","author":[{"family":"Badcock","given":"Nicholas A."},{"family":"Bishop","given":"Dorothy V. M."},{"family":"Hardiman","given":"Mervyn J."},{"family":"Barry","given":"Johanna G."},{"family":"Watkins","given":"Kate E."}],"issued":{"date-parts":[["2012",3]]}}},{"id":1257,"uris":["http://zotero.org/users/5009496/items/J3DFWBIC"],"itemData":{"id":1257,"type":"article-journal","container-title":"Developmental Science","DOI":"10.1111/1467-7687.00291","ISSN":"1363-755X, 1467-7687","issue":"4","journalAbbreviation":"Developmental Sci","language":"en","page":"F11-F22","source":"DOI.org (Crossref)","title":"Larger brain and white matter volumes in children with developmental language disorder","URL":"https://onlinelibrary.wiley.com/doi/10.1111/1467-7687.00291","volume":"6","author":[{"family":"Herbert","given":"Martha R."},{"family":"Ziegler","given":"David A."},{"family":"Makris","given":"Nikos"},{"family":"Bakardjiev","given":"Anna"},{"family":"Hodgson","given":"James"},{"family":"Adrien","given":"Kristen T."},{"family":"Kennedy","given":"David N."},{"family":"Filipek","given":"Pauline A."},{"family":"Caviness","given":"Verne S."}],"accessed":{"date-parts":[["2021",7,28]]},"issued":{"date-parts":[["2003",9]]}}},{"id":115,"uris":["http://zotero.org/users/5009496/items/DW7I7FMR"],"itemData":{"id":115,"type":"article-journal","abstract":"Using magnetic resonance imaging 20 language- and learning-impaired children were compared with 12 normal control subjects. Gross brain structure was remarkably normal in the language- and learning-impaired group. Semiautomated morphometry was used to measure hemispheric volumes and cerebral asymmetries in six cerebral regions. The volume of the left posterior perisylvian region was significantly reduced in language- and learning-impaired children. Asymmetries in inferoanterior and superoposterior cerebral regions were also significantly different in this group. Results of descriptive group comparisons of estimated volumes of other cerebral gray-matter structures raise the possibility that some language- and learning-impaired children may have additional volume reductions in cortical and subcortical structures. The results suggest that hemispheric specialization of function may be anomalous in this population.","container-title":"Archives of Neurology","ISSN":"0003-9942","issue":"5","journalAbbreviation":"Arch. Neurol.","language":"eng","note":"PMID: 2021369","page":"539-545","source":"PubMed","title":"Cerebral structure on magnetic resonance imaging in language- and learning-impaired children","volume":"48","author":[{"family":"Jernigan","given":"T. L."},{"family":"Hesselink","given":"J. R."},{"family":"Sowell","given":"E."},{"family":"Tallal","given":"P. A."}],"issued":{"date-parts":[["1991",5]]}}}],"schema":"https://github.com/citation-style-language/schema/raw/master/csl-citation.json"} </w:instrText>
      </w:r>
      <w:r w:rsidR="0059540D">
        <w:fldChar w:fldCharType="separate"/>
      </w:r>
      <w:r w:rsidR="0070191A">
        <w:t>(Badcock et al., 2012; Herbert et al., 2003; Jernigan et al., 1991)</w:t>
      </w:r>
      <w:r w:rsidR="0059540D">
        <w:fldChar w:fldCharType="end"/>
      </w:r>
      <w:r w:rsidR="000F44B0">
        <w:t xml:space="preserve">. </w:t>
      </w:r>
      <w:r w:rsidR="00D33EB6">
        <w:t>O</w:t>
      </w:r>
      <w:r w:rsidR="00D2295B">
        <w:t xml:space="preserve">ther studies do not wholly support </w:t>
      </w:r>
      <w:r w:rsidR="00D33EB6">
        <w:t>the</w:t>
      </w:r>
      <w:r w:rsidR="00D2295B">
        <w:t xml:space="preserve"> </w:t>
      </w:r>
      <w:r w:rsidR="008725C1">
        <w:t>view</w:t>
      </w:r>
      <w:r w:rsidR="00D33EB6">
        <w:t xml:space="preserve"> that the volume of the caudate nuclei is reduced </w:t>
      </w:r>
      <w:r w:rsidR="006A69B5">
        <w:t xml:space="preserve">in DLD </w:t>
      </w:r>
      <w:r w:rsidR="00D33EB6">
        <w:t>but do indicate that there is some abnormality</w:t>
      </w:r>
      <w:r w:rsidR="00CC1284">
        <w:t xml:space="preserve">. </w:t>
      </w:r>
      <w:r w:rsidR="0089625E">
        <w:t>Lee and colleagues</w:t>
      </w:r>
      <w:r w:rsidR="00530E59">
        <w:t xml:space="preserve"> </w:t>
      </w:r>
      <w:r w:rsidR="00530E59">
        <w:fldChar w:fldCharType="begin"/>
      </w:r>
      <w:r w:rsidR="00ED5ABB">
        <w:instrText xml:space="preserve"> ADDIN ZOTERO_ITEM CSL_CITATION {"citationID":"yxE6JrCs","properties":{"formattedCitation":"(2013)","plainCitation":"(2013)","noteIndex":0},"citationItems":[{"id":26,"uris":["http://zotero.org/users/5009496/items/J6DJUIP6"],"itemData":{"id":26,"type":"article-journal","abstract":"Developmental Language Impairment (DLI) is a neurodevelopmental disorder affecting 12% to 14% of the school-age children in the United States. While substantial studies have shown a wide range of linguistic and non-linguistic difficulty in individuals with DLI, very little is known about the neuroanatomical mechanisms underlying this disorder. In the current study, we examined the subcortical components of the corticostriatal system in young adults with DLI, including the caudate nucleus, the putamen, the nucleus accumbens, the globus pallidus, and the thalamus. Additionally, the four cerebral lobes and the hippocampus were also comprised for an exploratory analysis. We used conventional magnetic resonance imaging (MRI) to measure regional brain volumes, as well as diffusion tensor imaging (DTI) to assess water diffusion anisotropy as quantified by fractional anisotropy (FA). Two groups of participants, one with DLI (n=12) and the other without (n=12), were recruited from a prior behavioral study, and all were matched on age, gender, and handedness. Volumetric analyses revealed region-specific abnormalities in individuals with DLI, showing pathological enlargement bilaterally in the putamen and the nucleus accumbens, and unilaterally in the right globus pallidus after the intracranial volumes were controlled. Regarding the DTI findings, the DLI group showed decreased FA values in the globus pallidus and the thalamus but these significant differences disappeared after controlling for the whole-brain FA value, indicating that microstructural abnormality is diffuse and affects other regions of the brain. Taken together, these results suggest region-specific corticostriatal abnormalities in DLI at the macrostructural level, but corticostriatal abnormalities at the microstructural level may be a part of a diffuse pattern of brain development. Future work is suggested to investigate the relationship between corticostriatal connectivity and individual differences in language development.","container-title":"Neuropsychologia","DOI":"10.1016/j.neuropsychologia.2013.07.011","ISSN":"0028-3932","issue":"11","journalAbbreviation":"Neuropsychologia","page":"2154-2161","source":"ScienceDirect","title":"Abnormal subcortical components of the corticostriatal system in young adults with DLI: A combined structural MRI and DTI study","title-short":"Abnormal subcortical components of the corticostriatal system in young adults with DLI","URL":"http://www.sciencedirect.com/science/article/pii/S002839321300239X","volume":"51","author":[{"family":"Lee","given":"Joanna C."},{"family":"Nopoulos","given":"Peggy C."},{"family":"Bruce Tomblin","given":"J."}],"accessed":{"date-parts":[["2018",7,3]]},"issued":{"date-parts":[["2013",9,1]]}},"suppress-author":true}],"schema":"https://github.com/citation-style-language/schema/raw/master/csl-citation.json"} </w:instrText>
      </w:r>
      <w:r w:rsidR="00530E59">
        <w:fldChar w:fldCharType="separate"/>
      </w:r>
      <w:r w:rsidR="00530E59">
        <w:t>(2013)</w:t>
      </w:r>
      <w:r w:rsidR="00530E59">
        <w:fldChar w:fldCharType="end"/>
      </w:r>
      <w:r w:rsidR="0089625E">
        <w:t xml:space="preserve"> found </w:t>
      </w:r>
      <w:r w:rsidR="00A87444">
        <w:t>reduced absolute volumes in the caudate nucleus and thalamus</w:t>
      </w:r>
      <w:r w:rsidR="00CC1284">
        <w:t xml:space="preserve"> in individuals with DLD</w:t>
      </w:r>
      <w:r w:rsidR="00995C1F">
        <w:t>.</w:t>
      </w:r>
      <w:r w:rsidR="00F1649D">
        <w:t xml:space="preserve"> </w:t>
      </w:r>
      <w:r w:rsidR="00995C1F">
        <w:t>T</w:t>
      </w:r>
      <w:r w:rsidR="00F1649D">
        <w:t>hese relationships did not survive</w:t>
      </w:r>
      <w:r w:rsidR="00A87444">
        <w:t xml:space="preserve"> correcting for total intracranial volum</w:t>
      </w:r>
      <w:r w:rsidR="00F1649D">
        <w:t>e</w:t>
      </w:r>
      <w:r w:rsidR="00995C1F">
        <w:t xml:space="preserve">, which was significantly reduced in </w:t>
      </w:r>
      <w:r w:rsidR="005916B5">
        <w:t xml:space="preserve">their </w:t>
      </w:r>
      <w:r w:rsidR="007624DF">
        <w:t>DLD participants</w:t>
      </w:r>
      <w:r w:rsidR="00F1649D">
        <w:t xml:space="preserve">. </w:t>
      </w:r>
      <w:r w:rsidR="003B21FC">
        <w:t>The authors also observed</w:t>
      </w:r>
      <w:r w:rsidR="00A87444">
        <w:t xml:space="preserve"> negative relationships between language proficiency and the </w:t>
      </w:r>
      <w:r w:rsidR="00F1649D">
        <w:t xml:space="preserve">relative </w:t>
      </w:r>
      <w:r w:rsidR="00A87444">
        <w:t xml:space="preserve">volume of </w:t>
      </w:r>
      <w:r w:rsidR="00F1649D">
        <w:t>subcortical structures such as the</w:t>
      </w:r>
      <w:r w:rsidR="00A87444">
        <w:t xml:space="preserve"> nucleus accumbens, globus pallidus, putamen and hippocampus.</w:t>
      </w:r>
      <w:r w:rsidR="0089625E">
        <w:t xml:space="preserve"> </w:t>
      </w:r>
      <w:r w:rsidR="00BD58C0">
        <w:t>Other</w:t>
      </w:r>
      <w:r w:rsidR="000077DD">
        <w:t>s</w:t>
      </w:r>
      <w:r w:rsidR="00BD58C0">
        <w:t xml:space="preserve"> have suggested that v</w:t>
      </w:r>
      <w:r w:rsidR="000244EE">
        <w:t xml:space="preserve">olumetric </w:t>
      </w:r>
      <w:r w:rsidR="00D8056E">
        <w:t>differences</w:t>
      </w:r>
      <w:r w:rsidR="000244EE">
        <w:t xml:space="preserve"> in the caudate nuclei</w:t>
      </w:r>
      <w:r w:rsidR="00D8056E">
        <w:t xml:space="preserve"> </w:t>
      </w:r>
      <w:r w:rsidR="00BD58C0">
        <w:t>are</w:t>
      </w:r>
      <w:r w:rsidR="00D8056E">
        <w:t xml:space="preserve"> modulated </w:t>
      </w:r>
      <w:r w:rsidR="007717D1">
        <w:t>by</w:t>
      </w:r>
      <w:r w:rsidR="00D8056E">
        <w:t xml:space="preserve"> age</w:t>
      </w:r>
      <w:r w:rsidR="00CC1284">
        <w:t>, with</w:t>
      </w:r>
      <w:r w:rsidR="00363E54">
        <w:t xml:space="preserve"> only</w:t>
      </w:r>
      <w:r w:rsidR="00CC1284">
        <w:t xml:space="preserve"> </w:t>
      </w:r>
      <w:r w:rsidR="007717D1">
        <w:t xml:space="preserve">younger children showing </w:t>
      </w:r>
      <w:r w:rsidR="00BD58C0">
        <w:t>differences in volume</w:t>
      </w:r>
      <w:r w:rsidR="00A87444">
        <w:t xml:space="preserve"> </w:t>
      </w:r>
      <w:r w:rsidR="00A87444">
        <w:fldChar w:fldCharType="begin"/>
      </w:r>
      <w:r w:rsidR="00ED5ABB">
        <w:instrText xml:space="preserve"> ADDIN ZOTERO_ITEM CSL_CITATION {"citationID":"GtGwgxCT","properties":{"formattedCitation":"(Soriano\\uc0\\u8208{}Mas et al., 2009)","plainCitation":"(Soriano‐Mas et al., 2009)","noteIndex":0},"citationItems":[{"id":1152,"uris":["http://zotero.org/users/5009496/items/ZRVM8WUH"],"itemData":{"id":1152,"type":"article-journal","abstract":"Previous neuroimaging studies have suggested that children with specific language impairment (SLI) may show subtle anatomical alterations in specific brain regions. We aimed to characterize structural abnormalities in children with SLI using a voxel-wise analysis over the whole brain. Subjects covered a wide age range (5–17 years) in order to assess the dynamic nature of the disorder across childhood. Three-dimensional MRIs were collected from 36 children with SLI and from a comparable group of healthy controls. Global gray and white matter measurements were obtained for each subject, and voxel-based morphometry (VBM) was used to evaluate between-group differences in regional brain anatomy. Possible age-related changes were assessed in separate analyses of younger (below 11 years of age) and older children. SLI patients showed larger global gray and white matter volumes, particularly in the younger subgroup. Voxel-wise analyses of the whole sample showed two regions of increased gray matter volume in SLI: the right perisylvian region and the occipital petalia. Age-group analyses suggested a more extended pattern of volume increases in the younger subjects, which included entorhinal, temporopolar, caudate nucleus, motor-precentral and precuneus gray matter, and white matter of the frontal and temporal lobes. Our results suggest that in the SLI brain there are enduring anatomical alterations that exist across a wide age range, as well as a distributed pattern of abnormalities that appear to normalize with development. They also suggest that the neuroanatomical basis of SLI may be better characterized by considering the dynamic course of the disorder throughout childhood. Hum Brain Mapp 2009. © 2008 Wiley-Liss, Inc.","container-title":"Human Brain Mapping","DOI":"https://doi.org/10.1002/hbm.20620","ISSN":"1097-0193","issue":"5","language":"en","note":"_eprint: https://onlinelibrary.wiley.com/doi/pdf/10.1002/hbm.20620","page":"1626-1636","source":"Wiley Online Library","title":"Age-related brain structural alterations in children with specific language impairment","URL":"https://onlinelibrary.wiley.com/doi/abs/10.1002/hbm.20620","volume":"30","author":[{"family":"Soriano‐Mas","given":"Carles"},{"family":"Pujol","given":"Jesús"},{"family":"Ortiz","given":"Héctor"},{"family":"Deus","given":"Joan"},{"family":"López‐Sala","given":"Anna"},{"family":"Sans","given":"Anna"}],"accessed":{"date-parts":[["2020",12,9]]},"issued":{"date-parts":[["2009"]]}}}],"schema":"https://github.com/citation-style-language/schema/raw/master/csl-citation.json"} </w:instrText>
      </w:r>
      <w:r w:rsidR="00A87444">
        <w:fldChar w:fldCharType="separate"/>
      </w:r>
      <w:r w:rsidR="00A87444" w:rsidRPr="00A87444">
        <w:t>(Soriano‐Mas et al., 2009)</w:t>
      </w:r>
      <w:r w:rsidR="00A87444">
        <w:fldChar w:fldCharType="end"/>
      </w:r>
      <w:r w:rsidR="00D8056E">
        <w:t>.</w:t>
      </w:r>
      <w:r w:rsidR="000E66C4">
        <w:t xml:space="preserve"> Finally, some more recent studies suggest that children with DLD have greater </w:t>
      </w:r>
      <w:r w:rsidR="00164B8A">
        <w:t>grey</w:t>
      </w:r>
      <w:r w:rsidR="000E66C4">
        <w:t xml:space="preserve"> matter in the right cerebellum </w:t>
      </w:r>
      <w:r w:rsidR="000E66C4">
        <w:fldChar w:fldCharType="begin"/>
      </w:r>
      <w:r w:rsidR="00ED5ABB">
        <w:instrText xml:space="preserve"> ADDIN ZOTERO_ITEM CSL_CITATION {"citationID":"GsqfkzHx","properties":{"formattedCitation":"(Pigdon et al., 2019)","plainCitation":"(Pigdon et al., 2019)","noteIndex":0},"citationItems":[{"id":1163,"uris":["http://zotero.org/users/5009496/items/ENPTZMNE"],"itemData":{"id":1163,"type":"article-journal","abstract":"Developmental language disorder (DLD) and developmental speech disorder (DSD) are common, yet their etiologies are not well understood. Atypical volume of the inferior and posterior language regions and striatum have been reported in DLD; however, variability in both methodology and study findings limits interpretations. Imaging research within DSD, on the other hand, is scarce. The present study compared grey matter volume in children with DLD, DSD, and typically developing speech and language. Compared to typically developing controls, children with DLD had larger volume in the right cerebellum, possibly associated with the procedural learning deficits that have been proposed in DLD. Children with DSD showed larger volume in the left inferior occipital lobe compared to controls, which may indicate a compensatory role of the visual processing regions due to sub-optimal auditory-perceptual processes. Overall, these findings suggest that different neural systems may be involved in the specific deficits related to DLD and DSD.","container-title":"Brain Structure &amp; Function","DOI":"10.1007/s00429-019-01978-7","ISSN":"1863-2661","issue":"9","journalAbbreviation":"Brain Struct Funct","language":"eng","note":"PMID: 31732792","page":"3387-3398","source":"PubMed","title":"Grey matter volume in developmental speech and language disorder","volume":"224","author":[{"family":"Pigdon","given":"Lauren"},{"family":"Willmott","given":"Catherine"},{"family":"Reilly","given":"Sheena"},{"family":"Conti-Ramsden","given":"Gina"},{"family":"Gaser","given":"Christian"},{"family":"Connelly","given":"Alan"},{"family":"Morgan","given":"Angela T."}],"issued":{"date-parts":[["2019",12]]}}}],"schema":"https://github.com/citation-style-language/schema/raw/master/csl-citation.json"} </w:instrText>
      </w:r>
      <w:r w:rsidR="000E66C4">
        <w:fldChar w:fldCharType="separate"/>
      </w:r>
      <w:r w:rsidR="000E66C4">
        <w:rPr>
          <w:noProof/>
        </w:rPr>
        <w:t>(Pigdon et al., 2019)</w:t>
      </w:r>
      <w:r w:rsidR="000E66C4">
        <w:fldChar w:fldCharType="end"/>
      </w:r>
      <w:r w:rsidR="000E66C4">
        <w:t>.</w:t>
      </w:r>
      <w:r w:rsidR="00D8056E">
        <w:t xml:space="preserve"> </w:t>
      </w:r>
      <w:r w:rsidR="00724A4D">
        <w:t xml:space="preserve">The interpretation of </w:t>
      </w:r>
      <w:r w:rsidR="00D33EB6">
        <w:t>both</w:t>
      </w:r>
      <w:r w:rsidR="00363E54">
        <w:t xml:space="preserve"> </w:t>
      </w:r>
      <w:r w:rsidR="000952EB">
        <w:t xml:space="preserve">cortical and subcortical </w:t>
      </w:r>
      <w:r w:rsidR="00724A4D">
        <w:t xml:space="preserve">findings is complicated by </w:t>
      </w:r>
      <w:r w:rsidR="00517A92">
        <w:t xml:space="preserve">the </w:t>
      </w:r>
      <w:r w:rsidR="00724A4D">
        <w:t xml:space="preserve">heterogeneity of the </w:t>
      </w:r>
      <w:r w:rsidR="00517A92">
        <w:t xml:space="preserve">DLD </w:t>
      </w:r>
      <w:r w:rsidR="000244EE">
        <w:t xml:space="preserve">populations </w:t>
      </w:r>
      <w:r w:rsidR="00363E54">
        <w:t xml:space="preserve">sampled, </w:t>
      </w:r>
      <w:r w:rsidR="00724A4D">
        <w:t>and the small sample sizes</w:t>
      </w:r>
      <w:r w:rsidR="00517A92">
        <w:t xml:space="preserve"> </w:t>
      </w:r>
      <w:r w:rsidR="006A69B5">
        <w:lastRenderedPageBreak/>
        <w:t>investigated</w:t>
      </w:r>
      <w:r w:rsidR="00724A4D">
        <w:t xml:space="preserve">. However, </w:t>
      </w:r>
      <w:r w:rsidR="00363E54">
        <w:t>another</w:t>
      </w:r>
      <w:r w:rsidR="00724A4D">
        <w:t xml:space="preserve"> factor that may also contribute to this</w:t>
      </w:r>
      <w:r w:rsidR="00517A92">
        <w:t xml:space="preserve"> </w:t>
      </w:r>
      <w:r w:rsidR="008971AD">
        <w:t>lack of clarity</w:t>
      </w:r>
      <w:r w:rsidR="00724A4D">
        <w:t xml:space="preserve"> is</w:t>
      </w:r>
      <w:r w:rsidR="00517A92">
        <w:t xml:space="preserve"> </w:t>
      </w:r>
      <w:r w:rsidR="00724A4D">
        <w:t>the nature of the scans acquired.</w:t>
      </w:r>
      <w:r w:rsidR="00C842AC">
        <w:t xml:space="preserve"> </w:t>
      </w:r>
    </w:p>
    <w:p w14:paraId="0676393C" w14:textId="4F35D975" w:rsidR="000C203E" w:rsidRDefault="00FF2F7F" w:rsidP="009B6C8D">
      <w:pPr>
        <w:spacing w:line="360" w:lineRule="auto"/>
        <w:jc w:val="both"/>
      </w:pPr>
      <w:r>
        <w:t>S</w:t>
      </w:r>
      <w:r w:rsidR="001240D9">
        <w:t xml:space="preserve">tandard structural imaging protocols such as T1-weighted scans reflect a complex mix of tissue properties, </w:t>
      </w:r>
      <w:r w:rsidR="009B26AF">
        <w:t>or in other words</w:t>
      </w:r>
      <w:r w:rsidR="001240D9">
        <w:t>, the contrast between</w:t>
      </w:r>
      <w:r w:rsidR="00C01E33">
        <w:t xml:space="preserve"> grey and white matter reflects a combination of histological properties such as iron content, myelin, cell density and water.</w:t>
      </w:r>
      <w:r w:rsidR="0089625E">
        <w:t xml:space="preserve"> </w:t>
      </w:r>
      <w:r w:rsidR="006D7AB4">
        <w:t>Importantly,</w:t>
      </w:r>
      <w:r w:rsidR="0059540D">
        <w:t xml:space="preserve"> these microstructural properties yield regionally</w:t>
      </w:r>
      <w:r>
        <w:t>-</w:t>
      </w:r>
      <w:r w:rsidR="0059540D">
        <w:t>specific contributions to</w:t>
      </w:r>
      <w:r>
        <w:t xml:space="preserve"> commonly used structural markers such as </w:t>
      </w:r>
      <w:r w:rsidR="00B34858">
        <w:t>grey</w:t>
      </w:r>
      <w:r>
        <w:t xml:space="preserve"> ma</w:t>
      </w:r>
      <w:r w:rsidR="00C842AC">
        <w:t>t</w:t>
      </w:r>
      <w:r>
        <w:t>ter volume or cortical thickness,</w:t>
      </w:r>
      <w:r w:rsidR="0059540D">
        <w:t xml:space="preserve"> </w:t>
      </w:r>
      <w:r>
        <w:t>which complicate the interpretation of these markers</w:t>
      </w:r>
      <w:r w:rsidR="00517A92">
        <w:t xml:space="preserve"> </w:t>
      </w:r>
      <w:r w:rsidR="00517A92">
        <w:fldChar w:fldCharType="begin"/>
      </w:r>
      <w:r w:rsidR="00ED5ABB">
        <w:instrText xml:space="preserve"> ADDIN ZOTERO_ITEM CSL_CITATION {"citationID":"TuU2hq9h","properties":{"formattedCitation":"(Lorio et al., 2014, 2016)","plainCitation":"(Lorio et al., 2014, 2016)","noteIndex":0},"citationItems":[{"id":1130,"uris":["http://zotero.org/users/5009496/items/KDIBR797"],"itemData":{"id":1130,"type":"article-journal","container-title":"NeuroImage","DOI":"10.1016/j.neuroimage.2014.09.044","ISSN":"10538119","language":"en","page":"280-289","source":"Crossref","title":"Disentangling in vivo the effects of iron content and atrophy on the ageing human brain","URL":"https://linkinghub.elsevier.com/retrieve/pii/S1053811914007861","volume":"103","author":[{"family":"Lorio","given":"S."},{"family":"Lutti","given":"A."},{"family":"Kherif","given":"F."},{"family":"Ruef","given":"A."},{"family":"Dukart","given":"J."},{"family":"Chowdhury","given":"R."},{"family":"Frackowiak","given":"R.S."},{"family":"Ashburner","given":"J."},{"family":"Helms","given":"G."},{"family":"Weiskopf","given":"N."},{"family":"Draganski","given":"B."}],"accessed":{"date-parts":[["2020",11,24]]},"issued":{"date-parts":[["2014",12]]}}},{"id":1125,"uris":["http://zotero.org/users/5009496/items/I874IJXL"],"itemData":{"id":1125,"type":"article-journal","abstract":"The high gray-white matter contrast and spatial resolution provided by T1-weighted magnetic resonance imaging (MRI) has made it a widely used imaging protocol for computational anatomy studies of the brain. While the image intensity in T1-weighted images is predominantly driven by T1, other MRI parameters affect the image contrast, and hence brain morphological measures derived from the data. Because MRI parameters are correlates of different histological properties of brain tissue, this mixed contribution hampers the neurobiological interpretation of morphometry findings, an issue which remains largely ignored in the community. We acquired quantitative maps of the MRI parameters that determine signal intensities in T1-weighted images (R1 (=1/T1), R2*, and PD) in a large cohort of healthy subjects (n = 120, aged 18–87 years). Synthetic T1-weighted images were calculated from these quantitative maps and used to extract morphometry features—gray matter volume and cortical thickness. We observed significant variations in morphometry measures obtained from synthetic images derived from different subsets of MRI parameters. We also detected a modulation of these variations by age. Our findings highlight the impact of microstructural properties of brain tissue—myelination, iron, and water content—on automated measures of brain morphology and show that microstructural tissue changes might lead to the detection of spurious morphological changes in computational anatomy studies. They motivate a review of previous morphological results obtained from standard anatomical MRI images and highlight the value of quantitative MRI data for the inference of microscopic tissue changes in the healthy and diseased brain. Hum Brain Mapp 37:1801–1815, 2016. © 2016 The Authors. Human Brain Mapping Published by Wiley Periodicals, Inc.","container-title":"Human Brain Mapping","DOI":"https://doi.org/10.1002/hbm.23137","ISSN":"1097-0193","issue":"5","language":"en","note":"_eprint: https://onlinelibrary.wiley.com/doi/pdf/10.1002/hbm.23137","page":"1801-1815","source":"Wiley Online Library","title":"Neurobiological origin of spurious brain morphological changes: A quantitative MRI study","title-short":"Neurobiological origin of spurious brain morphological changes","URL":"https://onlinelibrary.wiley.com/doi/abs/10.1002/hbm.23137","volume":"37","author":[{"family":"Lorio","given":"S."},{"family":"Kherif","given":"Ferath"},{"family":"Ruef","given":"Anne"},{"family":"Melie‐Garcia","given":"Lester"},{"family":"Frackowiak","given":"Richard"},{"family":"Ashburner","given":"John"},{"family":"Helms","given":"Gunther"},{"family":"Lutti","given":"Antoine"},{"family":"Draganski","given":"Bodgan"}],"accessed":{"date-parts":[["2020",11,24]]},"issued":{"date-parts":[["2016"]]}}}],"schema":"https://github.com/citation-style-language/schema/raw/master/csl-citation.json"} </w:instrText>
      </w:r>
      <w:r w:rsidR="00517A92">
        <w:fldChar w:fldCharType="separate"/>
      </w:r>
      <w:r w:rsidR="00401EDE">
        <w:rPr>
          <w:noProof/>
        </w:rPr>
        <w:t>(Lorio et al., 2014, 2016)</w:t>
      </w:r>
      <w:r w:rsidR="00517A92">
        <w:fldChar w:fldCharType="end"/>
      </w:r>
      <w:r w:rsidR="0059540D">
        <w:t>.</w:t>
      </w:r>
      <w:r w:rsidR="006D7AB4">
        <w:t xml:space="preserve"> A</w:t>
      </w:r>
      <w:r w:rsidR="0089625E">
        <w:t xml:space="preserve">s </w:t>
      </w:r>
      <w:r w:rsidR="0059540D">
        <w:t>standard T1-weighted imaging</w:t>
      </w:r>
      <w:r w:rsidR="0089625E">
        <w:t xml:space="preserve"> protocols</w:t>
      </w:r>
      <w:r w:rsidR="000F44B0">
        <w:t xml:space="preserve"> are dependent on acquisition parameters that can vary across scanners, they </w:t>
      </w:r>
      <w:r>
        <w:t>are</w:t>
      </w:r>
      <w:r w:rsidR="000F44B0">
        <w:t xml:space="preserve"> </w:t>
      </w:r>
      <w:r w:rsidR="006D7AB4">
        <w:t xml:space="preserve">also </w:t>
      </w:r>
      <w:r w:rsidR="00B34858">
        <w:t xml:space="preserve">often </w:t>
      </w:r>
      <w:r w:rsidR="000F44B0">
        <w:t xml:space="preserve">difficult to replicate across studies. </w:t>
      </w:r>
      <w:r w:rsidR="00B84FF1">
        <w:t xml:space="preserve">More recently, </w:t>
      </w:r>
      <w:r w:rsidR="008507F5">
        <w:t>semi</w:t>
      </w:r>
      <w:r w:rsidR="00B84FF1">
        <w:t>quantitative MRI methods have been used</w:t>
      </w:r>
      <w:r w:rsidR="00DF61BF">
        <w:t xml:space="preserve"> to map specific properties of tissue</w:t>
      </w:r>
      <w:r w:rsidR="002E5994">
        <w:t xml:space="preserve"> </w:t>
      </w:r>
      <w:r w:rsidR="002E5994">
        <w:fldChar w:fldCharType="begin"/>
      </w:r>
      <w:r w:rsidR="00ED5ABB">
        <w:instrText xml:space="preserve"> ADDIN ZOTERO_ITEM CSL_CITATION {"citationID":"zsmKvopy","properties":{"formattedCitation":"(Weiskopf et al., 2021)","plainCitation":"(Weiskopf et al., 2021)","noteIndex":0},"citationItems":[{"id":1239,"uris":["http://zotero.org/users/5009496/items/CIWUCTBW"],"itemData":{"id":1239,"type":"article-journal","abstract":"Quantitative magnetic resonance imaging (qMRI) goes beyond conventional MRI, which aims primarily at local image contrast. It provides specific physical parameters related to the nuclear spin of protons in water, such as relaxation times. These parameters carry information about the local microstructural environment of the protons (such as myelin in the brain). Non-invasive in vivo histology using MRI (hMRI) aims to use this information to directly characterize biological tissue microstructure, partially replacing or complementing classical invasive histology. The understanding of MRI tissue contrast provided by hMRI is, in turn, crucial for further improvements of qMRI, and they should be considered closely interlinked. We discuss concepts, models and validation approaches, pointing out challenges and the latest advances in this field. Further, we point out links to physics, including computational and analytical approaches and developments in materials science and photonics, that aid in reference data acquisition and model validation.","container-title":"Nature Reviews Physics","DOI":"10.1038/s42254-021-00326-1","ISSN":"2522-5820","journalAbbreviation":"Nat Rev Phys","language":"en","note":"Bandiera_abtest: a\nCg_type: Nature Research Journals\nPrimary_atype: Reviews\npublisher: Nature Publishing Group\nSubject_term: Biological physics;Biophysics;Imaging techniques\nSubject_term_id: biological-physics;biophysics;imaging-techniques","page":"1-19","source":"www.nature.com","title":"Quantitative magnetic resonance imaging of brain anatomy and in vivo histology","URL":"https://www.nature.com/articles/s42254-021-00326-1","author":[{"family":"Weiskopf","given":"Nikolaus"},{"family":"Edwards","given":"Luke J."},{"family":"Helms","given":"Gunther"},{"family":"Mohammadi","given":"Siawoosh"},{"family":"Kirilina","given":"Evgeniya"}],"accessed":{"date-parts":[["2021",7,26]]},"issued":{"date-parts":[["2021",6,28]]}}}],"schema":"https://github.com/citation-style-language/schema/raw/master/csl-citation.json"} </w:instrText>
      </w:r>
      <w:r w:rsidR="002E5994">
        <w:fldChar w:fldCharType="separate"/>
      </w:r>
      <w:r w:rsidR="002E5994">
        <w:rPr>
          <w:noProof/>
        </w:rPr>
        <w:t>(Weiskopf et al., 2021)</w:t>
      </w:r>
      <w:r w:rsidR="002E5994">
        <w:fldChar w:fldCharType="end"/>
      </w:r>
      <w:r w:rsidR="00A02485">
        <w:t xml:space="preserve">. </w:t>
      </w:r>
      <w:r w:rsidR="0005142C">
        <w:t>Semiquantitative protocols such as MPM</w:t>
      </w:r>
      <w:r w:rsidR="00A02485">
        <w:t xml:space="preserve"> can </w:t>
      </w:r>
      <w:r w:rsidR="00DF61BF">
        <w:t>provide specific indices of microstructure,</w:t>
      </w:r>
      <w:r w:rsidR="00EF61C2">
        <w:t xml:space="preserve"> including</w:t>
      </w:r>
      <w:r w:rsidR="00DF61BF">
        <w:t xml:space="preserve"> myelin and macromolecular content</w:t>
      </w:r>
      <w:r w:rsidR="00C02E5C">
        <w:t xml:space="preserve"> of neural tissue</w:t>
      </w:r>
      <w:r w:rsidR="0089625E">
        <w:t xml:space="preserve">, and </w:t>
      </w:r>
      <w:r w:rsidR="003B21FC">
        <w:t xml:space="preserve">the resulting maps </w:t>
      </w:r>
      <w:r w:rsidR="0089625E">
        <w:t>are highly reproducible across individuals and scanners</w:t>
      </w:r>
      <w:r w:rsidR="00530E59">
        <w:t xml:space="preserve"> </w:t>
      </w:r>
      <w:r w:rsidR="00530E59">
        <w:fldChar w:fldCharType="begin"/>
      </w:r>
      <w:r w:rsidR="00ED5ABB">
        <w:instrText xml:space="preserve"> ADDIN ZOTERO_ITEM CSL_CITATION {"citationID":"1Q7dpApC","properties":{"formattedCitation":"(Leutritz et al., 2020; Weiskopf et al., 2013)","plainCitation":"(Leutritz et al., 2020; Weiskopf et al., 2013)","noteIndex":0},"citationItems":[{"id":1353,"uris":["http://zotero.org/users/5009496/items/4VD999GD"],"itemData":{"id":1353,"type":"article-journal","container-title":"Human Brain Mapping","DOI":"10.1002/hbm.25122","ISSN":"1065-9471, 1097-0193","issue":"15","journalAbbreviation":"Hum Brain Mapp","language":"en","page":"4232-4247","source":"DOI.org (Crossref)","title":"Multiparameter mapping of relaxation ( &lt;span style=\"font-variant:small-caps;\"&gt;R1&lt;/span&gt; , &lt;span style=\"font-variant:small-caps;\"&gt;R2&lt;/span&gt; *), proton density and magnetization transfer saturation at &lt;span style=\"font-variant:small-caps;\"&gt;3 T&lt;/span&gt; : A multicenter dual‐vendor reproducibility and repeatability study","title-short":"Multiparameter mapping of relaxation ( &lt;span style=\"font-variant","URL":"https://onlinelibrary.wiley.com/doi/10.1002/hbm.25122","volume":"41","author":[{"family":"Leutritz","given":"Tobias"},{"family":"Seif","given":"Maryam"},{"family":"Helms","given":"Gunther"},{"family":"Samson","given":"Rebecca S"},{"family":"Curt","given":"Armin"},{"family":"Freund","given":"Patrick"},{"family":"Weiskopf","given":"Nikolaus"}],"accessed":{"date-parts":[["2021",9,10]]},"issued":{"date-parts":[["2020",10,15]]}}},{"id":304,"uris":["http://zotero.org/users/5009496/items/4KHBSMK2"],"itemData":{"id":304,"type":"article-journal","abstract":"Multi-center studies using magnetic resonance imaging facilitate studying small effect sizes, global population variance and rare diseases. The reliability and sensitivity of these multi-center studies crucially depend on the comparability of the data generated at different sites and time points. The level of inter-site comparability is still controversial for conventional anatomical T1-weighted MRI data. Quantitative multi-parameter mapping (MPM) was designed to provide MR parameter measures that are comparable across sites and time points, i.e., 1mm high-resolution maps of the longitudinal relaxation rate (R1=1/T1), effective proton density (PD*), magnetization transfer saturation (MT) and effective transverse relaxation rate (R2*=1/T2*). MPM was validated at 3T for use in multi-center studies by scanning five volunteers at three different sites. We determined the inter-site bias, inter-site and intra-site coefficient of variation (CoV) for typical morphometric measures (i.e., gray matter probability maps used in voxel-based morphometry) and the four quantitative parameters. The inter-site bias and CoV were smaller than 3.1% and 8%, respectively, except for the inter-site CoV of R2* (&amp;lt; 20%). The gray matter probability maps based on the MT parameter maps had a 14% higher inter-site reproducibility than maps based on conventional T1-weighted images. The low inter-site bias and variance in the parameters and derived gray matter probability maps confirm the high comparability of the quantitative maps across sites and time points. The reliability, short acquisition time, high resolution and the detailed insights into the brain microstructure provided by MPM makes it an efficient tool for multi-center imaging studies.","container-title":"Frontiers in Neuroscience","DOI":"10.3389/fnins.2013.00095","ISSN":"1662-453X","journalAbbreviation":"Front. Neurosci.","language":"English","source":"Frontiers","title":"Quantitative multi-parameter mapping of R1, PD*, MT, and R2* at 3T: a multi-center validation","title-short":"Quantitative multi-parameter mapping of R1, PD*, MT, and R2* at 3T","URL":"https://www.frontiersin.org/articles/10.3389/fnins.2013.00095/full","volume":"7","author":[{"family":"Weiskopf","given":"Nikolaus"},{"family":"Suckling","given":"John"},{"family":"Williams","given":"Guy"},{"family":"Correia","given":"Marta Morgado"},{"family":"Inkster","given":"Becky"},{"family":"Tait","given":"Roger"},{"family":"Ooi","given":"Cinly"},{"family":"Bullmore","given":"Edward T."},{"family":"Lutti","given":"Antoine"}],"accessed":{"date-parts":[["2018",12,13]]},"issued":{"date-parts":[["2013"]]}}}],"schema":"https://github.com/citation-style-language/schema/raw/master/csl-citation.json"} </w:instrText>
      </w:r>
      <w:r w:rsidR="00530E59">
        <w:fldChar w:fldCharType="separate"/>
      </w:r>
      <w:r w:rsidR="00C02E5C">
        <w:rPr>
          <w:noProof/>
        </w:rPr>
        <w:t>(Leutritz et al., 2020; Weiskopf et al., 2013)</w:t>
      </w:r>
      <w:r w:rsidR="00530E59">
        <w:fldChar w:fldCharType="end"/>
      </w:r>
      <w:r w:rsidR="00B84FF1">
        <w:t xml:space="preserve">. </w:t>
      </w:r>
      <w:r w:rsidR="0005142C">
        <w:t>I</w:t>
      </w:r>
      <w:r w:rsidR="00A02485">
        <w:t>n</w:t>
      </w:r>
      <w:r w:rsidR="00B84FF1">
        <w:t xml:space="preserve"> the</w:t>
      </w:r>
      <w:r w:rsidR="00C01E33">
        <w:t xml:space="preserve"> MPM </w:t>
      </w:r>
      <w:r w:rsidR="00B84FF1">
        <w:t xml:space="preserve">quantitative imaging </w:t>
      </w:r>
      <w:r w:rsidR="00C01E33">
        <w:t>protocol, multiple maps are constructed</w:t>
      </w:r>
      <w:r w:rsidR="0005142C">
        <w:t>, which allow us</w:t>
      </w:r>
      <w:r w:rsidR="00C01E33">
        <w:t xml:space="preserve"> to probe different tissue </w:t>
      </w:r>
      <w:r w:rsidR="00CB360F">
        <w:t>properties</w:t>
      </w:r>
      <w:r w:rsidR="00C01E33">
        <w:t>.</w:t>
      </w:r>
      <w:r w:rsidR="007D1AA6">
        <w:t xml:space="preserve"> The</w:t>
      </w:r>
      <w:r w:rsidR="00CB360F">
        <w:t xml:space="preserve"> generated</w:t>
      </w:r>
      <w:r w:rsidR="007D1AA6">
        <w:t xml:space="preserve"> maps </w:t>
      </w:r>
      <w:r w:rsidR="0005142C">
        <w:t>quantify</w:t>
      </w:r>
      <w:r w:rsidR="007D1AA6">
        <w:t xml:space="preserve"> </w:t>
      </w:r>
      <w:r w:rsidR="0082528B">
        <w:t>i</w:t>
      </w:r>
      <w:r w:rsidR="007D1AA6">
        <w:t xml:space="preserve">) the longitudinal relaxation rate R1 </w:t>
      </w:r>
      <w:r w:rsidR="0082528B">
        <w:t>[</w:t>
      </w:r>
      <w:r w:rsidR="007D1AA6">
        <w:t>1/T1</w:t>
      </w:r>
      <w:r w:rsidR="0082528B">
        <w:t>]</w:t>
      </w:r>
      <w:r w:rsidR="007D1AA6">
        <w:t xml:space="preserve">, </w:t>
      </w:r>
      <w:r w:rsidR="0082528B">
        <w:t>ii</w:t>
      </w:r>
      <w:r w:rsidR="007D1AA6">
        <w:t xml:space="preserve">) the transverse relaxation rate R2* </w:t>
      </w:r>
      <w:r w:rsidR="0082528B">
        <w:t>[</w:t>
      </w:r>
      <w:r w:rsidR="007D1AA6">
        <w:t>1/T2*</w:t>
      </w:r>
      <w:r w:rsidR="0082528B">
        <w:t>]</w:t>
      </w:r>
      <w:r w:rsidR="007D1AA6">
        <w:t xml:space="preserve">, and </w:t>
      </w:r>
      <w:r w:rsidR="0082528B">
        <w:t>iii</w:t>
      </w:r>
      <w:r w:rsidR="007D1AA6">
        <w:t>) Magnetization</w:t>
      </w:r>
      <w:r w:rsidR="00B84FF1">
        <w:t xml:space="preserve"> Transfer</w:t>
      </w:r>
      <w:r w:rsidR="00150ECD">
        <w:t xml:space="preserve"> Saturation MTsat</w:t>
      </w:r>
      <w:r w:rsidR="007D1AA6">
        <w:t xml:space="preserve">. </w:t>
      </w:r>
      <w:r w:rsidR="009B26AF">
        <w:t xml:space="preserve">The dominant influence on </w:t>
      </w:r>
      <w:r w:rsidR="007D1AA6">
        <w:t xml:space="preserve">R1 </w:t>
      </w:r>
      <w:r w:rsidR="009B26AF">
        <w:t xml:space="preserve">in cortical tissue is myelin </w:t>
      </w:r>
      <w:r w:rsidR="009B26AF">
        <w:fldChar w:fldCharType="begin"/>
      </w:r>
      <w:r w:rsidR="00ED5ABB">
        <w:instrText xml:space="preserve"> ADDIN ZOTERO_ITEM CSL_CITATION {"citationID":"5c6vv9n3","properties":{"formattedCitation":"(Lutti et al., 2014)","plainCitation":"(Lutti et al., 2014)","noteIndex":0},"citationItems":[{"id":1124,"uris":["http://zotero.org/users/5009496/items/8D97JPWX"],"itemData":{"id":1124,"type":"article-journal","abstract":"A fundamental tenet of neuroscience is that cortical functional differentiation is related to the cross-areal differences in cyto-, receptor-, and myeloarchitectonics that are observed in ex-vivo preparations. An ongoing challenge is to create noninvasive magnetic resonance (MR) imaging techniques that offer sufficient resolution, tissue contrast, accuracy and precision to allow for characterization of cortical architecture over an entire living human brain. One exciting development is the advent of fast, high-resolution quantitative mapping of basic MR parameters that reflect cortical myeloarchitecture. Here, we outline some of the theoretical and technical advances underlying this technique, particularly in terms of measuring and correcting for transmit and receive radio frequency field inhomogeneities. We also discuss new directions in analytic techniques, including higher resolution reconstructions of the cortical surface. We then discuss two recent applications of this technique. The first compares individual and group myelin maps to functional retinotopic maps in the same individuals, demonstrating a close relationship between functionally and myeloarchitectonically defined areal boundaries (as well as revealing an interesting disparity in a highly studied visual area). The second combines tonotopic and myeloarchitectonic mapping to localize primary auditory areas in individual healthy adults, using a similar strategy as combined electrophysiological and post-mortem myeloarchitectonic studies in non-human primates.","collection-title":"In-vivo Brodmann Mapping of the Human Brain","container-title":"NeuroImage","DOI":"10.1016/j.neuroimage.2013.06.005","ISSN":"1053-8119","journalAbbreviation":"NeuroImage","language":"en","page":"176-188","source":"ScienceDirect","title":"Using high-resolution quantitative mapping of R1 as an index of cortical myelination","URL":"http://www.sciencedirect.com/science/article/pii/S1053811913006423","volume":"93","author":[{"family":"Lutti","given":"Antoine"},{"family":"Dick","given":"Frederic"},{"family":"Sereno","given":"Martin I."},{"family":"Weiskopf","given":"Nikolaus"}],"accessed":{"date-parts":[["2020",11,24]]},"issued":{"date-parts":[["2014",6,1]]}}}],"schema":"https://github.com/citation-style-language/schema/raw/master/csl-citation.json"} </w:instrText>
      </w:r>
      <w:r w:rsidR="009B26AF">
        <w:fldChar w:fldCharType="separate"/>
      </w:r>
      <w:r w:rsidR="009B26AF">
        <w:rPr>
          <w:noProof/>
        </w:rPr>
        <w:t>(Lutti et al., 2014)</w:t>
      </w:r>
      <w:r w:rsidR="009B26AF">
        <w:fldChar w:fldCharType="end"/>
      </w:r>
      <w:r w:rsidR="009B26AF">
        <w:t xml:space="preserve">, although R1 </w:t>
      </w:r>
      <w:r w:rsidR="00B70034">
        <w:t>is sensitive to</w:t>
      </w:r>
      <w:r w:rsidR="009B26AF">
        <w:t xml:space="preserve"> both myelin and iron in </w:t>
      </w:r>
      <w:r w:rsidR="000077DD">
        <w:t>subcortical grey matter</w:t>
      </w:r>
      <w:r w:rsidR="009B26AF">
        <w:t>. R</w:t>
      </w:r>
      <w:r w:rsidR="007D1AA6">
        <w:t xml:space="preserve">2* is sensitive to iron </w:t>
      </w:r>
      <w:r w:rsidR="009B26AF">
        <w:t>concentration</w:t>
      </w:r>
      <w:r w:rsidR="000E5B29">
        <w:t>, especially in ferritin-rich regions</w:t>
      </w:r>
      <w:r w:rsidR="006A69B5">
        <w:t xml:space="preserve"> such as the striatum</w:t>
      </w:r>
      <w:r w:rsidR="0005142C">
        <w:t xml:space="preserve"> </w:t>
      </w:r>
      <w:r w:rsidR="0005142C">
        <w:fldChar w:fldCharType="begin"/>
      </w:r>
      <w:r w:rsidR="00ED5ABB">
        <w:instrText xml:space="preserve"> ADDIN ZOTERO_ITEM CSL_CITATION {"citationID":"qLe4l3zl","properties":{"formattedCitation":"(Langkammer et al., 2010)","plainCitation":"(Langkammer et al., 2010)","noteIndex":0},"citationItems":[{"id":1355,"uris":["http://zotero.org/users/5009496/items/9PFW6SQC"],"itemData":{"id":1355,"type":"article-journal","abstract":"Purpose\n\nTo investigate the relationship between transverse relaxation rates R2 and R2*, the most frequently used surrogate markers for iron in brain tissue, and chemically determined iron concentrations.\n\nMaterials and Methods\n\nThis study was approved by the local ethics committee, and informed consent was obtained from each individual’s next of kin. Quantitative magnetic resonance (MR) imaging was performed at 3.0 T in seven human postmortem brains in situ (age range at death, 38–81 years). Following brain extraction, iron concentrations were determined with inductively coupled plasma mass spectrometry in prespecified gray and white matter regions and correlated with R2 and R2* by using linear regression analysis. Hemispheric differences were tested with paired t tests.\n\nResults\n\nThe highest iron concentrations were found in the globus pallidus (mean ± standard deviation, 205 mg/kg wet mass ± 32), followed by the putamen (mean, 153 mg/kg wet mass ± 29), caudate nucleus (mean, 92 mg/kg wet mass ± 15), thalamus (mean, 49 mg/kg wet mass ± 11), and white matter regions. When all tissue samples were considered, transverse relaxation rates showed a strong linear correlation with iron concentration throughout the brain (r2 = 0.67 for R2, r2 = 0.90 for R2*; P &lt; .001). In white matter structures, only R2* showed a linear correlation with iron concentration. Chemical analysis revealed significantly higher iron concentrations in the left hemisphere than in the right hemisphere, a finding that was not reflected in the relaxation rates.\n\nConclusion\n\nBecause of their strong linear correlation with iron concentration, both R2 and R2* can be used to measure iron deposition in the brain. Because R2* is more sensitive than R2 to variations in brain iron concentration and can detect differences in white matter, it is the preferred parameter for the assessment of iron concentration in vivo.\n\n© RSNA, 2010","container-title":"Radiology","DOI":"10.1148/radiol.10100495","ISSN":"0033-8419","issue":"2","note":"publisher: Radiological Society of North America","page":"455-462","source":"pubs.rsna.org (Atypon)","title":"Quantitative MR Imaging of Brain Iron: A Postmortem Validation Study","title-short":"Quantitative MR Imaging of Brain Iron","URL":"https://pubs.rsna.org/doi/full/10.1148/radiol.10100495","volume":"257","author":[{"family":"Langkammer","given":"Christian"},{"family":"Krebs","given":"Nikolaus"},{"family":"Goessler","given":"Walter"},{"family":"Scheurer","given":"Eva"},{"family":"Ebner","given":"Franz"},{"family":"Yen","given":"Kathrin"},{"family":"Fazekas","given":"Franz"},{"family":"Ropele","given":"Stefan"}],"accessed":{"date-parts":[["2021",9,14]]},"issued":{"date-parts":[["2010",11,1]]}}}],"schema":"https://github.com/citation-style-language/schema/raw/master/csl-citation.json"} </w:instrText>
      </w:r>
      <w:r w:rsidR="0005142C">
        <w:fldChar w:fldCharType="separate"/>
      </w:r>
      <w:r w:rsidR="0005142C">
        <w:rPr>
          <w:noProof/>
        </w:rPr>
        <w:t>(Langkammer et al., 2010)</w:t>
      </w:r>
      <w:r w:rsidR="0005142C">
        <w:fldChar w:fldCharType="end"/>
      </w:r>
      <w:r w:rsidR="0005142C">
        <w:t>.</w:t>
      </w:r>
      <w:r w:rsidR="007D1AA6">
        <w:t xml:space="preserve"> MTsat is</w:t>
      </w:r>
      <w:r w:rsidR="00B84FF1">
        <w:t xml:space="preserve"> sensitive to bound water</w:t>
      </w:r>
      <w:r w:rsidR="002F540D">
        <w:t>, and consequently myelin</w:t>
      </w:r>
      <w:r w:rsidR="0005142C">
        <w:t xml:space="preserve"> </w:t>
      </w:r>
      <w:r w:rsidR="0005142C">
        <w:fldChar w:fldCharType="begin"/>
      </w:r>
      <w:r w:rsidR="00ED5ABB">
        <w:instrText xml:space="preserve"> ADDIN ZOTERO_ITEM CSL_CITATION {"citationID":"mwqfvSHF","properties":{"formattedCitation":"(Schmierer et al., 2004)","plainCitation":"(Schmierer et al., 2004)","noteIndex":0},"citationItems":[{"id":325,"uris":["http://zotero.org/users/5009496/items/WNHUDEDH"],"itemData":{"id":325,"type":"article-journal","abstract":"Several quantitative magnetic resonance (MR) measures are used to investigate multiple sclerosis (MS) in vivo. Precise quantitative investigation of the histopathological correlates of such measures has, to date, been limited. This study investigates the relationship of quantitative measures of myelin content, axonal density, and gliosis with quantitative MR measures in postmortem (PM) MS tissue. MR imaging (MRI) was performed on a 1.5T scanner and T1-relaxation time (T1-RT) and magnetization transfer ratio (MTR) maps were acquired in fresh PM brain of 20 MS subjects. Myelin content, axonal counts, and the extent of gliosis all were quantified using morphometric and digital imaging techniques. MRI and pathological data were in most cases coregistered using stereotactic navigation. Using multiple regression analysis, we detected significant correlations between myelin content (Tr(myelin)) and MTR (r = -0.84, p &lt; 0.001) and myelin content and axonal count (-0.80, p &lt; 0.001); MTR correlated with T1-RT (r = -0.79, p &lt; 0.001). No association was detected between the extent of gliosis and either MR measure. MTR was significantly higher in remyelinated than demyelinated lesions (means: 30.0 [standard deviation, 2.9] vs 23.8 [standard deviation, 4.3], p = 0.008). In conclusion, MTR is affected by myelin content in MS white matter.","container-title":"Annals of Neurology","DOI":"10.1002/ana.20202","ISSN":"0364-5134","issue":"3","journalAbbreviation":"Ann. Neurol.","language":"eng","note":"PMID: 15349868","page":"407-415","source":"PubMed","title":"Magnetization transfer ratio and myelin in postmortem multiple sclerosis brain","volume":"56","author":[{"family":"Schmierer","given":"Klaus"},{"family":"Scaravilli","given":"Francesco"},{"family":"Altmann","given":"Daniel R."},{"family":"Barker","given":"Gareth J."},{"family":"Miller","given":"David H."}],"issued":{"date-parts":[["2004",9]]}}}],"schema":"https://github.com/citation-style-language/schema/raw/master/csl-citation.json"} </w:instrText>
      </w:r>
      <w:r w:rsidR="0005142C">
        <w:fldChar w:fldCharType="separate"/>
      </w:r>
      <w:r w:rsidR="0005142C">
        <w:rPr>
          <w:noProof/>
        </w:rPr>
        <w:t>(Schmierer et al., 2004)</w:t>
      </w:r>
      <w:r w:rsidR="0005142C">
        <w:fldChar w:fldCharType="end"/>
      </w:r>
      <w:r w:rsidR="007D1AA6">
        <w:t xml:space="preserve">. </w:t>
      </w:r>
      <w:r w:rsidR="00A02485">
        <w:t>T</w:t>
      </w:r>
      <w:r w:rsidR="00CB360F">
        <w:t>his</w:t>
      </w:r>
      <w:r w:rsidR="00DF61BF">
        <w:t xml:space="preserve"> </w:t>
      </w:r>
      <w:r w:rsidR="00A02485">
        <w:t xml:space="preserve">quantitative </w:t>
      </w:r>
      <w:r w:rsidR="00DF61BF">
        <w:t>protocol</w:t>
      </w:r>
      <w:r w:rsidR="00B84FF1">
        <w:t xml:space="preserve"> </w:t>
      </w:r>
      <w:r w:rsidR="00A02485">
        <w:t xml:space="preserve">therefore </w:t>
      </w:r>
      <w:r w:rsidR="00B84FF1">
        <w:t xml:space="preserve">represents an unparalleled means of acquiring </w:t>
      </w:r>
      <w:r w:rsidR="00DF61BF">
        <w:t>time-</w:t>
      </w:r>
      <w:r w:rsidR="00B84FF1">
        <w:t xml:space="preserve">efficient, multi-modal, whole-brain data </w:t>
      </w:r>
      <w:r w:rsidR="000E5B29">
        <w:t>with</w:t>
      </w:r>
      <w:r w:rsidR="00B84FF1">
        <w:t xml:space="preserve"> insight into tissue composition. </w:t>
      </w:r>
      <w:r w:rsidR="00DC3CE1">
        <w:t>S</w:t>
      </w:r>
      <w:r w:rsidR="008507F5">
        <w:t>uch s</w:t>
      </w:r>
      <w:r w:rsidR="00DC3CE1">
        <w:t>emiq</w:t>
      </w:r>
      <w:r w:rsidR="00A02485">
        <w:t>uantitative maps</w:t>
      </w:r>
      <w:r w:rsidR="0089625E">
        <w:t xml:space="preserve"> have been used to</w:t>
      </w:r>
      <w:r w:rsidR="00B84FF1">
        <w:t xml:space="preserve"> </w:t>
      </w:r>
      <w:r w:rsidR="000E5B29">
        <w:t>delineate</w:t>
      </w:r>
      <w:r w:rsidR="00B84FF1">
        <w:t xml:space="preserve"> heavily myelinated areas such as somatomotor</w:t>
      </w:r>
      <w:r w:rsidR="00D8056E">
        <w:t xml:space="preserve"> </w:t>
      </w:r>
      <w:r w:rsidR="00D8056E">
        <w:fldChar w:fldCharType="begin"/>
      </w:r>
      <w:r w:rsidR="00ED5ABB">
        <w:instrText xml:space="preserve"> ADDIN ZOTERO_ITEM CSL_CITATION {"citationID":"qrIH95lk","properties":{"formattedCitation":"(Carey et al., 2017)","plainCitation":"(Carey et al., 2017)","noteIndex":0},"citationItems":[{"id":509,"uris":["http://zotero.org/users/5009496/items/HXKC9944"],"itemData":{"id":509,"type":"article-journal","abstract":"Abstract.  Speech articulation requires precise control of and coordination between the effectors of the vocal tract (e.g., lips, tongue, soft palate, and laryn","container-title":"Cerebral Cortex","DOI":"10.1093/cercor/bhw393","ISSN":"1047-3211","issue":"1","journalAbbreviation":"Cereb Cortex","language":"en","page":"265-278","source":"academic.oup.com","title":"Functional and Quantitative MRI Mapping of Somatomotor Representations of Human Supralaryngeal Vocal Tract","URL":"https://academic.oup.com/cercor/article/27/1/265/2871229","volume":"27","author":[{"family":"Carey","given":"Daniel"},{"family":"Krishnan","given":"Saloni"},{"family":"Callaghan","given":"Martina F."},{"family":"Sereno","given":"Martin I."},{"family":"Dick","given":"Frederic"}],"accessed":{"date-parts":[["2019",7,30]]},"issued":{"date-parts":[["2017",1,1]]}}}],"schema":"https://github.com/citation-style-language/schema/raw/master/csl-citation.json"} </w:instrText>
      </w:r>
      <w:r w:rsidR="00D8056E">
        <w:fldChar w:fldCharType="separate"/>
      </w:r>
      <w:r w:rsidR="00DC3CE1">
        <w:rPr>
          <w:noProof/>
        </w:rPr>
        <w:t>(Carey et al., 2017)</w:t>
      </w:r>
      <w:r w:rsidR="00D8056E">
        <w:fldChar w:fldCharType="end"/>
      </w:r>
      <w:r w:rsidR="00B84FF1">
        <w:t>, visual</w:t>
      </w:r>
      <w:r w:rsidR="002F540D">
        <w:t xml:space="preserve"> </w:t>
      </w:r>
      <w:r w:rsidR="002F540D">
        <w:fldChar w:fldCharType="begin"/>
      </w:r>
      <w:r w:rsidR="00ED5ABB">
        <w:instrText xml:space="preserve"> ADDIN ZOTERO_ITEM CSL_CITATION {"citationID":"I88ckq8B","properties":{"formattedCitation":"(Sereno et al., 2013)","plainCitation":"(Sereno et al., 2013)","noteIndex":0},"citationItems":[{"id":1252,"uris":["http://zotero.org/users/5009496/items/ZE5AE4LR"],"itemData":{"id":1252,"type":"article-journal","abstract":"We combined quantitative relaxation rate (R1= 1/T1) mapping—to measure local myelination—with fMRI-based retinotopy. Gray–white and pial surfaces were reconstructed and used to sample R1 at different cortical depths. Like myelination, R1 decreased from deeper to superficial layers. R1 decreased passing from V1 and MT, to immediately surrounding areas, then to the angular gyrus. High R1 was correlated across the cortex with convex local curvature so the data was first “de-curved”. By overlaying R1 and retinotopic maps, we found that many visual area borders were associated with significant R1 increases including V1, V3A, MT, V6, V6A, V8/VO1, FST, and VIP. Surprisingly, retinotopic MT occupied only the posterior portion of an oval-shaped lateral occipital R1 maximum. R1 maps were reproducible within individuals and comparable between subjects without intensity normalization, enabling multi-center studies of development, aging, and disease progression, and structure/function mapping in other modalities.","container-title":"Cerebral Cortex","DOI":"10.1093/cercor/bhs213","ISSN":"1047-3211","issue":"9","journalAbbreviation":"Cerebral Cortex","page":"2261-2268","source":"Silverchair","title":"Mapping the Human Cortical Surface by Combining Quantitative T1 with Retinotopy†","URL":"https://doi.org/10.1093/cercor/bhs213","volume":"23","author":[{"family":"Sereno","given":"Martin I."},{"family":"Lutti","given":"Antoine"},{"family":"Weiskopf","given":"Nikolaus"},{"family":"Dick","given":"Frederic"}],"accessed":{"date-parts":[["2021",7,27]]},"issued":{"date-parts":[["2013",9,1]]}}}],"schema":"https://github.com/citation-style-language/schema/raw/master/csl-citation.json"} </w:instrText>
      </w:r>
      <w:r w:rsidR="002F540D">
        <w:fldChar w:fldCharType="separate"/>
      </w:r>
      <w:r w:rsidR="002F540D">
        <w:rPr>
          <w:noProof/>
        </w:rPr>
        <w:t>(Sereno et al., 2013)</w:t>
      </w:r>
      <w:r w:rsidR="002F540D">
        <w:fldChar w:fldCharType="end"/>
      </w:r>
      <w:r w:rsidR="00B84FF1">
        <w:t>, and auditory cortex</w:t>
      </w:r>
      <w:r w:rsidR="002F540D">
        <w:t xml:space="preserve"> </w:t>
      </w:r>
      <w:r w:rsidR="002F540D">
        <w:fldChar w:fldCharType="begin"/>
      </w:r>
      <w:r w:rsidR="00ED5ABB">
        <w:instrText xml:space="preserve"> ADDIN ZOTERO_ITEM CSL_CITATION {"citationID":"79Blx2D1","properties":{"formattedCitation":"(Dick et al., 2012)","plainCitation":"(Dick et al., 2012)","noteIndex":0},"citationItems":[{"id":1254,"uris":["http://zotero.org/users/5009496/items/QGRGI9WN"],"itemData":{"id":1254,"type":"article-journal","container-title":"Journal of Neuroscience","DOI":"10.1523/JNEUROSCI.1712-12.2012","ISSN":"0270-6474, 1529-2401","issue":"46","journalAbbreviation":"Journal of Neuroscience","language":"en","page":"16095-16105","source":"DOI.org (Crossref)","title":"In Vivo Functional and Myeloarchitectonic Mapping of Human Primary Auditory Areas","URL":"https://www.jneurosci.org/lookup/doi/10.1523/JNEUROSCI.1712-12.2012","volume":"32","author":[{"family":"Dick","given":"F."},{"family":"Taylor Tierney","given":"A."},{"family":"Lutti","given":"A."},{"family":"Josephs","given":"O."},{"family":"Sereno","given":"M. I."},{"family":"Weiskopf","given":"N."}],"accessed":{"date-parts":[["2021",7,27]]},"issued":{"date-parts":[["2012",11,14]]}}}],"schema":"https://github.com/citation-style-language/schema/raw/master/csl-citation.json"} </w:instrText>
      </w:r>
      <w:r w:rsidR="002F540D">
        <w:fldChar w:fldCharType="separate"/>
      </w:r>
      <w:r w:rsidR="002F540D">
        <w:rPr>
          <w:noProof/>
        </w:rPr>
        <w:t>(Dick et al., 2012)</w:t>
      </w:r>
      <w:r w:rsidR="002F540D">
        <w:fldChar w:fldCharType="end"/>
      </w:r>
      <w:r w:rsidR="0089625E">
        <w:t>.</w:t>
      </w:r>
      <w:r w:rsidR="000E5B29">
        <w:t xml:space="preserve"> </w:t>
      </w:r>
      <w:r w:rsidR="00B84FF1">
        <w:t>They</w:t>
      </w:r>
      <w:r w:rsidR="007D1AA6">
        <w:t xml:space="preserve"> have</w:t>
      </w:r>
      <w:r w:rsidR="008725C1">
        <w:t xml:space="preserve"> also</w:t>
      </w:r>
      <w:r w:rsidR="007D1AA6">
        <w:t xml:space="preserve"> been used to characterise developmental maturation in adolescence and young adulthood</w:t>
      </w:r>
      <w:r w:rsidR="00D8056E">
        <w:t xml:space="preserve"> </w:t>
      </w:r>
      <w:r w:rsidR="00D8056E">
        <w:fldChar w:fldCharType="begin"/>
      </w:r>
      <w:r w:rsidR="00ED5ABB">
        <w:instrText xml:space="preserve"> ADDIN ZOTERO_ITEM CSL_CITATION {"citationID":"8iWob4Gi","properties":{"formattedCitation":"(Carey et al., 2018; NSPN Consortium et al., 2019; Paquola et al., 2019; Whitaker et al., 2016)","plainCitation":"(Carey et al., 2018; NSPN Consortium et al., 2019; Paquola et al., 2019; Whitaker et al., 2016)","noteIndex":0},"citationItems":[{"id":1117,"uris":["http://zotero.org/users/5009496/items/ZDAAQ5LD"],"itemData":{"id":1117,"type":"article-journal","abstract":"Measuring the structural composition of the cortex is critical to understanding typical development, yet few investigations in humans have charted markers in vivo that are sensitive to tissue microstructural attributes. Here, we used a well-validated quantitative MR protocol to measure four parameters (R1, MT, R2*, PD*) that differ in their sensitivity to facets of the tissue microstructural environment (R1, MT: myelin, macromolecular content; R2*: myelin, paramagnetic ions, i.e., iron; PD*: free water content). Mapping these parameters across cortical regions in a young adult cohort (18–39 years, N = 93) revealed expected patterns of increased macromolecular content as well as reduced tissue water content in primary and primary adjacent cortical regions. Mapping across cortical depth within regions showed decreased expression of myelin and related processes – but increased tissue water content – when progressing from the grey/white to the grey/pial boundary, in all regions. Charting developmental change in cortical microstructure cross-sectionally, we found that parameters with sensitivity to tissue myelin (R1 &amp; MT) showed linear increases with age across frontal and parietal cortex (change 0.5–1.0% per year). Overlap of robust age effects for both parameters emerged in left inferior frontal, right parietal and bilateral pre-central regions. Our findings afford an improved understanding of ontogeny in early adulthood and offer normative quantitative MR data for inter- and intra-cortical composition, which may be used as benchmarks in further studies.","collection-title":"Microstructural Imaging","container-title":"NeuroImage","DOI":"10.1016/j.neuroimage.2017.11.066","ISSN":"1053-8119","journalAbbreviation":"NeuroImage","language":"en","page":"429-440","source":"ScienceDirect","title":"Quantitative MRI provides markers of intra-, inter-regional, and age-related differences in young adult cortical microstructure","URL":"http://www.sciencedirect.com/science/article/pii/S1053811917310121","volume":"182","author":[{"family":"Carey","given":"Daniel"},{"family":"Caprini","given":"Francesco"},{"family":"Allen","given":"Micah"},{"family":"Lutti","given":"Antoine"},{"family":"Weiskopf","given":"Nikolaus"},{"family":"Rees","given":"Geraint"},{"family":"Callaghan","given":"Martina F."},{"family":"Dick","given":"Frederic"}],"accessed":{"date-parts":[["2020",11,24]]},"issued":{"date-parts":[["2018",11,15]]}}},{"id":1179,"uris":["http://zotero.org/users/5009496/items/66E7A7U7"],"itemData":{"id":1179,"type":"article-journal","container-title":"Nature Neuroscience","DOI":"10.1038/s41593-019-0394-3","ISSN":"1097-6256, 1546-1726","issue":"6","journalAbbreviation":"Nat Neurosci","language":"en","page":"992-999","source":"DOI.org (Crossref)","title":"Compulsivity and impulsivity traits linked to attenuated developmental frontostriatal myelination trajectories","URL":"http://www.nature.com/articles/s41593-019-0394-3","volume":"22","author":[{"literal":"NSPN Consortium"},{"family":"Ziegler","given":"Gabriel"},{"family":"Hauser","given":"Tobias U."},{"family":"Moutoussis","given":"Michael"},{"family":"Bullmore","given":"Edward T."},{"family":"Goodyer","given":"Ian M."},{"family":"Fonagy","given":"Peter"},{"family":"Jones","given":"Peter B."},{"family":"Lindenberger","given":"Ulman"},{"family":"Dolan","given":"Raymond J."}],"accessed":{"date-parts":[["2021",3,3]]},"issued":{"date-parts":[["2019",6]]}}},{"id":1262,"uris":["http://zotero.org/users/5009496/items/VE7F7NXP"],"itemData":{"id":1262,"type":"article-journal","abstract":"We studied an accelerated longitudinal cohort of adolescents and young adults (n = 234, two time points) to investigate dynamic reconfigurations in myeloarchitecture. Intracortical profiles were generated using magnetization transfer (MT) data, a myelin-sensitive magnetic resonance imaging contrast. Mixed-effect models of depth specific intracortical profiles demonstrated two separate processes i) overall increases in MT, and ii) flattening of the MT profile related to enhanced signal in mid-to-deeper layers, especially in heteromodal and unimodal association cortices. This development was independent of morphological changes. Enhanced MT in mid-to-deeper layers was found to spatially co-localise specifically with gene expression markers of oligodendrocytes. Interregional covariance analysis revealed that these intracortical changes contributed to a gradual differentiation of higher-order from lower-order systems. Depth-dependent trajectories of intracortical myeloarchitectural development contribute to the maturation of structural hierarchies in the human neocortex, providing a model for adolescent development that bridges microstructural and macroscopic scales of brain organisation.","container-title":"eLife","DOI":"10.7554/eLife.50482","ISSN":"2050-084X","language":"en","page":"e50482","source":"DOI.org (Crossref)","title":"Shifts in myeloarchitecture characterise adolescent development of cortical gradients","URL":"https://elifesciences.org/articles/50482","volume":"8","author":[{"family":"Paquola","given":"Casey"},{"family":"Bethlehem","given":"Richard AI"},{"family":"Seidlitz","given":"Jakob"},{"family":"Wagstyl","given":"Konrad"},{"family":"Romero-Garcia","given":"Rafael"},{"family":"Whitaker","given":"Kirstie J"},{"family":"Vos de Wael","given":"Reinder"},{"family":"Williams","given":"Guy B"},{"literal":"NSPN Consortium"},{"family":"Vértes","given":"Petra E"},{"family":"Margulies","given":"Daniel S"},{"family":"Bernhardt","given":"Boris"},{"family":"Bullmore","given":"Edward T"}],"accessed":{"date-parts":[["2021",7,28]]},"issued":{"date-parts":[["2019",11,14]]}}},{"id":1120,"uris":["http://zotero.org/users/5009496/items/7EF7RPX4"],"itemData":{"id":1120,"type":"article-journal","container-title":"Proceedings of the National Academy of Sciences","DOI":"10.1073/pnas.1601745113","ISSN":"0027-8424, 1091-6490","issue":"32","language":"en","page":"9105-9110","source":"Crossref","title":"Adolescence is associated with genomically patterned consolidation of the hubs of the human brain connectome","URL":"http://www.pnas.org/lookup/doi/10.1073/pnas.1601745113","volume":"113","author":[{"family":"Whitaker","given":"Kirstie J."},{"family":"Vértes","given":"Petra E."},{"family":"Romero-Garcia","given":"Rafael"},{"family":"Váša","given":"František"},{"family":"Moutoussis","given":"Michael"},{"family":"Prabhu","given":"Gita"},{"family":"Weiskopf","given":"Nikolaus"},{"family":"Callaghan","given":"Martina F."},{"family":"Wagstyl","given":"Konrad"},{"family":"Rittman","given":"Timothy"},{"family":"Tait","given":"Roger"},{"family":"Ooi","given":"Cinly"},{"family":"Suckling","given":"John"},{"family":"Inkster","given":"Becky"},{"family":"Fonagy","given":"Peter"},{"family":"Dolan","given":"Raymond J."},{"family":"Jones","given":"Peter B."},{"family":"Goodyer","given":"Ian M."},{"literal":"the NSPN Consortium"},{"family":"Bullmore","given":"Edward T."}],"accessed":{"date-parts":[["2020",11,24]]},"issued":{"date-parts":[["2016",8,9]]}}}],"schema":"https://github.com/citation-style-language/schema/raw/master/csl-citation.json"} </w:instrText>
      </w:r>
      <w:r w:rsidR="00D8056E">
        <w:fldChar w:fldCharType="separate"/>
      </w:r>
      <w:r w:rsidR="00760549">
        <w:rPr>
          <w:noProof/>
        </w:rPr>
        <w:t>(Carey et al., 2018; NSPN Consortium et al., 2019; Paquola et al., 2019; Whitaker et al., 2016)</w:t>
      </w:r>
      <w:r w:rsidR="00D8056E">
        <w:fldChar w:fldCharType="end"/>
      </w:r>
      <w:r w:rsidR="00E84DCA">
        <w:t>,</w:t>
      </w:r>
      <w:r w:rsidR="007D1AA6">
        <w:t xml:space="preserve"> </w:t>
      </w:r>
      <w:r w:rsidR="00B84FF1">
        <w:t>during aging</w:t>
      </w:r>
      <w:r w:rsidR="00D8056E">
        <w:t xml:space="preserve"> </w:t>
      </w:r>
      <w:r w:rsidR="00D8056E">
        <w:fldChar w:fldCharType="begin"/>
      </w:r>
      <w:r w:rsidR="00ED5ABB">
        <w:instrText xml:space="preserve"> ADDIN ZOTERO_ITEM CSL_CITATION {"citationID":"rQegDJC4","properties":{"formattedCitation":"(Callaghan et al., 2014; Draganski et al., 2011; Steiger et al., 2016)","plainCitation":"(Callaghan et al., 2014; Draganski et al., 2011; Steiger et al., 2016)","noteIndex":0},"citationItems":[{"id":327,"uris":["http://zotero.org/users/5009496/items/2WVESCRH"],"itemData":{"id":327,"type":"article-journal","abstract":"A pressing need exists to disentangle age-related changes from pathologic neurodegeneration. This study aims to characterize the spatial pattern and age-related differences of biologically relevant measures in vivo over the course of normal aging. Quantitative multiparameter maps that provide neuroimaging biomarkers for myelination and iron levels, parameters sensitive to aging, were acquired from 138 healthy volunteers (age range: 19–75 years). Whole-brain voxel-wise analysis revealed a global pattern of age-related degeneration. Significant demyelination occurred principally in the white matter. The observed age-related differences in myelination were anatomically specific. In line with invasive histologic reports, higher age-related differences were seen in the genu of the corpus callosum than the splenium. Iron levels were significantly increased in the basal ganglia, red nucleus, and extensive cortical regions but decreased along the superior occipitofrontal fascicle and optic radiation. This whole-brain pattern of age-associated microstructural differences in the asymptomatic population provides insight into the neurobiology of aging. The results help build a quantitative baseline from which to examine and draw a dividing line between healthy aging and pathologic neurodegeneration.","container-title":"Neurobiology of Aging","DOI":"10.1016/j.neurobiolaging.2014.02.008","ISSN":"0197-4580","issue":"8","journalAbbreviation":"Neurobiology of Aging","page":"1862-1872","source":"ScienceDirect","title":"Widespread age-related differences in the human brain microstructure revealed by quantitative magnetic resonance imaging","URL":"http://www.sciencedirect.com/science/article/pii/S0197458014002000","volume":"35","author":[{"family":"Callaghan","given":"Martina F."},{"family":"Freund","given":"Patrick"},{"family":"Draganski","given":"Bogdan"},{"family":"Anderson","given":"Elaine"},{"family":"Cappelletti","given":"Marinella"},{"family":"Chowdhury","given":"Rumana"},{"family":"Diedrichsen","given":"Joern"},{"family":"FitzGerald","given":"Thomas H. B."},{"family":"Smittenaar","given":"Peter"},{"family":"Helms","given":"Gunther"},{"family":"Lutti","given":"Antoine"},{"family":"Weiskopf","given":"Nikolaus"}],"accessed":{"date-parts":[["2018",12,18]]},"issued":{"date-parts":[["2014",8,1]]}}},{"id":1116,"uris":["http://zotero.org/users/5009496/items/CK63LRPW"],"itemData":{"id":1116,"type":"article-journal","abstract":"Normal ageing is associated with characteristic changes in brain microstructure. Although in vivo neuroimaging captures spatial and temporal patterns of age-related changes of anatomy at the macroscopic scale, our knowledge of the underlying (patho)physiological processes at cellular and molecular levels is still limited. The aim of this study is to explore brain tissue properties in normal ageing using quantitative magnetic resonance imaging (MRI) alongside conventional morphological assessment. Using a whole-brain approach in a cohort of 26 adults, aged 18–85years, we performed voxel-based morphometric (VBM) analysis and voxel-based quantification (VBQ) of diffusion tensor, magnetization transfer (MT), R1, and R2* relaxation parameters. We found age-related reductions in cortical and subcortical grey matter volume paralleled by changes in fractional anisotropy (FA), mean diffusivity (MD), MT and R2*. The latter were regionally specific depending on their differential sensitivity to microscopic tissue properties. VBQ of white matter revealed distinct anatomical patterns of age-related change in microstructure. Widespread and profound reduction in MT contrasted with local FA decreases paralleled by MD increases. R1 reductions and R2* increases were observed to a smaller extent in overlapping occipito-parietal white matter regions. We interpret our findings, based on current biophysical models, as a fingerprint of age-dependent brain atrophy and underlying microstructural changes in myelin, iron deposits and water. The VBQ approach we present allows for systematic unbiased exploration of the interaction between imaging parameters and extends current methods for detection of neurodegenerative processes in the brain. The demonstrated parameter-specific distribution patterns offer insights into age-related brain structure changes in vivo and provide essential baseline data for studying disease against a background of healthy ageing.","container-title":"NeuroImage","DOI":"10.1016/j.neuroimage.2011.01.052","ISSN":"1053-8119","issue":"4","journalAbbreviation":"NeuroImage","language":"en","page":"1423-1434","source":"ScienceDirect","title":"Regional specificity of MRI contrast parameter changes in normal ageing revealed by voxel-based quantification (VBQ)","URL":"http://www.sciencedirect.com/science/article/pii/S1053811911000887","volume":"55","author":[{"family":"Draganski","given":"B."},{"family":"Ashburner","given":"J."},{"family":"Hutton","given":"C."},{"family":"Kherif","given":"F."},{"family":"Frackowiak","given":"R. S. J."},{"family":"Helms","given":"G."},{"family":"Weiskopf","given":"N."}],"accessed":{"date-parts":[["2020",11,24]]},"issued":{"date-parts":[["2011",4,15]]}}},{"id":1268,"uris":["http://zotero.org/users/5009496/items/7GF57IGP"],"itemData":{"id":1268,"type":"article-journal","container-title":"Journal of Neuroscience","DOI":"10.1523/JNEUROSCI.3617-15.2016","ISSN":"0270-6474, 1529-2401","issue":"12","journalAbbreviation":"Journal of Neuroscience","language":"en","page":"3552-3558","source":"DOI.org (Crossref)","title":"Iron Level and Myelin Content in the Ventral Striatum Predict Memory Performance in the Aging Brain","URL":"https://www.jneurosci.org/lookup/doi/10.1523/JNEUROSCI.3617-15.2016","volume":"36","author":[{"family":"Steiger","given":"T. K."},{"family":"Weiskopf","given":"N."},{"family":"Bunzeck","given":"N."}],"accessed":{"date-parts":[["2021",7,28]]},"issued":{"date-parts":[["2016",3,23]]}}}],"schema":"https://github.com/citation-style-language/schema/raw/master/csl-citation.json"} </w:instrText>
      </w:r>
      <w:r w:rsidR="00D8056E">
        <w:fldChar w:fldCharType="separate"/>
      </w:r>
      <w:r w:rsidR="00E84DCA">
        <w:rPr>
          <w:noProof/>
        </w:rPr>
        <w:t>(Callaghan et al., 2014; Draganski et al., 2011; Steiger et al., 2016)</w:t>
      </w:r>
      <w:r w:rsidR="00D8056E">
        <w:fldChar w:fldCharType="end"/>
      </w:r>
      <w:r w:rsidR="00B84FF1">
        <w:t>, and in pathological populations</w:t>
      </w:r>
      <w:r w:rsidR="00401EDE">
        <w:t xml:space="preserve"> </w:t>
      </w:r>
      <w:r w:rsidR="00401EDE">
        <w:fldChar w:fldCharType="begin"/>
      </w:r>
      <w:r w:rsidR="00ED5ABB">
        <w:instrText xml:space="preserve"> ADDIN ZOTERO_ITEM CSL_CITATION {"citationID":"bMNa6eS9","properties":{"formattedCitation":"(Freund et al., 2013; Manara et al., 2019)","plainCitation":"(Freund et al., 2013; Manara et al., 2019)","noteIndex":0},"citationItems":[{"id":1289,"uris":["http://zotero.org/users/5009496/items/72H54UCN"],"itemData":{"id":1289,"type":"article-journal","abstract":"Background\nIn patients with chronic spinal cord injury, imaging of the spinal cord and brain above the level of the lesion provides evidence of neural degeneration; however, the spatial and temporal patterns of progression and their relation to clinical outcomes are uncertain. New interventions targeting acute spinal cord injury have entered clinical trials but neuroimaging outcomes as responsive markers of treatment have yet to be established. We aimed to use MRI to assess neuronal degeneration above the level of the lesion after acute spinal cord injury.\nMethods\nIn our prospective longitudinal study, we enrolled patients with acute traumatic spinal cord injury and healthy controls. We assessed patients clinically and by MRI at baseline, 2 months, 6 months, and 12 months, and controls by MRI at the same timepoints. We assessed atrophy in white matter in the cranial corticospinal tracts and grey matter in sensorimotor cortices by tensor-based analyses of T1-weighted MRI data. We used cross-sectional spinal cord area measurements to assess atrophy at cervical level C2/C3. We used myelin-sensitive magnetisation transfer (MT) and longitudinal relaxation rate (R1) maps to assess microstructural changes associated with myelin. We also assessed associations between MRI parameters and clinical improvement. All analyses of brain scans done with statistical parametric mapping were corrected for family-wise error.\nFindings\nBetween Sept 17, 2010, and Dec 31, 2012, we recruited 13 patients and 18 controls. In the 12 months from baseline, patients recovered by a mean of 5·27 points per log month (95% CI 1·91–8·63) on the international standards for the neurological classification of spinal cord injury (ISNCSCI) motor score (p=0·002) and by 10·93 points per log month (6·20–15·66) on the spinal cord independence measure (SCIM) score (p&lt;0·0001). Compared with controls, patients showed a rapid decline in cross-sectional spinal cord area (patients declined by 0·46 mm per month compared with a stable cord area in controls; p&lt;0·0001). Patients had faster rates than controls of volume decline of white matter in the cranial corticospinal tracts at the level of the internal capsule (right Z score 5·21, p=0·0081; left Z score 4·12, p=0·0004) and right cerebral peduncle (Z score 3·89, p=0·0302) and of grey matter in the left primary motor cortex (Z score 4·23, p=0·041). Volume changes were paralleled by significant reductions of MT and R1 in the same areas and beyond. Improvements in SCIM scores at 12 months were associated with a reduced loss in cross-sectional spinal cord area over 12 months (Pearson's correlation 0·77, p=0·004) and reduced white matter volume of the corticospinal tracts at the level of the right internal capsule (Z score 4·30, p=0·0021), the left internal capsule (Z score 4·27, p=0·0278), and left cerebral peduncle (Z score 4·05, p=0·0316). Improvements in ISNCSCI motor scores were associated with less white matter volume change encompassing the corticospinal tract at the level of the right internal capsule (Z score 4·01, p&lt;0·0001).\nInterpretation\nExtensive upstream atrophic and microstructural changes of corticospinal axons and sensorimotor cortical areas occur in the first months after spinal cord injury, with faster degenerative changes relating to poorer recovery. Structural volumetric and microstructural MRI protocols remote from the site of spinal cord injury could serve as neuroimaging biomarkers in acute spinal cord injury.\nFunding\nSRH Holding, Swiss National Science Foundation, Clinical Research Priority Program “NeuroRehab” University of Zurich, Wellcome Trust.","container-title":"The Lancet Neurology","DOI":"10.1016/S1474-4422(13)70146-7","ISSN":"1474-4422","issue":"9","journalAbbreviation":"The Lancet Neurology","language":"en","page":"873-881","source":"ScienceDirect","title":"MRI investigation of the sensorimotor cortex and the corticospinal tract after acute spinal cord injury: a prospective longitudinal study","title-short":"MRI investigation of the sensorimotor cortex and the corticospinal tract after acute spinal cord injury","URL":"https://www.sciencedirect.com/science/article/pii/S1474442213701467","volume":"12","author":[{"family":"Freund","given":"Patrick"},{"family":"Weiskopf","given":"Nikolaus"},{"family":"Ashburner","given":"John"},{"family":"Wolf","given":"Katharina"},{"family":"Sutter","given":"Reto"},{"family":"Altmann","given":"Daniel R"},{"family":"Friston","given":"Karl"},{"family":"Thompson","given":"Alan"},{"family":"Curt","given":"Armin"}],"accessed":{"date-parts":[["2021",8,10]]},"issued":{"date-parts":[["2013",9,1]]}}},{"id":1297,"uris":["http://zotero.org/users/5009496/items/AK7DYF9A"],"itemData":{"id":1297,"type":"article-journal","abstract":"Objective\nMultisystem iron poisoning is a major concern for long-term beta-thalassemia management. Quantitative MRI-based techniques routinely show iron overload in heart, liver, endocrine glands and kidneys. However, data on the brain are conflicting and monitoring of brain iron content is still matter of debate.\nMethods\nThis 3T-MRI study applied a well validated high-resolution whole-brain quantitative MRI assessment of iron content on 47 transfusion-dependent (mean-age: 36.9 ± 10.3 years, 63% females), 23 non-transfusion dependent (mean-age: 29.2 ± 11.7 years, 56% females) and 57 healthy controls (mean-age: 33.9 ± 10.8 years, 65% females). Clinical data, Wechsler Adult Intelligence Scale scores and treatment regimens were recorded. Beside whole-brain R2* analyses, regional R2*-values were extracted in putamen, globus pallidum, caudate nucleus, thalamus and red nucleus; hippocampal volumes were also determined.\nResults\nRegional analyses yielded no significant differences between patients and controls, except in those treated with deferiprone that showed lower R2*-values (p&lt;0.05). Whole-brain analyses of R2*-maps revealed strong age-R2* correlations (r2=0.51) in both groups and clusters of significantly increased R2*-values in beta-thalassemia patients in the hippocampal formations and around the Luschka foramina; transfusion treatment was associated with additional R2* increase in dorsal thalami. Hippocampal formation R2*-values did not correlate with hippocampal volume; hippocampal volume did not differ between patients and controls. All regions with increased R2*-values shared a strict anatomical contiguity with choroid plexuses suggesting a blooming effect as the likely cause of R2* increase, in agreement with the available histopathologic literature evidence.\nConclusion\nAccording to our MRI findings and the available histopathologic literature evidence, concerns about neural tissue iron overload in beta-thalassemia appear to be unjustified.","container-title":"NeuroImage: Clinical","DOI":"10.1016/j.nicl.2019.102058","ISSN":"2213-1582","journalAbbreviation":"NeuroImage: Clinical","language":"en","page":"102058","source":"ScienceDirect","title":"Brain iron content in systemic iron overload: A beta-thalassemia quantitative MRI study","title-short":"Brain iron content in systemic iron overload","URL":"https://www.sciencedirect.com/science/article/pii/S221315821930405X","volume":"24","author":[{"family":"Manara","given":"Renzo"},{"family":"Ponticorvo","given":"Sara"},{"family":"Tartaglione","given":"Immacolata"},{"family":"Femina","given":"Gianluca"},{"family":"Elefante","given":"Andrea"},{"family":"Russo","given":"Camilla"},{"family":"Carafa","given":"Pasquale Alessandro"},{"family":"Cirillo","given":"Mario"},{"family":"Casale","given":"Maddalena"},{"family":"Ciancio","given":"Angela"},{"family":"Di Concilio","given":"Rosanna"},{"family":"De Michele","given":"Elisa"},{"family":"Weiskopf","given":"Nikolaus"},{"family":"Di Salle","given":"Francesco"},{"family":"Perrotta","given":"Silverio"},{"family":"Esposito","given":"Fabrizio"}],"accessed":{"date-parts":[["2021",8,11]]},"issued":{"date-parts":[["2019",1,1]]}}}],"schema":"https://github.com/citation-style-language/schema/raw/master/csl-citation.json"} </w:instrText>
      </w:r>
      <w:r w:rsidR="00401EDE">
        <w:fldChar w:fldCharType="separate"/>
      </w:r>
      <w:r w:rsidR="00346CC4">
        <w:rPr>
          <w:noProof/>
        </w:rPr>
        <w:t>(Freund et al., 2013; Manara et al., 2019)</w:t>
      </w:r>
      <w:r w:rsidR="00401EDE">
        <w:fldChar w:fldCharType="end"/>
      </w:r>
      <w:r w:rsidR="007D1AA6">
        <w:t>.</w:t>
      </w:r>
      <w:r w:rsidR="00B84FF1">
        <w:t xml:space="preserve"> </w:t>
      </w:r>
      <w:r w:rsidR="00D8056E">
        <w:t xml:space="preserve">A growing number of studies use </w:t>
      </w:r>
      <w:r w:rsidR="00DC3CE1">
        <w:t>these maps</w:t>
      </w:r>
      <w:r w:rsidR="00D8056E">
        <w:t xml:space="preserve"> to understand brain-behaviour relationships </w:t>
      </w:r>
      <w:r w:rsidR="00D8056E">
        <w:fldChar w:fldCharType="begin"/>
      </w:r>
      <w:r w:rsidR="00ED5ABB">
        <w:instrText xml:space="preserve"> ADDIN ZOTERO_ITEM CSL_CITATION {"citationID":"e44wC5z6","properties":{"formattedCitation":"(Allen et al., 2017; Clark et al., 2020)","plainCitation":"(Allen et al., 2017; Clark et al., 2020)","noteIndex":0},"citationItems":[{"id":1115,"uris":["http://zotero.org/users/5009496/items/MSAR3QFF"],"itemData":{"id":1115,"type":"article-journal","abstract":"The ability to introspectively evaluate our experiences to form accurate metacognitive beliefs, or insight, is an essential component of decision-making. Previous research suggests individuals vary substantially in their level of insight, and that this variation is related to brain volume and function, particularly in the anterior prefrontal cortex (aPFC). However, the neurobiological mechanisms underlying these effects are unclear, as qualitative, macroscopic measures such as brain volume can be related to a variety of microstructural features. Here we leverage a high-resolution (800µm isotropic) multi-parameter mapping technique in 48 healthy individuals to delineate quantitative markers of in vivo histological features underlying metacognitive ability. Specifically, we examined how neuroimaging markers of local grey matter myelination and iron content relate to insight as measured by a signal-theoretic model of subjective confidence. Our results revealed a pattern of microstructural correlates of perceptual metacognition in the aPFC, precuneus, hippocampus, and visual cortices. In particular, we extend previous volumetric findings to show that right aPFC myeloarchitecture positively relates to metacognitive insight. In contrast, decreased myelination in the left hippocampus correlated with better metacognitive insight. These results highlight the ability of quantitative neuroimaging to reveal novel brain-behaviour correlates and may motivate future research on their environmental and developmental underpinnings.","container-title":"NeuroImage","DOI":"10.1016/j.neuroimage.2017.02.008","ISSN":"1053-8119","journalAbbreviation":"NeuroImage","language":"en","page":"415-423","source":"ScienceDirect","title":"Metacognitive ability correlates with hippocampal and prefrontal microstructure","URL":"http://www.sciencedirect.com/science/article/pii/S105381191730112X","volume":"149","author":[{"family":"Allen","given":"Micah"},{"family":"Glen","given":"James C."},{"family":"Müllensiefen","given":"Daniel"},{"family":"Schwarzkopf","given":"Dietrich Samuel"},{"family":"Fardo","given":"Francesca"},{"family":"Frank","given":"Darya"},{"family":"Callaghan","given":"Martina F."},{"family":"Rees","given":"Geraint"}],"accessed":{"date-parts":[["2020",11,24]]},"issued":{"date-parts":[["2017",4,1]]}}},{"id":1149,"uris":["http://zotero.org/users/5009496/items/NGGIGHFZ"],"itemData":{"id":1149,"type":"article-journal","abstract":"&lt;h3&gt;Abstract&lt;/h3&gt; &lt;p&gt;Individual differences in scene imagination, autobiographical memory recall, future thinking and spatial navigation have long been linked with hippocampal structure in healthy people, although evidence for such relationships is, in fact, mixed. Extant studies have predominantly concentrated on hippocampal volume. However, it is now possible to use quantitative neuroimaging techniques to model different properties of tissue microstructure in vivo such as myelination and iron. Here we investigated whether performance on scene imagination, autobiographical memory, future thinking and spatial navigation tasks was associated with hippocampal grey matter tissue microstructure. MRI data were collected using a multi-parameter mapping protocol from a large sample of 217 young, healthy adult participants with widely-varying task performance. We found little evidence that hippocampal grey matter tissue microstructure was related to task performance. This was the case using different analysis methods (voxel-based quantification, partial correlations), when whole brain, hippocampal regions of interest, and posterior:anterior hippocampal ratios were examined, and across different participant sub-groups (divided by gender, task performance). Variations in hippocampal grey matter tissue microstructure may not, therefore, explain individual differences in performance on hippocampal-dependent tasks in young, healthy individuals.&lt;/p&gt;","container-title":"bioRxiv","DOI":"10.1101/2020.08.18.255992","language":"en","note":"publisher: Cold Spring Harbor Laboratory\nsection: New Results","page":"2020.08.18.255992","source":"www.biorxiv.org","title":"Hippocampal grey matter tissue microstructure does not explain individual differences in hippocampal-dependent task performance","URL":"https://www.biorxiv.org/content/10.1101/2020.08.18.255992v1","author":[{"family":"Clark","given":"Ian A."},{"family":"Callaghan","given":"Martina F."},{"family":"Weiskopf","given":"Nikolaus"},{"family":"Maguire","given":"Eleanor A."}],"accessed":{"date-parts":[["2020",12,9]]},"issued":{"date-parts":[["2020",8,18]]}}}],"schema":"https://github.com/citation-style-language/schema/raw/master/csl-citation.json"} </w:instrText>
      </w:r>
      <w:r w:rsidR="00D8056E">
        <w:fldChar w:fldCharType="separate"/>
      </w:r>
      <w:r w:rsidR="00A23911">
        <w:rPr>
          <w:noProof/>
        </w:rPr>
        <w:t>(Allen et al., 2017; Clark et al., 2020)</w:t>
      </w:r>
      <w:r w:rsidR="00D8056E">
        <w:fldChar w:fldCharType="end"/>
      </w:r>
      <w:r w:rsidR="00D8056E">
        <w:t>.</w:t>
      </w:r>
      <w:r w:rsidR="00F7193A">
        <w:t xml:space="preserve"> Most recently, we have </w:t>
      </w:r>
      <w:r w:rsidR="00CE187B">
        <w:t xml:space="preserve">used </w:t>
      </w:r>
      <w:r w:rsidR="00DC3CE1">
        <w:t>MPMs</w:t>
      </w:r>
      <w:r w:rsidR="00CE187B">
        <w:t xml:space="preserve"> and found</w:t>
      </w:r>
      <w:r w:rsidR="00F7193A">
        <w:t xml:space="preserve"> elevated iron levels in the putamen and </w:t>
      </w:r>
      <w:r w:rsidR="00CE187B">
        <w:t xml:space="preserve">speech motor network in people who stutter </w:t>
      </w:r>
      <w:r w:rsidR="00F7193A">
        <w:fldChar w:fldCharType="begin"/>
      </w:r>
      <w:r w:rsidR="00563FB1">
        <w:instrText xml:space="preserve"> ADDIN ZOTERO_ITEM CSL_CITATION {"citationID":"h5zwAheF","properties":{"formattedCitation":"(Cler et al., 2021)","plainCitation":"(Cler et al., 2021)","noteIndex":0},"citationItems":[{"id":"DfcH7hvo/IdrqMmrd","uris":["http://zotero.org/users/5009496/items/4UN78MVG"],"itemData":{"id":1234,"type":"report","abstract":"Theoretical accounts of developmental stuttering implicate dysfunctional cortico-striatal-thalamo-cortical motor loops through the putamen. Analysis of conventional MRI brain scans in people who stutter has failed to yield strong support for this theory in terms of reliable differences in the structure or function of the basal ganglia, however. Here, we performed quantitative mapping of brain tissue, which can be used to measure iron content alongside markers sensitive to myelin and thereby offers particular sensitivity to the measurement of iron-rich structures such as the basal ganglia. Analysis of these quantitative maps in 41 men and women who stutter and 32 matched controls revealed significant group differences in maps of R2*, indicative of higher iron content in people who stutter than controls in the left putamen and in left hemisphere cortical regions important for speech motor control. Higher iron levels in brain tissue in people who stutter could reflect elevated dopamine levels or lysosomal dysfunction, both of which are implicated in stuttering. This study represents the first use of these quantitative measures in developmental stuttering and provides new evidence of microstructural differences in the basal ganglia and connected frontal cortical regions.","note":"DOI: 10.31219/osf.io/ypq8s\ntype: article","publisher":"OSF Preprints","source":"OSF Preprints","title":"Elevated iron concentration in putamen and cortical speech motor network in developmental stuttering","URL":"https://osf.io/ypq8s/","author":[{"family":"Cler","given":"Gabriel"},{"family":"Krishnan","given":"Saloni"},{"family":"Papp","given":"Daniel"},{"family":"Wiltshire","given":"Charlotte"},{"family":"Chesters","given":"Jennifer"},{"family":"Watkins","given":"Kate E."}],"accessed":{"date-parts":[["2021",7,26]]},"issued":{"date-parts":[["2021",3,28]]}}}],"schema":"https://github.com/citation-style-language/schema/raw/master/csl-citation.json"} </w:instrText>
      </w:r>
      <w:r w:rsidR="00F7193A">
        <w:fldChar w:fldCharType="separate"/>
      </w:r>
      <w:r w:rsidR="00F7193A">
        <w:rPr>
          <w:noProof/>
        </w:rPr>
        <w:t>(Cler et al., 2021)</w:t>
      </w:r>
      <w:r w:rsidR="00F7193A">
        <w:fldChar w:fldCharType="end"/>
      </w:r>
      <w:r w:rsidR="00F7193A">
        <w:t xml:space="preserve">. </w:t>
      </w:r>
      <w:r w:rsidR="00A02485">
        <w:t xml:space="preserve">However, </w:t>
      </w:r>
      <w:r w:rsidR="00B84FF1">
        <w:t xml:space="preserve">this novel </w:t>
      </w:r>
      <w:r w:rsidR="00DC3CE1">
        <w:t>semi</w:t>
      </w:r>
      <w:r w:rsidR="00B84FF1">
        <w:t xml:space="preserve">quantitative protocol </w:t>
      </w:r>
      <w:r w:rsidR="00D8056E">
        <w:t>has not</w:t>
      </w:r>
      <w:r w:rsidR="00CE187B">
        <w:t xml:space="preserve"> yet</w:t>
      </w:r>
      <w:r w:rsidR="00D8056E">
        <w:t xml:space="preserve"> been used to</w:t>
      </w:r>
      <w:r w:rsidR="00B84FF1">
        <w:t xml:space="preserve"> examine </w:t>
      </w:r>
      <w:r w:rsidR="00D8056E">
        <w:t>microstructure</w:t>
      </w:r>
      <w:r w:rsidR="00B84FF1">
        <w:t xml:space="preserve"> </w:t>
      </w:r>
      <w:r w:rsidR="00B84FF1">
        <w:lastRenderedPageBreak/>
        <w:t xml:space="preserve">in </w:t>
      </w:r>
      <w:r w:rsidR="00530E59">
        <w:t>children</w:t>
      </w:r>
      <w:r w:rsidR="00B84FF1">
        <w:t xml:space="preserve"> with </w:t>
      </w:r>
      <w:r w:rsidR="00DF61BF">
        <w:t>neurodevelopmental</w:t>
      </w:r>
      <w:r w:rsidR="00B84FF1">
        <w:t xml:space="preserve"> disorders.</w:t>
      </w:r>
      <w:r w:rsidR="00E5535F">
        <w:t xml:space="preserve"> A particular advantage of this protocol is that its sensitivity to </w:t>
      </w:r>
      <w:r w:rsidR="00F8393C">
        <w:t xml:space="preserve">cortical </w:t>
      </w:r>
      <w:r w:rsidR="00E5535F">
        <w:t xml:space="preserve">myelin can help distinguish two </w:t>
      </w:r>
      <w:r w:rsidR="00363E34">
        <w:t xml:space="preserve">different </w:t>
      </w:r>
      <w:r w:rsidR="00E5535F">
        <w:t xml:space="preserve">explanations of </w:t>
      </w:r>
      <w:r w:rsidR="00C9490C">
        <w:t xml:space="preserve">developmental </w:t>
      </w:r>
      <w:r w:rsidR="00E5535F">
        <w:t>change in grey matter</w:t>
      </w:r>
      <w:r w:rsidR="0086490F">
        <w:t>.</w:t>
      </w:r>
      <w:r w:rsidR="00E5535F">
        <w:t xml:space="preserve"> </w:t>
      </w:r>
      <w:r w:rsidR="00363E34">
        <w:t xml:space="preserve">Developmentally, </w:t>
      </w:r>
      <w:r w:rsidR="00F8393C">
        <w:t>cortical thinning</w:t>
      </w:r>
      <w:r w:rsidR="0086490F">
        <w:t xml:space="preserve"> indexed through grey/white</w:t>
      </w:r>
      <w:r w:rsidR="002B6EE3">
        <w:t xml:space="preserve"> matter</w:t>
      </w:r>
      <w:r w:rsidR="0086490F">
        <w:t xml:space="preserve"> contrast changes in </w:t>
      </w:r>
      <w:r w:rsidR="00363E34">
        <w:t xml:space="preserve">standard </w:t>
      </w:r>
      <w:r w:rsidR="0086490F">
        <w:t>T1</w:t>
      </w:r>
      <w:r w:rsidR="00363E34">
        <w:t>-weighted</w:t>
      </w:r>
      <w:r w:rsidR="0086490F">
        <w:t xml:space="preserve"> scans </w:t>
      </w:r>
      <w:r w:rsidR="002E6368">
        <w:t>could</w:t>
      </w:r>
      <w:r w:rsidR="0086490F">
        <w:t xml:space="preserve"> reflect </w:t>
      </w:r>
      <w:r w:rsidR="00E5535F">
        <w:t xml:space="preserve">a </w:t>
      </w:r>
      <w:r w:rsidR="0086490F">
        <w:t xml:space="preserve">loss </w:t>
      </w:r>
      <w:r w:rsidR="00E5535F">
        <w:t>in the number of connections</w:t>
      </w:r>
      <w:r w:rsidR="0086490F">
        <w:t xml:space="preserve"> within </w:t>
      </w:r>
      <w:r w:rsidR="002E6368">
        <w:t>grey matter</w:t>
      </w:r>
      <w:r w:rsidR="002B6EE3">
        <w:t xml:space="preserve">, </w:t>
      </w:r>
      <w:r w:rsidR="00F8393C">
        <w:t xml:space="preserve">i.e., </w:t>
      </w:r>
      <w:r w:rsidR="002B6EE3">
        <w:t>‘synaptic pruning’</w:t>
      </w:r>
      <w:r w:rsidR="00E5535F">
        <w:t xml:space="preserve"> </w:t>
      </w:r>
      <w:r w:rsidR="002B6EE3">
        <w:fldChar w:fldCharType="begin"/>
      </w:r>
      <w:r w:rsidR="00ED5ABB">
        <w:instrText xml:space="preserve"> ADDIN ZOTERO_ITEM CSL_CITATION {"citationID":"IkWfjPAe","properties":{"formattedCitation":"(Huttenlocher, 1979)","plainCitation":"(Huttenlocher, 1979)","noteIndex":0},"citationItems":[{"id":1300,"uris":["http://zotero.org/users/5009496/items/HZ24S5T7"],"itemData":{"id":1300,"type":"article-journal","abstract":"Density of synaptic profiles in layer 3 of middle frontal gyrus was quantitated in 21 normal human brains ranging from newborn to age 90 years. Synaptic profiles could be reliably demonstrated by the phosphotungstic acid method (Bloom and Aghajanian3) in tissue fixed up to 36 h postmortem. Synaptic density was constant throughout adult life (ages 16–72 years) with a mean of 11.05 × 108synapses/cu.mm ± 0.41 S.E.M.. There was a slight decline in synaptic density in brains of the aged (ages 74–90 years) with a mean of 9.56 × 108synapses/cu.mm ± 0.28S.E.M. in 4 samples (P &lt; 0.05). Synaptic density in neonatal brains was already high—in the range seen in adults. However, synaptic morphology differed; immature profiles had an irregular presynaptic dense band instead of the separate presynaptic projections seen in mature synapses. Synaptic density increased during infancy, reaching a maximum at age 1–2 years which was about 50% above the adult mean. The decline in synaptic density observed between ages 2–16 years was accompanied by a slight decrease in neuronal density. Human cerebral cortex is one of a number of neuronal systems in which loss of neurons and synapses appears to occur as a late developmental event.","container-title":"Brain Research","DOI":"10.1016/0006-8993(79)90349-4","ISSN":"0006-8993","issue":"2","journalAbbreviation":"Brain Research","language":"en","page":"195-205","source":"ScienceDirect","title":"Synaptic density in human frontal cortex — Developmental changes and effects of aging","URL":"https://www.sciencedirect.com/science/article/pii/0006899379903494","volume":"163","author":[{"family":"Huttenlocher","given":"Peter R."}],"accessed":{"date-parts":[["2021",8,11]]},"issued":{"date-parts":[["1979",3,16]]}}}],"schema":"https://github.com/citation-style-language/schema/raw/master/csl-citation.json"} </w:instrText>
      </w:r>
      <w:r w:rsidR="002B6EE3">
        <w:fldChar w:fldCharType="separate"/>
      </w:r>
      <w:r w:rsidR="007B7A85">
        <w:rPr>
          <w:noProof/>
        </w:rPr>
        <w:t>(Huttenlocher, 1979)</w:t>
      </w:r>
      <w:r w:rsidR="002B6EE3">
        <w:fldChar w:fldCharType="end"/>
      </w:r>
      <w:r w:rsidR="00E5535F">
        <w:t xml:space="preserve">, or </w:t>
      </w:r>
      <w:r w:rsidR="00F8393C">
        <w:t xml:space="preserve">a </w:t>
      </w:r>
      <w:r w:rsidR="0086490F">
        <w:t>gain</w:t>
      </w:r>
      <w:r w:rsidR="002E6368">
        <w:t xml:space="preserve"> in the volume of tissue</w:t>
      </w:r>
      <w:r w:rsidR="0086490F">
        <w:t xml:space="preserve"> </w:t>
      </w:r>
      <w:r w:rsidR="007B7A85">
        <w:t xml:space="preserve">through </w:t>
      </w:r>
      <w:r w:rsidR="00E5535F">
        <w:t>increase</w:t>
      </w:r>
      <w:r w:rsidR="0086490F">
        <w:t>d intra-cortical myelination</w:t>
      </w:r>
      <w:r w:rsidR="00F8393C">
        <w:t xml:space="preserve"> that appears to “whiten” the grey matter on T1-weighted images</w:t>
      </w:r>
      <w:r w:rsidR="00E5535F">
        <w:t xml:space="preserve"> </w:t>
      </w:r>
      <w:r w:rsidR="00760549">
        <w:fldChar w:fldCharType="begin"/>
      </w:r>
      <w:r w:rsidR="00ED5ABB">
        <w:instrText xml:space="preserve"> ADDIN ZOTERO_ITEM CSL_CITATION {"citationID":"evQ80hlE","properties":{"formattedCitation":"(Paus, 2005)","plainCitation":"(Paus, 2005)","noteIndex":0},"citationItems":[{"id":1294,"uris":["http://zotero.org/users/5009496/items/AE4NJ5BC"],"itemData":{"id":1294,"type":"article-journal","abstract":"Non-invasive mapping of brain structure and function with magnetic resonance imaging (MRI) has opened up unprecedented opportunities for studying the neural substrates underlying cognitive development. There is an emerging consensus of a continuous increase throughout adolescence in the volume of white matter, both global and local. There is less agreement on the meaning of asynchronous age-related decreases in the volume of grey matter in different cortical regions; these might equally represent loss (‘pruning’) or gain (intra-cortical myelination) of tissue. Functional MRI studies have so far focused mostly on executive functions, such as working memory and behavioural inhibition, with very few addressing questions regarding the maturation of social cognition. Future directions for research in this area are discussed in the context of processing biological motion and matching perceptions and actions.","container-title":"Trends in Cognitive Sciences","DOI":"10.1016/j.tics.2004.12.008","ISSN":"1364-6613","issue":"2","journalAbbreviation":"Trends in Cognitive Sciences","language":"en","page":"60-68","source":"ScienceDirect","title":"Mapping brain maturation and cognitive development during adolescence","URL":"https://www.sciencedirect.com/science/article/pii/S1364661304003201","volume":"9","author":[{"family":"Paus","given":"Tomáš"}],"accessed":{"date-parts":[["2021",8,10]]},"issued":{"date-parts":[["2005",2,1]]}}}],"schema":"https://github.com/citation-style-language/schema/raw/master/csl-citation.json"} </w:instrText>
      </w:r>
      <w:r w:rsidR="00760549">
        <w:fldChar w:fldCharType="separate"/>
      </w:r>
      <w:r w:rsidR="0086490F">
        <w:rPr>
          <w:noProof/>
        </w:rPr>
        <w:t>(Paus, 2005)</w:t>
      </w:r>
      <w:r w:rsidR="00760549">
        <w:fldChar w:fldCharType="end"/>
      </w:r>
      <w:r w:rsidR="00E5535F">
        <w:t>.</w:t>
      </w:r>
      <w:r w:rsidR="00401EDE">
        <w:t xml:space="preserve"> </w:t>
      </w:r>
      <w:r w:rsidR="0086490F">
        <w:t>Recent studies using MPM protocols have show</w:t>
      </w:r>
      <w:r w:rsidR="002E6368">
        <w:t>n</w:t>
      </w:r>
      <w:r w:rsidR="0086490F">
        <w:t xml:space="preserve"> that cortical thinning during development is associated with increased myelination rather than synaptic pruning </w:t>
      </w:r>
      <w:r w:rsidR="0086490F">
        <w:fldChar w:fldCharType="begin"/>
      </w:r>
      <w:r w:rsidR="00ED5ABB">
        <w:instrText xml:space="preserve"> ADDIN ZOTERO_ITEM CSL_CITATION {"citationID":"CvqDD7k4","properties":{"formattedCitation":"(Natu et al., 2019; Whitaker et al., 2016)","plainCitation":"(Natu et al., 2019; Whitaker et al., 2016)","noteIndex":0},"citationItems":[{"id":1290,"uris":["http://zotero.org/users/5009496/items/KFQDHBQP"],"itemData":{"id":1290,"type":"article-journal","abstract":"Human cortex appears to thin during childhood development. However, the underlying microstructural mechanisms are unknown. Using functional magnetic resonance imaging (fMRI), quantitative MRI (qMRI), and diffusion MRI (dMRI) in children and adults, we tested what quantitative changes occur to gray and white matter in ventral temporal cortex (VTC) from childhood to adulthood, and how these changes relate to cortical thinning. T1 relaxation time from qMRI and mean diffusivity (MD) from dMRI provide independent and complementary measurements of microstructural properties of gray and white matter tissue. In face- and character-selective regions in lateral VTC, T1 and MD decreased from age 5 to adulthood in mid and deep cortex, as well as in their adjacent white matter. T1 reduction also occurred longitudinally in children’s brain regions. T1 and MD decreases 1) were consistent with tissue growth related to myelination, which we verified with adult histological myelin stains, and 2) were correlated with apparent cortical thinning. In contrast, in place-selective cortex in medial VTC, we found no development of T1 or MD after age 5, and thickness was related to cortical morphology. These findings suggest that lateral VTC likely becomes more myelinated from childhood to adulthood, affecting the contrast of MR images and, in turn, the apparent gray–white boundary. These findings are important because they suggest that VTC does not thin during childhood but instead gets more myelinated. Our data have broad ramifications for understanding both typical and atypical brain development using advanced in vivo quantitative measurements and clinical conditions implicating myelin.","container-title":"Proceedings of the National Academy of Sciences","DOI":"10.1073/pnas.1904931116","ISSN":"0027-8424, 1091-6490","issue":"41","journalAbbreviation":"PNAS","language":"en","note":"publisher: National Academy of Sciences\nsection: PNAS Plus\nPMID: 31548375","page":"20750-20759","source":"www.pnas.org","title":"Apparent thinning of human visual cortex during childhood is associated with myelination","URL":"https://www.pnas.org/content/116/41/20750","volume":"116","author":[{"family":"Natu","given":"Vaidehi S."},{"family":"Gomez","given":"Jesse"},{"family":"Barnett","given":"Michael"},{"family":"Jeska","given":"Brianna"},{"family":"Kirilina","given":"Evgeniya"},{"family":"Jaeger","given":"Carsten"},{"family":"Zhen","given":"Zonglei"},{"family":"Cox","given":"Siobhan"},{"family":"Weiner","given":"Kevin S."},{"family":"Weiskopf","given":"Nikolaus"},{"family":"Grill-Spector","given":"Kalanit"}],"accessed":{"date-parts":[["2021",8,10]]},"issued":{"date-parts":[["2019",10,8]]}}},{"id":1120,"uris":["http://zotero.org/users/5009496/items/7EF7RPX4"],"itemData":{"id":1120,"type":"article-journal","container-title":"Proceedings of the National Academy of Sciences","DOI":"10.1073/pnas.1601745113","ISSN":"0027-8424, 1091-6490","issue":"32","language":"en","page":"9105-9110","source":"Crossref","title":"Adolescence is associated with genomically patterned consolidation of the hubs of the human brain connectome","URL":"http://www.pnas.org/lookup/doi/10.1073/pnas.1601745113","volume":"113","author":[{"family":"Whitaker","given":"Kirstie J."},{"family":"Vértes","given":"Petra E."},{"family":"Romero-Garcia","given":"Rafael"},{"family":"Váša","given":"František"},{"family":"Moutoussis","given":"Michael"},{"family":"Prabhu","given":"Gita"},{"family":"Weiskopf","given":"Nikolaus"},{"family":"Callaghan","given":"Martina F."},{"family":"Wagstyl","given":"Konrad"},{"family":"Rittman","given":"Timothy"},{"family":"Tait","given":"Roger"},{"family":"Ooi","given":"Cinly"},{"family":"Suckling","given":"John"},{"family":"Inkster","given":"Becky"},{"family":"Fonagy","given":"Peter"},{"family":"Dolan","given":"Raymond J."},{"family":"Jones","given":"Peter B."},{"family":"Goodyer","given":"Ian M."},{"literal":"the NSPN Consortium"},{"family":"Bullmore","given":"Edward T."}],"accessed":{"date-parts":[["2020",11,24]]},"issued":{"date-parts":[["2016",8,9]]}}}],"schema":"https://github.com/citation-style-language/schema/raw/master/csl-citation.json"} </w:instrText>
      </w:r>
      <w:r w:rsidR="0086490F">
        <w:fldChar w:fldCharType="separate"/>
      </w:r>
      <w:r w:rsidR="0086490F">
        <w:rPr>
          <w:noProof/>
        </w:rPr>
        <w:t>(Natu et al., 2019; Whitaker et al., 2016)</w:t>
      </w:r>
      <w:r w:rsidR="0086490F">
        <w:fldChar w:fldCharType="end"/>
      </w:r>
      <w:r w:rsidR="00C42360">
        <w:t>.</w:t>
      </w:r>
    </w:p>
    <w:p w14:paraId="1D79A8A9" w14:textId="5F48159D" w:rsidR="00A72090" w:rsidRDefault="00A72090" w:rsidP="00A72090">
      <w:pPr>
        <w:spacing w:line="360" w:lineRule="auto"/>
        <w:jc w:val="both"/>
      </w:pPr>
    </w:p>
    <w:p w14:paraId="59467DDA" w14:textId="4AB5D28C" w:rsidR="001240D9" w:rsidRPr="001240D9" w:rsidRDefault="00A72090" w:rsidP="001240D9">
      <w:pPr>
        <w:spacing w:line="360" w:lineRule="auto"/>
        <w:jc w:val="both"/>
      </w:pPr>
      <w:r>
        <w:t xml:space="preserve">In the present study, we </w:t>
      </w:r>
      <w:r w:rsidR="00A02485">
        <w:t>use</w:t>
      </w:r>
      <w:r w:rsidR="000077DD">
        <w:t>d</w:t>
      </w:r>
      <w:r w:rsidR="00A02485">
        <w:t xml:space="preserve"> </w:t>
      </w:r>
      <w:r w:rsidR="000411D1">
        <w:t>the MPM quantitative imaging protocol</w:t>
      </w:r>
      <w:r w:rsidR="000411D1" w:rsidDel="000411D1">
        <w:t xml:space="preserve"> </w:t>
      </w:r>
      <w:r w:rsidR="00A02485">
        <w:t>to map contrast parameters</w:t>
      </w:r>
      <w:r w:rsidR="00D8056E">
        <w:t xml:space="preserve"> (R1, R2* and MTsat)</w:t>
      </w:r>
      <w:r w:rsidR="006D7AB4">
        <w:t xml:space="preserve"> </w:t>
      </w:r>
      <w:r w:rsidR="00A02485">
        <w:t xml:space="preserve">in </w:t>
      </w:r>
      <w:r w:rsidR="006D7AB4">
        <w:t xml:space="preserve">typically developing </w:t>
      </w:r>
      <w:r w:rsidR="00A02485">
        <w:t xml:space="preserve">children </w:t>
      </w:r>
      <w:r w:rsidR="006D7AB4">
        <w:t xml:space="preserve">and those with </w:t>
      </w:r>
      <w:r w:rsidR="00A02485">
        <w:t xml:space="preserve">DLD.  </w:t>
      </w:r>
      <w:r w:rsidR="00C61B41">
        <w:t xml:space="preserve">Based on our previous studies </w:t>
      </w:r>
      <w:r w:rsidR="00C61B41">
        <w:fldChar w:fldCharType="begin"/>
      </w:r>
      <w:r w:rsidR="00995C1F">
        <w:instrText xml:space="preserve"> ADDIN ZOTERO_ITEM CSL_CITATION {"citationID":"4BQjT9SD","properties":{"formattedCitation":"(Badcock et al., 2012; Watkins, Vargha\\uc0\\u8208{}Khadem, et al., 2002)","plainCitation":"(Badcock et al., 2012; Watkins, Vargha‐Khadem, et al., 2002)","noteIndex":0},"citationItems":[{"id":112,"uris":["http://zotero.org/users/5009496/items/QFZKQJX9"],"itemData":{"id":112,"type":"article-journal","abstract":"We assessed the relationship between brain structure and function in 10 individuals with specific language impairment (SLI), compared to six unaffected siblings, and 16 unrelated control participants with typical language. Voxel-based morphometry indicated that grey matter in the SLI group, relative to controls, was increased in the left inferior frontal cortex and decreased in the right caudate nucleus and superior temporal cortex bilaterally. The unaffected siblings also showed reduced grey matter in the caudate nucleus relative to controls. In an auditory covert naming task, the SLI group showed reduced activation in the left inferior frontal cortex, right putamen, and in the superior temporal cortex bilaterally. Despite spatially coincident structural and functional abnormalities in frontal and temporal areas, the relationships between structure and function in these regions were different. These findings suggest multiple structural and functional abnormalities in SLI that are differently associated with receptive and expressive language processing.","container-title":"Brain and Language","DOI":"10.1016/j.bandl.2011.10.006","ISSN":"1090-2155","issue":"3","journalAbbreviation":"Brain Lang","language":"eng","note":"PMID: 22137677\nPMCID: PMC3315677","page":"310-320","source":"PubMed","title":"Co-localisation of abnormal brain structure and function in specific language impairment","volume":"120","author":[{"family":"Badcock","given":"Nicholas A."},{"family":"Bishop","given":"Dorothy V. M."},{"family":"Hardiman","given":"Mervyn J."},{"family":"Barry","given":"Johanna G."},{"family":"Watkins","given":"Kate E."}],"issued":{"date-parts":[["2012",3]]}}},{"id":27,"uris":["http://zotero.org/users/5009496/items/9GQ6JRRQ"],"itemData":{"id":27,"type":"article-journal","abstract":"Abstract.  Analyses of brain structure in genetic speech and language disorders provide an opportunity to identify neurobiological phenotypes and further elucid","container-title":"Brain","DOI":"10.1093/brain/awf057","ISSN":"0006-8950","issue":"3","journalAbbreviation":"Brain","language":"en","page":"465-478","source":"academic.oup.com","title":"MRI analysis of an inherited speech and language disorder: structural brain abnormalities","title-short":"MRI analysis of an inherited speech and language disorder","URL":"https://academic.oup.com/brain/article/125/3/465/519110","volume":"125","author":[{"family":"Watkins","given":"K. E."},{"family":"Vargha‐Khadem","given":"F."},{"family":"Ashburner","given":"J."},{"family":"Passingham","given":"R. E."},{"family":"Connelly","given":"A."},{"family":"Friston","given":"K. J."},{"family":"Frackowiak","given":"R. S. J."},{"family":"Mishkin","given":"M."},{"family":"Gadian","given":"D. G."}],"accessed":{"date-parts":[["2018",7,3]]},"issued":{"date-parts":[["2002",3,1]]}}}],"schema":"https://github.com/citation-style-language/schema/raw/master/csl-citation.json"} </w:instrText>
      </w:r>
      <w:r w:rsidR="00C61B41">
        <w:fldChar w:fldCharType="separate"/>
      </w:r>
      <w:r w:rsidR="00995C1F" w:rsidRPr="00995C1F">
        <w:t>(Badcock et al., 2012; Watkins, Vargha‐Khadem, et al., 2002)</w:t>
      </w:r>
      <w:r w:rsidR="00C61B41">
        <w:fldChar w:fldCharType="end"/>
      </w:r>
      <w:r w:rsidR="00C61B41">
        <w:t>, w</w:t>
      </w:r>
      <w:r w:rsidR="009B26AF">
        <w:t>e hypothesise</w:t>
      </w:r>
      <w:r w:rsidR="000077DD">
        <w:t>d</w:t>
      </w:r>
      <w:r>
        <w:t xml:space="preserve"> that the</w:t>
      </w:r>
      <w:r w:rsidR="009B26AF">
        <w:t xml:space="preserve">se indices </w:t>
      </w:r>
      <w:r w:rsidR="000077DD">
        <w:t xml:space="preserve">would </w:t>
      </w:r>
      <w:r w:rsidR="009B26AF">
        <w:t>reveal that the</w:t>
      </w:r>
      <w:r>
        <w:t xml:space="preserve"> microstructure of </w:t>
      </w:r>
      <w:r w:rsidR="003638B6">
        <w:t>i</w:t>
      </w:r>
      <w:r>
        <w:t>)</w:t>
      </w:r>
      <w:r w:rsidR="00463E87">
        <w:t xml:space="preserve"> </w:t>
      </w:r>
      <w:r w:rsidR="00184E66">
        <w:t xml:space="preserve">the </w:t>
      </w:r>
      <w:r w:rsidR="008C4625">
        <w:t>dorsal striatum (the caudate nuclei and the putamen)</w:t>
      </w:r>
      <w:r>
        <w:t xml:space="preserve"> and </w:t>
      </w:r>
      <w:r w:rsidR="003638B6">
        <w:t>ii</w:t>
      </w:r>
      <w:r>
        <w:t xml:space="preserve">) the left inferior frontal gyrus </w:t>
      </w:r>
      <w:r w:rsidR="000077DD">
        <w:t xml:space="preserve">was </w:t>
      </w:r>
      <w:r w:rsidR="00A95FD5">
        <w:t>altered</w:t>
      </w:r>
      <w:r>
        <w:t xml:space="preserve"> in those with DLD.</w:t>
      </w:r>
    </w:p>
    <w:p w14:paraId="5E751DBD" w14:textId="77777777" w:rsidR="00351F5E" w:rsidRDefault="00351F5E" w:rsidP="001240D9">
      <w:pPr>
        <w:spacing w:line="360" w:lineRule="auto"/>
        <w:jc w:val="both"/>
        <w:rPr>
          <w:color w:val="292526"/>
        </w:rPr>
      </w:pPr>
    </w:p>
    <w:p w14:paraId="03B5DCEA" w14:textId="4AA25511" w:rsidR="001240D9" w:rsidRDefault="00A72090" w:rsidP="00A22539">
      <w:pPr>
        <w:spacing w:line="360" w:lineRule="auto"/>
        <w:jc w:val="both"/>
        <w:rPr>
          <w:b/>
          <w:bCs/>
          <w:color w:val="292526"/>
          <w:sz w:val="28"/>
          <w:szCs w:val="28"/>
        </w:rPr>
      </w:pPr>
      <w:r w:rsidRPr="0041245B">
        <w:rPr>
          <w:b/>
          <w:bCs/>
          <w:color w:val="292526"/>
          <w:sz w:val="28"/>
          <w:szCs w:val="28"/>
        </w:rPr>
        <w:t>Results</w:t>
      </w:r>
    </w:p>
    <w:p w14:paraId="0615B850" w14:textId="10C34912" w:rsidR="00E80C44" w:rsidRDefault="00E80C44" w:rsidP="00A22539">
      <w:pPr>
        <w:spacing w:line="360" w:lineRule="auto"/>
        <w:jc w:val="both"/>
        <w:rPr>
          <w:b/>
          <w:bCs/>
          <w:i/>
          <w:iCs/>
          <w:color w:val="292526"/>
        </w:rPr>
      </w:pPr>
    </w:p>
    <w:p w14:paraId="410401D5" w14:textId="21DAEF2F" w:rsidR="00632FEF" w:rsidRPr="00E31C73" w:rsidRDefault="00F47CF8" w:rsidP="00E31C73">
      <w:pPr>
        <w:spacing w:line="360" w:lineRule="auto"/>
        <w:jc w:val="both"/>
        <w:rPr>
          <w:color w:val="292526"/>
        </w:rPr>
      </w:pPr>
      <w:r>
        <w:rPr>
          <w:color w:val="292526"/>
        </w:rPr>
        <w:t xml:space="preserve">As part of the Oxford BOLD study, </w:t>
      </w:r>
      <w:r w:rsidR="009633B9">
        <w:rPr>
          <w:color w:val="292526"/>
        </w:rPr>
        <w:t xml:space="preserve">we collected brain </w:t>
      </w:r>
      <w:r w:rsidR="00F92E7A">
        <w:rPr>
          <w:color w:val="292526"/>
        </w:rPr>
        <w:t xml:space="preserve">imaging </w:t>
      </w:r>
      <w:r w:rsidR="009633B9">
        <w:rPr>
          <w:color w:val="292526"/>
        </w:rPr>
        <w:t>data from 162 children between the ages of 10-15</w:t>
      </w:r>
      <w:r w:rsidR="00F92E7A">
        <w:rPr>
          <w:color w:val="292526"/>
        </w:rPr>
        <w:t xml:space="preserve"> years</w:t>
      </w:r>
      <w:r w:rsidR="009633B9">
        <w:rPr>
          <w:color w:val="292526"/>
        </w:rPr>
        <w:t>, as well as performing a detailed</w:t>
      </w:r>
      <w:r>
        <w:rPr>
          <w:color w:val="292526"/>
        </w:rPr>
        <w:t xml:space="preserve"> </w:t>
      </w:r>
      <w:r w:rsidR="009633B9">
        <w:rPr>
          <w:color w:val="292526"/>
        </w:rPr>
        <w:t>characterisation of their language and cognitive skills</w:t>
      </w:r>
      <w:r>
        <w:rPr>
          <w:color w:val="292526"/>
        </w:rPr>
        <w:t xml:space="preserve">. </w:t>
      </w:r>
      <w:r w:rsidR="009633B9">
        <w:rPr>
          <w:color w:val="292526"/>
        </w:rPr>
        <w:t>All children in the study had a nonverbal IQ &gt; 70. Children were categorised as DLD if they scored 1SD below the mean on two or more language tests</w:t>
      </w:r>
      <w:r w:rsidR="00F821CE">
        <w:rPr>
          <w:color w:val="292526"/>
        </w:rPr>
        <w:t xml:space="preserve"> (N=57), and typically </w:t>
      </w:r>
      <w:r w:rsidR="00F821CE">
        <w:rPr>
          <w:color w:val="292526"/>
        </w:rPr>
        <w:lastRenderedPageBreak/>
        <w:t>developing (N=77) if they scored +/- 1 SD of the mean on language tests</w:t>
      </w:r>
      <w:r w:rsidR="00BB5B43">
        <w:rPr>
          <w:color w:val="292526"/>
        </w:rPr>
        <w:t xml:space="preserve"> (see Methods for more detail)</w:t>
      </w:r>
      <w:r w:rsidR="009633B9">
        <w:rPr>
          <w:color w:val="292526"/>
        </w:rPr>
        <w:t xml:space="preserve">. </w:t>
      </w:r>
      <w:r w:rsidR="00CD310F" w:rsidRPr="003C74B0">
        <w:rPr>
          <w:color w:val="292526"/>
        </w:rPr>
        <w:t xml:space="preserve">Behavioural testing in a further </w:t>
      </w:r>
      <w:r w:rsidR="00F821CE">
        <w:rPr>
          <w:color w:val="292526"/>
        </w:rPr>
        <w:t>28</w:t>
      </w:r>
      <w:r w:rsidR="00CD310F" w:rsidRPr="003C74B0">
        <w:rPr>
          <w:color w:val="292526"/>
        </w:rPr>
        <w:t xml:space="preserve"> revealed that they did not meet our criteria for DLD but presented with a history of speech and language problems (HSL). After quality control, we retained MPM data from 109 of these children, including 56 typically developing children, 33 children with DLD and 20 children with HSL. The children in the HSL group were excluded from comparisons of TD and DLD, but were included in continuous analyses which allow us to examine language variability.</w:t>
      </w:r>
      <w:r w:rsidR="00E31C73">
        <w:rPr>
          <w:color w:val="292526"/>
        </w:rPr>
        <w:t xml:space="preserve"> </w:t>
      </w:r>
      <w:r w:rsidR="00941B7E">
        <w:rPr>
          <w:color w:val="292526"/>
        </w:rPr>
        <w:t>The three</w:t>
      </w:r>
      <w:r w:rsidR="006B389D">
        <w:rPr>
          <w:color w:val="292526"/>
        </w:rPr>
        <w:t xml:space="preserve"> </w:t>
      </w:r>
      <w:r w:rsidR="00941B7E">
        <w:rPr>
          <w:color w:val="292526"/>
        </w:rPr>
        <w:t>groups (TD, HSL,</w:t>
      </w:r>
      <w:r w:rsidR="00E31C73">
        <w:rPr>
          <w:color w:val="292526"/>
        </w:rPr>
        <w:t xml:space="preserve"> </w:t>
      </w:r>
      <w:r w:rsidR="00941B7E">
        <w:rPr>
          <w:color w:val="292526"/>
        </w:rPr>
        <w:t>and DLD) did not differ in in terms of age (see Table 1</w:t>
      </w:r>
      <w:r w:rsidR="00CD310F">
        <w:rPr>
          <w:color w:val="292526"/>
        </w:rPr>
        <w:t>)</w:t>
      </w:r>
      <w:r w:rsidR="00941B7E">
        <w:rPr>
          <w:color w:val="292526"/>
        </w:rPr>
        <w:t xml:space="preserve"> </w:t>
      </w:r>
    </w:p>
    <w:p w14:paraId="6916742F" w14:textId="77777777" w:rsidR="00E31C73" w:rsidRDefault="00E31C73" w:rsidP="00632FEF">
      <w:pPr>
        <w:spacing w:line="276" w:lineRule="auto"/>
        <w:jc w:val="both"/>
        <w:rPr>
          <w:b/>
          <w:bCs/>
          <w:i/>
          <w:iCs/>
          <w:color w:val="292526"/>
        </w:rPr>
      </w:pPr>
    </w:p>
    <w:p w14:paraId="380E70A4" w14:textId="77777777" w:rsidR="00E31C73" w:rsidRDefault="00E31C73" w:rsidP="00632FEF">
      <w:pPr>
        <w:spacing w:line="276" w:lineRule="auto"/>
        <w:jc w:val="both"/>
        <w:rPr>
          <w:b/>
          <w:bCs/>
          <w:i/>
          <w:iCs/>
          <w:color w:val="292526"/>
        </w:rPr>
      </w:pPr>
    </w:p>
    <w:p w14:paraId="20041BF6" w14:textId="16398776" w:rsidR="00632FEF" w:rsidRDefault="00632FEF" w:rsidP="00632FEF">
      <w:pPr>
        <w:spacing w:line="276" w:lineRule="auto"/>
        <w:jc w:val="both"/>
        <w:rPr>
          <w:rStyle w:val="apple-converted-space"/>
          <w:color w:val="323232"/>
        </w:rPr>
      </w:pPr>
      <w:r w:rsidRPr="00FA15CC">
        <w:rPr>
          <w:b/>
          <w:bCs/>
          <w:i/>
          <w:iCs/>
          <w:color w:val="292526"/>
        </w:rPr>
        <w:t>Table 1</w:t>
      </w:r>
      <w:r w:rsidRPr="00496A94">
        <w:rPr>
          <w:b/>
          <w:bCs/>
          <w:color w:val="292526"/>
        </w:rPr>
        <w:t>.</w:t>
      </w:r>
      <w:r w:rsidRPr="00290AFD">
        <w:rPr>
          <w:b/>
          <w:bCs/>
          <w:color w:val="292526"/>
        </w:rPr>
        <w:t xml:space="preserve"> </w:t>
      </w:r>
      <w:r w:rsidRPr="00290AFD">
        <w:rPr>
          <w:color w:val="292526"/>
        </w:rPr>
        <w:t xml:space="preserve">Descriptive Data for the Typically Developing (TD), Developmental Language Disorder (DLD), and History of Speech and Language Difficulties (HSL) groups. </w:t>
      </w:r>
      <w:r w:rsidRPr="00290AFD">
        <w:rPr>
          <w:color w:val="323232"/>
        </w:rPr>
        <w:t xml:space="preserve">Means are shown below, with standard deviations in parentheses. </w:t>
      </w:r>
      <w:r w:rsidR="00D73444">
        <w:rPr>
          <w:color w:val="323232"/>
        </w:rPr>
        <w:t xml:space="preserve">Language proficiency and memory </w:t>
      </w:r>
      <w:r w:rsidR="009E7FA3">
        <w:rPr>
          <w:color w:val="323232"/>
        </w:rPr>
        <w:t xml:space="preserve">factor </w:t>
      </w:r>
      <w:r w:rsidR="00D73444">
        <w:rPr>
          <w:color w:val="323232"/>
        </w:rPr>
        <w:t xml:space="preserve">scores are derived from a factor analysis (for a full description, see Krishnan et al., 2021). Nonverbal IQ is a scaled score (M = 10, SD =3) representing an average of performance on block design and matrix reasoning tasks. </w:t>
      </w:r>
      <w:r w:rsidRPr="00290AFD">
        <w:rPr>
          <w:color w:val="323232"/>
        </w:rPr>
        <w:t>The last column shows whether there were significant group differences when using t-tests (</w:t>
      </w:r>
      <w:r w:rsidRPr="00290AFD">
        <w:rPr>
          <w:rStyle w:val="Emphasis"/>
          <w:color w:val="323232"/>
        </w:rPr>
        <w:t>p</w:t>
      </w:r>
      <w:r w:rsidRPr="00290AFD">
        <w:rPr>
          <w:color w:val="323232"/>
        </w:rPr>
        <w:t> &lt; .05), no correction for multiple comparisons is applied.</w:t>
      </w:r>
      <w:r w:rsidRPr="00290AFD">
        <w:rPr>
          <w:rStyle w:val="apple-converted-space"/>
          <w:color w:val="323232"/>
        </w:rPr>
        <w:t> </w:t>
      </w:r>
    </w:p>
    <w:p w14:paraId="3F7BF0E1" w14:textId="10D4C301" w:rsidR="00632FEF" w:rsidRDefault="00632FEF" w:rsidP="00A22539">
      <w:pPr>
        <w:spacing w:line="360" w:lineRule="auto"/>
        <w:jc w:val="both"/>
        <w:rPr>
          <w:color w:val="292526"/>
        </w:rPr>
      </w:pPr>
    </w:p>
    <w:tbl>
      <w:tblPr>
        <w:tblStyle w:val="TableGrid"/>
        <w:tblW w:w="0" w:type="auto"/>
        <w:tblLook w:val="04A0" w:firstRow="1" w:lastRow="0" w:firstColumn="1" w:lastColumn="0" w:noHBand="0" w:noVBand="1"/>
      </w:tblPr>
      <w:tblGrid>
        <w:gridCol w:w="3154"/>
        <w:gridCol w:w="1110"/>
        <w:gridCol w:w="1121"/>
        <w:gridCol w:w="1036"/>
        <w:gridCol w:w="2589"/>
      </w:tblGrid>
      <w:tr w:rsidR="00632FEF" w:rsidRPr="0037479E" w14:paraId="734A9015" w14:textId="77777777" w:rsidTr="00394443">
        <w:tc>
          <w:tcPr>
            <w:tcW w:w="3256" w:type="dxa"/>
          </w:tcPr>
          <w:p w14:paraId="2070AA00" w14:textId="77777777" w:rsidR="00632FEF" w:rsidRDefault="00632FEF" w:rsidP="00394443">
            <w:pPr>
              <w:spacing w:line="360" w:lineRule="auto"/>
              <w:jc w:val="both"/>
              <w:rPr>
                <w:b/>
                <w:bCs/>
                <w:color w:val="292526"/>
              </w:rPr>
            </w:pPr>
          </w:p>
        </w:tc>
        <w:tc>
          <w:tcPr>
            <w:tcW w:w="992" w:type="dxa"/>
          </w:tcPr>
          <w:p w14:paraId="1D369759" w14:textId="77777777" w:rsidR="00632FEF" w:rsidRPr="003F3EEB" w:rsidRDefault="00632FEF" w:rsidP="00394443">
            <w:pPr>
              <w:spacing w:line="360" w:lineRule="auto"/>
              <w:jc w:val="both"/>
              <w:rPr>
                <w:b/>
                <w:bCs/>
                <w:i/>
                <w:iCs/>
                <w:color w:val="292526"/>
              </w:rPr>
            </w:pPr>
            <w:r w:rsidRPr="003F3EEB">
              <w:rPr>
                <w:b/>
                <w:bCs/>
                <w:i/>
                <w:iCs/>
                <w:color w:val="292526"/>
              </w:rPr>
              <w:t>TD</w:t>
            </w:r>
          </w:p>
        </w:tc>
        <w:tc>
          <w:tcPr>
            <w:tcW w:w="1122" w:type="dxa"/>
          </w:tcPr>
          <w:p w14:paraId="5258E089" w14:textId="77777777" w:rsidR="00632FEF" w:rsidRPr="003F3EEB" w:rsidRDefault="00632FEF" w:rsidP="00394443">
            <w:pPr>
              <w:spacing w:line="360" w:lineRule="auto"/>
              <w:jc w:val="both"/>
              <w:rPr>
                <w:b/>
                <w:bCs/>
                <w:i/>
                <w:iCs/>
                <w:color w:val="292526"/>
              </w:rPr>
            </w:pPr>
            <w:r w:rsidRPr="003F3EEB">
              <w:rPr>
                <w:b/>
                <w:bCs/>
                <w:i/>
                <w:iCs/>
                <w:color w:val="292526"/>
              </w:rPr>
              <w:t>DLD</w:t>
            </w:r>
          </w:p>
        </w:tc>
        <w:tc>
          <w:tcPr>
            <w:tcW w:w="1004" w:type="dxa"/>
          </w:tcPr>
          <w:p w14:paraId="36AAD23E" w14:textId="77777777" w:rsidR="00632FEF" w:rsidRPr="0037479E" w:rsidRDefault="00632FEF" w:rsidP="00394443">
            <w:pPr>
              <w:spacing w:line="360" w:lineRule="auto"/>
              <w:jc w:val="both"/>
              <w:rPr>
                <w:b/>
                <w:bCs/>
                <w:i/>
                <w:iCs/>
                <w:color w:val="292526"/>
              </w:rPr>
            </w:pPr>
            <w:r>
              <w:rPr>
                <w:b/>
                <w:bCs/>
                <w:i/>
                <w:iCs/>
                <w:color w:val="292526"/>
              </w:rPr>
              <w:t>HSL</w:t>
            </w:r>
          </w:p>
        </w:tc>
        <w:tc>
          <w:tcPr>
            <w:tcW w:w="2636" w:type="dxa"/>
          </w:tcPr>
          <w:p w14:paraId="525072A2" w14:textId="77777777" w:rsidR="00632FEF" w:rsidRPr="0037479E" w:rsidRDefault="00632FEF" w:rsidP="00394443">
            <w:pPr>
              <w:spacing w:line="360" w:lineRule="auto"/>
              <w:jc w:val="both"/>
              <w:rPr>
                <w:b/>
                <w:bCs/>
                <w:i/>
                <w:iCs/>
                <w:color w:val="292526"/>
              </w:rPr>
            </w:pPr>
            <w:r>
              <w:rPr>
                <w:b/>
                <w:bCs/>
                <w:i/>
                <w:iCs/>
                <w:color w:val="292526"/>
              </w:rPr>
              <w:t>Group differences</w:t>
            </w:r>
          </w:p>
        </w:tc>
      </w:tr>
      <w:tr w:rsidR="00632FEF" w:rsidRPr="00290AFD" w14:paraId="4BC7575D" w14:textId="77777777" w:rsidTr="00394443">
        <w:tc>
          <w:tcPr>
            <w:tcW w:w="3256" w:type="dxa"/>
          </w:tcPr>
          <w:p w14:paraId="0E8670AA" w14:textId="6E4C5F26" w:rsidR="00632FEF" w:rsidRPr="003F3EEB" w:rsidRDefault="00632FEF" w:rsidP="00394443">
            <w:pPr>
              <w:spacing w:line="360" w:lineRule="auto"/>
              <w:jc w:val="both"/>
              <w:rPr>
                <w:color w:val="292526"/>
              </w:rPr>
            </w:pPr>
            <w:r>
              <w:rPr>
                <w:color w:val="292526"/>
              </w:rPr>
              <w:t>Age</w:t>
            </w:r>
            <w:r w:rsidR="008A7463">
              <w:rPr>
                <w:color w:val="292526"/>
              </w:rPr>
              <w:t xml:space="preserve"> (years)</w:t>
            </w:r>
          </w:p>
        </w:tc>
        <w:tc>
          <w:tcPr>
            <w:tcW w:w="992" w:type="dxa"/>
          </w:tcPr>
          <w:p w14:paraId="569CE71F" w14:textId="77777777" w:rsidR="00632FEF" w:rsidRDefault="00632FEF" w:rsidP="00394443">
            <w:pPr>
              <w:spacing w:line="360" w:lineRule="auto"/>
              <w:jc w:val="both"/>
              <w:rPr>
                <w:color w:val="292526"/>
              </w:rPr>
            </w:pPr>
            <w:r>
              <w:rPr>
                <w:color w:val="292526"/>
              </w:rPr>
              <w:t>12.41</w:t>
            </w:r>
          </w:p>
          <w:p w14:paraId="5C5B8765" w14:textId="77777777" w:rsidR="00632FEF" w:rsidRPr="003F3EEB" w:rsidRDefault="00632FEF" w:rsidP="00394443">
            <w:pPr>
              <w:spacing w:line="360" w:lineRule="auto"/>
              <w:jc w:val="both"/>
              <w:rPr>
                <w:color w:val="292526"/>
              </w:rPr>
            </w:pPr>
            <w:r>
              <w:rPr>
                <w:color w:val="292526"/>
              </w:rPr>
              <w:t>(1.62)</w:t>
            </w:r>
          </w:p>
        </w:tc>
        <w:tc>
          <w:tcPr>
            <w:tcW w:w="1122" w:type="dxa"/>
          </w:tcPr>
          <w:p w14:paraId="3E66268D" w14:textId="77777777" w:rsidR="00632FEF" w:rsidRPr="003F3EEB" w:rsidRDefault="00632FEF" w:rsidP="00394443">
            <w:pPr>
              <w:spacing w:line="360" w:lineRule="auto"/>
              <w:jc w:val="both"/>
              <w:rPr>
                <w:color w:val="292526"/>
              </w:rPr>
            </w:pPr>
            <w:r>
              <w:rPr>
                <w:color w:val="292526"/>
              </w:rPr>
              <w:t>12.48 (1.80)</w:t>
            </w:r>
          </w:p>
        </w:tc>
        <w:tc>
          <w:tcPr>
            <w:tcW w:w="1004" w:type="dxa"/>
          </w:tcPr>
          <w:p w14:paraId="6FE1C889" w14:textId="77777777" w:rsidR="00632FEF" w:rsidRDefault="00632FEF" w:rsidP="00394443">
            <w:pPr>
              <w:spacing w:line="360" w:lineRule="auto"/>
              <w:jc w:val="both"/>
              <w:rPr>
                <w:color w:val="292526"/>
              </w:rPr>
            </w:pPr>
            <w:r w:rsidRPr="008A4724">
              <w:rPr>
                <w:color w:val="292526"/>
              </w:rPr>
              <w:t>12.4</w:t>
            </w:r>
            <w:r>
              <w:rPr>
                <w:color w:val="292526"/>
              </w:rPr>
              <w:t>0</w:t>
            </w:r>
          </w:p>
          <w:p w14:paraId="43D71D64" w14:textId="77777777" w:rsidR="00632FEF" w:rsidRPr="00496A94" w:rsidRDefault="00632FEF" w:rsidP="00394443">
            <w:pPr>
              <w:spacing w:line="360" w:lineRule="auto"/>
              <w:jc w:val="both"/>
              <w:rPr>
                <w:color w:val="292526"/>
              </w:rPr>
            </w:pPr>
            <w:r>
              <w:rPr>
                <w:color w:val="292526"/>
              </w:rPr>
              <w:t>(1.67)</w:t>
            </w:r>
          </w:p>
        </w:tc>
        <w:tc>
          <w:tcPr>
            <w:tcW w:w="2636" w:type="dxa"/>
          </w:tcPr>
          <w:p w14:paraId="2E8F5547" w14:textId="77777777" w:rsidR="00632FEF" w:rsidRPr="00290AFD" w:rsidRDefault="00632FEF" w:rsidP="00394443">
            <w:pPr>
              <w:spacing w:line="360" w:lineRule="auto"/>
              <w:jc w:val="both"/>
              <w:rPr>
                <w:color w:val="292526"/>
              </w:rPr>
            </w:pPr>
            <w:r w:rsidRPr="00290AFD">
              <w:rPr>
                <w:color w:val="292526"/>
              </w:rPr>
              <w:t>None</w:t>
            </w:r>
          </w:p>
        </w:tc>
      </w:tr>
      <w:tr w:rsidR="00632FEF" w:rsidRPr="00290AFD" w14:paraId="31EE8F62" w14:textId="77777777" w:rsidTr="00394443">
        <w:tc>
          <w:tcPr>
            <w:tcW w:w="3256" w:type="dxa"/>
          </w:tcPr>
          <w:p w14:paraId="396F6B12" w14:textId="77777777" w:rsidR="00632FEF" w:rsidRDefault="00632FEF" w:rsidP="00394443">
            <w:pPr>
              <w:spacing w:line="360" w:lineRule="auto"/>
              <w:jc w:val="both"/>
              <w:rPr>
                <w:color w:val="292526"/>
              </w:rPr>
            </w:pPr>
            <w:r>
              <w:rPr>
                <w:color w:val="292526"/>
              </w:rPr>
              <w:t>Gender</w:t>
            </w:r>
          </w:p>
        </w:tc>
        <w:tc>
          <w:tcPr>
            <w:tcW w:w="992" w:type="dxa"/>
          </w:tcPr>
          <w:p w14:paraId="026B54AE" w14:textId="77777777" w:rsidR="00632FEF" w:rsidRDefault="00632FEF" w:rsidP="00394443">
            <w:pPr>
              <w:spacing w:line="360" w:lineRule="auto"/>
              <w:jc w:val="both"/>
              <w:rPr>
                <w:color w:val="292526"/>
              </w:rPr>
            </w:pPr>
            <w:r>
              <w:rPr>
                <w:color w:val="292526"/>
              </w:rPr>
              <w:t>28F:28M</w:t>
            </w:r>
          </w:p>
        </w:tc>
        <w:tc>
          <w:tcPr>
            <w:tcW w:w="1122" w:type="dxa"/>
          </w:tcPr>
          <w:p w14:paraId="6A9C4118" w14:textId="77777777" w:rsidR="00632FEF" w:rsidRDefault="00632FEF" w:rsidP="00394443">
            <w:pPr>
              <w:spacing w:line="360" w:lineRule="auto"/>
              <w:jc w:val="both"/>
              <w:rPr>
                <w:color w:val="292526"/>
              </w:rPr>
            </w:pPr>
            <w:r>
              <w:rPr>
                <w:color w:val="292526"/>
              </w:rPr>
              <w:t>11F:22M</w:t>
            </w:r>
          </w:p>
        </w:tc>
        <w:tc>
          <w:tcPr>
            <w:tcW w:w="1004" w:type="dxa"/>
          </w:tcPr>
          <w:p w14:paraId="077A242B" w14:textId="77777777" w:rsidR="00632FEF" w:rsidRDefault="00632FEF" w:rsidP="00394443">
            <w:pPr>
              <w:spacing w:line="360" w:lineRule="auto"/>
              <w:jc w:val="both"/>
              <w:rPr>
                <w:color w:val="292526"/>
              </w:rPr>
            </w:pPr>
            <w:r>
              <w:rPr>
                <w:color w:val="292526"/>
              </w:rPr>
              <w:t>3F:17M</w:t>
            </w:r>
          </w:p>
        </w:tc>
        <w:tc>
          <w:tcPr>
            <w:tcW w:w="2636" w:type="dxa"/>
          </w:tcPr>
          <w:p w14:paraId="73CA460E" w14:textId="77777777" w:rsidR="00632FEF" w:rsidRPr="00290AFD" w:rsidRDefault="00632FEF" w:rsidP="00394443">
            <w:pPr>
              <w:spacing w:line="360" w:lineRule="auto"/>
              <w:jc w:val="both"/>
              <w:rPr>
                <w:color w:val="292526"/>
              </w:rPr>
            </w:pPr>
            <w:r>
              <w:rPr>
                <w:color w:val="292526"/>
              </w:rPr>
              <w:t>N/A</w:t>
            </w:r>
          </w:p>
        </w:tc>
      </w:tr>
      <w:tr w:rsidR="00632FEF" w:rsidRPr="00290AFD" w14:paraId="32F2D054" w14:textId="77777777" w:rsidTr="00394443">
        <w:tc>
          <w:tcPr>
            <w:tcW w:w="3256" w:type="dxa"/>
          </w:tcPr>
          <w:p w14:paraId="27FF65AA" w14:textId="481CD9B4" w:rsidR="00632FEF" w:rsidRPr="008A7463" w:rsidRDefault="00632FEF" w:rsidP="00394443">
            <w:pPr>
              <w:spacing w:line="360" w:lineRule="auto"/>
              <w:jc w:val="both"/>
              <w:rPr>
                <w:color w:val="292526"/>
              </w:rPr>
            </w:pPr>
            <w:r w:rsidRPr="003F3EEB">
              <w:rPr>
                <w:color w:val="292526"/>
              </w:rPr>
              <w:t>Total Intracranial volume</w:t>
            </w:r>
            <w:r w:rsidR="008A7463">
              <w:rPr>
                <w:color w:val="292526"/>
              </w:rPr>
              <w:t xml:space="preserve"> (mm</w:t>
            </w:r>
            <w:r w:rsidR="008A7463">
              <w:rPr>
                <w:color w:val="292526"/>
                <w:vertAlign w:val="superscript"/>
              </w:rPr>
              <w:t>3</w:t>
            </w:r>
            <w:r w:rsidR="008A7463">
              <w:rPr>
                <w:color w:val="292526"/>
              </w:rPr>
              <w:t>)</w:t>
            </w:r>
          </w:p>
        </w:tc>
        <w:tc>
          <w:tcPr>
            <w:tcW w:w="992" w:type="dxa"/>
          </w:tcPr>
          <w:p w14:paraId="0BEBF40B" w14:textId="77777777" w:rsidR="00632FEF" w:rsidRPr="003F3EEB" w:rsidRDefault="00632FEF" w:rsidP="00394443">
            <w:pPr>
              <w:spacing w:line="360" w:lineRule="auto"/>
              <w:jc w:val="both"/>
              <w:rPr>
                <w:color w:val="292526"/>
              </w:rPr>
            </w:pPr>
            <w:r w:rsidRPr="003F3EEB">
              <w:rPr>
                <w:color w:val="292526"/>
              </w:rPr>
              <w:t>1329.24 (145.98)</w:t>
            </w:r>
          </w:p>
        </w:tc>
        <w:tc>
          <w:tcPr>
            <w:tcW w:w="1122" w:type="dxa"/>
          </w:tcPr>
          <w:p w14:paraId="75FDEFD5" w14:textId="77777777" w:rsidR="00632FEF" w:rsidRPr="003F3EEB" w:rsidRDefault="00632FEF" w:rsidP="00394443">
            <w:pPr>
              <w:spacing w:line="360" w:lineRule="auto"/>
              <w:jc w:val="both"/>
              <w:rPr>
                <w:color w:val="292526"/>
              </w:rPr>
            </w:pPr>
            <w:r w:rsidRPr="003F3EEB">
              <w:rPr>
                <w:color w:val="292526"/>
              </w:rPr>
              <w:t>134</w:t>
            </w:r>
            <w:r>
              <w:rPr>
                <w:color w:val="292526"/>
              </w:rPr>
              <w:t>5</w:t>
            </w:r>
            <w:r w:rsidRPr="003F3EEB">
              <w:rPr>
                <w:color w:val="292526"/>
              </w:rPr>
              <w:t>.</w:t>
            </w:r>
            <w:r>
              <w:rPr>
                <w:color w:val="292526"/>
              </w:rPr>
              <w:t>3</w:t>
            </w:r>
            <w:r w:rsidRPr="003F3EEB">
              <w:rPr>
                <w:color w:val="292526"/>
              </w:rPr>
              <w:t>9 (14</w:t>
            </w:r>
            <w:r>
              <w:rPr>
                <w:color w:val="292526"/>
              </w:rPr>
              <w:t>5</w:t>
            </w:r>
            <w:r w:rsidRPr="003F3EEB">
              <w:rPr>
                <w:color w:val="292526"/>
              </w:rPr>
              <w:t>.</w:t>
            </w:r>
            <w:r>
              <w:rPr>
                <w:color w:val="292526"/>
              </w:rPr>
              <w:t>43</w:t>
            </w:r>
            <w:r w:rsidRPr="003F3EEB">
              <w:rPr>
                <w:color w:val="292526"/>
              </w:rPr>
              <w:t>)</w:t>
            </w:r>
          </w:p>
        </w:tc>
        <w:tc>
          <w:tcPr>
            <w:tcW w:w="1004" w:type="dxa"/>
          </w:tcPr>
          <w:p w14:paraId="29E6B42B" w14:textId="77777777" w:rsidR="00632FEF" w:rsidRDefault="00632FEF" w:rsidP="00394443">
            <w:pPr>
              <w:spacing w:line="360" w:lineRule="auto"/>
              <w:jc w:val="both"/>
              <w:rPr>
                <w:color w:val="292526"/>
              </w:rPr>
            </w:pPr>
            <w:r>
              <w:rPr>
                <w:color w:val="292526"/>
              </w:rPr>
              <w:t>1411.51</w:t>
            </w:r>
          </w:p>
          <w:p w14:paraId="129A9DC8" w14:textId="77777777" w:rsidR="00632FEF" w:rsidRPr="00290AFD" w:rsidRDefault="00632FEF" w:rsidP="00394443">
            <w:pPr>
              <w:spacing w:line="360" w:lineRule="auto"/>
              <w:jc w:val="both"/>
              <w:rPr>
                <w:color w:val="292526"/>
              </w:rPr>
            </w:pPr>
            <w:r>
              <w:rPr>
                <w:color w:val="292526"/>
              </w:rPr>
              <w:t>(158.99)</w:t>
            </w:r>
          </w:p>
        </w:tc>
        <w:tc>
          <w:tcPr>
            <w:tcW w:w="2636" w:type="dxa"/>
          </w:tcPr>
          <w:p w14:paraId="50A3B20F" w14:textId="77777777" w:rsidR="00632FEF" w:rsidRPr="00290AFD" w:rsidRDefault="00632FEF" w:rsidP="00394443">
            <w:pPr>
              <w:spacing w:line="360" w:lineRule="auto"/>
              <w:jc w:val="both"/>
              <w:rPr>
                <w:color w:val="292526"/>
              </w:rPr>
            </w:pPr>
            <w:r w:rsidRPr="00290AFD">
              <w:rPr>
                <w:color w:val="292526"/>
              </w:rPr>
              <w:t>None</w:t>
            </w:r>
          </w:p>
        </w:tc>
      </w:tr>
      <w:tr w:rsidR="00CD310F" w:rsidRPr="00290AFD" w14:paraId="684D10DF" w14:textId="77777777" w:rsidTr="00394443">
        <w:tc>
          <w:tcPr>
            <w:tcW w:w="3256" w:type="dxa"/>
          </w:tcPr>
          <w:p w14:paraId="4F4D8B9D" w14:textId="3D364E07" w:rsidR="00CD310F" w:rsidRPr="003F3EEB" w:rsidRDefault="00CD310F" w:rsidP="00394443">
            <w:pPr>
              <w:spacing w:line="360" w:lineRule="auto"/>
              <w:jc w:val="both"/>
              <w:rPr>
                <w:color w:val="292526"/>
              </w:rPr>
            </w:pPr>
            <w:r>
              <w:rPr>
                <w:color w:val="292526"/>
              </w:rPr>
              <w:t>Language Proficiency</w:t>
            </w:r>
          </w:p>
        </w:tc>
        <w:tc>
          <w:tcPr>
            <w:tcW w:w="992" w:type="dxa"/>
          </w:tcPr>
          <w:p w14:paraId="6CF1EBEF" w14:textId="66422639" w:rsidR="00CD310F" w:rsidRPr="003F3EEB" w:rsidRDefault="00020376" w:rsidP="00394443">
            <w:pPr>
              <w:spacing w:line="360" w:lineRule="auto"/>
              <w:jc w:val="both"/>
              <w:rPr>
                <w:color w:val="292526"/>
              </w:rPr>
            </w:pPr>
            <w:r>
              <w:rPr>
                <w:color w:val="292526"/>
              </w:rPr>
              <w:t>0.8 (0.45)</w:t>
            </w:r>
          </w:p>
        </w:tc>
        <w:tc>
          <w:tcPr>
            <w:tcW w:w="1122" w:type="dxa"/>
          </w:tcPr>
          <w:p w14:paraId="17F5313A" w14:textId="7469DEF1" w:rsidR="00CD310F" w:rsidRPr="003F3EEB" w:rsidRDefault="00020376" w:rsidP="00394443">
            <w:pPr>
              <w:spacing w:line="360" w:lineRule="auto"/>
              <w:jc w:val="both"/>
              <w:rPr>
                <w:color w:val="292526"/>
              </w:rPr>
            </w:pPr>
            <w:r>
              <w:rPr>
                <w:color w:val="292526"/>
              </w:rPr>
              <w:t>-0.95 (0.55)</w:t>
            </w:r>
          </w:p>
        </w:tc>
        <w:tc>
          <w:tcPr>
            <w:tcW w:w="1004" w:type="dxa"/>
          </w:tcPr>
          <w:p w14:paraId="346E4C39" w14:textId="28A900EE" w:rsidR="00CD310F" w:rsidRDefault="00020376" w:rsidP="00394443">
            <w:pPr>
              <w:spacing w:line="360" w:lineRule="auto"/>
              <w:jc w:val="both"/>
              <w:rPr>
                <w:color w:val="292526"/>
              </w:rPr>
            </w:pPr>
            <w:r>
              <w:rPr>
                <w:color w:val="292526"/>
              </w:rPr>
              <w:t>-0.06 (0.48)</w:t>
            </w:r>
          </w:p>
        </w:tc>
        <w:tc>
          <w:tcPr>
            <w:tcW w:w="2636" w:type="dxa"/>
          </w:tcPr>
          <w:p w14:paraId="066EEB7F" w14:textId="63213FF4" w:rsidR="00CD310F" w:rsidRPr="00290AFD" w:rsidRDefault="00020376" w:rsidP="00394443">
            <w:pPr>
              <w:spacing w:line="360" w:lineRule="auto"/>
              <w:jc w:val="both"/>
              <w:rPr>
                <w:color w:val="292526"/>
              </w:rPr>
            </w:pPr>
            <w:r>
              <w:rPr>
                <w:color w:val="292526"/>
              </w:rPr>
              <w:t>TD&gt;HSL&gt;DLD</w:t>
            </w:r>
          </w:p>
        </w:tc>
      </w:tr>
      <w:tr w:rsidR="00CD310F" w:rsidRPr="00290AFD" w14:paraId="32CD384D" w14:textId="77777777" w:rsidTr="00394443">
        <w:tc>
          <w:tcPr>
            <w:tcW w:w="3256" w:type="dxa"/>
          </w:tcPr>
          <w:p w14:paraId="352BF79B" w14:textId="6DB497C7" w:rsidR="00CD310F" w:rsidRPr="003F3EEB" w:rsidRDefault="00CD310F" w:rsidP="00394443">
            <w:pPr>
              <w:spacing w:line="360" w:lineRule="auto"/>
              <w:jc w:val="both"/>
              <w:rPr>
                <w:color w:val="292526"/>
              </w:rPr>
            </w:pPr>
            <w:r>
              <w:rPr>
                <w:color w:val="292526"/>
              </w:rPr>
              <w:t>Memory</w:t>
            </w:r>
          </w:p>
        </w:tc>
        <w:tc>
          <w:tcPr>
            <w:tcW w:w="992" w:type="dxa"/>
          </w:tcPr>
          <w:p w14:paraId="72C6C1E2" w14:textId="50D3579A" w:rsidR="00CD310F" w:rsidRPr="003F3EEB" w:rsidRDefault="001115A5" w:rsidP="00394443">
            <w:pPr>
              <w:spacing w:line="360" w:lineRule="auto"/>
              <w:jc w:val="both"/>
              <w:rPr>
                <w:color w:val="292526"/>
              </w:rPr>
            </w:pPr>
            <w:r>
              <w:rPr>
                <w:color w:val="292526"/>
              </w:rPr>
              <w:t>0.58 (0.80)</w:t>
            </w:r>
          </w:p>
        </w:tc>
        <w:tc>
          <w:tcPr>
            <w:tcW w:w="1122" w:type="dxa"/>
          </w:tcPr>
          <w:p w14:paraId="4E08ED5E" w14:textId="611CEEAC" w:rsidR="00CD310F" w:rsidRPr="003F3EEB" w:rsidRDefault="001115A5" w:rsidP="00394443">
            <w:pPr>
              <w:spacing w:line="360" w:lineRule="auto"/>
              <w:jc w:val="both"/>
              <w:rPr>
                <w:color w:val="292526"/>
              </w:rPr>
            </w:pPr>
            <w:r>
              <w:rPr>
                <w:color w:val="292526"/>
              </w:rPr>
              <w:t>-0.74 (0.79)</w:t>
            </w:r>
          </w:p>
        </w:tc>
        <w:tc>
          <w:tcPr>
            <w:tcW w:w="1004" w:type="dxa"/>
          </w:tcPr>
          <w:p w14:paraId="47870923" w14:textId="02DF3796" w:rsidR="00CD310F" w:rsidRDefault="001115A5" w:rsidP="00394443">
            <w:pPr>
              <w:spacing w:line="360" w:lineRule="auto"/>
              <w:jc w:val="both"/>
              <w:rPr>
                <w:color w:val="292526"/>
              </w:rPr>
            </w:pPr>
            <w:r>
              <w:rPr>
                <w:color w:val="292526"/>
              </w:rPr>
              <w:t>0.07 (0.77)</w:t>
            </w:r>
          </w:p>
        </w:tc>
        <w:tc>
          <w:tcPr>
            <w:tcW w:w="2636" w:type="dxa"/>
          </w:tcPr>
          <w:p w14:paraId="22766353" w14:textId="4905F461" w:rsidR="00CD310F" w:rsidRPr="00290AFD" w:rsidRDefault="00D73444" w:rsidP="00394443">
            <w:pPr>
              <w:spacing w:line="360" w:lineRule="auto"/>
              <w:jc w:val="both"/>
              <w:rPr>
                <w:color w:val="292526"/>
              </w:rPr>
            </w:pPr>
            <w:r>
              <w:rPr>
                <w:color w:val="292526"/>
              </w:rPr>
              <w:t>TD&gt;HSL&gt;DLD</w:t>
            </w:r>
          </w:p>
        </w:tc>
      </w:tr>
      <w:tr w:rsidR="00CD310F" w:rsidRPr="00290AFD" w14:paraId="0284144D" w14:textId="77777777" w:rsidTr="00394443">
        <w:tc>
          <w:tcPr>
            <w:tcW w:w="3256" w:type="dxa"/>
          </w:tcPr>
          <w:p w14:paraId="31CEB101" w14:textId="071F4A08" w:rsidR="00CD310F" w:rsidRPr="003F3EEB" w:rsidRDefault="00CD310F" w:rsidP="00394443">
            <w:pPr>
              <w:spacing w:line="360" w:lineRule="auto"/>
              <w:jc w:val="both"/>
              <w:rPr>
                <w:color w:val="292526"/>
              </w:rPr>
            </w:pPr>
            <w:r>
              <w:rPr>
                <w:color w:val="292526"/>
              </w:rPr>
              <w:t>Nonverbal IQ</w:t>
            </w:r>
          </w:p>
        </w:tc>
        <w:tc>
          <w:tcPr>
            <w:tcW w:w="992" w:type="dxa"/>
          </w:tcPr>
          <w:p w14:paraId="61693719" w14:textId="4FAAB587" w:rsidR="00CD310F" w:rsidRPr="003F3EEB" w:rsidRDefault="00A6350E" w:rsidP="00394443">
            <w:pPr>
              <w:spacing w:line="360" w:lineRule="auto"/>
              <w:jc w:val="both"/>
              <w:rPr>
                <w:color w:val="292526"/>
              </w:rPr>
            </w:pPr>
            <w:r>
              <w:rPr>
                <w:color w:val="292526"/>
              </w:rPr>
              <w:t>12.3 (1.91)</w:t>
            </w:r>
          </w:p>
        </w:tc>
        <w:tc>
          <w:tcPr>
            <w:tcW w:w="1122" w:type="dxa"/>
          </w:tcPr>
          <w:p w14:paraId="1C739BB7" w14:textId="5DA488EC" w:rsidR="00CD310F" w:rsidRPr="003F3EEB" w:rsidRDefault="00A6350E" w:rsidP="00394443">
            <w:pPr>
              <w:spacing w:line="360" w:lineRule="auto"/>
              <w:jc w:val="both"/>
              <w:rPr>
                <w:color w:val="292526"/>
              </w:rPr>
            </w:pPr>
            <w:r>
              <w:rPr>
                <w:color w:val="292526"/>
              </w:rPr>
              <w:t>8.65 (2.09)</w:t>
            </w:r>
          </w:p>
        </w:tc>
        <w:tc>
          <w:tcPr>
            <w:tcW w:w="1004" w:type="dxa"/>
          </w:tcPr>
          <w:p w14:paraId="1A2988F5" w14:textId="5AA669E5" w:rsidR="00CD310F" w:rsidRDefault="00A6350E" w:rsidP="00394443">
            <w:pPr>
              <w:spacing w:line="360" w:lineRule="auto"/>
              <w:jc w:val="both"/>
              <w:rPr>
                <w:color w:val="292526"/>
              </w:rPr>
            </w:pPr>
            <w:r>
              <w:rPr>
                <w:color w:val="292526"/>
              </w:rPr>
              <w:t>11.0 (1.83)</w:t>
            </w:r>
          </w:p>
        </w:tc>
        <w:tc>
          <w:tcPr>
            <w:tcW w:w="2636" w:type="dxa"/>
          </w:tcPr>
          <w:p w14:paraId="4677F1CD" w14:textId="02876B22" w:rsidR="00CD310F" w:rsidRPr="00290AFD" w:rsidRDefault="00A6350E" w:rsidP="00394443">
            <w:pPr>
              <w:spacing w:line="360" w:lineRule="auto"/>
              <w:jc w:val="both"/>
              <w:rPr>
                <w:color w:val="292526"/>
              </w:rPr>
            </w:pPr>
            <w:r>
              <w:rPr>
                <w:color w:val="292526"/>
              </w:rPr>
              <w:t>TD&gt;HSL&gt;DLD</w:t>
            </w:r>
          </w:p>
        </w:tc>
      </w:tr>
    </w:tbl>
    <w:p w14:paraId="4D49B9FB" w14:textId="77777777" w:rsidR="00632FEF" w:rsidRDefault="00632FEF" w:rsidP="00A22539">
      <w:pPr>
        <w:spacing w:line="360" w:lineRule="auto"/>
        <w:jc w:val="both"/>
        <w:rPr>
          <w:color w:val="292526"/>
        </w:rPr>
      </w:pPr>
    </w:p>
    <w:p w14:paraId="793A3AE0" w14:textId="49F19F9B" w:rsidR="000364D2" w:rsidRDefault="000364D2" w:rsidP="00A22539">
      <w:pPr>
        <w:spacing w:line="360" w:lineRule="auto"/>
        <w:jc w:val="both"/>
        <w:rPr>
          <w:color w:val="292526"/>
        </w:rPr>
      </w:pPr>
    </w:p>
    <w:p w14:paraId="5A87B662" w14:textId="3D96F113" w:rsidR="00996B20" w:rsidRPr="006B389D" w:rsidRDefault="00996B20" w:rsidP="00A22539">
      <w:pPr>
        <w:spacing w:line="360" w:lineRule="auto"/>
        <w:jc w:val="both"/>
        <w:rPr>
          <w:color w:val="292526"/>
        </w:rPr>
      </w:pPr>
    </w:p>
    <w:p w14:paraId="7DEE9B7B" w14:textId="62AB449C" w:rsidR="006B389D" w:rsidRDefault="00425EB4" w:rsidP="00A22539">
      <w:pPr>
        <w:spacing w:line="360" w:lineRule="auto"/>
        <w:jc w:val="both"/>
        <w:rPr>
          <w:b/>
          <w:bCs/>
          <w:i/>
          <w:iCs/>
          <w:color w:val="292526"/>
        </w:rPr>
      </w:pPr>
      <w:r>
        <w:rPr>
          <w:b/>
          <w:bCs/>
          <w:i/>
          <w:iCs/>
          <w:color w:val="292526"/>
        </w:rPr>
        <w:t>Whole-brain</w:t>
      </w:r>
      <w:r w:rsidRPr="00E80C44">
        <w:rPr>
          <w:b/>
          <w:bCs/>
          <w:i/>
          <w:iCs/>
          <w:color w:val="292526"/>
        </w:rPr>
        <w:t xml:space="preserve"> </w:t>
      </w:r>
      <w:r w:rsidR="00E80C44" w:rsidRPr="00E80C44">
        <w:rPr>
          <w:b/>
          <w:bCs/>
          <w:i/>
          <w:iCs/>
          <w:color w:val="292526"/>
        </w:rPr>
        <w:t>comparisons of</w:t>
      </w:r>
      <w:r>
        <w:rPr>
          <w:b/>
          <w:bCs/>
          <w:i/>
          <w:iCs/>
          <w:color w:val="292526"/>
        </w:rPr>
        <w:t xml:space="preserve"> neural microstructure in</w:t>
      </w:r>
      <w:r w:rsidR="00E80C44" w:rsidRPr="00E80C44">
        <w:rPr>
          <w:b/>
          <w:bCs/>
          <w:i/>
          <w:iCs/>
          <w:color w:val="292526"/>
        </w:rPr>
        <w:t xml:space="preserve"> children with DLD </w:t>
      </w:r>
      <w:r w:rsidR="00E80C44">
        <w:rPr>
          <w:b/>
          <w:bCs/>
          <w:i/>
          <w:iCs/>
          <w:color w:val="292526"/>
        </w:rPr>
        <w:t>with</w:t>
      </w:r>
      <w:r w:rsidR="00E80C44" w:rsidRPr="00E80C44">
        <w:rPr>
          <w:b/>
          <w:bCs/>
          <w:i/>
          <w:iCs/>
          <w:color w:val="292526"/>
        </w:rPr>
        <w:t xml:space="preserve"> typically developing</w:t>
      </w:r>
      <w:r w:rsidR="00E80C44">
        <w:rPr>
          <w:b/>
          <w:bCs/>
          <w:i/>
          <w:iCs/>
          <w:color w:val="292526"/>
        </w:rPr>
        <w:t xml:space="preserve"> (TD)</w:t>
      </w:r>
      <w:r w:rsidR="00E80C44" w:rsidRPr="00E80C44">
        <w:rPr>
          <w:b/>
          <w:bCs/>
          <w:i/>
          <w:iCs/>
          <w:color w:val="292526"/>
        </w:rPr>
        <w:t xml:space="preserve"> children</w:t>
      </w:r>
    </w:p>
    <w:p w14:paraId="513FF2DB" w14:textId="07863766" w:rsidR="00ED76E5" w:rsidRDefault="000364D2" w:rsidP="00ED76E5">
      <w:pPr>
        <w:spacing w:line="360" w:lineRule="auto"/>
        <w:jc w:val="both"/>
        <w:rPr>
          <w:color w:val="292526"/>
        </w:rPr>
      </w:pPr>
      <w:r>
        <w:rPr>
          <w:color w:val="292526"/>
        </w:rPr>
        <w:t>We first compar</w:t>
      </w:r>
      <w:r w:rsidR="00032BC4">
        <w:rPr>
          <w:color w:val="292526"/>
        </w:rPr>
        <w:t>ed</w:t>
      </w:r>
      <w:r>
        <w:rPr>
          <w:color w:val="292526"/>
        </w:rPr>
        <w:t xml:space="preserve"> children who met criteria for DLD and TD children. </w:t>
      </w:r>
      <w:r w:rsidR="00ED76E5">
        <w:rPr>
          <w:color w:val="292526"/>
        </w:rPr>
        <w:t xml:space="preserve">There were no group differences in mean MTsat and R2* values for grey and white matter, or in total intracranial volume. The groups did differ in mean R1 values for grey matter (see Table 2), in that children with DLD had lower R1 than the TD group across all grey matter. We created averages of MTsat, R1, and R2* for each group. Across all three maps, we observed high values in primary motor, visual, and auditory cortex (see Figure </w:t>
      </w:r>
      <w:r w:rsidR="00AC12F4">
        <w:rPr>
          <w:color w:val="292526"/>
        </w:rPr>
        <w:t>3</w:t>
      </w:r>
      <w:r w:rsidR="00334B2B">
        <w:rPr>
          <w:color w:val="292526"/>
        </w:rPr>
        <w:t>- figure supplement 1</w:t>
      </w:r>
      <w:r w:rsidR="00ED76E5">
        <w:rPr>
          <w:color w:val="292526"/>
        </w:rPr>
        <w:t xml:space="preserve">), </w:t>
      </w:r>
      <w:r w:rsidR="00AE1977">
        <w:rPr>
          <w:color w:val="292526"/>
        </w:rPr>
        <w:t>in</w:t>
      </w:r>
      <w:r w:rsidR="00ED76E5">
        <w:rPr>
          <w:color w:val="292526"/>
        </w:rPr>
        <w:t xml:space="preserve"> line with our expectations. Additionally, we observed a close correspondence between average values of MTsat, R1, and R2* in grey matter and white matter in our two groups and published values </w:t>
      </w:r>
      <w:r w:rsidR="00ED76E5">
        <w:rPr>
          <w:color w:val="292526"/>
        </w:rPr>
        <w:fldChar w:fldCharType="begin"/>
      </w:r>
      <w:r w:rsidR="00ED76E5">
        <w:rPr>
          <w:color w:val="292526"/>
        </w:rPr>
        <w:instrText xml:space="preserve"> ADDIN ZOTERO_ITEM CSL_CITATION {"citationID":"AQjaSpcP","properties":{"formattedCitation":"(Weiskopf et al., 2013)","plainCitation":"(Weiskopf et al., 2013)","noteIndex":0},"citationItems":[{"id":304,"uris":["http://zotero.org/users/5009496/items/4KHBSMK2"],"itemData":{"id":304,"type":"article-journal","abstract":"Multi-center studies using magnetic resonance imaging facilitate studying small effect sizes, global population variance and rare diseases. The reliability and sensitivity of these multi-center studies crucially depend on the comparability of the data generated at different sites and time points. The level of inter-site comparability is still controversial for conventional anatomical T1-weighted MRI data. Quantitative multi-parameter mapping (MPM) was designed to provide MR parameter measures that are comparable across sites and time points, i.e., 1mm high-resolution maps of the longitudinal relaxation rate (R1=1/T1), effective proton density (PD*), magnetization transfer saturation (MT) and effective transverse relaxation rate (R2*=1/T2*). MPM was validated at 3T for use in multi-center studies by scanning five volunteers at three different sites. We determined the inter-site bias, inter-site and intra-site coefficient of variation (CoV) for typical morphometric measures (i.e., gray matter probability maps used in voxel-based morphometry) and the four quantitative parameters. The inter-site bias and CoV were smaller than 3.1% and 8%, respectively, except for the inter-site CoV of R2* (&amp;lt; 20%). The gray matter probability maps based on the MT parameter maps had a 14% higher inter-site reproducibility than maps based on conventional T1-weighted images. The low inter-site bias and variance in the parameters and derived gray matter probability maps confirm the high comparability of the quantitative maps across sites and time points. The reliability, short acquisition time, high resolution and the detailed insights into the brain microstructure provided by MPM makes it an efficient tool for multi-center imaging studies.","container-title":"Frontiers in Neuroscience","DOI":"10.3389/fnins.2013.00095","ISSN":"1662-453X","journalAbbreviation":"Front. Neurosci.","language":"English","source":"Frontiers","title":"Quantitative multi-parameter mapping of R1, PD*, MT, and R2* at 3T: a multi-center validation","title-short":"Quantitative multi-parameter mapping of R1, PD*, MT, and R2* at 3T","URL":"https://www.frontiersin.org/articles/10.3389/fnins.2013.00095/full","volume":"7","author":[{"family":"Weiskopf","given":"Nikolaus"},{"family":"Suckling","given":"John"},{"family":"Williams","given":"Guy"},{"family":"Correia","given":"Marta Morgado"},{"family":"Inkster","given":"Becky"},{"family":"Tait","given":"Roger"},{"family":"Ooi","given":"Cinly"},{"family":"Bullmore","given":"Edward T."},{"family":"Lutti","given":"Antoine"}],"accessed":{"date-parts":[["2018",12,13]]},"issued":{"date-parts":[["2013"]]}}}],"schema":"https://github.com/citation-style-language/schema/raw/master/csl-citation.json"} </w:instrText>
      </w:r>
      <w:r w:rsidR="00ED76E5">
        <w:rPr>
          <w:color w:val="292526"/>
        </w:rPr>
        <w:fldChar w:fldCharType="separate"/>
      </w:r>
      <w:r w:rsidR="00ED76E5">
        <w:rPr>
          <w:noProof/>
          <w:color w:val="292526"/>
        </w:rPr>
        <w:t>(Weiskopf et al., 2013)</w:t>
      </w:r>
      <w:r w:rsidR="00ED76E5">
        <w:rPr>
          <w:color w:val="292526"/>
        </w:rPr>
        <w:fldChar w:fldCharType="end"/>
      </w:r>
      <w:r w:rsidR="00ED76E5">
        <w:rPr>
          <w:color w:val="292526"/>
        </w:rPr>
        <w:t>, see Table 2.</w:t>
      </w:r>
    </w:p>
    <w:p w14:paraId="3E058F3B" w14:textId="76549C7A" w:rsidR="00632FEF" w:rsidRDefault="00632FEF" w:rsidP="00ED76E5">
      <w:pPr>
        <w:spacing w:line="360" w:lineRule="auto"/>
        <w:jc w:val="both"/>
        <w:rPr>
          <w:color w:val="292526"/>
        </w:rPr>
      </w:pPr>
    </w:p>
    <w:p w14:paraId="7EFD865C" w14:textId="7E55DFCF" w:rsidR="00632FEF" w:rsidRDefault="00632FEF" w:rsidP="00632FEF">
      <w:pPr>
        <w:pStyle w:val="NormalWeb"/>
        <w:spacing w:line="360" w:lineRule="auto"/>
        <w:jc w:val="both"/>
        <w:rPr>
          <w:color w:val="292526"/>
        </w:rPr>
      </w:pPr>
      <w:r w:rsidRPr="00FA15CC">
        <w:rPr>
          <w:b/>
          <w:bCs/>
          <w:i/>
          <w:iCs/>
          <w:color w:val="292526"/>
        </w:rPr>
        <w:t>Table 2</w:t>
      </w:r>
      <w:r>
        <w:rPr>
          <w:b/>
          <w:bCs/>
          <w:color w:val="292526"/>
        </w:rPr>
        <w:t xml:space="preserve">. </w:t>
      </w:r>
      <w:r w:rsidRPr="0030248A">
        <w:rPr>
          <w:color w:val="292526"/>
        </w:rPr>
        <w:t>Group mean</w:t>
      </w:r>
      <w:r>
        <w:rPr>
          <w:color w:val="292526"/>
        </w:rPr>
        <w:t xml:space="preserve"> and standard deviation</w:t>
      </w:r>
      <w:r w:rsidRPr="0030248A">
        <w:rPr>
          <w:color w:val="292526"/>
        </w:rPr>
        <w:t xml:space="preserve"> of parameter values in </w:t>
      </w:r>
      <w:r>
        <w:rPr>
          <w:color w:val="292526"/>
        </w:rPr>
        <w:t xml:space="preserve">grey and white matter in children who were typically developing (TD), had developmental language disorder (DLD), or published mean and standard deviation in adults, mean 24.2 years, S.D. 1.6 years </w:t>
      </w:r>
      <w:r>
        <w:rPr>
          <w:color w:val="292526"/>
        </w:rPr>
        <w:fldChar w:fldCharType="begin"/>
      </w:r>
      <w:r w:rsidR="00995C1F">
        <w:rPr>
          <w:color w:val="292526"/>
        </w:rPr>
        <w:instrText xml:space="preserve"> ADDIN ZOTERO_ITEM CSL_CITATION {"citationID":"qsIhoLT4","properties":{"formattedCitation":"(Weiskopf et al., 2013)","plainCitation":"(Weiskopf et al., 2013)","noteIndex":0},"citationItems":[{"id":304,"uris":["http://zotero.org/users/5009496/items/4KHBSMK2"],"itemData":{"id":304,"type":"article-journal","abstract":"Multi-center studies using magnetic resonance imaging facilitate studying small effect sizes, global population variance and rare diseases. The reliability and sensitivity of these multi-center studies crucially depend on the comparability of the data generated at different sites and time points. The level of inter-site comparability is still controversial for conventional anatomical T1-weighted MRI data. Quantitative multi-parameter mapping (MPM) was designed to provide MR parameter measures that are comparable across sites and time points, i.e., 1mm high-resolution maps of the longitudinal relaxation rate (R1=1/T1), effective proton density (PD*), magnetization transfer saturation (MT) and effective transverse relaxation rate (R2*=1/T2*). MPM was validated at 3T for use in multi-center studies by scanning five volunteers at three different sites. We determined the inter-site bias, inter-site and intra-site coefficient of variation (CoV) for typical morphometric measures (i.e., gray matter probability maps used in voxel-based morphometry) and the four quantitative parameters. The inter-site bias and CoV were smaller than 3.1% and 8%, respectively, except for the inter-site CoV of R2* (&amp;lt; 20%). The gray matter probability maps based on the MT parameter maps had a 14% higher inter-site reproducibility than maps based on conventional T1-weighted images. The low inter-site bias and variance in the parameters and derived gray matter probability maps confirm the high comparability of the quantitative maps across sites and time points. The reliability, short acquisition time, high resolution and the detailed insights into the brain microstructure provided by MPM makes it an efficient tool for multi-center imaging studies.","container-title":"Frontiers in Neuroscience","DOI":"10.3389/fnins.2013.00095","ISSN":"1662-453X","journalAbbreviation":"Front. Neurosci.","language":"English","source":"Frontiers","title":"Quantitative multi-parameter mapping of R1, PD*, MT, and R2* at 3T: a multi-center validation","title-short":"Quantitative multi-parameter mapping of R1, PD*, MT, and R2* at 3T","URL":"https://www.frontiersin.org/articles/10.3389/fnins.2013.00095/full","volume":"7","author":[{"family":"Weiskopf","given":"Nikolaus"},{"family":"Suckling","given":"John"},{"family":"Williams","given":"Guy"},{"family":"Correia","given":"Marta Morgado"},{"family":"Inkster","given":"Becky"},{"family":"Tait","given":"Roger"},{"family":"Ooi","given":"Cinly"},{"family":"Bullmore","given":"Edward T."},{"family":"Lutti","given":"Antoine"}],"accessed":{"date-parts":[["2018",12,13]]},"issued":{"date-parts":[["2013"]]}}}],"schema":"https://github.com/citation-style-language/schema/raw/master/csl-citation.json"} </w:instrText>
      </w:r>
      <w:r>
        <w:rPr>
          <w:color w:val="292526"/>
        </w:rPr>
        <w:fldChar w:fldCharType="separate"/>
      </w:r>
      <w:r>
        <w:rPr>
          <w:noProof/>
          <w:color w:val="292526"/>
        </w:rPr>
        <w:t>(Weiskopf et al., 2013)</w:t>
      </w:r>
      <w:r>
        <w:rPr>
          <w:color w:val="292526"/>
        </w:rPr>
        <w:fldChar w:fldCharType="end"/>
      </w:r>
      <w:r>
        <w:rPr>
          <w:color w:val="292526"/>
        </w:rPr>
        <w:t>. Values in bold indicate a global difference between the TD and DLD groups (p&lt;.05), uncorrected for multiple comparisons.</w:t>
      </w:r>
    </w:p>
    <w:tbl>
      <w:tblPr>
        <w:tblStyle w:val="TableGrid"/>
        <w:tblW w:w="0" w:type="auto"/>
        <w:tblLook w:val="04A0" w:firstRow="1" w:lastRow="0" w:firstColumn="1" w:lastColumn="0" w:noHBand="0" w:noVBand="1"/>
      </w:tblPr>
      <w:tblGrid>
        <w:gridCol w:w="2252"/>
        <w:gridCol w:w="2252"/>
        <w:gridCol w:w="2253"/>
        <w:gridCol w:w="2253"/>
      </w:tblGrid>
      <w:tr w:rsidR="00632FEF" w14:paraId="60F87AEB" w14:textId="77777777" w:rsidTr="00394443">
        <w:tc>
          <w:tcPr>
            <w:tcW w:w="2252" w:type="dxa"/>
          </w:tcPr>
          <w:p w14:paraId="5F18663D" w14:textId="77777777" w:rsidR="00632FEF" w:rsidRDefault="00632FEF" w:rsidP="00394443">
            <w:pPr>
              <w:pStyle w:val="NormalWeb"/>
              <w:spacing w:line="360" w:lineRule="auto"/>
              <w:rPr>
                <w:color w:val="292526"/>
              </w:rPr>
            </w:pPr>
          </w:p>
        </w:tc>
        <w:tc>
          <w:tcPr>
            <w:tcW w:w="2252" w:type="dxa"/>
          </w:tcPr>
          <w:p w14:paraId="461724E0" w14:textId="77777777" w:rsidR="00632FEF" w:rsidRPr="00330A40" w:rsidRDefault="00632FEF" w:rsidP="00394443">
            <w:pPr>
              <w:pStyle w:val="NormalWeb"/>
              <w:spacing w:line="360" w:lineRule="auto"/>
              <w:rPr>
                <w:b/>
                <w:bCs/>
                <w:color w:val="292526"/>
              </w:rPr>
            </w:pPr>
            <w:r w:rsidRPr="00330A40">
              <w:rPr>
                <w:b/>
                <w:bCs/>
                <w:color w:val="292526"/>
              </w:rPr>
              <w:t>TD</w:t>
            </w:r>
          </w:p>
        </w:tc>
        <w:tc>
          <w:tcPr>
            <w:tcW w:w="2253" w:type="dxa"/>
          </w:tcPr>
          <w:p w14:paraId="00EE82BD" w14:textId="77777777" w:rsidR="00632FEF" w:rsidRPr="00330A40" w:rsidRDefault="00632FEF" w:rsidP="00394443">
            <w:pPr>
              <w:pStyle w:val="NormalWeb"/>
              <w:spacing w:line="360" w:lineRule="auto"/>
              <w:rPr>
                <w:b/>
                <w:bCs/>
                <w:color w:val="292526"/>
              </w:rPr>
            </w:pPr>
            <w:r w:rsidRPr="00330A40">
              <w:rPr>
                <w:b/>
                <w:bCs/>
                <w:color w:val="292526"/>
              </w:rPr>
              <w:t>DLD</w:t>
            </w:r>
          </w:p>
        </w:tc>
        <w:tc>
          <w:tcPr>
            <w:tcW w:w="2253" w:type="dxa"/>
          </w:tcPr>
          <w:p w14:paraId="591A4C93" w14:textId="77777777" w:rsidR="00632FEF" w:rsidRPr="00330A40" w:rsidRDefault="00632FEF" w:rsidP="00394443">
            <w:pPr>
              <w:pStyle w:val="NormalWeb"/>
              <w:spacing w:line="360" w:lineRule="auto"/>
              <w:rPr>
                <w:b/>
                <w:bCs/>
                <w:color w:val="292526"/>
              </w:rPr>
            </w:pPr>
            <w:r w:rsidRPr="00330A40">
              <w:rPr>
                <w:b/>
                <w:bCs/>
                <w:color w:val="292526"/>
              </w:rPr>
              <w:t>Published values</w:t>
            </w:r>
          </w:p>
        </w:tc>
      </w:tr>
      <w:tr w:rsidR="00632FEF" w14:paraId="3BD8A228" w14:textId="77777777" w:rsidTr="00394443">
        <w:tc>
          <w:tcPr>
            <w:tcW w:w="9010" w:type="dxa"/>
            <w:gridSpan w:val="4"/>
          </w:tcPr>
          <w:p w14:paraId="379074AB" w14:textId="77777777" w:rsidR="00632FEF" w:rsidRDefault="00632FEF" w:rsidP="00394443">
            <w:pPr>
              <w:pStyle w:val="NormalWeb"/>
              <w:spacing w:line="360" w:lineRule="auto"/>
              <w:rPr>
                <w:color w:val="292526"/>
              </w:rPr>
            </w:pPr>
            <w:r w:rsidRPr="0030248A">
              <w:rPr>
                <w:b/>
                <w:bCs/>
                <w:i/>
                <w:iCs/>
                <w:color w:val="292526"/>
              </w:rPr>
              <w:t>Grey matter</w:t>
            </w:r>
          </w:p>
        </w:tc>
      </w:tr>
      <w:tr w:rsidR="00632FEF" w14:paraId="0432B8A9" w14:textId="77777777" w:rsidTr="00394443">
        <w:tc>
          <w:tcPr>
            <w:tcW w:w="2252" w:type="dxa"/>
          </w:tcPr>
          <w:p w14:paraId="00D1B0CD" w14:textId="77777777" w:rsidR="00632FEF" w:rsidRDefault="00632FEF" w:rsidP="00394443">
            <w:pPr>
              <w:pStyle w:val="NormalWeb"/>
              <w:spacing w:line="360" w:lineRule="auto"/>
              <w:rPr>
                <w:color w:val="292526"/>
              </w:rPr>
            </w:pPr>
            <w:r>
              <w:rPr>
                <w:color w:val="292526"/>
              </w:rPr>
              <w:t>MT</w:t>
            </w:r>
          </w:p>
        </w:tc>
        <w:tc>
          <w:tcPr>
            <w:tcW w:w="2252" w:type="dxa"/>
          </w:tcPr>
          <w:p w14:paraId="07785AE7" w14:textId="77777777" w:rsidR="00632FEF" w:rsidRDefault="00632FEF" w:rsidP="00394443">
            <w:pPr>
              <w:pStyle w:val="NormalWeb"/>
              <w:spacing w:line="360" w:lineRule="auto"/>
              <w:rPr>
                <w:color w:val="292526"/>
              </w:rPr>
            </w:pPr>
            <w:r>
              <w:rPr>
                <w:color w:val="292526"/>
              </w:rPr>
              <w:t>0.828 (0.018)</w:t>
            </w:r>
          </w:p>
        </w:tc>
        <w:tc>
          <w:tcPr>
            <w:tcW w:w="2253" w:type="dxa"/>
          </w:tcPr>
          <w:p w14:paraId="2F440CC3" w14:textId="77777777" w:rsidR="00632FEF" w:rsidRDefault="00632FEF" w:rsidP="00394443">
            <w:pPr>
              <w:pStyle w:val="NormalWeb"/>
              <w:spacing w:line="360" w:lineRule="auto"/>
              <w:rPr>
                <w:color w:val="292526"/>
              </w:rPr>
            </w:pPr>
            <w:r>
              <w:rPr>
                <w:color w:val="292526"/>
              </w:rPr>
              <w:t>0.821 (0.019)</w:t>
            </w:r>
          </w:p>
        </w:tc>
        <w:tc>
          <w:tcPr>
            <w:tcW w:w="2253" w:type="dxa"/>
          </w:tcPr>
          <w:p w14:paraId="60AA66B3" w14:textId="77777777" w:rsidR="00632FEF" w:rsidRPr="00330A40" w:rsidRDefault="00632FEF" w:rsidP="00394443">
            <w:pPr>
              <w:pStyle w:val="NormalWeb"/>
              <w:spacing w:line="360" w:lineRule="auto"/>
              <w:rPr>
                <w:sz w:val="22"/>
                <w:szCs w:val="22"/>
              </w:rPr>
            </w:pPr>
            <w:r w:rsidRPr="00330A40">
              <w:rPr>
                <w:sz w:val="22"/>
                <w:szCs w:val="22"/>
              </w:rPr>
              <w:t xml:space="preserve">0.794 </w:t>
            </w:r>
            <w:r>
              <w:rPr>
                <w:sz w:val="22"/>
                <w:szCs w:val="22"/>
              </w:rPr>
              <w:t>(</w:t>
            </w:r>
            <w:r w:rsidRPr="00330A40">
              <w:rPr>
                <w:sz w:val="22"/>
                <w:szCs w:val="22"/>
              </w:rPr>
              <w:t>0.014</w:t>
            </w:r>
            <w:r>
              <w:rPr>
                <w:sz w:val="22"/>
                <w:szCs w:val="22"/>
              </w:rPr>
              <w:t>)</w:t>
            </w:r>
          </w:p>
        </w:tc>
      </w:tr>
      <w:tr w:rsidR="00632FEF" w14:paraId="0758DB1B" w14:textId="77777777" w:rsidTr="00394443">
        <w:tc>
          <w:tcPr>
            <w:tcW w:w="2252" w:type="dxa"/>
          </w:tcPr>
          <w:p w14:paraId="28E2DC1A" w14:textId="77777777" w:rsidR="00632FEF" w:rsidRDefault="00632FEF" w:rsidP="00394443">
            <w:pPr>
              <w:pStyle w:val="NormalWeb"/>
              <w:spacing w:line="360" w:lineRule="auto"/>
              <w:rPr>
                <w:color w:val="292526"/>
              </w:rPr>
            </w:pPr>
            <w:r>
              <w:rPr>
                <w:color w:val="292526"/>
              </w:rPr>
              <w:t>R1</w:t>
            </w:r>
          </w:p>
        </w:tc>
        <w:tc>
          <w:tcPr>
            <w:tcW w:w="2252" w:type="dxa"/>
          </w:tcPr>
          <w:p w14:paraId="22228779" w14:textId="77777777" w:rsidR="00632FEF" w:rsidRPr="006841A4" w:rsidRDefault="00632FEF" w:rsidP="00394443">
            <w:pPr>
              <w:pStyle w:val="NormalWeb"/>
              <w:spacing w:line="360" w:lineRule="auto"/>
              <w:rPr>
                <w:b/>
                <w:bCs/>
                <w:i/>
                <w:iCs/>
                <w:color w:val="292526"/>
              </w:rPr>
            </w:pPr>
            <w:r w:rsidRPr="006841A4">
              <w:rPr>
                <w:b/>
                <w:bCs/>
                <w:i/>
                <w:iCs/>
                <w:color w:val="292526"/>
              </w:rPr>
              <w:t>0.615 (0.012)</w:t>
            </w:r>
          </w:p>
        </w:tc>
        <w:tc>
          <w:tcPr>
            <w:tcW w:w="2253" w:type="dxa"/>
          </w:tcPr>
          <w:p w14:paraId="21B3DF03" w14:textId="77777777" w:rsidR="00632FEF" w:rsidRPr="006841A4" w:rsidRDefault="00632FEF" w:rsidP="00394443">
            <w:pPr>
              <w:pStyle w:val="NormalWeb"/>
              <w:spacing w:line="360" w:lineRule="auto"/>
              <w:rPr>
                <w:b/>
                <w:bCs/>
                <w:i/>
                <w:iCs/>
                <w:color w:val="292526"/>
              </w:rPr>
            </w:pPr>
            <w:r w:rsidRPr="006841A4">
              <w:rPr>
                <w:b/>
                <w:bCs/>
                <w:i/>
                <w:iCs/>
                <w:color w:val="292526"/>
              </w:rPr>
              <w:t>0.608 (0.014)</w:t>
            </w:r>
          </w:p>
        </w:tc>
        <w:tc>
          <w:tcPr>
            <w:tcW w:w="2253" w:type="dxa"/>
          </w:tcPr>
          <w:p w14:paraId="0C7F3675" w14:textId="77777777" w:rsidR="00632FEF" w:rsidRPr="00330A40" w:rsidRDefault="00632FEF" w:rsidP="00394443">
            <w:pPr>
              <w:pStyle w:val="NormalWeb"/>
              <w:spacing w:line="360" w:lineRule="auto"/>
              <w:rPr>
                <w:sz w:val="22"/>
                <w:szCs w:val="22"/>
              </w:rPr>
            </w:pPr>
            <w:r w:rsidRPr="00330A40">
              <w:rPr>
                <w:sz w:val="22"/>
                <w:szCs w:val="22"/>
              </w:rPr>
              <w:t xml:space="preserve">0.609 </w:t>
            </w:r>
            <w:r>
              <w:rPr>
                <w:sz w:val="22"/>
                <w:szCs w:val="22"/>
              </w:rPr>
              <w:t>(</w:t>
            </w:r>
            <w:r w:rsidRPr="00330A40">
              <w:rPr>
                <w:sz w:val="22"/>
                <w:szCs w:val="22"/>
              </w:rPr>
              <w:t>0.008</w:t>
            </w:r>
            <w:r>
              <w:rPr>
                <w:sz w:val="22"/>
                <w:szCs w:val="22"/>
              </w:rPr>
              <w:t>)</w:t>
            </w:r>
          </w:p>
        </w:tc>
      </w:tr>
      <w:tr w:rsidR="00632FEF" w14:paraId="0C4A01FA" w14:textId="77777777" w:rsidTr="00394443">
        <w:tc>
          <w:tcPr>
            <w:tcW w:w="2252" w:type="dxa"/>
          </w:tcPr>
          <w:p w14:paraId="76DA61EA" w14:textId="77777777" w:rsidR="00632FEF" w:rsidRDefault="00632FEF" w:rsidP="00394443">
            <w:pPr>
              <w:pStyle w:val="NormalWeb"/>
              <w:spacing w:line="360" w:lineRule="auto"/>
              <w:rPr>
                <w:color w:val="292526"/>
              </w:rPr>
            </w:pPr>
            <w:r>
              <w:rPr>
                <w:color w:val="292526"/>
              </w:rPr>
              <w:t>R2*</w:t>
            </w:r>
          </w:p>
        </w:tc>
        <w:tc>
          <w:tcPr>
            <w:tcW w:w="2252" w:type="dxa"/>
          </w:tcPr>
          <w:p w14:paraId="32EB364F" w14:textId="77777777" w:rsidR="00632FEF" w:rsidRDefault="00632FEF" w:rsidP="00394443">
            <w:pPr>
              <w:pStyle w:val="NormalWeb"/>
              <w:spacing w:line="360" w:lineRule="auto"/>
              <w:rPr>
                <w:color w:val="292526"/>
              </w:rPr>
            </w:pPr>
            <w:r>
              <w:rPr>
                <w:color w:val="292526"/>
              </w:rPr>
              <w:t>15.192 (0.437)</w:t>
            </w:r>
          </w:p>
        </w:tc>
        <w:tc>
          <w:tcPr>
            <w:tcW w:w="2253" w:type="dxa"/>
          </w:tcPr>
          <w:p w14:paraId="048F488C" w14:textId="77777777" w:rsidR="00632FEF" w:rsidRDefault="00632FEF" w:rsidP="00394443">
            <w:pPr>
              <w:pStyle w:val="NormalWeb"/>
              <w:spacing w:line="360" w:lineRule="auto"/>
              <w:rPr>
                <w:color w:val="292526"/>
              </w:rPr>
            </w:pPr>
            <w:r>
              <w:rPr>
                <w:color w:val="292526"/>
              </w:rPr>
              <w:t>15.234 (0.544)</w:t>
            </w:r>
          </w:p>
        </w:tc>
        <w:tc>
          <w:tcPr>
            <w:tcW w:w="2253" w:type="dxa"/>
          </w:tcPr>
          <w:p w14:paraId="07DEE028" w14:textId="77777777" w:rsidR="00632FEF" w:rsidRPr="00330A40" w:rsidRDefault="00632FEF" w:rsidP="00394443">
            <w:pPr>
              <w:pStyle w:val="NormalWeb"/>
              <w:spacing w:line="360" w:lineRule="auto"/>
              <w:rPr>
                <w:sz w:val="22"/>
                <w:szCs w:val="22"/>
              </w:rPr>
            </w:pPr>
            <w:r w:rsidRPr="00330A40">
              <w:rPr>
                <w:sz w:val="22"/>
                <w:szCs w:val="22"/>
              </w:rPr>
              <w:t xml:space="preserve">15.2 </w:t>
            </w:r>
            <w:r>
              <w:rPr>
                <w:sz w:val="22"/>
                <w:szCs w:val="22"/>
              </w:rPr>
              <w:t>(</w:t>
            </w:r>
            <w:r w:rsidRPr="00330A40">
              <w:rPr>
                <w:sz w:val="22"/>
                <w:szCs w:val="22"/>
              </w:rPr>
              <w:t>0.4</w:t>
            </w:r>
            <w:r>
              <w:rPr>
                <w:sz w:val="22"/>
                <w:szCs w:val="22"/>
              </w:rPr>
              <w:t>)</w:t>
            </w:r>
          </w:p>
        </w:tc>
      </w:tr>
      <w:tr w:rsidR="00632FEF" w14:paraId="75E9A5D7" w14:textId="77777777" w:rsidTr="00394443">
        <w:tc>
          <w:tcPr>
            <w:tcW w:w="9010" w:type="dxa"/>
            <w:gridSpan w:val="4"/>
          </w:tcPr>
          <w:p w14:paraId="0E3A8414" w14:textId="77777777" w:rsidR="00632FEF" w:rsidRPr="00330A40" w:rsidRDefault="00632FEF" w:rsidP="00394443">
            <w:pPr>
              <w:pStyle w:val="NormalWeb"/>
              <w:spacing w:line="360" w:lineRule="auto"/>
              <w:rPr>
                <w:color w:val="292526"/>
                <w:sz w:val="22"/>
                <w:szCs w:val="22"/>
              </w:rPr>
            </w:pPr>
            <w:r w:rsidRPr="00330A40">
              <w:rPr>
                <w:b/>
                <w:bCs/>
                <w:i/>
                <w:iCs/>
                <w:color w:val="292526"/>
                <w:sz w:val="22"/>
                <w:szCs w:val="22"/>
              </w:rPr>
              <w:t>White matter</w:t>
            </w:r>
          </w:p>
        </w:tc>
      </w:tr>
      <w:tr w:rsidR="00632FEF" w14:paraId="5210586E" w14:textId="77777777" w:rsidTr="00394443">
        <w:tc>
          <w:tcPr>
            <w:tcW w:w="2252" w:type="dxa"/>
          </w:tcPr>
          <w:p w14:paraId="1F8C1A40" w14:textId="77777777" w:rsidR="00632FEF" w:rsidRDefault="00632FEF" w:rsidP="00394443">
            <w:pPr>
              <w:pStyle w:val="NormalWeb"/>
              <w:spacing w:line="360" w:lineRule="auto"/>
              <w:rPr>
                <w:color w:val="292526"/>
              </w:rPr>
            </w:pPr>
            <w:r>
              <w:rPr>
                <w:color w:val="292526"/>
              </w:rPr>
              <w:lastRenderedPageBreak/>
              <w:t>MT</w:t>
            </w:r>
          </w:p>
        </w:tc>
        <w:tc>
          <w:tcPr>
            <w:tcW w:w="2252" w:type="dxa"/>
          </w:tcPr>
          <w:p w14:paraId="5CD7C784" w14:textId="77777777" w:rsidR="00632FEF" w:rsidRDefault="00632FEF" w:rsidP="00394443">
            <w:pPr>
              <w:pStyle w:val="NormalWeb"/>
              <w:spacing w:line="360" w:lineRule="auto"/>
              <w:rPr>
                <w:color w:val="292526"/>
              </w:rPr>
            </w:pPr>
            <w:r>
              <w:rPr>
                <w:color w:val="292526"/>
              </w:rPr>
              <w:t>1.72 (0.052)</w:t>
            </w:r>
          </w:p>
        </w:tc>
        <w:tc>
          <w:tcPr>
            <w:tcW w:w="2253" w:type="dxa"/>
          </w:tcPr>
          <w:p w14:paraId="5D0DEA9E" w14:textId="77777777" w:rsidR="00632FEF" w:rsidRDefault="00632FEF" w:rsidP="00394443">
            <w:pPr>
              <w:pStyle w:val="NormalWeb"/>
              <w:spacing w:line="360" w:lineRule="auto"/>
              <w:rPr>
                <w:color w:val="292526"/>
              </w:rPr>
            </w:pPr>
            <w:r>
              <w:rPr>
                <w:color w:val="292526"/>
              </w:rPr>
              <w:t>1.714 (0.053)</w:t>
            </w:r>
          </w:p>
        </w:tc>
        <w:tc>
          <w:tcPr>
            <w:tcW w:w="2253" w:type="dxa"/>
          </w:tcPr>
          <w:p w14:paraId="79EE9D2A" w14:textId="77777777" w:rsidR="00632FEF" w:rsidRPr="00330A40" w:rsidRDefault="00632FEF" w:rsidP="00394443">
            <w:pPr>
              <w:pStyle w:val="NormalWeb"/>
              <w:spacing w:line="360" w:lineRule="auto"/>
              <w:rPr>
                <w:sz w:val="22"/>
                <w:szCs w:val="22"/>
              </w:rPr>
            </w:pPr>
            <w:r w:rsidRPr="00330A40">
              <w:rPr>
                <w:sz w:val="22"/>
                <w:szCs w:val="22"/>
              </w:rPr>
              <w:t xml:space="preserve">1.764 </w:t>
            </w:r>
            <w:r>
              <w:rPr>
                <w:sz w:val="22"/>
                <w:szCs w:val="22"/>
              </w:rPr>
              <w:t>(</w:t>
            </w:r>
            <w:r w:rsidRPr="00330A40">
              <w:rPr>
                <w:sz w:val="22"/>
                <w:szCs w:val="22"/>
              </w:rPr>
              <w:t>0.066</w:t>
            </w:r>
            <w:r>
              <w:rPr>
                <w:sz w:val="22"/>
                <w:szCs w:val="22"/>
              </w:rPr>
              <w:t>)</w:t>
            </w:r>
          </w:p>
        </w:tc>
      </w:tr>
      <w:tr w:rsidR="00632FEF" w14:paraId="2FE38829" w14:textId="77777777" w:rsidTr="00394443">
        <w:tc>
          <w:tcPr>
            <w:tcW w:w="2252" w:type="dxa"/>
          </w:tcPr>
          <w:p w14:paraId="581D5DAF" w14:textId="77777777" w:rsidR="00632FEF" w:rsidRDefault="00632FEF" w:rsidP="00394443">
            <w:pPr>
              <w:pStyle w:val="NormalWeb"/>
              <w:spacing w:line="360" w:lineRule="auto"/>
              <w:rPr>
                <w:color w:val="292526"/>
              </w:rPr>
            </w:pPr>
            <w:r>
              <w:rPr>
                <w:color w:val="292526"/>
              </w:rPr>
              <w:t>R1</w:t>
            </w:r>
          </w:p>
        </w:tc>
        <w:tc>
          <w:tcPr>
            <w:tcW w:w="2252" w:type="dxa"/>
          </w:tcPr>
          <w:p w14:paraId="799FE7B9" w14:textId="77777777" w:rsidR="00632FEF" w:rsidRDefault="00632FEF" w:rsidP="00394443">
            <w:pPr>
              <w:pStyle w:val="NormalWeb"/>
              <w:spacing w:line="360" w:lineRule="auto"/>
              <w:rPr>
                <w:color w:val="292526"/>
              </w:rPr>
            </w:pPr>
            <w:r>
              <w:rPr>
                <w:color w:val="292526"/>
              </w:rPr>
              <w:t>0.973 (0.025)</w:t>
            </w:r>
          </w:p>
        </w:tc>
        <w:tc>
          <w:tcPr>
            <w:tcW w:w="2253" w:type="dxa"/>
          </w:tcPr>
          <w:p w14:paraId="0689ACA8" w14:textId="77777777" w:rsidR="00632FEF" w:rsidRDefault="00632FEF" w:rsidP="00394443">
            <w:pPr>
              <w:pStyle w:val="NormalWeb"/>
              <w:spacing w:line="360" w:lineRule="auto"/>
              <w:rPr>
                <w:color w:val="292526"/>
              </w:rPr>
            </w:pPr>
            <w:r>
              <w:rPr>
                <w:color w:val="292526"/>
              </w:rPr>
              <w:t>0.962 (0.025)</w:t>
            </w:r>
          </w:p>
        </w:tc>
        <w:tc>
          <w:tcPr>
            <w:tcW w:w="2253" w:type="dxa"/>
          </w:tcPr>
          <w:p w14:paraId="6AB153AA" w14:textId="77777777" w:rsidR="00632FEF" w:rsidRPr="00330A40" w:rsidRDefault="00632FEF" w:rsidP="00394443">
            <w:pPr>
              <w:pStyle w:val="NormalWeb"/>
              <w:spacing w:line="360" w:lineRule="auto"/>
              <w:rPr>
                <w:sz w:val="22"/>
                <w:szCs w:val="22"/>
              </w:rPr>
            </w:pPr>
            <w:r w:rsidRPr="00330A40">
              <w:rPr>
                <w:sz w:val="22"/>
                <w:szCs w:val="22"/>
              </w:rPr>
              <w:t xml:space="preserve">1.036 </w:t>
            </w:r>
            <w:r>
              <w:rPr>
                <w:sz w:val="22"/>
                <w:szCs w:val="22"/>
              </w:rPr>
              <w:t>(</w:t>
            </w:r>
            <w:r w:rsidRPr="00330A40">
              <w:rPr>
                <w:sz w:val="22"/>
                <w:szCs w:val="22"/>
              </w:rPr>
              <w:t>0.036</w:t>
            </w:r>
            <w:r>
              <w:rPr>
                <w:sz w:val="22"/>
                <w:szCs w:val="22"/>
              </w:rPr>
              <w:t>)</w:t>
            </w:r>
          </w:p>
        </w:tc>
      </w:tr>
      <w:tr w:rsidR="00632FEF" w14:paraId="1E481EB8" w14:textId="77777777" w:rsidTr="00394443">
        <w:tc>
          <w:tcPr>
            <w:tcW w:w="2252" w:type="dxa"/>
          </w:tcPr>
          <w:p w14:paraId="46EB59D9" w14:textId="77777777" w:rsidR="00632FEF" w:rsidRDefault="00632FEF" w:rsidP="00394443">
            <w:pPr>
              <w:pStyle w:val="NormalWeb"/>
              <w:spacing w:line="360" w:lineRule="auto"/>
              <w:rPr>
                <w:color w:val="292526"/>
              </w:rPr>
            </w:pPr>
            <w:r>
              <w:rPr>
                <w:color w:val="292526"/>
              </w:rPr>
              <w:t>R2*</w:t>
            </w:r>
          </w:p>
        </w:tc>
        <w:tc>
          <w:tcPr>
            <w:tcW w:w="2252" w:type="dxa"/>
          </w:tcPr>
          <w:p w14:paraId="4DE2A236" w14:textId="77777777" w:rsidR="00632FEF" w:rsidRDefault="00632FEF" w:rsidP="00394443">
            <w:pPr>
              <w:pStyle w:val="NormalWeb"/>
              <w:spacing w:line="360" w:lineRule="auto"/>
              <w:rPr>
                <w:color w:val="292526"/>
              </w:rPr>
            </w:pPr>
            <w:r>
              <w:rPr>
                <w:color w:val="292526"/>
              </w:rPr>
              <w:t>20.672 (0.659)</w:t>
            </w:r>
          </w:p>
        </w:tc>
        <w:tc>
          <w:tcPr>
            <w:tcW w:w="2253" w:type="dxa"/>
          </w:tcPr>
          <w:p w14:paraId="0A75DD4B" w14:textId="77777777" w:rsidR="00632FEF" w:rsidRDefault="00632FEF" w:rsidP="00394443">
            <w:pPr>
              <w:pStyle w:val="NormalWeb"/>
              <w:spacing w:line="360" w:lineRule="auto"/>
              <w:rPr>
                <w:color w:val="292526"/>
              </w:rPr>
            </w:pPr>
            <w:r>
              <w:rPr>
                <w:color w:val="292526"/>
              </w:rPr>
              <w:t>20.679 (0.704)</w:t>
            </w:r>
          </w:p>
        </w:tc>
        <w:tc>
          <w:tcPr>
            <w:tcW w:w="2253" w:type="dxa"/>
          </w:tcPr>
          <w:p w14:paraId="66B73A65" w14:textId="77777777" w:rsidR="00632FEF" w:rsidRPr="00330A40" w:rsidRDefault="00632FEF" w:rsidP="00394443">
            <w:pPr>
              <w:pStyle w:val="NormalWeb"/>
              <w:spacing w:line="360" w:lineRule="auto"/>
              <w:rPr>
                <w:sz w:val="22"/>
                <w:szCs w:val="22"/>
              </w:rPr>
            </w:pPr>
            <w:r w:rsidRPr="00330A40">
              <w:rPr>
                <w:sz w:val="22"/>
                <w:szCs w:val="22"/>
              </w:rPr>
              <w:t xml:space="preserve">21.0 </w:t>
            </w:r>
            <w:r>
              <w:rPr>
                <w:sz w:val="22"/>
                <w:szCs w:val="22"/>
              </w:rPr>
              <w:t>(</w:t>
            </w:r>
            <w:r w:rsidRPr="00330A40">
              <w:rPr>
                <w:sz w:val="22"/>
                <w:szCs w:val="22"/>
              </w:rPr>
              <w:t>0.8</w:t>
            </w:r>
            <w:r>
              <w:rPr>
                <w:sz w:val="22"/>
                <w:szCs w:val="22"/>
              </w:rPr>
              <w:t>)</w:t>
            </w:r>
          </w:p>
        </w:tc>
      </w:tr>
    </w:tbl>
    <w:p w14:paraId="2703F08E" w14:textId="77777777" w:rsidR="00632FEF" w:rsidRDefault="00632FEF" w:rsidP="00ED76E5">
      <w:pPr>
        <w:spacing w:line="360" w:lineRule="auto"/>
        <w:jc w:val="both"/>
        <w:rPr>
          <w:color w:val="292526"/>
        </w:rPr>
      </w:pPr>
    </w:p>
    <w:p w14:paraId="2F9A01C2" w14:textId="6716AB8C" w:rsidR="00ED76E5" w:rsidRDefault="00ED76E5" w:rsidP="00A22539">
      <w:pPr>
        <w:spacing w:line="360" w:lineRule="auto"/>
        <w:jc w:val="both"/>
        <w:rPr>
          <w:color w:val="292526"/>
        </w:rPr>
      </w:pPr>
    </w:p>
    <w:p w14:paraId="56D8FFB5" w14:textId="745FD86F" w:rsidR="003D62F8" w:rsidRDefault="006C582F" w:rsidP="00A22539">
      <w:pPr>
        <w:spacing w:line="360" w:lineRule="auto"/>
        <w:jc w:val="both"/>
        <w:rPr>
          <w:color w:val="292526"/>
        </w:rPr>
      </w:pPr>
      <w:r>
        <w:rPr>
          <w:color w:val="292526"/>
        </w:rPr>
        <w:t xml:space="preserve">We </w:t>
      </w:r>
      <w:r w:rsidR="00ED76E5">
        <w:rPr>
          <w:color w:val="292526"/>
        </w:rPr>
        <w:t>then</w:t>
      </w:r>
      <w:r w:rsidR="00545E66">
        <w:rPr>
          <w:color w:val="292526"/>
        </w:rPr>
        <w:t xml:space="preserve"> </w:t>
      </w:r>
      <w:r w:rsidR="00FA59AC">
        <w:rPr>
          <w:color w:val="292526"/>
        </w:rPr>
        <w:t>investigated whether there were</w:t>
      </w:r>
      <w:r>
        <w:rPr>
          <w:color w:val="292526"/>
        </w:rPr>
        <w:t xml:space="preserve"> </w:t>
      </w:r>
      <w:r w:rsidR="00FA59AC">
        <w:rPr>
          <w:color w:val="292526"/>
        </w:rPr>
        <w:t xml:space="preserve">group </w:t>
      </w:r>
      <w:r>
        <w:rPr>
          <w:color w:val="292526"/>
        </w:rPr>
        <w:t xml:space="preserve">differences </w:t>
      </w:r>
      <w:r w:rsidR="00425F57">
        <w:rPr>
          <w:color w:val="292526"/>
        </w:rPr>
        <w:t xml:space="preserve">in </w:t>
      </w:r>
      <w:r w:rsidR="00E80C44">
        <w:rPr>
          <w:color w:val="292526"/>
        </w:rPr>
        <w:t>neural microstructure</w:t>
      </w:r>
      <w:r w:rsidR="00CA2975">
        <w:rPr>
          <w:color w:val="292526"/>
        </w:rPr>
        <w:t xml:space="preserve"> by</w:t>
      </w:r>
      <w:r w:rsidR="00E80C44">
        <w:rPr>
          <w:color w:val="292526"/>
        </w:rPr>
        <w:t xml:space="preserve"> assessing </w:t>
      </w:r>
      <w:r w:rsidR="00425F57">
        <w:rPr>
          <w:color w:val="292526"/>
        </w:rPr>
        <w:t>each of the parameter maps</w:t>
      </w:r>
      <w:r w:rsidR="007624DF">
        <w:rPr>
          <w:color w:val="292526"/>
        </w:rPr>
        <w:t xml:space="preserve"> using nonparametric permutation methods and</w:t>
      </w:r>
      <w:r w:rsidR="00995C1F">
        <w:rPr>
          <w:color w:val="292526"/>
        </w:rPr>
        <w:t xml:space="preserve"> established significant clusters using the threshold-free cluster enhancement method, setting a whole-brain corrected threshold of </w:t>
      </w:r>
      <w:r w:rsidR="00995C1F" w:rsidRPr="00AF41A0">
        <w:rPr>
          <w:i/>
          <w:iCs/>
          <w:color w:val="292526"/>
        </w:rPr>
        <w:t>p</w:t>
      </w:r>
      <w:r w:rsidR="00995C1F">
        <w:rPr>
          <w:color w:val="292526"/>
        </w:rPr>
        <w:t>&lt;.05</w:t>
      </w:r>
      <w:r>
        <w:rPr>
          <w:color w:val="292526"/>
        </w:rPr>
        <w:t xml:space="preserve">. </w:t>
      </w:r>
      <w:r w:rsidR="0002104C" w:rsidRPr="0002104C">
        <w:rPr>
          <w:color w:val="292526"/>
        </w:rPr>
        <w:t>Children with DLD had lower MTsat values than TD children in the inferior frontal gyrus (pars opercularis), ventral sensorimotor cortex, insula</w:t>
      </w:r>
      <w:r w:rsidR="007624DF">
        <w:rPr>
          <w:color w:val="292526"/>
        </w:rPr>
        <w:t>r</w:t>
      </w:r>
      <w:r w:rsidR="0002104C" w:rsidRPr="0002104C">
        <w:rPr>
          <w:color w:val="292526"/>
        </w:rPr>
        <w:t xml:space="preserve"> cortex, lateral Heschl’s gyrus, planum temporale, </w:t>
      </w:r>
      <w:r w:rsidR="007624DF">
        <w:rPr>
          <w:color w:val="292526"/>
        </w:rPr>
        <w:t xml:space="preserve">and </w:t>
      </w:r>
      <w:r w:rsidR="0002104C" w:rsidRPr="0002104C">
        <w:rPr>
          <w:color w:val="292526"/>
        </w:rPr>
        <w:t>posterior superior temporal sulcus</w:t>
      </w:r>
      <w:r w:rsidR="007624DF">
        <w:rPr>
          <w:color w:val="292526"/>
        </w:rPr>
        <w:t xml:space="preserve"> of the left hemisphere</w:t>
      </w:r>
      <w:r w:rsidR="008C185A">
        <w:rPr>
          <w:color w:val="292526"/>
        </w:rPr>
        <w:t>,</w:t>
      </w:r>
      <w:r w:rsidR="0002104C" w:rsidRPr="0002104C">
        <w:rPr>
          <w:color w:val="292526"/>
        </w:rPr>
        <w:t xml:space="preserve"> and in portions of lateral and dorsomedial occipital cortex bilaterally. Subcortically, the children with DLD also had reduced MTsat in the dorsal caudate nucleus bilaterally</w:t>
      </w:r>
      <w:r w:rsidR="00BD2FF3">
        <w:rPr>
          <w:color w:val="292526"/>
        </w:rPr>
        <w:t>;</w:t>
      </w:r>
      <w:r w:rsidR="0002104C" w:rsidRPr="0002104C">
        <w:rPr>
          <w:color w:val="292526"/>
        </w:rPr>
        <w:t xml:space="preserve"> these differences were seen mainly in the body and were more extensive on the left than the right (Figure 1 and </w:t>
      </w:r>
      <w:r w:rsidR="00E01DB9">
        <w:rPr>
          <w:color w:val="292526"/>
        </w:rPr>
        <w:t xml:space="preserve">Supplementary </w:t>
      </w:r>
      <w:r w:rsidR="00AC12F4">
        <w:rPr>
          <w:color w:val="292526"/>
        </w:rPr>
        <w:t>file</w:t>
      </w:r>
      <w:r w:rsidR="00AC12F4" w:rsidRPr="0002104C">
        <w:rPr>
          <w:color w:val="292526"/>
        </w:rPr>
        <w:t xml:space="preserve"> </w:t>
      </w:r>
      <w:r w:rsidR="00E31C73">
        <w:rPr>
          <w:color w:val="292526"/>
        </w:rPr>
        <w:t>1</w:t>
      </w:r>
      <w:r w:rsidR="008778BD">
        <w:rPr>
          <w:color w:val="292526"/>
        </w:rPr>
        <w:t>a</w:t>
      </w:r>
      <w:r w:rsidR="0002104C" w:rsidRPr="0002104C">
        <w:rPr>
          <w:color w:val="292526"/>
        </w:rPr>
        <w:t>).</w:t>
      </w:r>
      <w:r w:rsidR="0002104C">
        <w:rPr>
          <w:color w:val="292526"/>
        </w:rPr>
        <w:t xml:space="preserve"> </w:t>
      </w:r>
      <w:r w:rsidR="001E5507">
        <w:rPr>
          <w:color w:val="292526"/>
        </w:rPr>
        <w:t xml:space="preserve">Consistent with the mean </w:t>
      </w:r>
      <w:r w:rsidR="00E175CA">
        <w:rPr>
          <w:color w:val="292526"/>
        </w:rPr>
        <w:t xml:space="preserve">global </w:t>
      </w:r>
      <w:r w:rsidR="001E5507">
        <w:rPr>
          <w:color w:val="292526"/>
        </w:rPr>
        <w:t>differences in R1</w:t>
      </w:r>
      <w:r w:rsidR="00E175CA">
        <w:rPr>
          <w:color w:val="292526"/>
        </w:rPr>
        <w:t xml:space="preserve"> in children with DLD</w:t>
      </w:r>
      <w:r w:rsidR="00425F57">
        <w:rPr>
          <w:color w:val="292526"/>
        </w:rPr>
        <w:t xml:space="preserve"> (see Table </w:t>
      </w:r>
      <w:r w:rsidR="00204168">
        <w:rPr>
          <w:color w:val="292526"/>
        </w:rPr>
        <w:t>2</w:t>
      </w:r>
      <w:r w:rsidR="00425F57">
        <w:rPr>
          <w:color w:val="292526"/>
        </w:rPr>
        <w:t>)</w:t>
      </w:r>
      <w:r w:rsidR="001E5507">
        <w:rPr>
          <w:color w:val="292526"/>
        </w:rPr>
        <w:t xml:space="preserve">, </w:t>
      </w:r>
      <w:r w:rsidR="00E175CA">
        <w:rPr>
          <w:color w:val="292526"/>
        </w:rPr>
        <w:t>e</w:t>
      </w:r>
      <w:r w:rsidR="00224373" w:rsidRPr="00224373">
        <w:rPr>
          <w:color w:val="292526"/>
        </w:rPr>
        <w:t xml:space="preserve">xamination of the R1 maps revealed widespread </w:t>
      </w:r>
      <w:r w:rsidR="001E5507">
        <w:rPr>
          <w:color w:val="292526"/>
        </w:rPr>
        <w:t>reduction</w:t>
      </w:r>
      <w:r w:rsidR="001E5507" w:rsidRPr="00224373">
        <w:rPr>
          <w:color w:val="292526"/>
        </w:rPr>
        <w:t xml:space="preserve"> </w:t>
      </w:r>
      <w:r w:rsidR="00224373" w:rsidRPr="00224373">
        <w:rPr>
          <w:color w:val="292526"/>
        </w:rPr>
        <w:t>over the lateral convexities of the frontal and parietal lobes bilaterally (but slightly more on the right), the medial frontal cortex including SMA and extending to paracentral lobule and left posterior temporal cortex extending from the superior temporal plane to posterior inferior temporal cortex. Subcortically, there were differences in R1 in the dorsal striatum and thalamus bilaterally, and in anterior portions of the medial temporal lobe</w:t>
      </w:r>
      <w:r w:rsidR="0030248A">
        <w:rPr>
          <w:color w:val="292526"/>
        </w:rPr>
        <w:t xml:space="preserve"> </w:t>
      </w:r>
      <w:r>
        <w:rPr>
          <w:color w:val="292526"/>
        </w:rPr>
        <w:t xml:space="preserve">(Figure </w:t>
      </w:r>
      <w:r w:rsidR="00204168">
        <w:rPr>
          <w:color w:val="292526"/>
        </w:rPr>
        <w:t>2</w:t>
      </w:r>
      <w:r>
        <w:rPr>
          <w:color w:val="292526"/>
        </w:rPr>
        <w:t>)</w:t>
      </w:r>
      <w:r w:rsidR="00786D86">
        <w:rPr>
          <w:color w:val="292526"/>
        </w:rPr>
        <w:t xml:space="preserve">. </w:t>
      </w:r>
      <w:r w:rsidR="00E175CA">
        <w:rPr>
          <w:color w:val="292526"/>
        </w:rPr>
        <w:t xml:space="preserve">We </w:t>
      </w:r>
      <w:r w:rsidR="00035FB3">
        <w:rPr>
          <w:color w:val="292526"/>
        </w:rPr>
        <w:t xml:space="preserve">did not find any significant group differences when examining </w:t>
      </w:r>
      <w:r w:rsidR="00035FB3">
        <w:rPr>
          <w:color w:val="292526"/>
        </w:rPr>
        <w:lastRenderedPageBreak/>
        <w:t>the</w:t>
      </w:r>
      <w:r w:rsidR="00786D86">
        <w:rPr>
          <w:color w:val="292526"/>
        </w:rPr>
        <w:t xml:space="preserve"> R2* maps. There were</w:t>
      </w:r>
      <w:r w:rsidR="00035FB3">
        <w:rPr>
          <w:color w:val="292526"/>
        </w:rPr>
        <w:t xml:space="preserve"> also</w:t>
      </w:r>
      <w:r w:rsidR="00786D86">
        <w:rPr>
          <w:color w:val="292526"/>
        </w:rPr>
        <w:t xml:space="preserve"> no regions where children with DLD showed greater MT, R1 </w:t>
      </w:r>
      <w:r w:rsidR="00CA2975">
        <w:rPr>
          <w:color w:val="292526"/>
        </w:rPr>
        <w:t>or</w:t>
      </w:r>
      <w:r w:rsidR="00786D86">
        <w:rPr>
          <w:color w:val="292526"/>
        </w:rPr>
        <w:t xml:space="preserve"> R2* values relative to TD children</w:t>
      </w:r>
      <w:r w:rsidR="008333F0">
        <w:rPr>
          <w:color w:val="292526"/>
        </w:rPr>
        <w:t>.</w:t>
      </w:r>
      <w:r w:rsidR="00BB52BE">
        <w:rPr>
          <w:color w:val="292526"/>
        </w:rPr>
        <w:t xml:space="preserve"> </w:t>
      </w:r>
    </w:p>
    <w:p w14:paraId="17CCCCAA" w14:textId="77777777" w:rsidR="00AE1977" w:rsidRDefault="00AE1977" w:rsidP="00A22539">
      <w:pPr>
        <w:spacing w:line="360" w:lineRule="auto"/>
        <w:jc w:val="both"/>
        <w:rPr>
          <w:color w:val="292526"/>
        </w:rPr>
      </w:pPr>
    </w:p>
    <w:p w14:paraId="21B5D9E2" w14:textId="20F7C96A" w:rsidR="00AE1977" w:rsidRDefault="00AE1977" w:rsidP="00AE1977">
      <w:pPr>
        <w:spacing w:line="360" w:lineRule="auto"/>
        <w:jc w:val="both"/>
        <w:rPr>
          <w:color w:val="292526"/>
        </w:rPr>
      </w:pPr>
      <w:r>
        <w:rPr>
          <w:color w:val="292526"/>
        </w:rPr>
        <w:t xml:space="preserve">Given that MTsat and R1 maps are particularly sensitive to myelin, and the R2* maps did not differ between the groups, we then examined if there were regions where we would see convergence of differences across MTsat and R1. A conjunction analysis was performed, where we assessed which voxels showed significant TD &gt; DLD differences in both MTsat and R1 maps. </w:t>
      </w:r>
      <w:r w:rsidRPr="00B83C20">
        <w:rPr>
          <w:color w:val="292526"/>
        </w:rPr>
        <w:t xml:space="preserve">We found </w:t>
      </w:r>
      <w:r>
        <w:rPr>
          <w:color w:val="292526"/>
        </w:rPr>
        <w:t>conjoint differences in</w:t>
      </w:r>
      <w:r w:rsidRPr="00B83C20">
        <w:rPr>
          <w:color w:val="292526"/>
        </w:rPr>
        <w:t xml:space="preserve"> the MT and R1 maps </w:t>
      </w:r>
      <w:r>
        <w:rPr>
          <w:color w:val="292526"/>
        </w:rPr>
        <w:t>across</w:t>
      </w:r>
      <w:r w:rsidRPr="00B83C20">
        <w:rPr>
          <w:color w:val="292526"/>
        </w:rPr>
        <w:t xml:space="preserve"> </w:t>
      </w:r>
      <w:r>
        <w:rPr>
          <w:color w:val="292526"/>
        </w:rPr>
        <w:t>several</w:t>
      </w:r>
      <w:r w:rsidRPr="00B83C20">
        <w:rPr>
          <w:color w:val="292526"/>
        </w:rPr>
        <w:t xml:space="preserve"> brain regions, including the caudate nuclei</w:t>
      </w:r>
      <w:r>
        <w:rPr>
          <w:color w:val="292526"/>
        </w:rPr>
        <w:t xml:space="preserve"> bilaterally</w:t>
      </w:r>
      <w:r w:rsidRPr="00B83C20">
        <w:rPr>
          <w:color w:val="292526"/>
        </w:rPr>
        <w:t xml:space="preserve">, </w:t>
      </w:r>
      <w:r>
        <w:rPr>
          <w:color w:val="292526"/>
        </w:rPr>
        <w:t xml:space="preserve">and in the </w:t>
      </w:r>
      <w:r w:rsidRPr="00B83C20">
        <w:rPr>
          <w:color w:val="292526"/>
        </w:rPr>
        <w:t>left ventral sensorimotor cortex, insula,</w:t>
      </w:r>
      <w:r>
        <w:rPr>
          <w:color w:val="292526"/>
        </w:rPr>
        <w:t xml:space="preserve"> lateral </w:t>
      </w:r>
      <w:r w:rsidRPr="00B83C20">
        <w:rPr>
          <w:color w:val="292526"/>
        </w:rPr>
        <w:t>Heschl’s gyrus</w:t>
      </w:r>
      <w:r>
        <w:rPr>
          <w:rStyle w:val="CommentReference"/>
        </w:rPr>
        <w:t xml:space="preserve">, </w:t>
      </w:r>
      <w:r w:rsidRPr="00B83C20">
        <w:rPr>
          <w:color w:val="292526"/>
        </w:rPr>
        <w:t>planum temporale</w:t>
      </w:r>
      <w:r>
        <w:rPr>
          <w:color w:val="292526"/>
        </w:rPr>
        <w:t xml:space="preserve">, </w:t>
      </w:r>
      <w:r w:rsidRPr="0002104C">
        <w:rPr>
          <w:color w:val="292526"/>
        </w:rPr>
        <w:t>posterior superior temporal sulcus</w:t>
      </w:r>
      <w:r>
        <w:rPr>
          <w:color w:val="292526"/>
        </w:rPr>
        <w:t xml:space="preserve"> and middle temporal gyrus</w:t>
      </w:r>
      <w:r w:rsidRPr="00B83C20">
        <w:rPr>
          <w:color w:val="292526"/>
        </w:rPr>
        <w:t xml:space="preserve"> (Figure 3</w:t>
      </w:r>
      <w:r>
        <w:rPr>
          <w:color w:val="292526"/>
        </w:rPr>
        <w:t xml:space="preserve"> and Supplementary </w:t>
      </w:r>
      <w:r w:rsidR="00AC12F4">
        <w:rPr>
          <w:color w:val="292526"/>
        </w:rPr>
        <w:t xml:space="preserve">file </w:t>
      </w:r>
      <w:r w:rsidR="008778BD">
        <w:rPr>
          <w:color w:val="292526"/>
        </w:rPr>
        <w:t>1b</w:t>
      </w:r>
      <w:r w:rsidRPr="00B83C20">
        <w:rPr>
          <w:color w:val="292526"/>
        </w:rPr>
        <w:t xml:space="preserve">). </w:t>
      </w:r>
    </w:p>
    <w:p w14:paraId="4E180AD4" w14:textId="5D05610A" w:rsidR="005B0CD6" w:rsidRDefault="005B0CD6">
      <w:pPr>
        <w:rPr>
          <w:b/>
          <w:bCs/>
          <w:color w:val="292526"/>
        </w:rPr>
      </w:pPr>
    </w:p>
    <w:p w14:paraId="1204B3F7" w14:textId="77777777" w:rsidR="00F16391" w:rsidRDefault="00F16391">
      <w:pPr>
        <w:rPr>
          <w:b/>
          <w:bCs/>
          <w:i/>
          <w:iCs/>
          <w:color w:val="292526"/>
        </w:rPr>
      </w:pPr>
      <w:r>
        <w:rPr>
          <w:b/>
          <w:bCs/>
          <w:i/>
          <w:iCs/>
          <w:color w:val="292526"/>
        </w:rPr>
        <w:br w:type="page"/>
      </w:r>
    </w:p>
    <w:p w14:paraId="07D68E64" w14:textId="5978BC08" w:rsidR="00E01DB9" w:rsidRDefault="00E01DB9" w:rsidP="00E01DB9">
      <w:pPr>
        <w:jc w:val="both"/>
        <w:rPr>
          <w:i/>
          <w:iCs/>
          <w:color w:val="292526"/>
        </w:rPr>
      </w:pPr>
      <w:r w:rsidRPr="00451B91">
        <w:rPr>
          <w:b/>
          <w:bCs/>
          <w:i/>
          <w:iCs/>
          <w:color w:val="292526"/>
        </w:rPr>
        <w:lastRenderedPageBreak/>
        <w:t xml:space="preserve">Figure 1. </w:t>
      </w:r>
      <w:r w:rsidR="007624DF" w:rsidRPr="00451B91">
        <w:rPr>
          <w:b/>
          <w:bCs/>
          <w:i/>
          <w:iCs/>
          <w:color w:val="292526"/>
        </w:rPr>
        <w:t>Brain areas showing reduced MTsat in DLD</w:t>
      </w:r>
      <w:r w:rsidR="007624DF">
        <w:rPr>
          <w:b/>
          <w:bCs/>
          <w:color w:val="292526"/>
        </w:rPr>
        <w:t xml:space="preserve"> </w:t>
      </w:r>
      <w:r w:rsidR="007624DF" w:rsidRPr="00594A3C">
        <w:rPr>
          <w:i/>
          <w:iCs/>
          <w:color w:val="292526"/>
        </w:rPr>
        <w:t xml:space="preserve">Coloured maps </w:t>
      </w:r>
      <w:r w:rsidR="00594A3C" w:rsidRPr="00594A3C">
        <w:rPr>
          <w:i/>
          <w:iCs/>
          <w:color w:val="292526"/>
        </w:rPr>
        <w:t xml:space="preserve">resampled and </w:t>
      </w:r>
      <w:r w:rsidR="007624DF" w:rsidRPr="00594A3C">
        <w:rPr>
          <w:i/>
          <w:iCs/>
          <w:color w:val="292526"/>
        </w:rPr>
        <w:t xml:space="preserve">overlaid on the </w:t>
      </w:r>
      <w:r w:rsidR="00594A3C" w:rsidRPr="00594A3C">
        <w:rPr>
          <w:i/>
          <w:iCs/>
          <w:color w:val="292526"/>
        </w:rPr>
        <w:t>fs</w:t>
      </w:r>
      <w:r w:rsidR="007624DF" w:rsidRPr="00594A3C">
        <w:rPr>
          <w:i/>
          <w:iCs/>
          <w:color w:val="292526"/>
        </w:rPr>
        <w:t xml:space="preserve">average surface (reconstructed using the HCP workbench) show </w:t>
      </w:r>
      <w:r w:rsidRPr="00594A3C">
        <w:rPr>
          <w:i/>
          <w:iCs/>
          <w:color w:val="292526"/>
        </w:rPr>
        <w:t xml:space="preserve">TD &gt; DLD differences in MTsat values </w:t>
      </w:r>
      <w:r w:rsidR="00995C1F" w:rsidRPr="00594A3C">
        <w:rPr>
          <w:i/>
          <w:iCs/>
          <w:color w:val="292526"/>
        </w:rPr>
        <w:t>(</w:t>
      </w:r>
      <w:r w:rsidR="005053AC" w:rsidRPr="00594A3C">
        <w:rPr>
          <w:i/>
          <w:iCs/>
          <w:color w:val="292526"/>
        </w:rPr>
        <w:t>whole-brain corrected threshold</w:t>
      </w:r>
      <w:r w:rsidR="00995C1F" w:rsidRPr="00594A3C">
        <w:rPr>
          <w:i/>
          <w:iCs/>
          <w:color w:val="292526"/>
        </w:rPr>
        <w:t xml:space="preserve"> p&lt;.05)</w:t>
      </w:r>
      <w:r w:rsidRPr="00594A3C">
        <w:rPr>
          <w:i/>
          <w:iCs/>
          <w:color w:val="292526"/>
        </w:rPr>
        <w:t>. Axial slices</w:t>
      </w:r>
      <w:r w:rsidR="00594A3C">
        <w:rPr>
          <w:i/>
          <w:iCs/>
          <w:color w:val="292526"/>
        </w:rPr>
        <w:t xml:space="preserve"> (</w:t>
      </w:r>
      <w:r w:rsidR="002B58E5">
        <w:rPr>
          <w:i/>
          <w:iCs/>
          <w:color w:val="292526"/>
        </w:rPr>
        <w:t>coloured maps are overlaid</w:t>
      </w:r>
      <w:r w:rsidR="00594A3C">
        <w:rPr>
          <w:i/>
          <w:iCs/>
          <w:color w:val="292526"/>
        </w:rPr>
        <w:t xml:space="preserve"> on an average MTsat image </w:t>
      </w:r>
      <w:r w:rsidR="002B58E5">
        <w:rPr>
          <w:i/>
          <w:iCs/>
          <w:color w:val="292526"/>
        </w:rPr>
        <w:t>from all participants</w:t>
      </w:r>
      <w:r w:rsidR="00594A3C">
        <w:rPr>
          <w:i/>
          <w:iCs/>
          <w:color w:val="292526"/>
        </w:rPr>
        <w:t>)</w:t>
      </w:r>
      <w:r w:rsidRPr="00594A3C">
        <w:rPr>
          <w:i/>
          <w:iCs/>
          <w:color w:val="292526"/>
        </w:rPr>
        <w:t xml:space="preserve"> </w:t>
      </w:r>
      <w:r w:rsidR="00245FE2" w:rsidRPr="00594A3C">
        <w:rPr>
          <w:i/>
          <w:iCs/>
          <w:color w:val="292526"/>
        </w:rPr>
        <w:t xml:space="preserve">reveal additional </w:t>
      </w:r>
      <w:r w:rsidRPr="00594A3C">
        <w:rPr>
          <w:i/>
          <w:iCs/>
          <w:color w:val="292526"/>
        </w:rPr>
        <w:t>group differences</w:t>
      </w:r>
      <w:r w:rsidR="00245FE2" w:rsidRPr="00594A3C">
        <w:rPr>
          <w:i/>
          <w:iCs/>
          <w:color w:val="292526"/>
        </w:rPr>
        <w:t xml:space="preserve"> subcortically</w:t>
      </w:r>
      <w:r w:rsidRPr="00594A3C">
        <w:rPr>
          <w:i/>
          <w:iCs/>
          <w:color w:val="292526"/>
        </w:rPr>
        <w:t xml:space="preserve"> in the caudate nuclei.  The inset shows a boxplot of MTsat values </w:t>
      </w:r>
      <w:r w:rsidR="005B4DDD" w:rsidRPr="00594A3C">
        <w:rPr>
          <w:i/>
          <w:iCs/>
          <w:color w:val="292526"/>
        </w:rPr>
        <w:t xml:space="preserve">drawn from the cluster in </w:t>
      </w:r>
      <w:r w:rsidRPr="00594A3C">
        <w:rPr>
          <w:i/>
          <w:iCs/>
          <w:color w:val="292526"/>
        </w:rPr>
        <w:t>the caudate nuclei by group, with this cluster split into right and left using a hemispheric mask (</w:t>
      </w:r>
      <w:r w:rsidR="005B4DDD" w:rsidRPr="00594A3C">
        <w:rPr>
          <w:i/>
          <w:iCs/>
          <w:color w:val="292526"/>
        </w:rPr>
        <w:t xml:space="preserve">orange </w:t>
      </w:r>
      <w:r w:rsidRPr="00594A3C">
        <w:rPr>
          <w:i/>
          <w:iCs/>
          <w:color w:val="292526"/>
        </w:rPr>
        <w:t xml:space="preserve">– DLD, </w:t>
      </w:r>
      <w:r w:rsidR="00245FE2" w:rsidRPr="00594A3C">
        <w:rPr>
          <w:i/>
          <w:iCs/>
          <w:color w:val="292526"/>
        </w:rPr>
        <w:t xml:space="preserve">green </w:t>
      </w:r>
      <w:r w:rsidRPr="00594A3C">
        <w:rPr>
          <w:i/>
          <w:iCs/>
          <w:color w:val="292526"/>
        </w:rPr>
        <w:t>– TD).</w:t>
      </w:r>
    </w:p>
    <w:p w14:paraId="07D26CAE" w14:textId="77777777" w:rsidR="00F16391" w:rsidRPr="00594A3C" w:rsidRDefault="00F16391" w:rsidP="00E01DB9">
      <w:pPr>
        <w:jc w:val="both"/>
        <w:rPr>
          <w:i/>
          <w:iCs/>
          <w:color w:val="292526"/>
        </w:rPr>
      </w:pPr>
    </w:p>
    <w:p w14:paraId="40176440" w14:textId="0FC03B79" w:rsidR="00E01DB9" w:rsidRPr="00F821CE" w:rsidRDefault="00594A3C" w:rsidP="00F821CE">
      <w:pPr>
        <w:spacing w:line="360" w:lineRule="auto"/>
        <w:jc w:val="both"/>
        <w:rPr>
          <w:color w:val="292526"/>
        </w:rPr>
      </w:pPr>
      <w:r>
        <w:rPr>
          <w:noProof/>
          <w:color w:val="292526"/>
        </w:rPr>
        <w:drawing>
          <wp:inline distT="0" distB="0" distL="0" distR="0" wp14:anchorId="7EE7DE32" wp14:editId="2612D35F">
            <wp:extent cx="5727700" cy="4329430"/>
            <wp:effectExtent l="0" t="0" r="0" b="0"/>
            <wp:docPr id="1" name="Picture 1" descr="A picture containing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lastic&#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4329430"/>
                    </a:xfrm>
                    <a:prstGeom prst="rect">
                      <a:avLst/>
                    </a:prstGeom>
                  </pic:spPr>
                </pic:pic>
              </a:graphicData>
            </a:graphic>
          </wp:inline>
        </w:drawing>
      </w:r>
    </w:p>
    <w:p w14:paraId="3D917704" w14:textId="77777777" w:rsidR="00AE1977" w:rsidRDefault="00AE1977">
      <w:pPr>
        <w:rPr>
          <w:b/>
          <w:bCs/>
          <w:i/>
          <w:iCs/>
          <w:color w:val="292526"/>
        </w:rPr>
      </w:pPr>
    </w:p>
    <w:p w14:paraId="6A066197" w14:textId="77777777" w:rsidR="00F16391" w:rsidRDefault="00F16391">
      <w:pPr>
        <w:rPr>
          <w:b/>
          <w:bCs/>
          <w:i/>
          <w:iCs/>
          <w:color w:val="292526"/>
        </w:rPr>
      </w:pPr>
      <w:r>
        <w:rPr>
          <w:b/>
          <w:bCs/>
          <w:i/>
          <w:iCs/>
          <w:color w:val="292526"/>
        </w:rPr>
        <w:br w:type="page"/>
      </w:r>
    </w:p>
    <w:p w14:paraId="4014763B" w14:textId="39F43E4A" w:rsidR="002462BF" w:rsidRPr="00594A3C" w:rsidRDefault="002462BF" w:rsidP="002462BF">
      <w:pPr>
        <w:rPr>
          <w:b/>
          <w:bCs/>
          <w:i/>
          <w:iCs/>
          <w:color w:val="292526"/>
        </w:rPr>
      </w:pPr>
      <w:r w:rsidRPr="00451B91">
        <w:rPr>
          <w:b/>
          <w:bCs/>
          <w:i/>
          <w:iCs/>
          <w:color w:val="292526"/>
        </w:rPr>
        <w:lastRenderedPageBreak/>
        <w:t xml:space="preserve">Figure 2. </w:t>
      </w:r>
      <w:r w:rsidR="00245FE2" w:rsidRPr="00451B91">
        <w:rPr>
          <w:b/>
          <w:bCs/>
          <w:i/>
          <w:iCs/>
          <w:color w:val="292526"/>
        </w:rPr>
        <w:t>Brain areas showing reduced R1 in DLD</w:t>
      </w:r>
      <w:r w:rsidR="00245FE2" w:rsidRPr="00594A3C">
        <w:rPr>
          <w:b/>
          <w:bCs/>
          <w:i/>
          <w:iCs/>
          <w:color w:val="292526"/>
        </w:rPr>
        <w:t xml:space="preserve"> </w:t>
      </w:r>
      <w:r w:rsidR="00245FE2" w:rsidRPr="00594A3C">
        <w:rPr>
          <w:i/>
          <w:iCs/>
          <w:color w:val="292526"/>
        </w:rPr>
        <w:t xml:space="preserve">Coloured maps </w:t>
      </w:r>
      <w:r w:rsidR="00594A3C" w:rsidRPr="00594A3C">
        <w:rPr>
          <w:i/>
          <w:iCs/>
          <w:color w:val="292526"/>
        </w:rPr>
        <w:t xml:space="preserve">resampled and overlaid on the fsaverage surface (reconstructed using the HCP workbench) </w:t>
      </w:r>
      <w:r w:rsidR="00245FE2" w:rsidRPr="00594A3C">
        <w:rPr>
          <w:i/>
          <w:iCs/>
          <w:color w:val="292526"/>
        </w:rPr>
        <w:t>show TD &gt; DLD differences in R1 maps (whole brain corrected threshold p&lt;.05). Axial slices</w:t>
      </w:r>
      <w:r w:rsidR="00594A3C" w:rsidRPr="00594A3C">
        <w:rPr>
          <w:i/>
          <w:iCs/>
          <w:color w:val="292526"/>
        </w:rPr>
        <w:t xml:space="preserve"> (</w:t>
      </w:r>
      <w:r w:rsidR="002B58E5">
        <w:rPr>
          <w:i/>
          <w:iCs/>
          <w:color w:val="292526"/>
        </w:rPr>
        <w:t>coloured maps are overlaid on an average MTsat image from all participants</w:t>
      </w:r>
      <w:r w:rsidR="00594A3C" w:rsidRPr="00594A3C">
        <w:rPr>
          <w:i/>
          <w:iCs/>
          <w:color w:val="292526"/>
        </w:rPr>
        <w:t>)</w:t>
      </w:r>
      <w:r w:rsidR="00245FE2" w:rsidRPr="00594A3C">
        <w:rPr>
          <w:i/>
          <w:iCs/>
          <w:color w:val="292526"/>
        </w:rPr>
        <w:t xml:space="preserve"> reveal additional subcortical group differences in the striatum and thalamus bilaterally.  </w:t>
      </w:r>
    </w:p>
    <w:p w14:paraId="10F45144" w14:textId="778769EB" w:rsidR="002462BF" w:rsidRDefault="002462BF" w:rsidP="00A22539">
      <w:pPr>
        <w:spacing w:line="360" w:lineRule="auto"/>
        <w:jc w:val="both"/>
        <w:rPr>
          <w:color w:val="292526"/>
        </w:rPr>
      </w:pPr>
    </w:p>
    <w:p w14:paraId="32C0E6F8" w14:textId="18BA7B31" w:rsidR="00A711A5" w:rsidRDefault="00B14BA0" w:rsidP="008B1177">
      <w:pPr>
        <w:rPr>
          <w:b/>
          <w:bCs/>
          <w:i/>
          <w:iCs/>
          <w:color w:val="292526"/>
        </w:rPr>
      </w:pPr>
      <w:r w:rsidRPr="00B14BA0">
        <w:rPr>
          <w:noProof/>
          <w:color w:val="292526"/>
        </w:rPr>
        <w:drawing>
          <wp:inline distT="0" distB="0" distL="0" distR="0" wp14:anchorId="0DE92713" wp14:editId="3F26E71D">
            <wp:extent cx="5727700" cy="4364990"/>
            <wp:effectExtent l="0" t="0" r="0" b="0"/>
            <wp:docPr id="4" name="Picture 4" descr="A picture containing decorated, colorful,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ecorated, colorful, plastic&#10;&#10;Description automatically generated"/>
                    <pic:cNvPicPr/>
                  </pic:nvPicPr>
                  <pic:blipFill>
                    <a:blip r:embed="rId9"/>
                    <a:stretch>
                      <a:fillRect/>
                    </a:stretch>
                  </pic:blipFill>
                  <pic:spPr>
                    <a:xfrm>
                      <a:off x="0" y="0"/>
                      <a:ext cx="5727700" cy="4364990"/>
                    </a:xfrm>
                    <a:prstGeom prst="rect">
                      <a:avLst/>
                    </a:prstGeom>
                  </pic:spPr>
                </pic:pic>
              </a:graphicData>
            </a:graphic>
          </wp:inline>
        </w:drawing>
      </w:r>
    </w:p>
    <w:p w14:paraId="3B1C72F9" w14:textId="77777777" w:rsidR="000C203E" w:rsidRDefault="000C203E" w:rsidP="008B1177">
      <w:pPr>
        <w:rPr>
          <w:b/>
          <w:bCs/>
          <w:i/>
          <w:iCs/>
          <w:color w:val="292526"/>
        </w:rPr>
      </w:pPr>
    </w:p>
    <w:p w14:paraId="06E632D5" w14:textId="77777777" w:rsidR="00AE1977" w:rsidRDefault="00AE1977">
      <w:pPr>
        <w:rPr>
          <w:b/>
          <w:bCs/>
          <w:i/>
          <w:iCs/>
          <w:color w:val="292526"/>
        </w:rPr>
      </w:pPr>
      <w:r>
        <w:rPr>
          <w:b/>
          <w:bCs/>
          <w:i/>
          <w:iCs/>
          <w:color w:val="292526"/>
        </w:rPr>
        <w:br w:type="page"/>
      </w:r>
    </w:p>
    <w:p w14:paraId="212EC41C" w14:textId="6E9EBB19" w:rsidR="008B1177" w:rsidRPr="008B1177" w:rsidRDefault="008B1177" w:rsidP="008B1177">
      <w:pPr>
        <w:rPr>
          <w:b/>
          <w:bCs/>
          <w:color w:val="292526"/>
        </w:rPr>
      </w:pPr>
      <w:r w:rsidRPr="00451B91">
        <w:rPr>
          <w:b/>
          <w:bCs/>
          <w:i/>
          <w:iCs/>
          <w:color w:val="292526"/>
        </w:rPr>
        <w:lastRenderedPageBreak/>
        <w:t xml:space="preserve">Figure 3. </w:t>
      </w:r>
      <w:r w:rsidR="00245FE2" w:rsidRPr="00451B91">
        <w:rPr>
          <w:b/>
          <w:bCs/>
          <w:i/>
          <w:iCs/>
          <w:color w:val="292526"/>
        </w:rPr>
        <w:t>Brain areas showing conjoint differences in MTsat and R1 in DLD</w:t>
      </w:r>
      <w:r w:rsidR="00245FE2">
        <w:rPr>
          <w:b/>
          <w:bCs/>
          <w:color w:val="292526"/>
        </w:rPr>
        <w:t xml:space="preserve"> </w:t>
      </w:r>
      <w:r w:rsidR="00245FE2" w:rsidRPr="00594A3C">
        <w:rPr>
          <w:i/>
          <w:iCs/>
          <w:color w:val="292526"/>
        </w:rPr>
        <w:t xml:space="preserve">Coloured maps </w:t>
      </w:r>
      <w:r w:rsidR="00594A3C" w:rsidRPr="00594A3C">
        <w:rPr>
          <w:i/>
          <w:iCs/>
          <w:color w:val="292526"/>
        </w:rPr>
        <w:t xml:space="preserve">resampled and overlaid on the fsaverage surface (reconstructed using the HCP workbench) </w:t>
      </w:r>
      <w:r w:rsidR="00245FE2" w:rsidRPr="00594A3C">
        <w:rPr>
          <w:i/>
          <w:iCs/>
          <w:color w:val="292526"/>
        </w:rPr>
        <w:t>show convergence of TD &gt; DLD differences in MTsat and R1 maps</w:t>
      </w:r>
      <w:r w:rsidR="00245FE2" w:rsidRPr="00594A3C">
        <w:rPr>
          <w:b/>
          <w:bCs/>
          <w:i/>
          <w:iCs/>
          <w:color w:val="292526"/>
        </w:rPr>
        <w:t xml:space="preserve"> </w:t>
      </w:r>
      <w:r w:rsidR="00245FE2" w:rsidRPr="00594A3C">
        <w:rPr>
          <w:i/>
          <w:iCs/>
          <w:color w:val="292526"/>
        </w:rPr>
        <w:t xml:space="preserve">thresholded at </w:t>
      </w:r>
      <w:r w:rsidR="00594A3C" w:rsidRPr="00594A3C">
        <w:rPr>
          <w:i/>
          <w:iCs/>
          <w:color w:val="292526"/>
        </w:rPr>
        <w:t>p&lt;0.05.</w:t>
      </w:r>
      <w:r w:rsidR="00245FE2" w:rsidRPr="00594A3C">
        <w:rPr>
          <w:i/>
          <w:iCs/>
          <w:color w:val="292526"/>
        </w:rPr>
        <w:t xml:space="preserve"> Axial slices </w:t>
      </w:r>
      <w:r w:rsidR="00594A3C" w:rsidRPr="00594A3C">
        <w:rPr>
          <w:i/>
          <w:iCs/>
          <w:color w:val="292526"/>
        </w:rPr>
        <w:t>(</w:t>
      </w:r>
      <w:r w:rsidR="002B58E5">
        <w:rPr>
          <w:i/>
          <w:iCs/>
          <w:color w:val="292526"/>
        </w:rPr>
        <w:t>coloured maps are overlaid on an average MTsat image from all participants</w:t>
      </w:r>
      <w:r w:rsidR="00594A3C" w:rsidRPr="00594A3C">
        <w:rPr>
          <w:i/>
          <w:iCs/>
          <w:color w:val="292526"/>
        </w:rPr>
        <w:t xml:space="preserve">) </w:t>
      </w:r>
      <w:r w:rsidR="00245FE2" w:rsidRPr="00594A3C">
        <w:rPr>
          <w:i/>
          <w:iCs/>
          <w:color w:val="292526"/>
        </w:rPr>
        <w:t>reveal the differences subcortically in the dorsal striatum in particular.</w:t>
      </w:r>
    </w:p>
    <w:p w14:paraId="1E92F6E1" w14:textId="47DB4A6C" w:rsidR="008B1177" w:rsidRDefault="008B1177" w:rsidP="00A22539">
      <w:pPr>
        <w:spacing w:line="360" w:lineRule="auto"/>
        <w:jc w:val="both"/>
        <w:rPr>
          <w:color w:val="292526"/>
        </w:rPr>
      </w:pPr>
    </w:p>
    <w:p w14:paraId="42C2EEAC" w14:textId="67B231F3" w:rsidR="008B1177" w:rsidRPr="005536FD" w:rsidRDefault="00FD6303" w:rsidP="00A22539">
      <w:pPr>
        <w:spacing w:line="360" w:lineRule="auto"/>
        <w:jc w:val="both"/>
        <w:rPr>
          <w:color w:val="292526"/>
          <w:highlight w:val="yellow"/>
        </w:rPr>
      </w:pPr>
      <w:r w:rsidRPr="00FD6303">
        <w:rPr>
          <w:noProof/>
          <w:color w:val="292526"/>
        </w:rPr>
        <w:drawing>
          <wp:inline distT="0" distB="0" distL="0" distR="0" wp14:anchorId="3A331BD5" wp14:editId="36538205">
            <wp:extent cx="5727700" cy="3765550"/>
            <wp:effectExtent l="0" t="0" r="0" b="0"/>
            <wp:docPr id="3" name="Picture 3" descr="A picture containing indoor,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decorated&#10;&#10;Description automatically generated"/>
                    <pic:cNvPicPr/>
                  </pic:nvPicPr>
                  <pic:blipFill>
                    <a:blip r:embed="rId10"/>
                    <a:stretch>
                      <a:fillRect/>
                    </a:stretch>
                  </pic:blipFill>
                  <pic:spPr>
                    <a:xfrm>
                      <a:off x="0" y="0"/>
                      <a:ext cx="5727700" cy="3765550"/>
                    </a:xfrm>
                    <a:prstGeom prst="rect">
                      <a:avLst/>
                    </a:prstGeom>
                  </pic:spPr>
                </pic:pic>
              </a:graphicData>
            </a:graphic>
          </wp:inline>
        </w:drawing>
      </w:r>
    </w:p>
    <w:p w14:paraId="5DA59974" w14:textId="41B58A59" w:rsidR="008804AC" w:rsidRDefault="008804AC" w:rsidP="00A22539">
      <w:pPr>
        <w:spacing w:line="360" w:lineRule="auto"/>
        <w:jc w:val="both"/>
        <w:rPr>
          <w:color w:val="292526"/>
          <w:highlight w:val="yellow"/>
        </w:rPr>
      </w:pPr>
    </w:p>
    <w:p w14:paraId="54258045" w14:textId="77777777" w:rsidR="009F5ABA" w:rsidRDefault="009F5ABA" w:rsidP="000E1426">
      <w:pPr>
        <w:spacing w:line="360" w:lineRule="auto"/>
        <w:jc w:val="both"/>
      </w:pPr>
    </w:p>
    <w:p w14:paraId="09A62B77" w14:textId="55588D54" w:rsidR="00AE1977" w:rsidRDefault="00AE1977" w:rsidP="00AE1977">
      <w:pPr>
        <w:spacing w:line="360" w:lineRule="auto"/>
        <w:jc w:val="both"/>
        <w:rPr>
          <w:color w:val="292526"/>
        </w:rPr>
      </w:pPr>
      <w:r>
        <w:rPr>
          <w:color w:val="292526"/>
        </w:rPr>
        <w:t>The CATALISE definition of DLD</w:t>
      </w:r>
      <w:r w:rsidR="00F92E7A">
        <w:rPr>
          <w:color w:val="292526"/>
        </w:rPr>
        <w:t xml:space="preserve"> </w:t>
      </w:r>
      <w:r w:rsidR="00F92E7A">
        <w:rPr>
          <w:color w:val="292526"/>
        </w:rPr>
        <w:fldChar w:fldCharType="begin"/>
      </w:r>
      <w:r w:rsidR="00F92E7A">
        <w:rPr>
          <w:color w:val="292526"/>
        </w:rPr>
        <w:instrText xml:space="preserve"> ADDIN ZOTERO_ITEM CSL_CITATION {"citationID":"BebvpXRf","properties":{"formattedCitation":"(Bishop et al., 2016, 2017)","plainCitation":"(Bishop et al., 2016, 2017)","noteIndex":0},"citationItems":[{"id":42,"uris":["http://zotero.org/users/5009496/items/6U68384R"],"itemData":{"id":42,"type":"article-journal","container-title":"PLOS ONE","DOI":"10.1371/journal.pone.0158753","ISSN":"1932-6203","issue":"7","language":"en","page":"e0158753","source":"Crossref","title":"CATALISE: A Multinational and Multidisciplinary Delphi Consensus Study. Identifying Language Impairments in Children","title-short":"CATALISE","URL":"http://dx.plos.org/10.1371/journal.pone.0158753","volume":"11","author":[{"family":"Bishop","given":"D. V. M."},{"family":"Snowling","given":"Margaret J."},{"family":"Thompson","given":"Paul A."},{"family":"Greenhalgh","given":"Trisha"},{"literal":"CATALISE consortium"}],"editor":[{"family":"Schiller","given":"Niels O."}],"accessed":{"date-parts":[["2018",6,29]]},"issued":{"date-parts":[["2016",7,8]]}}},{"id":43,"uris":["http://zotero.org/users/5009496/items/5ZLE6JGY"],"itemData":{"id":43,"type":"article-journal","container-title":"Journal of Child Psychology and Psychiatry","DOI":"10.1111/jcpp.12721","ISSN":"00219630","issue":"10","language":"en","page":"1068-1080","source":"Crossref","title":"Phase 2 of CATALISE: a multinational and multidisciplinary Delphi consensus study of problems with language development: Terminology","title-short":"Phase 2 of CATALISE","URL":"http://doi.wiley.com/10.1111/jcpp.12721","volume":"58","author":[{"family":"Bishop","given":"Dorothy V.M."},{"family":"Snowling","given":"Margaret J."},{"family":"Thompson","given":"Paul A."},{"family":"Greenhalgh","given":"Trisha"},{"literal":"and the CATALISE-2 consortium"}],"accessed":{"date-parts":[["2018",6,29]]},"issued":{"date-parts":[["2017",10]]}}}],"schema":"https://github.com/citation-style-language/schema/raw/master/csl-citation.json"} </w:instrText>
      </w:r>
      <w:r w:rsidR="00F92E7A">
        <w:rPr>
          <w:color w:val="292526"/>
        </w:rPr>
        <w:fldChar w:fldCharType="separate"/>
      </w:r>
      <w:r w:rsidR="00F92E7A">
        <w:rPr>
          <w:noProof/>
          <w:color w:val="292526"/>
        </w:rPr>
        <w:t>(Bishop et al., 2016, 2017)</w:t>
      </w:r>
      <w:r w:rsidR="00F92E7A">
        <w:rPr>
          <w:color w:val="292526"/>
        </w:rPr>
        <w:fldChar w:fldCharType="end"/>
      </w:r>
      <w:r>
        <w:rPr>
          <w:color w:val="292526"/>
        </w:rPr>
        <w:t xml:space="preserve"> rightly removes the criterion </w:t>
      </w:r>
      <w:r w:rsidR="00F92E7A">
        <w:rPr>
          <w:color w:val="292526"/>
        </w:rPr>
        <w:t xml:space="preserve">requiring a discrepancy </w:t>
      </w:r>
      <w:r>
        <w:rPr>
          <w:color w:val="292526"/>
        </w:rPr>
        <w:t>between verbal and nonverbal skills</w:t>
      </w:r>
      <w:r w:rsidR="00245FE2">
        <w:rPr>
          <w:color w:val="292526"/>
        </w:rPr>
        <w:t>, which in practice means broadening the phenotype to include children with low nonverbal IQ</w:t>
      </w:r>
      <w:r>
        <w:rPr>
          <w:color w:val="292526"/>
        </w:rPr>
        <w:t xml:space="preserve">. </w:t>
      </w:r>
      <w:r w:rsidR="00F92E7A">
        <w:rPr>
          <w:color w:val="292526"/>
        </w:rPr>
        <w:t xml:space="preserve">To determine whether </w:t>
      </w:r>
      <w:r>
        <w:rPr>
          <w:color w:val="292526"/>
        </w:rPr>
        <w:t xml:space="preserve">our </w:t>
      </w:r>
      <w:r w:rsidR="00245FE2">
        <w:rPr>
          <w:color w:val="292526"/>
        </w:rPr>
        <w:t xml:space="preserve">group </w:t>
      </w:r>
      <w:r>
        <w:rPr>
          <w:color w:val="292526"/>
        </w:rPr>
        <w:t xml:space="preserve">differences were </w:t>
      </w:r>
      <w:r w:rsidR="00F92E7A">
        <w:rPr>
          <w:color w:val="292526"/>
        </w:rPr>
        <w:t xml:space="preserve">in fact </w:t>
      </w:r>
      <w:r>
        <w:rPr>
          <w:color w:val="292526"/>
        </w:rPr>
        <w:t>driven by the inclusion of children with low nonverbal IQs</w:t>
      </w:r>
      <w:r w:rsidR="00F92E7A">
        <w:rPr>
          <w:color w:val="292526"/>
        </w:rPr>
        <w:t xml:space="preserve"> </w:t>
      </w:r>
      <w:r w:rsidR="00F07576">
        <w:rPr>
          <w:color w:val="292526"/>
        </w:rPr>
        <w:t>in addition to</w:t>
      </w:r>
      <w:r w:rsidR="00F92E7A">
        <w:rPr>
          <w:color w:val="292526"/>
        </w:rPr>
        <w:t xml:space="preserve"> low language ability</w:t>
      </w:r>
      <w:r>
        <w:rPr>
          <w:color w:val="292526"/>
        </w:rPr>
        <w:t>, we assessed differences only in children with nonverbal IQ</w:t>
      </w:r>
      <w:r w:rsidR="00F92E7A">
        <w:rPr>
          <w:color w:val="292526"/>
        </w:rPr>
        <w:t xml:space="preserve"> scores &gt; 85</w:t>
      </w:r>
      <w:r>
        <w:rPr>
          <w:color w:val="292526"/>
        </w:rPr>
        <w:t xml:space="preserve">. Group differences in MTsat and R1 maps were observed even when removing the five children with DLD who had nonverbal IQs between 70-85 (see Figure </w:t>
      </w:r>
      <w:r w:rsidR="00AC12F4">
        <w:rPr>
          <w:color w:val="292526"/>
        </w:rPr>
        <w:t>1 – figure supplement 1</w:t>
      </w:r>
      <w:r w:rsidR="0052040B">
        <w:rPr>
          <w:color w:val="292526"/>
        </w:rPr>
        <w:t xml:space="preserve"> &amp; Figure 2 – figure supplement 1</w:t>
      </w:r>
      <w:r>
        <w:rPr>
          <w:color w:val="292526"/>
        </w:rPr>
        <w:t xml:space="preserve">), indicating </w:t>
      </w:r>
      <w:r w:rsidR="00245FE2">
        <w:rPr>
          <w:color w:val="292526"/>
        </w:rPr>
        <w:t>the</w:t>
      </w:r>
      <w:r>
        <w:rPr>
          <w:color w:val="292526"/>
        </w:rPr>
        <w:t xml:space="preserve"> differences </w:t>
      </w:r>
      <w:r w:rsidR="00245FE2">
        <w:rPr>
          <w:color w:val="292526"/>
        </w:rPr>
        <w:t xml:space="preserve">reported here </w:t>
      </w:r>
      <w:r>
        <w:rPr>
          <w:color w:val="292526"/>
        </w:rPr>
        <w:t xml:space="preserve">were not driven by the inclusion of children with low nonverbal IQs. Consequently, all following analyses include these children. </w:t>
      </w:r>
    </w:p>
    <w:p w14:paraId="776FB33E" w14:textId="77777777" w:rsidR="00AE1977" w:rsidRDefault="00AE1977" w:rsidP="000E1426">
      <w:pPr>
        <w:spacing w:line="360" w:lineRule="auto"/>
        <w:jc w:val="both"/>
      </w:pPr>
    </w:p>
    <w:p w14:paraId="1D53D45A" w14:textId="7FA0F94E" w:rsidR="000C203E" w:rsidRDefault="00FA59AC" w:rsidP="000E1426">
      <w:pPr>
        <w:spacing w:line="360" w:lineRule="auto"/>
        <w:jc w:val="both"/>
      </w:pPr>
      <w:r>
        <w:t xml:space="preserve">Given our interest in the </w:t>
      </w:r>
      <w:r w:rsidR="00650366">
        <w:t>dorsal striatum in relation to DLD (see introduction)</w:t>
      </w:r>
      <w:r>
        <w:t>, w</w:t>
      </w:r>
      <w:r w:rsidR="00441F14" w:rsidRPr="00547750">
        <w:t>e</w:t>
      </w:r>
      <w:r w:rsidR="003314CE" w:rsidRPr="00547750">
        <w:t xml:space="preserve"> </w:t>
      </w:r>
      <w:r w:rsidR="00441F14" w:rsidRPr="00547750">
        <w:t xml:space="preserve">extracted </w:t>
      </w:r>
      <w:r w:rsidR="00000515">
        <w:t xml:space="preserve">average </w:t>
      </w:r>
      <w:r>
        <w:t xml:space="preserve">MTsat values for </w:t>
      </w:r>
      <w:r w:rsidR="00650366">
        <w:t xml:space="preserve">each </w:t>
      </w:r>
      <w:r>
        <w:t>participant</w:t>
      </w:r>
      <w:r w:rsidR="00650366">
        <w:t xml:space="preserve"> from </w:t>
      </w:r>
      <w:r w:rsidR="00650366" w:rsidRPr="00547750">
        <w:t xml:space="preserve">the caudate nuclei </w:t>
      </w:r>
      <w:r w:rsidR="00650366">
        <w:t>bilaterally</w:t>
      </w:r>
      <w:r w:rsidR="00CA2975">
        <w:t xml:space="preserve"> (the region where </w:t>
      </w:r>
      <w:r w:rsidR="00CA2975">
        <w:lastRenderedPageBreak/>
        <w:t>we observed TD&gt;DLD differences)</w:t>
      </w:r>
      <w:r w:rsidR="00441F14" w:rsidRPr="00547750">
        <w:t xml:space="preserve">. </w:t>
      </w:r>
      <w:r w:rsidR="0054081B">
        <w:t xml:space="preserve">Using a hemispheric mask, we separated this cluster into left and right components. </w:t>
      </w:r>
      <w:r w:rsidR="008804AC" w:rsidRPr="00547750">
        <w:t>We</w:t>
      </w:r>
      <w:r w:rsidR="0054081B">
        <w:t xml:space="preserve"> then</w:t>
      </w:r>
      <w:r w:rsidR="008804AC" w:rsidRPr="00547750">
        <w:t xml:space="preserve"> assessed if group differences in</w:t>
      </w:r>
      <w:r w:rsidR="00441F14" w:rsidRPr="00547750">
        <w:t xml:space="preserve"> </w:t>
      </w:r>
      <w:r w:rsidR="00B152F3">
        <w:t xml:space="preserve">average </w:t>
      </w:r>
      <w:r w:rsidR="00441F14" w:rsidRPr="00547750">
        <w:t>MT</w:t>
      </w:r>
      <w:r w:rsidR="008333F0">
        <w:t>sat</w:t>
      </w:r>
      <w:r w:rsidR="00441F14" w:rsidRPr="00547750">
        <w:t xml:space="preserve"> values in</w:t>
      </w:r>
      <w:r w:rsidR="008804AC" w:rsidRPr="00547750">
        <w:t xml:space="preserve"> the</w:t>
      </w:r>
      <w:r w:rsidR="0054081B">
        <w:t xml:space="preserve"> left and right</w:t>
      </w:r>
      <w:r w:rsidR="008804AC" w:rsidRPr="00547750">
        <w:t xml:space="preserve"> caudate nuclei </w:t>
      </w:r>
      <w:r w:rsidR="001145ED" w:rsidRPr="00547750">
        <w:t>could be accounted for</w:t>
      </w:r>
      <w:r w:rsidR="008804AC" w:rsidRPr="00547750">
        <w:t xml:space="preserve"> by age</w:t>
      </w:r>
      <w:r w:rsidR="00BB52BE" w:rsidRPr="00547750">
        <w:t xml:space="preserve"> or </w:t>
      </w:r>
      <w:r w:rsidR="008804AC" w:rsidRPr="00547750">
        <w:t>total intracranial volume</w:t>
      </w:r>
      <w:r w:rsidR="00BB52BE" w:rsidRPr="00547750">
        <w:t>.</w:t>
      </w:r>
      <w:r w:rsidR="0010780B" w:rsidRPr="00547750">
        <w:t xml:space="preserve"> </w:t>
      </w:r>
      <w:r w:rsidR="00441F14" w:rsidRPr="00547750">
        <w:t xml:space="preserve">Age and </w:t>
      </w:r>
      <w:r w:rsidR="001145ED" w:rsidRPr="00547750">
        <w:t xml:space="preserve">total intracranial volume </w:t>
      </w:r>
      <w:r w:rsidR="00441F14" w:rsidRPr="00547750">
        <w:t>were not significant predictors of MT</w:t>
      </w:r>
      <w:r w:rsidR="0054081B">
        <w:t>sat</w:t>
      </w:r>
      <w:r w:rsidR="00441F14" w:rsidRPr="00547750">
        <w:t xml:space="preserve"> values in the caudate nuclei cluster</w:t>
      </w:r>
      <w:r w:rsidR="00790298">
        <w:t>s</w:t>
      </w:r>
      <w:r w:rsidR="000F5E5F">
        <w:t xml:space="preserve">, see Figure </w:t>
      </w:r>
      <w:r w:rsidR="00AC12F4">
        <w:t xml:space="preserve">1 – figure supplement </w:t>
      </w:r>
      <w:r w:rsidR="0052040B">
        <w:t>2</w:t>
      </w:r>
      <w:r w:rsidR="00441F14" w:rsidRPr="00547750">
        <w:t>.</w:t>
      </w:r>
      <w:r w:rsidR="00AA58DB" w:rsidRPr="00547750">
        <w:t xml:space="preserve"> </w:t>
      </w:r>
    </w:p>
    <w:p w14:paraId="219829DE" w14:textId="77777777" w:rsidR="00CD386C" w:rsidRDefault="00CD386C" w:rsidP="000E1426">
      <w:pPr>
        <w:spacing w:line="360" w:lineRule="auto"/>
        <w:jc w:val="both"/>
      </w:pPr>
    </w:p>
    <w:p w14:paraId="02F1D5FC" w14:textId="57FB7EE3" w:rsidR="00425EB4" w:rsidRPr="00425EB4" w:rsidRDefault="00425EB4" w:rsidP="00A22539">
      <w:pPr>
        <w:spacing w:line="360" w:lineRule="auto"/>
        <w:jc w:val="both"/>
        <w:rPr>
          <w:b/>
          <w:bCs/>
          <w:i/>
          <w:iCs/>
        </w:rPr>
      </w:pPr>
      <w:r w:rsidRPr="00425EB4">
        <w:rPr>
          <w:b/>
          <w:bCs/>
          <w:i/>
          <w:iCs/>
        </w:rPr>
        <w:t>Whole</w:t>
      </w:r>
      <w:r>
        <w:rPr>
          <w:b/>
          <w:bCs/>
          <w:i/>
          <w:iCs/>
        </w:rPr>
        <w:t>-</w:t>
      </w:r>
      <w:r w:rsidRPr="00425EB4">
        <w:rPr>
          <w:b/>
          <w:bCs/>
          <w:i/>
          <w:iCs/>
        </w:rPr>
        <w:t>brain correlation analysis</w:t>
      </w:r>
      <w:r>
        <w:rPr>
          <w:b/>
          <w:bCs/>
          <w:i/>
          <w:iCs/>
        </w:rPr>
        <w:t xml:space="preserve"> of neural microstructure</w:t>
      </w:r>
      <w:r w:rsidRPr="00425EB4">
        <w:rPr>
          <w:b/>
          <w:bCs/>
          <w:i/>
          <w:iCs/>
        </w:rPr>
        <w:t xml:space="preserve"> with language proficiency</w:t>
      </w:r>
    </w:p>
    <w:p w14:paraId="1F907C9C" w14:textId="7F19CE8D" w:rsidR="00F821CE" w:rsidRPr="0098402B" w:rsidRDefault="0054081B" w:rsidP="00A22539">
      <w:pPr>
        <w:spacing w:line="360" w:lineRule="auto"/>
        <w:jc w:val="both"/>
        <w:rPr>
          <w:color w:val="292526"/>
        </w:rPr>
      </w:pPr>
      <w:r>
        <w:rPr>
          <w:color w:val="292526"/>
        </w:rPr>
        <w:t>We have previously found c</w:t>
      </w:r>
      <w:r w:rsidR="002B1CD8">
        <w:rPr>
          <w:color w:val="292526"/>
        </w:rPr>
        <w:t>ontinuous measure</w:t>
      </w:r>
      <w:r>
        <w:rPr>
          <w:color w:val="292526"/>
        </w:rPr>
        <w:t>s</w:t>
      </w:r>
      <w:r w:rsidR="002B1CD8">
        <w:rPr>
          <w:color w:val="292526"/>
        </w:rPr>
        <w:t xml:space="preserve"> of language </w:t>
      </w:r>
      <w:r w:rsidR="005557EB">
        <w:rPr>
          <w:color w:val="292526"/>
        </w:rPr>
        <w:t>proficiency</w:t>
      </w:r>
      <w:r w:rsidR="002B1CD8">
        <w:rPr>
          <w:color w:val="292526"/>
        </w:rPr>
        <w:t xml:space="preserve"> </w:t>
      </w:r>
      <w:r>
        <w:rPr>
          <w:color w:val="292526"/>
        </w:rPr>
        <w:t xml:space="preserve">to </w:t>
      </w:r>
      <w:r w:rsidR="002B1CD8">
        <w:rPr>
          <w:color w:val="292526"/>
        </w:rPr>
        <w:t>be more sensitive</w:t>
      </w:r>
      <w:r w:rsidR="005557EB">
        <w:rPr>
          <w:color w:val="292526"/>
        </w:rPr>
        <w:t xml:space="preserve"> to neural differences</w:t>
      </w:r>
      <w:r w:rsidR="002B1CD8">
        <w:rPr>
          <w:color w:val="292526"/>
        </w:rPr>
        <w:t xml:space="preserve"> than diagnostic categories</w:t>
      </w:r>
      <w:r w:rsidR="0059032E">
        <w:rPr>
          <w:color w:val="292526"/>
        </w:rPr>
        <w:t xml:space="preserve"> </w:t>
      </w:r>
      <w:r w:rsidR="000411D1">
        <w:rPr>
          <w:color w:val="292526"/>
        </w:rPr>
        <w:fldChar w:fldCharType="begin"/>
      </w:r>
      <w:r w:rsidR="00ED5ABB">
        <w:rPr>
          <w:color w:val="292526"/>
        </w:rPr>
        <w:instrText xml:space="preserve"> ADDIN ZOTERO_ITEM CSL_CITATION {"citationID":"TAPx1cDi","properties":{"formattedCitation":"(Krishnan et al., 2020)","plainCitation":"(Krishnan et al., 2020)","noteIndex":0},"citationItems":[{"id":1136,"uris":["http://zotero.org/users/5009496/items/MG9HSFUF"],"itemData":{"id":1136,"type":"article-journal","abstract":"Developmental language disorder (DLD) is characterised by difficulties in learning one's native language for no apparent reason. These language difficulties occur in 7% of children and are known to limit future academic and social achievement. Our understanding of the brain abnormalities associated with DLD is limited. Here, we used a simple four-minute verb generation task (children saw a picture of an object and were instructed to say an action that goes with that object) to test children between the ages of 10-15 years (DLD N=50, typically developing N=67). We also tested 26 children with poor language ability who did not meet our criteria for DLD. Contrary to our registered predictions, we found that children with DLD did not have (i) reduced activity in language relevant regions such as the left inferior frontal cortex; (ii) dysfunctional striatal activity during overt production; or (iii) a reduction in left-lateralised activity in frontal cortex. Indeed, performance of this simple language task evoked activity in children with DLD in the same regions and to a similar level as in typically developing children. Consistent with previous reports, we found sub-threshold group differences in the left inferior frontal gyrus and caudate nuclei, but only when analysis was limited to a subsample of the DLD group (N=14) who had the poorest performance on the task. Additionally, we used a two-factor model to capture variation in all children studied (N=143) on a range of neuropsychological tests and found that these language and verbal memory factors correlated with activity in different brain regions. Our findings indicate a lack of support for some neurological models of atypical language learning, such as the procedural deficit hypothesis or the atypical lateralization hypothesis, at least when using simple language tasks that children can perform. These results also emphasise the importance of controlling for and monitoring task performance.","container-title":"NeuroImage","DOI":"10.1016/j.neuroimage.2020.117599","ISSN":"1053-8119","journalAbbreviation":"NeuroImage","language":"en","page":"117599","source":"ScienceDirect","title":"Functional organisation for verb generation in children with developmental language disorder","URL":"http://www.sciencedirect.com/science/article/pii/S1053811920310843","author":[{"family":"Krishnan","given":"Saloni"},{"family":"Asaridou","given":"Salomi S."},{"family":"Cler","given":"Gabriel J."},{"family":"Smith","given":"Harriet J."},{"family":"Willis","given":"Hannah E."},{"family":"Healy","given":"Máiréad P."},{"family":"Thompson","given":"Paul A."},{"family":"Bishop","given":"Dorothy V. M."},{"family":"Watkins","given":"Kate E."}],"accessed":{"date-parts":[["2020",12,7]]},"issued":{"date-parts":[["2020",12,4]]}}}],"schema":"https://github.com/citation-style-language/schema/raw/master/csl-citation.json"} </w:instrText>
      </w:r>
      <w:r w:rsidR="000411D1">
        <w:rPr>
          <w:color w:val="292526"/>
        </w:rPr>
        <w:fldChar w:fldCharType="separate"/>
      </w:r>
      <w:r w:rsidR="000411D1">
        <w:rPr>
          <w:noProof/>
          <w:color w:val="292526"/>
        </w:rPr>
        <w:t>(Krishnan et al., 2020)</w:t>
      </w:r>
      <w:r w:rsidR="000411D1">
        <w:rPr>
          <w:color w:val="292526"/>
        </w:rPr>
        <w:fldChar w:fldCharType="end"/>
      </w:r>
      <w:r w:rsidR="002B1CD8">
        <w:rPr>
          <w:color w:val="292526"/>
        </w:rPr>
        <w:t>.</w:t>
      </w:r>
      <w:r w:rsidR="002B1CD8" w:rsidRPr="00975A35">
        <w:rPr>
          <w:color w:val="292526"/>
        </w:rPr>
        <w:t xml:space="preserve"> </w:t>
      </w:r>
      <w:r w:rsidR="005557EB">
        <w:rPr>
          <w:color w:val="292526"/>
        </w:rPr>
        <w:t xml:space="preserve">Using a continuous measure of language ability </w:t>
      </w:r>
      <w:r w:rsidR="002B1CD8">
        <w:rPr>
          <w:color w:val="292526"/>
        </w:rPr>
        <w:t xml:space="preserve">also </w:t>
      </w:r>
      <w:r w:rsidR="00996B20">
        <w:rPr>
          <w:color w:val="292526"/>
        </w:rPr>
        <w:t xml:space="preserve">gave </w:t>
      </w:r>
      <w:r w:rsidR="002B1CD8">
        <w:rPr>
          <w:color w:val="292526"/>
        </w:rPr>
        <w:t xml:space="preserve">us the opportunity to include </w:t>
      </w:r>
      <w:r w:rsidR="00B152F3">
        <w:rPr>
          <w:color w:val="292526"/>
        </w:rPr>
        <w:t>the group of</w:t>
      </w:r>
      <w:r w:rsidR="0098402B">
        <w:rPr>
          <w:color w:val="292526"/>
        </w:rPr>
        <w:t xml:space="preserve"> </w:t>
      </w:r>
      <w:r w:rsidR="002B1CD8">
        <w:rPr>
          <w:color w:val="292526"/>
        </w:rPr>
        <w:t>children</w:t>
      </w:r>
      <w:r w:rsidR="00996B20">
        <w:rPr>
          <w:color w:val="292526"/>
        </w:rPr>
        <w:t xml:space="preserve"> with </w:t>
      </w:r>
      <w:r w:rsidR="00B152F3">
        <w:rPr>
          <w:color w:val="292526"/>
        </w:rPr>
        <w:t>a history of speech and language problems who did not meet criteria for DLD on testing (</w:t>
      </w:r>
      <w:r w:rsidR="00996B20">
        <w:rPr>
          <w:color w:val="292526"/>
        </w:rPr>
        <w:t>HS</w:t>
      </w:r>
      <w:r w:rsidR="00B152F3">
        <w:rPr>
          <w:color w:val="292526"/>
        </w:rPr>
        <w:t xml:space="preserve">L; </w:t>
      </w:r>
      <w:r w:rsidR="005B1FA1">
        <w:rPr>
          <w:color w:val="292526"/>
        </w:rPr>
        <w:t>N=20)</w:t>
      </w:r>
      <w:r w:rsidR="002B1CD8">
        <w:rPr>
          <w:color w:val="292526"/>
        </w:rPr>
        <w:t>. We</w:t>
      </w:r>
      <w:r w:rsidR="005557EB">
        <w:rPr>
          <w:color w:val="292526"/>
        </w:rPr>
        <w:t xml:space="preserve"> </w:t>
      </w:r>
      <w:r w:rsidR="00425F57">
        <w:rPr>
          <w:color w:val="292526"/>
        </w:rPr>
        <w:t xml:space="preserve">constructed </w:t>
      </w:r>
      <w:r w:rsidR="007E63C3" w:rsidRPr="00975A35">
        <w:rPr>
          <w:color w:val="292526"/>
        </w:rPr>
        <w:t xml:space="preserve">language </w:t>
      </w:r>
      <w:r w:rsidR="00540F23">
        <w:rPr>
          <w:color w:val="292526"/>
        </w:rPr>
        <w:t>and</w:t>
      </w:r>
      <w:r w:rsidR="007E63C3" w:rsidRPr="00975A35">
        <w:rPr>
          <w:color w:val="292526"/>
        </w:rPr>
        <w:t xml:space="preserve"> memory </w:t>
      </w:r>
      <w:r w:rsidR="00AA58DB" w:rsidRPr="00975A35">
        <w:rPr>
          <w:color w:val="292526"/>
        </w:rPr>
        <w:t xml:space="preserve">factor </w:t>
      </w:r>
      <w:r w:rsidR="007E63C3" w:rsidRPr="00975A35">
        <w:rPr>
          <w:color w:val="292526"/>
        </w:rPr>
        <w:t>scores</w:t>
      </w:r>
      <w:r w:rsidR="003C3AE2" w:rsidRPr="00975A35">
        <w:rPr>
          <w:color w:val="292526"/>
        </w:rPr>
        <w:t xml:space="preserve"> from our neuropsychological battery</w:t>
      </w:r>
      <w:r w:rsidR="005C5918">
        <w:rPr>
          <w:color w:val="292526"/>
        </w:rPr>
        <w:t xml:space="preserve"> </w:t>
      </w:r>
      <w:r w:rsidR="005C5918">
        <w:rPr>
          <w:color w:val="292526"/>
        </w:rPr>
        <w:fldChar w:fldCharType="begin"/>
      </w:r>
      <w:r w:rsidR="00BC6120">
        <w:rPr>
          <w:color w:val="292526"/>
        </w:rPr>
        <w:instrText xml:space="preserve"> ADDIN ZOTERO_ITEM CSL_CITATION {"citationID":"AYH4U5fE","properties":{"formattedCitation":"(see Krishnan et al., 2020 for further detail on model construction)","plainCitation":"(see Krishnan et al., 2020 for further detail on model construction)","noteIndex":0},"citationItems":[{"id":1136,"uris":["http://zotero.org/users/5009496/items/MG9HSFUF"],"itemData":{"id":1136,"type":"article-journal","abstract":"Developmental language disorder (DLD) is characterised by difficulties in learning one's native language for no apparent reason. These language difficulties occur in 7% of children and are known to limit future academic and social achievement. Our understanding of the brain abnormalities associated with DLD is limited. Here, we used a simple four-minute verb generation task (children saw a picture of an object and were instructed to say an action that goes with that object) to test children between the ages of 10-15 years (DLD N=50, typically developing N=67). We also tested 26 children with poor language ability who did not meet our criteria for DLD. Contrary to our registered predictions, we found that children with DLD did not have (i) reduced activity in language relevant regions such as the left inferior frontal cortex; (ii) dysfunctional striatal activity during overt production; or (iii) a reduction in left-lateralised activity in frontal cortex. Indeed, performance of this simple language task evoked activity in children with DLD in the same regions and to a similar level as in typically developing children. Consistent with previous reports, we found sub-threshold group differences in the left inferior frontal gyrus and caudate nuclei, but only when analysis was limited to a subsample of the DLD group (N=14) who had the poorest performance on the task. Additionally, we used a two-factor model to capture variation in all children studied (N=143) on a range of neuropsychological tests and found that these language and verbal memory factors correlated with activity in different brain regions. Our findings indicate a lack of support for some neurological models of atypical language learning, such as the procedural deficit hypothesis or the atypical lateralization hypothesis, at least when using simple language tasks that children can perform. These results also emphasise the importance of controlling for and monitoring task performance.","container-title":"NeuroImage","DOI":"10.1016/j.neuroimage.2020.117599","ISSN":"1053-8119","journalAbbreviation":"NeuroImage","language":"en","page":"117599","source":"ScienceDirect","title":"Functional organisation for verb generation in children with developmental language disorder","URL":"http://www.sciencedirect.com/science/article/pii/S1053811920310843","author":[{"family":"Krishnan","given":"Saloni"},{"family":"Asaridou","given":"Salomi S."},{"family":"Cler","given":"Gabriel J."},{"family":"Smith","given":"Harriet J."},{"family":"Willis","given":"Hannah E."},{"family":"Healy","given":"Máiréad P."},{"family":"Thompson","given":"Paul A."},{"family":"Bishop","given":"Dorothy V. M."},{"family":"Watkins","given":"Kate E."}],"accessed":{"date-parts":[["2020",12,7]]},"issued":{"date-parts":[["2020",12,4]]}},"prefix":"see","suffix":"for further detail on model construction"}],"schema":"https://github.com/citation-style-language/schema/raw/master/csl-citation.json"} </w:instrText>
      </w:r>
      <w:r w:rsidR="005C5918">
        <w:rPr>
          <w:color w:val="292526"/>
        </w:rPr>
        <w:fldChar w:fldCharType="separate"/>
      </w:r>
      <w:r w:rsidR="00BC6120">
        <w:rPr>
          <w:noProof/>
          <w:color w:val="292526"/>
        </w:rPr>
        <w:t>(see Krishnan et al., 2020 for further detail on model construction)</w:t>
      </w:r>
      <w:r w:rsidR="005C5918">
        <w:rPr>
          <w:color w:val="292526"/>
        </w:rPr>
        <w:fldChar w:fldCharType="end"/>
      </w:r>
      <w:r w:rsidR="005B4DDD">
        <w:rPr>
          <w:color w:val="292526"/>
        </w:rPr>
        <w:t xml:space="preserve">, using data from the full sample </w:t>
      </w:r>
      <w:r w:rsidR="00165943">
        <w:rPr>
          <w:color w:val="292526"/>
        </w:rPr>
        <w:t xml:space="preserve">in whom behavioural data were available </w:t>
      </w:r>
      <w:r w:rsidR="005B4DDD">
        <w:rPr>
          <w:color w:val="292526"/>
        </w:rPr>
        <w:t>in the BOLD study.</w:t>
      </w:r>
      <w:r w:rsidR="00425F57">
        <w:rPr>
          <w:color w:val="292526"/>
        </w:rPr>
        <w:t xml:space="preserve"> </w:t>
      </w:r>
      <w:r w:rsidR="005B4DDD">
        <w:rPr>
          <w:color w:val="292526"/>
        </w:rPr>
        <w:t xml:space="preserve">We then </w:t>
      </w:r>
      <w:r w:rsidR="00425F57">
        <w:rPr>
          <w:color w:val="292526"/>
        </w:rPr>
        <w:t>assessed if these</w:t>
      </w:r>
      <w:r w:rsidR="005B4DDD">
        <w:rPr>
          <w:color w:val="292526"/>
        </w:rPr>
        <w:t xml:space="preserve"> factors, as well as </w:t>
      </w:r>
      <w:r w:rsidR="00E7538E">
        <w:rPr>
          <w:color w:val="292526"/>
        </w:rPr>
        <w:t>nonverbal IQ</w:t>
      </w:r>
      <w:r w:rsidR="005B4DDD">
        <w:rPr>
          <w:color w:val="292526"/>
        </w:rPr>
        <w:t>,</w:t>
      </w:r>
      <w:r w:rsidR="005557EB">
        <w:rPr>
          <w:color w:val="292526"/>
        </w:rPr>
        <w:t xml:space="preserve"> were</w:t>
      </w:r>
      <w:r w:rsidR="002B1CD8">
        <w:rPr>
          <w:color w:val="292526"/>
        </w:rPr>
        <w:t xml:space="preserve"> predictors of our three parameter values</w:t>
      </w:r>
      <w:r w:rsidR="00425F57">
        <w:rPr>
          <w:color w:val="292526"/>
        </w:rPr>
        <w:t xml:space="preserve"> </w:t>
      </w:r>
      <w:r w:rsidR="005B4DDD">
        <w:rPr>
          <w:color w:val="292526"/>
        </w:rPr>
        <w:t>across</w:t>
      </w:r>
      <w:r w:rsidR="00B152F3">
        <w:rPr>
          <w:color w:val="292526"/>
        </w:rPr>
        <w:t xml:space="preserve"> our whole sample (N=109)</w:t>
      </w:r>
      <w:r w:rsidR="00BC6120">
        <w:rPr>
          <w:color w:val="292526"/>
        </w:rPr>
        <w:t xml:space="preserve"> using whole-brain analyses</w:t>
      </w:r>
      <w:r w:rsidR="003C3AE2" w:rsidRPr="00975A35">
        <w:rPr>
          <w:color w:val="292526"/>
        </w:rPr>
        <w:t>.</w:t>
      </w:r>
      <w:r w:rsidR="002B1CD8">
        <w:rPr>
          <w:color w:val="292526"/>
        </w:rPr>
        <w:t xml:space="preserve"> Given the strong correlation between </w:t>
      </w:r>
      <w:r w:rsidR="00425F57">
        <w:rPr>
          <w:color w:val="292526"/>
        </w:rPr>
        <w:t xml:space="preserve">the </w:t>
      </w:r>
      <w:r w:rsidR="002B1CD8">
        <w:rPr>
          <w:color w:val="292526"/>
        </w:rPr>
        <w:t>language and memory factors</w:t>
      </w:r>
      <w:r w:rsidR="008333F0">
        <w:rPr>
          <w:color w:val="292526"/>
        </w:rPr>
        <w:t xml:space="preserve"> (r=0.7, p&lt;.001)</w:t>
      </w:r>
      <w:r w:rsidR="002B1CD8">
        <w:rPr>
          <w:color w:val="292526"/>
        </w:rPr>
        <w:t>, we entered these predictors separately</w:t>
      </w:r>
      <w:r w:rsidR="005557EB">
        <w:rPr>
          <w:color w:val="292526"/>
        </w:rPr>
        <w:t xml:space="preserve"> into our statistical models</w:t>
      </w:r>
      <w:r w:rsidR="002B1CD8">
        <w:rPr>
          <w:color w:val="292526"/>
        </w:rPr>
        <w:t xml:space="preserve">. We found that language proficiency was strongly </w:t>
      </w:r>
      <w:r w:rsidR="00B152F3">
        <w:rPr>
          <w:color w:val="292526"/>
        </w:rPr>
        <w:t xml:space="preserve">positively </w:t>
      </w:r>
      <w:r w:rsidR="002B1CD8">
        <w:rPr>
          <w:color w:val="292526"/>
        </w:rPr>
        <w:t xml:space="preserve">correlated with MTsat values </w:t>
      </w:r>
      <w:r w:rsidR="006A26F6">
        <w:rPr>
          <w:color w:val="292526"/>
        </w:rPr>
        <w:t>focally</w:t>
      </w:r>
      <w:r w:rsidR="002B1CD8">
        <w:rPr>
          <w:color w:val="292526"/>
        </w:rPr>
        <w:t xml:space="preserve"> in the left caudate nucleus</w:t>
      </w:r>
      <w:r w:rsidR="00425F57">
        <w:rPr>
          <w:color w:val="292526"/>
        </w:rPr>
        <w:t xml:space="preserve"> (Figure </w:t>
      </w:r>
      <w:r w:rsidR="00204168">
        <w:rPr>
          <w:color w:val="292526"/>
        </w:rPr>
        <w:t>4</w:t>
      </w:r>
      <w:r w:rsidR="00425F57">
        <w:rPr>
          <w:color w:val="292526"/>
        </w:rPr>
        <w:t>)</w:t>
      </w:r>
      <w:r w:rsidR="002B1CD8">
        <w:rPr>
          <w:color w:val="292526"/>
        </w:rPr>
        <w:t xml:space="preserve">. </w:t>
      </w:r>
      <w:r w:rsidR="00425F57">
        <w:rPr>
          <w:color w:val="292526"/>
        </w:rPr>
        <w:t xml:space="preserve">In the R1 maps, poorer language proficiency was </w:t>
      </w:r>
      <w:r w:rsidR="006B52B3">
        <w:rPr>
          <w:color w:val="292526"/>
        </w:rPr>
        <w:t xml:space="preserve">once again </w:t>
      </w:r>
      <w:r w:rsidR="00425F57">
        <w:rPr>
          <w:color w:val="292526"/>
        </w:rPr>
        <w:t>associated</w:t>
      </w:r>
      <w:r w:rsidR="00425F57" w:rsidRPr="00224373">
        <w:rPr>
          <w:color w:val="292526"/>
        </w:rPr>
        <w:t xml:space="preserve"> </w:t>
      </w:r>
      <w:r w:rsidR="006B52B3">
        <w:rPr>
          <w:color w:val="292526"/>
        </w:rPr>
        <w:t xml:space="preserve">with </w:t>
      </w:r>
      <w:r w:rsidR="00425F57" w:rsidRPr="00224373">
        <w:rPr>
          <w:color w:val="292526"/>
        </w:rPr>
        <w:t xml:space="preserve">widespread </w:t>
      </w:r>
      <w:r w:rsidR="00425F57">
        <w:rPr>
          <w:color w:val="292526"/>
        </w:rPr>
        <w:t>reduction</w:t>
      </w:r>
      <w:r w:rsidR="00425F57" w:rsidRPr="00224373">
        <w:rPr>
          <w:color w:val="292526"/>
        </w:rPr>
        <w:t xml:space="preserve"> over the lateral convexities of the frontal and parietal lobes bilaterally</w:t>
      </w:r>
      <w:r w:rsidR="005C5918">
        <w:rPr>
          <w:color w:val="292526"/>
        </w:rPr>
        <w:t xml:space="preserve"> </w:t>
      </w:r>
      <w:r w:rsidR="005C5918" w:rsidRPr="00224373">
        <w:rPr>
          <w:color w:val="292526"/>
        </w:rPr>
        <w:t>(</w:t>
      </w:r>
      <w:r w:rsidR="005C5918">
        <w:rPr>
          <w:color w:val="292526"/>
        </w:rPr>
        <w:t>as seen before in the TD &gt; DLD differences,</w:t>
      </w:r>
      <w:r w:rsidR="005C5918" w:rsidRPr="00224373">
        <w:rPr>
          <w:color w:val="292526"/>
        </w:rPr>
        <w:t xml:space="preserve"> </w:t>
      </w:r>
      <w:r w:rsidR="006A26F6">
        <w:rPr>
          <w:color w:val="292526"/>
        </w:rPr>
        <w:t>which were slightly more right lateralised</w:t>
      </w:r>
      <w:r w:rsidR="005C5918" w:rsidRPr="00224373">
        <w:rPr>
          <w:color w:val="292526"/>
        </w:rPr>
        <w:t>), the medial frontal cortex including SMA and extending to paracentral lobule, and left posterior temporal cortex extending from the superior temporal plane to posterior inferior temporal cortex</w:t>
      </w:r>
      <w:r w:rsidR="00B152F3">
        <w:rPr>
          <w:color w:val="292526"/>
        </w:rPr>
        <w:t xml:space="preserve"> (see Figure </w:t>
      </w:r>
      <w:r w:rsidR="0052040B">
        <w:rPr>
          <w:color w:val="292526"/>
        </w:rPr>
        <w:t>4 – figure supplement 1</w:t>
      </w:r>
      <w:r w:rsidR="00B152F3">
        <w:rPr>
          <w:color w:val="292526"/>
        </w:rPr>
        <w:t>)</w:t>
      </w:r>
      <w:r w:rsidR="005C5918" w:rsidRPr="00224373">
        <w:rPr>
          <w:color w:val="292526"/>
        </w:rPr>
        <w:t xml:space="preserve">. Subcortically, </w:t>
      </w:r>
      <w:r w:rsidR="00BC6120">
        <w:rPr>
          <w:color w:val="292526"/>
        </w:rPr>
        <w:t>language proficiency was positively associated with</w:t>
      </w:r>
      <w:r w:rsidR="005C5918" w:rsidRPr="00224373">
        <w:rPr>
          <w:color w:val="292526"/>
        </w:rPr>
        <w:t xml:space="preserve"> R1</w:t>
      </w:r>
      <w:r w:rsidR="00BC6120">
        <w:rPr>
          <w:color w:val="292526"/>
        </w:rPr>
        <w:t xml:space="preserve"> values</w:t>
      </w:r>
      <w:r w:rsidR="005C5918" w:rsidRPr="00224373">
        <w:rPr>
          <w:color w:val="292526"/>
        </w:rPr>
        <w:t xml:space="preserve"> in the dorsal striatum and thalamus bilaterally, and in anterior portions of the medial temporal lobe</w:t>
      </w:r>
      <w:r w:rsidR="00425F57">
        <w:rPr>
          <w:color w:val="292526"/>
        </w:rPr>
        <w:t>.</w:t>
      </w:r>
      <w:r w:rsidR="005C5918">
        <w:rPr>
          <w:color w:val="292526"/>
        </w:rPr>
        <w:t xml:space="preserve"> </w:t>
      </w:r>
      <w:r w:rsidR="00DD0AD2">
        <w:rPr>
          <w:color w:val="292526"/>
        </w:rPr>
        <w:t>This pattern of results</w:t>
      </w:r>
      <w:r w:rsidR="00BC6120">
        <w:rPr>
          <w:color w:val="292526"/>
        </w:rPr>
        <w:t xml:space="preserve"> </w:t>
      </w:r>
      <w:r w:rsidR="00DD0AD2">
        <w:rPr>
          <w:color w:val="292526"/>
        </w:rPr>
        <w:t xml:space="preserve">was </w:t>
      </w:r>
      <w:r w:rsidR="008333F0">
        <w:rPr>
          <w:color w:val="292526"/>
        </w:rPr>
        <w:t xml:space="preserve">similar to those </w:t>
      </w:r>
      <w:r w:rsidR="00DD0AD2">
        <w:rPr>
          <w:color w:val="292526"/>
        </w:rPr>
        <w:t xml:space="preserve">derived </w:t>
      </w:r>
      <w:r w:rsidR="006B52B3">
        <w:rPr>
          <w:color w:val="292526"/>
        </w:rPr>
        <w:t xml:space="preserve">in the TD &gt; DLD contrast. </w:t>
      </w:r>
      <w:r w:rsidR="00BC6120">
        <w:rPr>
          <w:color w:val="292526"/>
        </w:rPr>
        <w:t xml:space="preserve">Lower </w:t>
      </w:r>
      <w:r w:rsidR="006A26F6">
        <w:rPr>
          <w:color w:val="292526"/>
        </w:rPr>
        <w:t>R1 values in a</w:t>
      </w:r>
      <w:r w:rsidR="005C5918">
        <w:rPr>
          <w:color w:val="292526"/>
        </w:rPr>
        <w:t xml:space="preserve"> more </w:t>
      </w:r>
      <w:r w:rsidR="006A26F6">
        <w:rPr>
          <w:color w:val="292526"/>
        </w:rPr>
        <w:t>focal</w:t>
      </w:r>
      <w:r w:rsidR="005C5918">
        <w:rPr>
          <w:color w:val="292526"/>
        </w:rPr>
        <w:t xml:space="preserve"> but overlapping set of regions (</w:t>
      </w:r>
      <w:r w:rsidR="006B52B3">
        <w:rPr>
          <w:color w:val="292526"/>
        </w:rPr>
        <w:t xml:space="preserve">perisylvian cortex including the inferior frontal gyrus, insula, </w:t>
      </w:r>
      <w:r w:rsidR="005C5918">
        <w:rPr>
          <w:color w:val="292526"/>
        </w:rPr>
        <w:t>superior temporal gyrus, extending to the anterior temporal pole,</w:t>
      </w:r>
      <w:r w:rsidR="006B52B3">
        <w:rPr>
          <w:color w:val="292526"/>
        </w:rPr>
        <w:t xml:space="preserve"> bilaterally</w:t>
      </w:r>
      <w:r w:rsidR="006A26F6">
        <w:rPr>
          <w:color w:val="292526"/>
        </w:rPr>
        <w:t>,</w:t>
      </w:r>
      <w:r w:rsidR="006B52B3">
        <w:rPr>
          <w:color w:val="292526"/>
        </w:rPr>
        <w:t xml:space="preserve"> but more extensive on the left,</w:t>
      </w:r>
      <w:r w:rsidR="005C5918">
        <w:rPr>
          <w:color w:val="292526"/>
        </w:rPr>
        <w:t xml:space="preserve"> </w:t>
      </w:r>
      <w:r w:rsidR="006B52B3">
        <w:rPr>
          <w:color w:val="292526"/>
        </w:rPr>
        <w:t>and the dorsal striatum bilaterally</w:t>
      </w:r>
      <w:r w:rsidR="005C5918">
        <w:rPr>
          <w:color w:val="292526"/>
        </w:rPr>
        <w:t xml:space="preserve">) </w:t>
      </w:r>
      <w:r w:rsidR="00D655B3">
        <w:rPr>
          <w:color w:val="292526"/>
        </w:rPr>
        <w:t>were</w:t>
      </w:r>
      <w:r w:rsidR="005C5918">
        <w:rPr>
          <w:color w:val="292526"/>
        </w:rPr>
        <w:t xml:space="preserve"> associated with poor memory proficiency, suggesting that these </w:t>
      </w:r>
      <w:r w:rsidR="006A26F6">
        <w:rPr>
          <w:color w:val="292526"/>
        </w:rPr>
        <w:t xml:space="preserve">cognitive </w:t>
      </w:r>
      <w:r w:rsidR="005C5918">
        <w:rPr>
          <w:color w:val="292526"/>
        </w:rPr>
        <w:t xml:space="preserve">differences were </w:t>
      </w:r>
      <w:r w:rsidR="006A26F6">
        <w:rPr>
          <w:color w:val="292526"/>
        </w:rPr>
        <w:t>reflecting</w:t>
      </w:r>
      <w:r w:rsidR="005C5918">
        <w:rPr>
          <w:color w:val="292526"/>
        </w:rPr>
        <w:t xml:space="preserve"> the globally lowered values of R1 in children with DLD. </w:t>
      </w:r>
      <w:r w:rsidR="00425F57">
        <w:rPr>
          <w:color w:val="292526"/>
        </w:rPr>
        <w:t xml:space="preserve"> </w:t>
      </w:r>
      <w:r w:rsidR="002B1CD8">
        <w:rPr>
          <w:color w:val="292526"/>
        </w:rPr>
        <w:t xml:space="preserve">There were no </w:t>
      </w:r>
      <w:r w:rsidR="00425F57">
        <w:rPr>
          <w:color w:val="292526"/>
        </w:rPr>
        <w:lastRenderedPageBreak/>
        <w:t xml:space="preserve">significant </w:t>
      </w:r>
      <w:r w:rsidR="002B1CD8">
        <w:rPr>
          <w:color w:val="292526"/>
        </w:rPr>
        <w:t>relationships between</w:t>
      </w:r>
      <w:r w:rsidR="007E63C3" w:rsidRPr="00975A35">
        <w:rPr>
          <w:color w:val="292526"/>
        </w:rPr>
        <w:t xml:space="preserve"> </w:t>
      </w:r>
      <w:r w:rsidR="00425F57">
        <w:rPr>
          <w:color w:val="292526"/>
        </w:rPr>
        <w:t xml:space="preserve">R2* values </w:t>
      </w:r>
      <w:r w:rsidR="005C5918">
        <w:rPr>
          <w:color w:val="292526"/>
        </w:rPr>
        <w:t xml:space="preserve">in grey matter </w:t>
      </w:r>
      <w:r w:rsidR="00425F57">
        <w:rPr>
          <w:color w:val="292526"/>
        </w:rPr>
        <w:t xml:space="preserve">and language </w:t>
      </w:r>
      <w:r w:rsidR="00DC0DED">
        <w:rPr>
          <w:color w:val="292526"/>
        </w:rPr>
        <w:t xml:space="preserve">or memory </w:t>
      </w:r>
      <w:r w:rsidR="00425F57">
        <w:rPr>
          <w:color w:val="292526"/>
        </w:rPr>
        <w:t>proficiency.</w:t>
      </w:r>
    </w:p>
    <w:p w14:paraId="798A7DB3" w14:textId="77777777" w:rsidR="00F821CE" w:rsidRDefault="00F821CE" w:rsidP="00A22539">
      <w:pPr>
        <w:spacing w:line="360" w:lineRule="auto"/>
        <w:jc w:val="both"/>
        <w:rPr>
          <w:b/>
          <w:bCs/>
          <w:i/>
          <w:iCs/>
          <w:color w:val="292526"/>
        </w:rPr>
      </w:pPr>
    </w:p>
    <w:p w14:paraId="6DCA3617" w14:textId="21920304" w:rsidR="00CF0B17" w:rsidRDefault="00632FEF" w:rsidP="00A22539">
      <w:pPr>
        <w:spacing w:line="360" w:lineRule="auto"/>
        <w:jc w:val="both"/>
        <w:rPr>
          <w:b/>
          <w:bCs/>
          <w:i/>
          <w:iCs/>
          <w:color w:val="292526"/>
        </w:rPr>
      </w:pPr>
      <w:r>
        <w:rPr>
          <w:b/>
          <w:bCs/>
          <w:i/>
          <w:iCs/>
          <w:color w:val="292526"/>
        </w:rPr>
        <w:t>Associations</w:t>
      </w:r>
      <w:r w:rsidR="00CF0B17">
        <w:rPr>
          <w:b/>
          <w:bCs/>
          <w:i/>
          <w:iCs/>
          <w:color w:val="292526"/>
        </w:rPr>
        <w:t xml:space="preserve"> with language proficiency</w:t>
      </w:r>
      <w:r>
        <w:rPr>
          <w:b/>
          <w:bCs/>
          <w:i/>
          <w:iCs/>
          <w:color w:val="292526"/>
        </w:rPr>
        <w:t>,  memory and IQ in the dorsal striatum</w:t>
      </w:r>
    </w:p>
    <w:p w14:paraId="76FF54FF" w14:textId="6FAF0349" w:rsidR="00632FEF" w:rsidRDefault="00B878E7" w:rsidP="00504792">
      <w:pPr>
        <w:spacing w:line="360" w:lineRule="auto"/>
        <w:jc w:val="both"/>
        <w:rPr>
          <w:color w:val="292526"/>
        </w:rPr>
      </w:pPr>
      <w:r>
        <w:rPr>
          <w:color w:val="292526"/>
        </w:rPr>
        <w:t xml:space="preserve">The DLD and TD groups differed on language proficiency, memory, and nonverbal IQ (see Table 1). </w:t>
      </w:r>
      <w:r w:rsidR="00632FEF">
        <w:rPr>
          <w:color w:val="292526"/>
        </w:rPr>
        <w:t>W</w:t>
      </w:r>
      <w:r w:rsidR="00CD386C">
        <w:rPr>
          <w:color w:val="292526"/>
        </w:rPr>
        <w:t>e</w:t>
      </w:r>
      <w:r>
        <w:rPr>
          <w:color w:val="292526"/>
        </w:rPr>
        <w:t xml:space="preserve"> consequently</w:t>
      </w:r>
      <w:r w:rsidR="00CD386C">
        <w:rPr>
          <w:color w:val="292526"/>
        </w:rPr>
        <w:t xml:space="preserve"> </w:t>
      </w:r>
      <w:r w:rsidR="00504792">
        <w:rPr>
          <w:color w:val="292526"/>
        </w:rPr>
        <w:t>assessed</w:t>
      </w:r>
      <w:r w:rsidR="00CD386C">
        <w:rPr>
          <w:color w:val="292526"/>
        </w:rPr>
        <w:t xml:space="preserve"> </w:t>
      </w:r>
      <w:r w:rsidR="00632FEF">
        <w:rPr>
          <w:color w:val="292526"/>
        </w:rPr>
        <w:t>whether</w:t>
      </w:r>
      <w:r w:rsidR="000270B4">
        <w:rPr>
          <w:color w:val="292526"/>
        </w:rPr>
        <w:t xml:space="preserve"> </w:t>
      </w:r>
      <w:r w:rsidR="00632FEF">
        <w:rPr>
          <w:color w:val="292526"/>
        </w:rPr>
        <w:t xml:space="preserve">variation in language proficiency, memory, or nonverbal IQ best explained </w:t>
      </w:r>
      <w:r w:rsidR="004814B1">
        <w:rPr>
          <w:color w:val="292526"/>
        </w:rPr>
        <w:t xml:space="preserve">the </w:t>
      </w:r>
      <w:r w:rsidR="00632FEF">
        <w:rPr>
          <w:color w:val="292526"/>
        </w:rPr>
        <w:t xml:space="preserve">variation in R1 and MTsat values in the </w:t>
      </w:r>
      <w:r w:rsidR="00165943">
        <w:rPr>
          <w:color w:val="292526"/>
        </w:rPr>
        <w:t>portions</w:t>
      </w:r>
      <w:r w:rsidR="00632FEF">
        <w:rPr>
          <w:color w:val="292526"/>
        </w:rPr>
        <w:t xml:space="preserve"> of the caudate nucleus where we observed TD &gt; DLD group differences</w:t>
      </w:r>
      <w:r w:rsidR="00CD386C">
        <w:rPr>
          <w:color w:val="292526"/>
        </w:rPr>
        <w:t>. We</w:t>
      </w:r>
      <w:r w:rsidR="00CF0B17">
        <w:rPr>
          <w:color w:val="292526"/>
        </w:rPr>
        <w:t xml:space="preserve"> </w:t>
      </w:r>
      <w:r w:rsidR="00CD386C">
        <w:rPr>
          <w:color w:val="292526"/>
        </w:rPr>
        <w:t xml:space="preserve">constructed stepwise regressions to evaluate </w:t>
      </w:r>
      <w:r>
        <w:rPr>
          <w:color w:val="292526"/>
        </w:rPr>
        <w:t>the contribution of each of these factors, including children from the HSL group to maximise power</w:t>
      </w:r>
      <w:r w:rsidR="00E15662">
        <w:rPr>
          <w:color w:val="292526"/>
        </w:rPr>
        <w:t xml:space="preserve"> </w:t>
      </w:r>
      <w:r w:rsidR="00E15662" w:rsidRPr="00030A25">
        <w:rPr>
          <w:color w:val="292526"/>
        </w:rPr>
        <w:t xml:space="preserve">(the pattern of analysis was the same </w:t>
      </w:r>
      <w:r w:rsidR="00165943">
        <w:rPr>
          <w:color w:val="292526"/>
        </w:rPr>
        <w:t>when</w:t>
      </w:r>
      <w:r w:rsidR="00E15662" w:rsidRPr="00030A25">
        <w:rPr>
          <w:color w:val="292526"/>
        </w:rPr>
        <w:t xml:space="preserve"> we limited our analyses to children in the TD or DLD groups)</w:t>
      </w:r>
      <w:r>
        <w:rPr>
          <w:color w:val="292526"/>
        </w:rPr>
        <w:t>.</w:t>
      </w:r>
    </w:p>
    <w:p w14:paraId="34E4A252" w14:textId="77777777" w:rsidR="00B878E7" w:rsidRDefault="00B878E7" w:rsidP="00504792">
      <w:pPr>
        <w:spacing w:line="360" w:lineRule="auto"/>
        <w:jc w:val="both"/>
        <w:rPr>
          <w:color w:val="292526"/>
        </w:rPr>
      </w:pPr>
    </w:p>
    <w:p w14:paraId="783C23C2" w14:textId="0E259BE1" w:rsidR="008D6ADF" w:rsidRPr="00504792" w:rsidRDefault="000270B4" w:rsidP="00504792">
      <w:pPr>
        <w:spacing w:line="360" w:lineRule="auto"/>
        <w:jc w:val="both"/>
        <w:rPr>
          <w:color w:val="292526"/>
        </w:rPr>
      </w:pPr>
      <w:r>
        <w:rPr>
          <w:color w:val="292526"/>
        </w:rPr>
        <w:t>For MTsat values i</w:t>
      </w:r>
      <w:r w:rsidR="00CF0B17">
        <w:rPr>
          <w:color w:val="292526"/>
        </w:rPr>
        <w:t>n the caudate nucleus, we found that</w:t>
      </w:r>
      <w:r w:rsidR="008D6ADF">
        <w:rPr>
          <w:color w:val="292526"/>
        </w:rPr>
        <w:t xml:space="preserve"> a model with</w:t>
      </w:r>
      <w:r w:rsidR="00CF0B17">
        <w:rPr>
          <w:color w:val="292526"/>
        </w:rPr>
        <w:t xml:space="preserve"> </w:t>
      </w:r>
      <w:r w:rsidR="008D6ADF">
        <w:rPr>
          <w:color w:val="292526"/>
        </w:rPr>
        <w:t xml:space="preserve">language proficiency alone </w:t>
      </w:r>
      <w:r w:rsidR="00AF1331">
        <w:rPr>
          <w:color w:val="292526"/>
        </w:rPr>
        <w:t>(</w:t>
      </w:r>
      <w:r w:rsidR="00AF1331" w:rsidRPr="00504792">
        <w:rPr>
          <w:i/>
          <w:iCs/>
          <w:color w:val="292526"/>
        </w:rPr>
        <w:t>β</w:t>
      </w:r>
      <w:r w:rsidR="00AF1331">
        <w:rPr>
          <w:color w:val="292526"/>
        </w:rPr>
        <w:t>=.01</w:t>
      </w:r>
      <w:r w:rsidR="005709AF">
        <w:rPr>
          <w:color w:val="292526"/>
        </w:rPr>
        <w:t>4</w:t>
      </w:r>
      <w:r w:rsidR="00AF1331">
        <w:rPr>
          <w:color w:val="292526"/>
        </w:rPr>
        <w:t xml:space="preserve">, </w:t>
      </w:r>
      <w:r w:rsidR="00AF1331" w:rsidRPr="00504792">
        <w:rPr>
          <w:i/>
          <w:iCs/>
          <w:color w:val="292526"/>
        </w:rPr>
        <w:t>p</w:t>
      </w:r>
      <w:r w:rsidR="00AF1331">
        <w:rPr>
          <w:color w:val="292526"/>
        </w:rPr>
        <w:t>&lt;.001) was</w:t>
      </w:r>
      <w:r w:rsidR="008D6ADF">
        <w:rPr>
          <w:color w:val="292526"/>
        </w:rPr>
        <w:t xml:space="preserve"> the best </w:t>
      </w:r>
      <w:r w:rsidR="00AF1331">
        <w:rPr>
          <w:color w:val="292526"/>
        </w:rPr>
        <w:t>fitting model</w:t>
      </w:r>
      <w:r w:rsidR="008D6ADF">
        <w:rPr>
          <w:color w:val="292526"/>
        </w:rPr>
        <w:t xml:space="preserve">, explaining </w:t>
      </w:r>
      <w:r w:rsidR="00AF1331">
        <w:rPr>
          <w:color w:val="292526"/>
        </w:rPr>
        <w:t>14.</w:t>
      </w:r>
      <w:r w:rsidR="005709AF">
        <w:rPr>
          <w:color w:val="292526"/>
        </w:rPr>
        <w:t>57</w:t>
      </w:r>
      <w:r w:rsidR="008D6ADF">
        <w:rPr>
          <w:color w:val="292526"/>
        </w:rPr>
        <w:t>% of the variance</w:t>
      </w:r>
      <w:r w:rsidR="00504792">
        <w:rPr>
          <w:color w:val="292526"/>
        </w:rPr>
        <w:t xml:space="preserve">, </w:t>
      </w:r>
      <w:r w:rsidR="008D6ADF" w:rsidRPr="00504792">
        <w:rPr>
          <w:i/>
          <w:iCs/>
          <w:color w:val="292526"/>
        </w:rPr>
        <w:t>F</w:t>
      </w:r>
      <w:r w:rsidR="008D6ADF">
        <w:rPr>
          <w:color w:val="292526"/>
        </w:rPr>
        <w:t>(1,</w:t>
      </w:r>
      <w:r w:rsidR="00AF1331">
        <w:rPr>
          <w:color w:val="292526"/>
        </w:rPr>
        <w:t>10</w:t>
      </w:r>
      <w:r w:rsidR="00C74C3D">
        <w:rPr>
          <w:color w:val="292526"/>
        </w:rPr>
        <w:t>6</w:t>
      </w:r>
      <w:r w:rsidR="008D6ADF">
        <w:rPr>
          <w:color w:val="292526"/>
        </w:rPr>
        <w:t>)=</w:t>
      </w:r>
      <w:r w:rsidR="00AF1331">
        <w:rPr>
          <w:color w:val="292526"/>
        </w:rPr>
        <w:t>18.</w:t>
      </w:r>
      <w:r w:rsidR="005709AF">
        <w:rPr>
          <w:color w:val="292526"/>
        </w:rPr>
        <w:t>08</w:t>
      </w:r>
      <w:r w:rsidR="00504792">
        <w:rPr>
          <w:color w:val="292526"/>
        </w:rPr>
        <w:t xml:space="preserve">, </w:t>
      </w:r>
      <w:r w:rsidR="00504792" w:rsidRPr="00504792">
        <w:rPr>
          <w:i/>
          <w:iCs/>
          <w:color w:val="292526"/>
        </w:rPr>
        <w:t>p</w:t>
      </w:r>
      <w:r w:rsidR="00504792">
        <w:rPr>
          <w:color w:val="292526"/>
        </w:rPr>
        <w:t xml:space="preserve">&lt;.001. </w:t>
      </w:r>
      <w:r w:rsidR="00AB6F35">
        <w:rPr>
          <w:color w:val="292526"/>
        </w:rPr>
        <w:t xml:space="preserve">For R1 values in the caudate nucleus, </w:t>
      </w:r>
      <w:r w:rsidR="00A4135F">
        <w:rPr>
          <w:color w:val="292526"/>
        </w:rPr>
        <w:t xml:space="preserve">we </w:t>
      </w:r>
      <w:r w:rsidR="00C74C3D">
        <w:rPr>
          <w:color w:val="292526"/>
        </w:rPr>
        <w:t>again observed</w:t>
      </w:r>
      <w:r w:rsidR="00A4135F">
        <w:rPr>
          <w:color w:val="292526"/>
        </w:rPr>
        <w:t xml:space="preserve"> that a model with language proficiency alone (</w:t>
      </w:r>
      <w:r w:rsidR="00A4135F" w:rsidRPr="00504792">
        <w:rPr>
          <w:i/>
          <w:iCs/>
          <w:color w:val="292526"/>
        </w:rPr>
        <w:t>β</w:t>
      </w:r>
      <w:r w:rsidR="00A4135F">
        <w:rPr>
          <w:color w:val="292526"/>
        </w:rPr>
        <w:t xml:space="preserve">=.015, </w:t>
      </w:r>
      <w:r w:rsidR="00A4135F" w:rsidRPr="00504792">
        <w:rPr>
          <w:i/>
          <w:iCs/>
          <w:color w:val="292526"/>
        </w:rPr>
        <w:t>p</w:t>
      </w:r>
      <w:r w:rsidR="00A4135F">
        <w:rPr>
          <w:color w:val="292526"/>
        </w:rPr>
        <w:t xml:space="preserve">&lt;.001) was the best fitting model, explaining </w:t>
      </w:r>
      <w:r w:rsidR="005709AF">
        <w:rPr>
          <w:color w:val="292526"/>
        </w:rPr>
        <w:t>13.19</w:t>
      </w:r>
      <w:r w:rsidR="00A4135F">
        <w:rPr>
          <w:color w:val="292526"/>
        </w:rPr>
        <w:t xml:space="preserve">% of the variance, </w:t>
      </w:r>
      <w:r w:rsidR="00A4135F" w:rsidRPr="00504792">
        <w:rPr>
          <w:i/>
          <w:iCs/>
          <w:color w:val="292526"/>
        </w:rPr>
        <w:t>F</w:t>
      </w:r>
      <w:r w:rsidR="00A4135F">
        <w:rPr>
          <w:color w:val="292526"/>
        </w:rPr>
        <w:t>(1,10</w:t>
      </w:r>
      <w:r w:rsidR="00C74C3D">
        <w:rPr>
          <w:color w:val="292526"/>
        </w:rPr>
        <w:t>6</w:t>
      </w:r>
      <w:r w:rsidR="00A4135F">
        <w:rPr>
          <w:color w:val="292526"/>
        </w:rPr>
        <w:t>)=</w:t>
      </w:r>
      <w:r w:rsidR="005709AF">
        <w:rPr>
          <w:color w:val="292526"/>
        </w:rPr>
        <w:t>16.11</w:t>
      </w:r>
      <w:r w:rsidR="00A4135F">
        <w:rPr>
          <w:color w:val="292526"/>
        </w:rPr>
        <w:t xml:space="preserve">, </w:t>
      </w:r>
      <w:r w:rsidR="00A4135F" w:rsidRPr="00504792">
        <w:rPr>
          <w:i/>
          <w:iCs/>
          <w:color w:val="292526"/>
        </w:rPr>
        <w:t>p</w:t>
      </w:r>
      <w:r w:rsidR="00A4135F">
        <w:rPr>
          <w:color w:val="292526"/>
        </w:rPr>
        <w:t>&lt;.001.</w:t>
      </w:r>
    </w:p>
    <w:p w14:paraId="77C8C66C" w14:textId="77777777" w:rsidR="00CD386C" w:rsidRDefault="00CD386C" w:rsidP="00A22539">
      <w:pPr>
        <w:spacing w:line="360" w:lineRule="auto"/>
        <w:jc w:val="both"/>
        <w:rPr>
          <w:color w:val="292526"/>
        </w:rPr>
      </w:pPr>
    </w:p>
    <w:p w14:paraId="1349A30F" w14:textId="77777777" w:rsidR="000E1426" w:rsidRPr="00425EB4" w:rsidRDefault="000E1426" w:rsidP="000E1426">
      <w:pPr>
        <w:spacing w:line="360" w:lineRule="auto"/>
        <w:jc w:val="both"/>
        <w:rPr>
          <w:b/>
          <w:bCs/>
          <w:i/>
          <w:iCs/>
          <w:color w:val="292526"/>
        </w:rPr>
      </w:pPr>
      <w:r>
        <w:rPr>
          <w:b/>
          <w:bCs/>
          <w:i/>
          <w:iCs/>
          <w:color w:val="292526"/>
        </w:rPr>
        <w:t>TD vs DLD g</w:t>
      </w:r>
      <w:r w:rsidRPr="00425EB4">
        <w:rPr>
          <w:b/>
          <w:bCs/>
          <w:i/>
          <w:iCs/>
          <w:color w:val="292526"/>
        </w:rPr>
        <w:t xml:space="preserve">roup differences in </w:t>
      </w:r>
      <w:r>
        <w:rPr>
          <w:b/>
          <w:bCs/>
          <w:i/>
          <w:iCs/>
          <w:color w:val="292526"/>
        </w:rPr>
        <w:t xml:space="preserve">voxel-based </w:t>
      </w:r>
      <w:r w:rsidRPr="00425EB4">
        <w:rPr>
          <w:b/>
          <w:bCs/>
          <w:i/>
          <w:iCs/>
          <w:color w:val="292526"/>
        </w:rPr>
        <w:t xml:space="preserve">morphometry </w:t>
      </w:r>
    </w:p>
    <w:p w14:paraId="6E60CC42" w14:textId="1193E46B" w:rsidR="002C4687" w:rsidRDefault="000E1426" w:rsidP="002C4687">
      <w:pPr>
        <w:spacing w:line="360" w:lineRule="auto"/>
        <w:jc w:val="both"/>
        <w:rPr>
          <w:color w:val="292526"/>
        </w:rPr>
      </w:pPr>
      <w:r>
        <w:rPr>
          <w:color w:val="292526"/>
        </w:rPr>
        <w:t>Finally, to assess if the parametric differences reported here were also observed in standard morphometric analysis, we performed a VBM analysis comparing regional amounts of grey matter in TD vs. DLD using T1 scans from the same participants (note these were collected using an MPRAGE T1-weighted sequence and were not the T1-weighted scan from the MPM protocol). We did not observe any group differences that survived our statistical threshold (p&lt;0.05), and indeed no group differences were observed at a lower statistical threshold p&lt;0.2. Thus, our parametric differences cannot be explain</w:t>
      </w:r>
      <w:r w:rsidR="002C34DB">
        <w:rPr>
          <w:color w:val="292526"/>
        </w:rPr>
        <w:t>ed</w:t>
      </w:r>
      <w:r>
        <w:rPr>
          <w:color w:val="292526"/>
        </w:rPr>
        <w:t xml:space="preserve"> by morphometric differences in the amount of </w:t>
      </w:r>
      <w:r w:rsidR="00165943">
        <w:rPr>
          <w:color w:val="292526"/>
        </w:rPr>
        <w:t>grey matter</w:t>
      </w:r>
      <w:r>
        <w:rPr>
          <w:color w:val="292526"/>
        </w:rPr>
        <w:t>.</w:t>
      </w:r>
    </w:p>
    <w:p w14:paraId="1771131D" w14:textId="77777777" w:rsidR="00912C98" w:rsidRDefault="00912C98" w:rsidP="002C4687">
      <w:pPr>
        <w:spacing w:line="360" w:lineRule="auto"/>
        <w:jc w:val="both"/>
        <w:rPr>
          <w:color w:val="292526"/>
        </w:rPr>
      </w:pPr>
    </w:p>
    <w:p w14:paraId="4C928566" w14:textId="77777777" w:rsidR="00904FE7" w:rsidRDefault="00904FE7">
      <w:pPr>
        <w:rPr>
          <w:b/>
          <w:bCs/>
          <w:i/>
          <w:iCs/>
          <w:color w:val="292526"/>
        </w:rPr>
      </w:pPr>
      <w:r>
        <w:rPr>
          <w:b/>
          <w:bCs/>
          <w:i/>
          <w:iCs/>
          <w:color w:val="292526"/>
        </w:rPr>
        <w:br w:type="page"/>
      </w:r>
    </w:p>
    <w:p w14:paraId="14912852" w14:textId="62C8CDF8" w:rsidR="003D62F8" w:rsidRDefault="008B1177" w:rsidP="00A22539">
      <w:pPr>
        <w:spacing w:line="360" w:lineRule="auto"/>
        <w:jc w:val="both"/>
        <w:rPr>
          <w:noProof/>
          <w:color w:val="292526"/>
        </w:rPr>
      </w:pPr>
      <w:r>
        <w:rPr>
          <w:b/>
          <w:bCs/>
          <w:i/>
          <w:iCs/>
          <w:color w:val="292526"/>
        </w:rPr>
        <w:lastRenderedPageBreak/>
        <w:t xml:space="preserve">Figure 4. </w:t>
      </w:r>
      <w:r w:rsidRPr="005606EA">
        <w:rPr>
          <w:i/>
          <w:iCs/>
          <w:color w:val="292526"/>
        </w:rPr>
        <w:t>Correlation between language proficiency and MTsat values in the left caudate nucleus</w:t>
      </w:r>
    </w:p>
    <w:p w14:paraId="04D797F9" w14:textId="77A64668" w:rsidR="00904FE7" w:rsidRPr="00912C98" w:rsidRDefault="00904FE7" w:rsidP="00A22539">
      <w:pPr>
        <w:spacing w:line="360" w:lineRule="auto"/>
        <w:jc w:val="both"/>
        <w:rPr>
          <w:color w:val="292526"/>
        </w:rPr>
      </w:pPr>
      <w:r>
        <w:rPr>
          <w:noProof/>
          <w:color w:val="292526"/>
        </w:rPr>
        <w:drawing>
          <wp:inline distT="0" distB="0" distL="0" distR="0" wp14:anchorId="7C9854E8" wp14:editId="4F148711">
            <wp:extent cx="5727700" cy="5390515"/>
            <wp:effectExtent l="0" t="0" r="0" b="0"/>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5390515"/>
                    </a:xfrm>
                    <a:prstGeom prst="rect">
                      <a:avLst/>
                    </a:prstGeom>
                  </pic:spPr>
                </pic:pic>
              </a:graphicData>
            </a:graphic>
          </wp:inline>
        </w:drawing>
      </w:r>
    </w:p>
    <w:p w14:paraId="5E2ED77A" w14:textId="77777777" w:rsidR="00AE1977" w:rsidRDefault="00AE1977">
      <w:pPr>
        <w:rPr>
          <w:b/>
          <w:bCs/>
          <w:color w:val="292526"/>
          <w:sz w:val="28"/>
          <w:szCs w:val="28"/>
        </w:rPr>
      </w:pPr>
      <w:r>
        <w:rPr>
          <w:b/>
          <w:bCs/>
          <w:color w:val="292526"/>
          <w:sz w:val="28"/>
          <w:szCs w:val="28"/>
        </w:rPr>
        <w:br w:type="page"/>
      </w:r>
    </w:p>
    <w:p w14:paraId="194F1F74" w14:textId="56B0F834" w:rsidR="00A22539" w:rsidRDefault="00A22539" w:rsidP="00A22539">
      <w:pPr>
        <w:spacing w:line="360" w:lineRule="auto"/>
        <w:jc w:val="both"/>
        <w:rPr>
          <w:b/>
          <w:bCs/>
          <w:color w:val="292526"/>
          <w:sz w:val="28"/>
          <w:szCs w:val="28"/>
        </w:rPr>
      </w:pPr>
      <w:r w:rsidRPr="0041245B">
        <w:rPr>
          <w:b/>
          <w:bCs/>
          <w:color w:val="292526"/>
          <w:sz w:val="28"/>
          <w:szCs w:val="28"/>
        </w:rPr>
        <w:lastRenderedPageBreak/>
        <w:t>Discussion</w:t>
      </w:r>
    </w:p>
    <w:p w14:paraId="7A0FF023" w14:textId="4A8D6491" w:rsidR="0037479E" w:rsidRDefault="00F95ADD" w:rsidP="00A22539">
      <w:pPr>
        <w:spacing w:line="360" w:lineRule="auto"/>
        <w:jc w:val="both"/>
        <w:rPr>
          <w:color w:val="292526"/>
        </w:rPr>
      </w:pPr>
      <w:r>
        <w:rPr>
          <w:color w:val="292526"/>
        </w:rPr>
        <w:t xml:space="preserve">In this study, we used </w:t>
      </w:r>
      <w:r w:rsidR="00035FB3">
        <w:rPr>
          <w:color w:val="292526"/>
        </w:rPr>
        <w:t>semi</w:t>
      </w:r>
      <w:r>
        <w:rPr>
          <w:color w:val="292526"/>
        </w:rPr>
        <w:t xml:space="preserve">quantitative </w:t>
      </w:r>
      <w:r w:rsidR="00035FB3">
        <w:rPr>
          <w:color w:val="292526"/>
        </w:rPr>
        <w:t xml:space="preserve">structural </w:t>
      </w:r>
      <w:r>
        <w:rPr>
          <w:color w:val="292526"/>
        </w:rPr>
        <w:t xml:space="preserve">MRI to </w:t>
      </w:r>
      <w:r w:rsidR="00093CB5">
        <w:rPr>
          <w:color w:val="292526"/>
        </w:rPr>
        <w:t>provide a detailed account of the</w:t>
      </w:r>
      <w:r>
        <w:rPr>
          <w:color w:val="292526"/>
        </w:rPr>
        <w:t xml:space="preserve"> neural differences in children with</w:t>
      </w:r>
      <w:r w:rsidR="00050984">
        <w:rPr>
          <w:color w:val="292526"/>
        </w:rPr>
        <w:t xml:space="preserve"> developmental language disorder</w:t>
      </w:r>
      <w:r>
        <w:rPr>
          <w:color w:val="292526"/>
        </w:rPr>
        <w:t xml:space="preserve"> </w:t>
      </w:r>
      <w:r w:rsidR="00050984">
        <w:rPr>
          <w:color w:val="292526"/>
        </w:rPr>
        <w:t>(</w:t>
      </w:r>
      <w:r>
        <w:rPr>
          <w:color w:val="292526"/>
        </w:rPr>
        <w:t>DLD</w:t>
      </w:r>
      <w:r w:rsidR="00050984">
        <w:rPr>
          <w:color w:val="292526"/>
        </w:rPr>
        <w:t>)</w:t>
      </w:r>
      <w:r>
        <w:rPr>
          <w:color w:val="292526"/>
        </w:rPr>
        <w:t xml:space="preserve">, taking advantage of the sensitivity of this protocol to understand </w:t>
      </w:r>
      <w:r w:rsidR="00093CB5">
        <w:rPr>
          <w:color w:val="292526"/>
        </w:rPr>
        <w:t xml:space="preserve">changes in neural </w:t>
      </w:r>
      <w:r>
        <w:rPr>
          <w:color w:val="292526"/>
        </w:rPr>
        <w:t xml:space="preserve">microstructure. </w:t>
      </w:r>
      <w:r w:rsidR="00B76341">
        <w:rPr>
          <w:color w:val="292526"/>
        </w:rPr>
        <w:t>W</w:t>
      </w:r>
      <w:r w:rsidR="00035FB3">
        <w:rPr>
          <w:color w:val="292526"/>
        </w:rPr>
        <w:t xml:space="preserve">e found </w:t>
      </w:r>
      <w:r w:rsidR="00204168">
        <w:rPr>
          <w:color w:val="292526"/>
        </w:rPr>
        <w:t>reduced</w:t>
      </w:r>
      <w:r w:rsidR="00050984">
        <w:rPr>
          <w:color w:val="292526"/>
        </w:rPr>
        <w:t xml:space="preserve"> </w:t>
      </w:r>
      <w:r w:rsidR="00766724">
        <w:rPr>
          <w:color w:val="292526"/>
        </w:rPr>
        <w:t>MTsat</w:t>
      </w:r>
      <w:r>
        <w:rPr>
          <w:color w:val="292526"/>
        </w:rPr>
        <w:t xml:space="preserve"> and </w:t>
      </w:r>
      <w:r w:rsidR="00766724">
        <w:rPr>
          <w:color w:val="292526"/>
        </w:rPr>
        <w:t xml:space="preserve">R1 </w:t>
      </w:r>
      <w:r w:rsidR="00204168">
        <w:rPr>
          <w:color w:val="292526"/>
        </w:rPr>
        <w:t>values</w:t>
      </w:r>
      <w:r>
        <w:rPr>
          <w:color w:val="292526"/>
        </w:rPr>
        <w:t xml:space="preserve"> </w:t>
      </w:r>
      <w:r w:rsidR="008804AC">
        <w:rPr>
          <w:color w:val="292526"/>
        </w:rPr>
        <w:t>in the caudate nuclei in children with DLD</w:t>
      </w:r>
      <w:r>
        <w:rPr>
          <w:color w:val="292526"/>
        </w:rPr>
        <w:t xml:space="preserve">. </w:t>
      </w:r>
      <w:r w:rsidR="00050984">
        <w:rPr>
          <w:color w:val="292526"/>
        </w:rPr>
        <w:t>W</w:t>
      </w:r>
      <w:r w:rsidR="00035FB3">
        <w:rPr>
          <w:color w:val="292526"/>
        </w:rPr>
        <w:t>e</w:t>
      </w:r>
      <w:r w:rsidR="00050984">
        <w:rPr>
          <w:color w:val="292526"/>
        </w:rPr>
        <w:t xml:space="preserve"> also</w:t>
      </w:r>
      <w:r w:rsidR="00035FB3">
        <w:rPr>
          <w:color w:val="292526"/>
        </w:rPr>
        <w:t xml:space="preserve"> </w:t>
      </w:r>
      <w:r w:rsidR="00050984">
        <w:rPr>
          <w:color w:val="292526"/>
        </w:rPr>
        <w:t>observed</w:t>
      </w:r>
      <w:r w:rsidR="00035FB3">
        <w:rPr>
          <w:color w:val="292526"/>
        </w:rPr>
        <w:t xml:space="preserve"> reduced MTsat values in the left inferior frontal gyrus</w:t>
      </w:r>
      <w:r w:rsidR="0054081B">
        <w:rPr>
          <w:color w:val="292526"/>
        </w:rPr>
        <w:t>.</w:t>
      </w:r>
      <w:r w:rsidR="00050984">
        <w:rPr>
          <w:color w:val="292526"/>
        </w:rPr>
        <w:t xml:space="preserve"> This offers empirical confirmation of our prediction that </w:t>
      </w:r>
      <w:r w:rsidR="005462D8">
        <w:rPr>
          <w:color w:val="292526"/>
        </w:rPr>
        <w:t xml:space="preserve">cortico-striato-thalamo-cortical loops involved in </w:t>
      </w:r>
      <w:r w:rsidR="00050984">
        <w:rPr>
          <w:color w:val="292526"/>
        </w:rPr>
        <w:t xml:space="preserve">learning are </w:t>
      </w:r>
      <w:r w:rsidR="005462D8">
        <w:rPr>
          <w:color w:val="292526"/>
        </w:rPr>
        <w:t xml:space="preserve">affected </w:t>
      </w:r>
      <w:r w:rsidR="00050984">
        <w:rPr>
          <w:color w:val="292526"/>
        </w:rPr>
        <w:t xml:space="preserve">in DLD. </w:t>
      </w:r>
    </w:p>
    <w:p w14:paraId="4DEF1F31" w14:textId="77777777" w:rsidR="0037479E" w:rsidRDefault="0037479E" w:rsidP="00A22539">
      <w:pPr>
        <w:spacing w:line="360" w:lineRule="auto"/>
        <w:jc w:val="both"/>
        <w:rPr>
          <w:color w:val="292526"/>
        </w:rPr>
      </w:pPr>
    </w:p>
    <w:p w14:paraId="6D1EAED6" w14:textId="1E20532C" w:rsidR="008804AC" w:rsidRDefault="00050984" w:rsidP="00A22539">
      <w:pPr>
        <w:spacing w:line="360" w:lineRule="auto"/>
        <w:jc w:val="both"/>
        <w:rPr>
          <w:color w:val="292526"/>
        </w:rPr>
      </w:pPr>
      <w:r>
        <w:rPr>
          <w:color w:val="292526"/>
        </w:rPr>
        <w:t xml:space="preserve">Importantly, these results allow us to understand </w:t>
      </w:r>
      <w:r w:rsidR="00DD12F4">
        <w:rPr>
          <w:color w:val="292526"/>
        </w:rPr>
        <w:t xml:space="preserve">the cellular </w:t>
      </w:r>
      <w:r>
        <w:rPr>
          <w:color w:val="292526"/>
        </w:rPr>
        <w:t>mechanism</w:t>
      </w:r>
      <w:r w:rsidR="00DD12F4">
        <w:rPr>
          <w:color w:val="292526"/>
        </w:rPr>
        <w:t>s driving this change</w:t>
      </w:r>
      <w:r>
        <w:rPr>
          <w:color w:val="292526"/>
        </w:rPr>
        <w:t xml:space="preserve">. </w:t>
      </w:r>
      <w:r w:rsidR="00B76341">
        <w:rPr>
          <w:color w:val="292526"/>
        </w:rPr>
        <w:t>MTsat and R1 are considered in vivo markers of macromolecular content, and within the brain, these measures are particularly sensitive to myelin content in grey matter. Although</w:t>
      </w:r>
      <w:r w:rsidR="00B76341">
        <w:t xml:space="preserve"> most of the brain’s myelin is found in the white matter where it sheaths the long axons travelling in white matter fibre tracts,  it can also be measured </w:t>
      </w:r>
      <w:r w:rsidR="00BD2FF3">
        <w:t xml:space="preserve">in </w:t>
      </w:r>
      <w:r w:rsidR="00B76341">
        <w:t xml:space="preserve">grey matter where it myelinates axons or parts of axons in the cortex and in subcortical structures like the thalamus and basal ganglia </w:t>
      </w:r>
      <w:r w:rsidR="00B76341">
        <w:fldChar w:fldCharType="begin"/>
      </w:r>
      <w:r w:rsidR="00ED5ABB">
        <w:instrText xml:space="preserve"> ADDIN ZOTERO_ITEM CSL_CITATION {"citationID":"1uAFIkrk","properties":{"formattedCitation":"(Nieuwenhuys, 2013)","plainCitation":"(Nieuwenhuys, 2013)","noteIndex":0},"citationItems":[{"id":1327,"uris":["http://zotero.org/users/5009496/items/53VWQXYT"],"itemData":{"id":1327,"type":"article-journal","container-title":"Brain Structure and Function","DOI":"10.1007/s00429-012-0460-z","ISSN":"1863-2653, 1863-2661","issue":"2","journalAbbreviation":"Brain Struct Funct","language":"en","page":"303-352","source":"DOI.org (Crossref)","title":"The myeloarchitectonic studies on the human cerebral cortex of the Vogt–Vogt school, and their significance for the interpretation of functional neuroimaging data","URL":"http://link.springer.com/10.1007/s00429-012-0460-z","volume":"218","author":[{"family":"Nieuwenhuys","given":"Rudolf"}],"accessed":{"date-parts":[["2021",9,9]]},"issued":{"date-parts":[["2013",3]]}}}],"schema":"https://github.com/citation-style-language/schema/raw/master/csl-citation.json"} </w:instrText>
      </w:r>
      <w:r w:rsidR="00B76341">
        <w:fldChar w:fldCharType="separate"/>
      </w:r>
      <w:r w:rsidR="00B76341">
        <w:rPr>
          <w:noProof/>
        </w:rPr>
        <w:t>(Nieuwenhuys, 2013)</w:t>
      </w:r>
      <w:r w:rsidR="00B76341">
        <w:fldChar w:fldCharType="end"/>
      </w:r>
      <w:r w:rsidR="00B76341">
        <w:t>.</w:t>
      </w:r>
      <w:r w:rsidR="00B76341">
        <w:rPr>
          <w:color w:val="292526"/>
        </w:rPr>
        <w:t xml:space="preserve">  Indeed, myelin is a strong contributor to MR signal in these regions </w:t>
      </w:r>
      <w:r w:rsidR="00B76341">
        <w:rPr>
          <w:color w:val="292526"/>
        </w:rPr>
        <w:fldChar w:fldCharType="begin"/>
      </w:r>
      <w:r w:rsidR="00ED5ABB">
        <w:rPr>
          <w:color w:val="292526"/>
        </w:rPr>
        <w:instrText xml:space="preserve"> ADDIN ZOTERO_ITEM CSL_CITATION {"citationID":"gRKKhhVY","properties":{"formattedCitation":"(Glasser &amp; Essen, 2011; Sereno et al., 2013; Shafee et al., 2015)","plainCitation":"(Glasser &amp; Essen, 2011; Sereno et al., 2013; Shafee et al., 2015)","noteIndex":0},"citationItems":[{"id":1323,"uris":["http://zotero.org/users/5009496/items/FBMG3JGC"],"itemData":{"id":1323,"type":"article-journal","abstract":"Noninvasively mapping the layout of cortical areas in humans is a continuing challenge for neuroscience. We present a new method of mapping cortical areas based on myelin content as revealed by T1-weighted (T1w) and T2-weighted (T2w) MRI. The method is generalizable across different 3T scanners and pulse sequences. We use the ratio of T1w/T2w image intensities to eliminate the MR-related image intensity bias and enhance the contrast to noise ratio for myelin. Data from each subject were mapped to the cortical surface and aligned across individuals using surface-based registration. The spatial gradient of the group average myelin map provides an observer-independent measure of sharp transitions in myelin content across the surface—i.e., putative cortical areal borders. We found excellent agreement between the gradients of the myelin maps and the gradients of published probabilistic cytoarchitectonically defined cortical areas that were registered to the same surface-based atlas. For other cortical regions, we used published anatomical and functional information to make putative identifications of dozens of cortical areas or candidate areas. In general, primary and early unimodal association cortices are heavily myelinated and higher, multimodal, association cortices are more lightly myelinated, but there are notable exceptions in the literature that are confirmed by our results. The overall pattern in the myelin maps also has important correlations with the developmental onset of subcortical white matter myelination, evolutionary cortical areal expansion in humans compared with macaques, postnatal cortical expansion in humans, and maps of neuronal density in non-human primates.","container-title":"Journal of Neuroscience","DOI":"10.1523/JNEUROSCI.2180-11.2011","ISSN":"0270-6474, 1529-2401","issue":"32","journalAbbreviation":"J. Neurosci.","language":"en","note":"publisher: Society for Neuroscience\nsection: Articles\nPMID: 21832190","page":"11597-11616","source":"www.jneurosci.org","title":"Mapping Human Cortical Areas In Vivo Based on Myelin Content as Revealed by T1- and T2-Weighted MRI","URL":"https://www.jneurosci.org/content/31/32/11597","volume":"31","author":[{"family":"Glasser","given":"Matthew F."},{"family":"Essen","given":"David C. Van"}],"accessed":{"date-parts":[["2021",9,9]]},"issued":{"date-parts":[["2011",8,10]]}}},{"id":1252,"uris":["http://zotero.org/users/5009496/items/ZE5AE4LR"],"itemData":{"id":1252,"type":"article-journal","abstract":"We combined quantitative relaxation rate (R1= 1/T1) mapping—to measure local myelination—with fMRI-based retinotopy. Gray–white and pial surfaces were reconstructed and used to sample R1 at different cortical depths. Like myelination, R1 decreased from deeper to superficial layers. R1 decreased passing from V1 and MT, to immediately surrounding areas, then to the angular gyrus. High R1 was correlated across the cortex with convex local curvature so the data was first “de-curved”. By overlaying R1 and retinotopic maps, we found that many visual area borders were associated with significant R1 increases including V1, V3A, MT, V6, V6A, V8/VO1, FST, and VIP. Surprisingly, retinotopic MT occupied only the posterior portion of an oval-shaped lateral occipital R1 maximum. R1 maps were reproducible within individuals and comparable between subjects without intensity normalization, enabling multi-center studies of development, aging, and disease progression, and structure/function mapping in other modalities.","container-title":"Cerebral Cortex","DOI":"10.1093/cercor/bhs213","ISSN":"1047-3211","issue":"9","journalAbbreviation":"Cerebral Cortex","page":"2261-2268","source":"Silverchair","title":"Mapping the Human Cortical Surface by Combining Quantitative T1 with Retinotopy†","URL":"https://doi.org/10.1093/cercor/bhs213","volume":"23","author":[{"family":"Sereno","given":"Martin I."},{"family":"Lutti","given":"Antoine"},{"family":"Weiskopf","given":"Nikolaus"},{"family":"Dick","given":"Frederic"}],"accessed":{"date-parts":[["2021",7,27]]},"issued":{"date-parts":[["2013",9,1]]}}},{"id":1322,"uris":["http://zotero.org/users/5009496/items/5Z77GXKF"],"itemData":{"id":1322,"type":"article-journal","abstract":"The myelin content of the cortex changes over the human lifetime and aberrant cortical myelination is associated with diseases such as schizophrenia and multiple sclerosis. Recently magnetic resonance imaging (MRI) techniques have shown potential in differentiating between myeloarchitectonically distinct cortical regions in vivo. Here we introduce a new algorithm for correcting partial volume effects present in mm-scale MRI images which was used to investigate the myelination pattern of the cerebral cortex in 1555 clinically normal subjects using the ratio of T1-weighted (T1w) and T2-weighted (T2w) MRI images. A significant linear cross-sectional age increase in T1w/T2w estimated myelin was detected across an 18 to 35year age span (highest value of ~ 1%/year compared to mean T1w/T2w myelin value at 18 years). The cortex was divided at mid-thickness and the value of T1w/T2w myelin calculated for the inner and outer layers separately. The increase in T1w/T2w estimated myelin occurs predominantly in the inner layer for most cortical regions. The ratio of the inner and outer layer T1w/T2w myelin was further validated using high-resolution in vivo MRI scans and also a high-resolution MRI scan of a postmortem brain. Additionally, the relationships between cortical thickness, curvature and T1w/T2w estimated myelin were found to be significant, although the relationships varied across the cortex. We discuss these observations as well as limitations of using the T1w/T2w ratio as an estimate of cortical myelin.","container-title":"NeuroImage","DOI":"10.1016/j.neuroimage.2014.10.054","ISSN":"1053-8119","journalAbbreviation":"NeuroImage","language":"en","page":"473-485","source":"ScienceDirect","title":"Gray matter myelination of 1555 human brains using partial volume corrected MRI images","URL":"https://www.sciencedirect.com/science/article/pii/S1053811914008933","volume":"105","author":[{"family":"Shafee","given":"Rebecca"},{"family":"Buckner","given":"Randy L."},{"family":"Fischl","given":"Bruce"}],"accessed":{"date-parts":[["2021",9,9]]},"issued":{"date-parts":[["2015",1,15]]}}}],"schema":"https://github.com/citation-style-language/schema/raw/master/csl-citation.json"} </w:instrText>
      </w:r>
      <w:r w:rsidR="00B76341">
        <w:rPr>
          <w:color w:val="292526"/>
        </w:rPr>
        <w:fldChar w:fldCharType="separate"/>
      </w:r>
      <w:r w:rsidR="00B76341">
        <w:rPr>
          <w:noProof/>
          <w:color w:val="292526"/>
        </w:rPr>
        <w:t>(Glasser &amp; Essen, 2011; Sereno et al., 2013; Shafee et al., 2015)</w:t>
      </w:r>
      <w:r w:rsidR="00B76341">
        <w:rPr>
          <w:color w:val="292526"/>
        </w:rPr>
        <w:fldChar w:fldCharType="end"/>
      </w:r>
      <w:r w:rsidR="00B76341">
        <w:rPr>
          <w:color w:val="292526"/>
        </w:rPr>
        <w:t xml:space="preserve">. </w:t>
      </w:r>
      <w:r>
        <w:rPr>
          <w:color w:val="292526"/>
        </w:rPr>
        <w:t xml:space="preserve">Given myelin’s role in enabling fast and reliable communication in the brain, </w:t>
      </w:r>
      <w:r w:rsidR="00B76341">
        <w:rPr>
          <w:color w:val="292526"/>
        </w:rPr>
        <w:t>reduced</w:t>
      </w:r>
      <w:r>
        <w:rPr>
          <w:color w:val="292526"/>
        </w:rPr>
        <w:t xml:space="preserve"> myelin </w:t>
      </w:r>
      <w:r w:rsidR="00B76341">
        <w:rPr>
          <w:color w:val="292526"/>
        </w:rPr>
        <w:t xml:space="preserve">content </w:t>
      </w:r>
      <w:r>
        <w:rPr>
          <w:color w:val="292526"/>
        </w:rPr>
        <w:t xml:space="preserve">may explain why children with DLD struggle with </w:t>
      </w:r>
      <w:r w:rsidR="005462D8">
        <w:rPr>
          <w:color w:val="292526"/>
        </w:rPr>
        <w:t>speech and language processing</w:t>
      </w:r>
      <w:r>
        <w:rPr>
          <w:color w:val="292526"/>
        </w:rPr>
        <w:t xml:space="preserve">. </w:t>
      </w:r>
      <w:r w:rsidR="00093CB5">
        <w:rPr>
          <w:color w:val="292526"/>
        </w:rPr>
        <w:t>Below, we discuss these findings, contextualising why myelin may be altered in these specific regions in DLD.</w:t>
      </w:r>
    </w:p>
    <w:p w14:paraId="69277E08" w14:textId="2B1AE7E0" w:rsidR="00050984" w:rsidRDefault="00050984" w:rsidP="00A22539">
      <w:pPr>
        <w:spacing w:line="360" w:lineRule="auto"/>
        <w:jc w:val="both"/>
        <w:rPr>
          <w:color w:val="292526"/>
        </w:rPr>
      </w:pPr>
    </w:p>
    <w:p w14:paraId="7928E915" w14:textId="71AE8C13" w:rsidR="00050984" w:rsidRDefault="00050984" w:rsidP="00050984">
      <w:pPr>
        <w:spacing w:line="360" w:lineRule="auto"/>
        <w:jc w:val="both"/>
        <w:rPr>
          <w:b/>
          <w:bCs/>
          <w:i/>
          <w:iCs/>
          <w:color w:val="292526"/>
        </w:rPr>
      </w:pPr>
      <w:r>
        <w:rPr>
          <w:b/>
          <w:bCs/>
          <w:i/>
          <w:iCs/>
          <w:color w:val="292526"/>
        </w:rPr>
        <w:t>Interpretation</w:t>
      </w:r>
      <w:r w:rsidRPr="00561193">
        <w:rPr>
          <w:b/>
          <w:bCs/>
          <w:i/>
          <w:iCs/>
          <w:color w:val="292526"/>
        </w:rPr>
        <w:t xml:space="preserve"> of MPM</w:t>
      </w:r>
      <w:r>
        <w:rPr>
          <w:b/>
          <w:bCs/>
          <w:i/>
          <w:iCs/>
          <w:color w:val="292526"/>
        </w:rPr>
        <w:t xml:space="preserve"> scans</w:t>
      </w:r>
    </w:p>
    <w:p w14:paraId="20E75251" w14:textId="5A2F040F" w:rsidR="00760549" w:rsidRDefault="00D655B3" w:rsidP="00050984">
      <w:pPr>
        <w:spacing w:line="360" w:lineRule="auto"/>
        <w:jc w:val="both"/>
        <w:rPr>
          <w:color w:val="292526"/>
        </w:rPr>
      </w:pPr>
      <w:r>
        <w:rPr>
          <w:color w:val="292526"/>
        </w:rPr>
        <w:t xml:space="preserve">Myelin is known to increase throughout the brain during adolescence </w:t>
      </w:r>
      <w:r>
        <w:rPr>
          <w:color w:val="292526"/>
        </w:rPr>
        <w:fldChar w:fldCharType="begin"/>
      </w:r>
      <w:r w:rsidR="00ED5ABB">
        <w:rPr>
          <w:color w:val="292526"/>
        </w:rPr>
        <w:instrText xml:space="preserve"> ADDIN ZOTERO_ITEM CSL_CITATION {"citationID":"x5aM3Ktt","properties":{"formattedCitation":"(Paquola et al., 2019; Whitaker et al., 2016)","plainCitation":"(Paquola et al., 2019; Whitaker et al., 2016)","noteIndex":0},"citationItems":[{"id":1262,"uris":["http://zotero.org/users/5009496/items/VE7F7NXP"],"itemData":{"id":1262,"type":"article-journal","abstract":"We studied an accelerated longitudinal cohort of adolescents and young adults (n = 234, two time points) to investigate dynamic reconfigurations in myeloarchitecture. Intracortical profiles were generated using magnetization transfer (MT) data, a myelin-sensitive magnetic resonance imaging contrast. Mixed-effect models of depth specific intracortical profiles demonstrated two separate processes i) overall increases in MT, and ii) flattening of the MT profile related to enhanced signal in mid-to-deeper layers, especially in heteromodal and unimodal association cortices. This development was independent of morphological changes. Enhanced MT in mid-to-deeper layers was found to spatially co-localise specifically with gene expression markers of oligodendrocytes. Interregional covariance analysis revealed that these intracortical changes contributed to a gradual differentiation of higher-order from lower-order systems. Depth-dependent trajectories of intracortical myeloarchitectural development contribute to the maturation of structural hierarchies in the human neocortex, providing a model for adolescent development that bridges microstructural and macroscopic scales of brain organisation.","container-title":"eLife","DOI":"10.7554/eLife.50482","ISSN":"2050-084X","language":"en","page":"e50482","source":"DOI.org (Crossref)","title":"Shifts in myeloarchitecture characterise adolescent development of cortical gradients","URL":"https://elifesciences.org/articles/50482","volume":"8","author":[{"family":"Paquola","given":"Casey"},{"family":"Bethlehem","given":"Richard AI"},{"family":"Seidlitz","given":"Jakob"},{"family":"Wagstyl","given":"Konrad"},{"family":"Romero-Garcia","given":"Rafael"},{"family":"Whitaker","given":"Kirstie J"},{"family":"Vos de Wael","given":"Reinder"},{"family":"Williams","given":"Guy B"},{"literal":"NSPN Consortium"},{"family":"Vértes","given":"Petra E"},{"family":"Margulies","given":"Daniel S"},{"family":"Bernhardt","given":"Boris"},{"family":"Bullmore","given":"Edward T"}],"accessed":{"date-parts":[["2021",7,28]]},"issued":{"date-parts":[["2019",11,14]]}}},{"id":1120,"uris":["http://zotero.org/users/5009496/items/7EF7RPX4"],"itemData":{"id":1120,"type":"article-journal","container-title":"Proceedings of the National Academy of Sciences","DOI":"10.1073/pnas.1601745113","ISSN":"0027-8424, 1091-6490","issue":"32","language":"en","page":"9105-9110","source":"Crossref","title":"Adolescence is associated with genomically patterned consolidation of the hubs of the human brain connectome","URL":"http://www.pnas.org/lookup/doi/10.1073/pnas.1601745113","volume":"113","author":[{"family":"Whitaker","given":"Kirstie J."},{"family":"Vértes","given":"Petra E."},{"family":"Romero-Garcia","given":"Rafael"},{"family":"Váša","given":"František"},{"family":"Moutoussis","given":"Michael"},{"family":"Prabhu","given":"Gita"},{"family":"Weiskopf","given":"Nikolaus"},{"family":"Callaghan","given":"Martina F."},{"family":"Wagstyl","given":"Konrad"},{"family":"Rittman","given":"Timothy"},{"family":"Tait","given":"Roger"},{"family":"Ooi","given":"Cinly"},{"family":"Suckling","given":"John"},{"family":"Inkster","given":"Becky"},{"family":"Fonagy","given":"Peter"},{"family":"Dolan","given":"Raymond J."},{"family":"Jones","given":"Peter B."},{"family":"Goodyer","given":"Ian M."},{"literal":"the NSPN Consortium"},{"family":"Bullmore","given":"Edward T."}],"accessed":{"date-parts":[["2020",11,24]]},"issued":{"date-parts":[["2016",8,9]]}}}],"schema":"https://github.com/citation-style-language/schema/raw/master/csl-citation.json"} </w:instrText>
      </w:r>
      <w:r>
        <w:rPr>
          <w:color w:val="292526"/>
        </w:rPr>
        <w:fldChar w:fldCharType="separate"/>
      </w:r>
      <w:r>
        <w:rPr>
          <w:noProof/>
          <w:color w:val="292526"/>
        </w:rPr>
        <w:t>(Paquola et al., 2019; Whitaker et al., 2016)</w:t>
      </w:r>
      <w:r>
        <w:rPr>
          <w:color w:val="292526"/>
        </w:rPr>
        <w:fldChar w:fldCharType="end"/>
      </w:r>
      <w:r>
        <w:rPr>
          <w:color w:val="292526"/>
        </w:rPr>
        <w:t xml:space="preserve">, and has been linked to improved behavioural performance </w:t>
      </w:r>
      <w:r>
        <w:rPr>
          <w:color w:val="292526"/>
        </w:rPr>
        <w:fldChar w:fldCharType="begin"/>
      </w:r>
      <w:r w:rsidR="00ED5ABB">
        <w:rPr>
          <w:color w:val="292526"/>
        </w:rPr>
        <w:instrText xml:space="preserve"> ADDIN ZOTERO_ITEM CSL_CITATION {"citationID":"sY3bw1GF","properties":{"formattedCitation":"(Kwon et al., 2020)","plainCitation":"(Kwon et al., 2020)","noteIndex":0},"citationItems":[{"id":1264,"uris":["http://zotero.org/users/5009496/items/6MA9EPW7"],"itemData":{"id":1264,"type":"article-journal","container-title":"Brain Imaging and Behavior","DOI":"10.1007/s11682-018-9980-3","ISSN":"1931-7557, 1931-7565","issue":"1","journalAbbreviation":"Brain Imaging and Behavior","language":"en","page":"242-266","source":"DOI.org (Crossref)","title":"Regional growth trajectories of cortical myelination in adolescents and young adults: longitudinal validation and functional correlates","title-short":"Regional growth trajectories of cortical myelination in adolescents and young adults","URL":"http://link.springer.com/10.1007/s11682-018-9980-3","volume":"14","author":[{"family":"Kwon","given":"Dongjin"},{"family":"Pfefferbaum","given":"Adolf"},{"family":"Sullivan","given":"Edith V."},{"family":"Pohl","given":"Kilian M."}],"accessed":{"date-parts":[["2021",7,28]]},"issued":{"date-parts":[["2020",2]]}}}],"schema":"https://github.com/citation-style-language/schema/raw/master/csl-citation.json"} </w:instrText>
      </w:r>
      <w:r>
        <w:rPr>
          <w:color w:val="292526"/>
        </w:rPr>
        <w:fldChar w:fldCharType="separate"/>
      </w:r>
      <w:r>
        <w:rPr>
          <w:noProof/>
          <w:color w:val="292526"/>
        </w:rPr>
        <w:t>(Kwon et al., 2020)</w:t>
      </w:r>
      <w:r>
        <w:rPr>
          <w:color w:val="292526"/>
        </w:rPr>
        <w:fldChar w:fldCharType="end"/>
      </w:r>
      <w:r>
        <w:rPr>
          <w:color w:val="292526"/>
        </w:rPr>
        <w:t xml:space="preserve">. </w:t>
      </w:r>
      <w:r w:rsidR="00760549">
        <w:rPr>
          <w:color w:val="292526"/>
        </w:rPr>
        <w:t xml:space="preserve">Previous </w:t>
      </w:r>
      <w:r>
        <w:rPr>
          <w:color w:val="292526"/>
        </w:rPr>
        <w:t xml:space="preserve">morphometric studies have typically drawn inferences about myelin from cortical thinning, </w:t>
      </w:r>
      <w:r w:rsidR="00760549">
        <w:rPr>
          <w:color w:val="292526"/>
        </w:rPr>
        <w:t xml:space="preserve">but shrinkage of </w:t>
      </w:r>
      <w:r w:rsidR="00073812">
        <w:rPr>
          <w:color w:val="292526"/>
        </w:rPr>
        <w:t>grey</w:t>
      </w:r>
      <w:r w:rsidR="00760549">
        <w:rPr>
          <w:color w:val="292526"/>
        </w:rPr>
        <w:t xml:space="preserve"> matter does not allow us to distinguish if T1 change is </w:t>
      </w:r>
      <w:r w:rsidR="00D51929">
        <w:rPr>
          <w:color w:val="292526"/>
        </w:rPr>
        <w:t>due to</w:t>
      </w:r>
      <w:r w:rsidR="00760549">
        <w:rPr>
          <w:color w:val="292526"/>
        </w:rPr>
        <w:t xml:space="preserve"> shorter T1 times associated with </w:t>
      </w:r>
      <w:r w:rsidR="00062D56">
        <w:rPr>
          <w:color w:val="292526"/>
        </w:rPr>
        <w:t>reduced synaptic density</w:t>
      </w:r>
      <w:r w:rsidR="00760549">
        <w:rPr>
          <w:color w:val="292526"/>
        </w:rPr>
        <w:t>, or an increase in the proportion of myelinat</w:t>
      </w:r>
      <w:r w:rsidR="00062D56">
        <w:rPr>
          <w:color w:val="292526"/>
        </w:rPr>
        <w:t>ed neurons</w:t>
      </w:r>
      <w:r w:rsidR="00552038">
        <w:rPr>
          <w:color w:val="292526"/>
        </w:rPr>
        <w:t xml:space="preserve"> </w:t>
      </w:r>
      <w:r w:rsidR="00552038">
        <w:rPr>
          <w:color w:val="292526"/>
        </w:rPr>
        <w:fldChar w:fldCharType="begin"/>
      </w:r>
      <w:r w:rsidR="00ED5ABB">
        <w:rPr>
          <w:color w:val="292526"/>
        </w:rPr>
        <w:instrText xml:space="preserve"> ADDIN ZOTERO_ITEM CSL_CITATION {"citationID":"T3U9aqUJ","properties":{"formattedCitation":"(Paus, 2005)","plainCitation":"(Paus, 2005)","noteIndex":0},"citationItems":[{"id":1294,"uris":["http://zotero.org/users/5009496/items/AE4NJ5BC"],"itemData":{"id":1294,"type":"article-journal","abstract":"Non-invasive mapping of brain structure and function with magnetic resonance imaging (MRI) has opened up unprecedented opportunities for studying the neural substrates underlying cognitive development. There is an emerging consensus of a continuous increase throughout adolescence in the volume of white matter, both global and local. There is less agreement on the meaning of asynchronous age-related decreases in the volume of grey matter in different cortical regions; these might equally represent loss (‘pruning’) or gain (intra-cortical myelination) of tissue. Functional MRI studies have so far focused mostly on executive functions, such as working memory and behavioural inhibition, with very few addressing questions regarding the maturation of social cognition. Future directions for research in this area are discussed in the context of processing biological motion and matching perceptions and actions.","container-title":"Trends in Cognitive Sciences","DOI":"10.1016/j.tics.2004.12.008","ISSN":"1364-6613","issue":"2","journalAbbreviation":"Trends in Cognitive Sciences","language":"en","page":"60-68","source":"ScienceDirect","title":"Mapping brain maturation and cognitive development during adolescence","URL":"https://www.sciencedirect.com/science/article/pii/S1364661304003201","volume":"9","author":[{"family":"Paus","given":"Tomáš"}],"accessed":{"date-parts":[["2021",8,10]]},"issued":{"date-parts":[["2005",2,1]]}}}],"schema":"https://github.com/citation-style-language/schema/raw/master/csl-citation.json"} </w:instrText>
      </w:r>
      <w:r w:rsidR="00552038">
        <w:rPr>
          <w:color w:val="292526"/>
        </w:rPr>
        <w:fldChar w:fldCharType="separate"/>
      </w:r>
      <w:r w:rsidR="00552038">
        <w:rPr>
          <w:noProof/>
          <w:color w:val="292526"/>
        </w:rPr>
        <w:t>(Paus, 2005)</w:t>
      </w:r>
      <w:r w:rsidR="00552038">
        <w:rPr>
          <w:color w:val="292526"/>
        </w:rPr>
        <w:fldChar w:fldCharType="end"/>
      </w:r>
      <w:r w:rsidR="00760549">
        <w:rPr>
          <w:color w:val="292526"/>
        </w:rPr>
        <w:t>. More recently, MTsat</w:t>
      </w:r>
      <w:r w:rsidR="00DC0056">
        <w:rPr>
          <w:color w:val="292526"/>
        </w:rPr>
        <w:t xml:space="preserve"> and R1</w:t>
      </w:r>
      <w:r w:rsidR="00760549">
        <w:rPr>
          <w:color w:val="292526"/>
        </w:rPr>
        <w:t xml:space="preserve"> measures have been used as an in vivo marker for myelin. These have been validated </w:t>
      </w:r>
      <w:r w:rsidR="00E84DCA">
        <w:rPr>
          <w:color w:val="292526"/>
        </w:rPr>
        <w:t>as marker</w:t>
      </w:r>
      <w:r w:rsidR="00204168">
        <w:rPr>
          <w:color w:val="292526"/>
        </w:rPr>
        <w:t>s</w:t>
      </w:r>
      <w:r w:rsidR="00E84DCA">
        <w:rPr>
          <w:color w:val="292526"/>
        </w:rPr>
        <w:t xml:space="preserve"> of myelin </w:t>
      </w:r>
      <w:r w:rsidR="00760549">
        <w:rPr>
          <w:color w:val="292526"/>
        </w:rPr>
        <w:t xml:space="preserve">through </w:t>
      </w:r>
      <w:r w:rsidR="00E84DCA">
        <w:rPr>
          <w:color w:val="292526"/>
        </w:rPr>
        <w:t>post mortem imaging, as well as histological studies of patients with multiple sclerosis</w:t>
      </w:r>
      <w:r w:rsidR="00683A9B">
        <w:rPr>
          <w:color w:val="292526"/>
        </w:rPr>
        <w:t xml:space="preserve"> </w:t>
      </w:r>
      <w:r w:rsidR="00683A9B">
        <w:rPr>
          <w:color w:val="292526"/>
        </w:rPr>
        <w:fldChar w:fldCharType="begin"/>
      </w:r>
      <w:r w:rsidR="00ED5ABB">
        <w:rPr>
          <w:color w:val="292526"/>
        </w:rPr>
        <w:instrText xml:space="preserve"> ADDIN ZOTERO_ITEM CSL_CITATION {"citationID":"9WVLUymi","properties":{"formattedCitation":"(Weiskopf et al., 2021)","plainCitation":"(Weiskopf et al., 2021)","noteIndex":0},"citationItems":[{"id":1239,"uris":["http://zotero.org/users/5009496/items/CIWUCTBW"],"itemData":{"id":1239,"type":"article-journal","abstract":"Quantitative magnetic resonance imaging (qMRI) goes beyond conventional MRI, which aims primarily at local image contrast. It provides specific physical parameters related to the nuclear spin of protons in water, such as relaxation times. These parameters carry information about the local microstructural environment of the protons (such as myelin in the brain). Non-invasive in vivo histology using MRI (hMRI) aims to use this information to directly characterize biological tissue microstructure, partially replacing or complementing classical invasive histology. The understanding of MRI tissue contrast provided by hMRI is, in turn, crucial for further improvements of qMRI, and they should be considered closely interlinked. We discuss concepts, models and validation approaches, pointing out challenges and the latest advances in this field. Further, we point out links to physics, including computational and analytical approaches and developments in materials science and photonics, that aid in reference data acquisition and model validation.","container-title":"Nature Reviews Physics","DOI":"10.1038/s42254-021-00326-1","ISSN":"2522-5820","journalAbbreviation":"Nat Rev Phys","language":"en","note":"Bandiera_abtest: a\nCg_type: Nature Research Journals\nPrimary_atype: Reviews\npublisher: Nature Publishing Group\nSubject_term: Biological physics;Biophysics;Imaging techniques\nSubject_term_id: biological-physics;biophysics;imaging-techniques","page":"1-19","source":"www.nature.com","title":"Quantitative magnetic resonance imaging of brain anatomy and in vivo histology","URL":"https://www.nature.com/articles/s42254-021-00326-1","author":[{"family":"Weiskopf","given":"Nikolaus"},{"family":"Edwards","given":"Luke J."},{"family":"Helms","given":"Gunther"},{"family":"Mohammadi","given":"Siawoosh"},{"family":"Kirilina","given":"Evgeniya"}],"accessed":{"date-parts":[["2021",7,26]]},"issued":{"date-parts":[["2021",6,28]]}}}],"schema":"https://github.com/citation-style-language/schema/raw/master/csl-citation.json"} </w:instrText>
      </w:r>
      <w:r w:rsidR="00683A9B">
        <w:rPr>
          <w:color w:val="292526"/>
        </w:rPr>
        <w:fldChar w:fldCharType="separate"/>
      </w:r>
      <w:r w:rsidR="00683A9B">
        <w:rPr>
          <w:noProof/>
          <w:color w:val="292526"/>
        </w:rPr>
        <w:t>(Weiskopf et al., 2021)</w:t>
      </w:r>
      <w:r w:rsidR="00683A9B">
        <w:rPr>
          <w:color w:val="292526"/>
        </w:rPr>
        <w:fldChar w:fldCharType="end"/>
      </w:r>
      <w:r w:rsidR="00E84DCA">
        <w:rPr>
          <w:color w:val="292526"/>
        </w:rPr>
        <w:t xml:space="preserve">. Importantly, these maps agree with histological maps showing greater myelin in primary </w:t>
      </w:r>
      <w:r w:rsidR="00B76341">
        <w:rPr>
          <w:color w:val="292526"/>
        </w:rPr>
        <w:t xml:space="preserve">motor </w:t>
      </w:r>
      <w:r w:rsidR="00E84DCA">
        <w:rPr>
          <w:color w:val="292526"/>
        </w:rPr>
        <w:t xml:space="preserve">and sensory </w:t>
      </w:r>
      <w:r w:rsidR="00073812">
        <w:rPr>
          <w:color w:val="292526"/>
        </w:rPr>
        <w:t xml:space="preserve">cortex </w:t>
      </w:r>
      <w:r w:rsidR="00683A9B">
        <w:rPr>
          <w:color w:val="292526"/>
        </w:rPr>
        <w:fldChar w:fldCharType="begin"/>
      </w:r>
      <w:r w:rsidR="00ED5ABB">
        <w:rPr>
          <w:color w:val="292526"/>
        </w:rPr>
        <w:instrText xml:space="preserve"> ADDIN ZOTERO_ITEM CSL_CITATION {"citationID":"k1I0CMIT","properties":{"formattedCitation":"(Carey et al., 2017; Dick et al., 2012; Sereno et al., 2013; Whitaker et al., 2016)","plainCitation":"(Carey et al., 2017; Dick et al., 2012; Sereno et al., 2013; Whitaker et al., 2016)","noteIndex":0},"citationItems":[{"id":509,"uris":["http://zotero.org/users/5009496/items/HXKC9944"],"itemData":{"id":509,"type":"article-journal","abstract":"Abstract.  Speech articulation requires precise control of and coordination between the effectors of the vocal tract (e.g., lips, tongue, soft palate, and laryn","container-title":"Cerebral Cortex","DOI":"10.1093/cercor/bhw393","ISSN":"1047-3211","issue":"1","journalAbbreviation":"Cereb Cortex","language":"en","page":"265-278","source":"academic.oup.com","title":"Functional and Quantitative MRI Mapping of Somatomotor Representations of Human Supralaryngeal Vocal Tract","URL":"https://academic.oup.com/cercor/article/27/1/265/2871229","volume":"27","author":[{"family":"Carey","given":"Daniel"},{"family":"Krishnan","given":"Saloni"},{"family":"Callaghan","given":"Martina F."},{"family":"Sereno","given":"Martin I."},{"family":"Dick","given":"Frederic"}],"accessed":{"date-parts":[["2019",7,30]]},"issued":{"date-parts":[["2017",1,1]]}}},{"id":1254,"uris":["http://zotero.org/users/5009496/items/QGRGI9WN"],"itemData":{"id":1254,"type":"article-journal","container-title":"Journal of Neuroscience","DOI":"10.1523/JNEUROSCI.1712-12.2012","ISSN":"0270-6474, 1529-2401","issue":"46","journalAbbreviation":"Journal of Neuroscience","language":"en","page":"16095-16105","source":"DOI.org (Crossref)","title":"In Vivo Functional and Myeloarchitectonic Mapping of Human Primary Auditory Areas","URL":"https://www.jneurosci.org/lookup/doi/10.1523/JNEUROSCI.1712-12.2012","volume":"32","author":[{"family":"Dick","given":"F."},{"family":"Taylor Tierney","given":"A."},{"family":"Lutti","given":"A."},{"family":"Josephs","given":"O."},{"family":"Sereno","given":"M. I."},{"family":"Weiskopf","given":"N."}],"accessed":{"date-parts":[["2021",7,27]]},"issued":{"date-parts":[["2012",11,14]]}}},{"id":1252,"uris":["http://zotero.org/users/5009496/items/ZE5AE4LR"],"itemData":{"id":1252,"type":"article-journal","abstract":"We combined quantitative relaxation rate (R1= 1/T1) mapping—to measure local myelination—with fMRI-based retinotopy. Gray–white and pial surfaces were reconstructed and used to sample R1 at different cortical depths. Like myelination, R1 decreased from deeper to superficial layers. R1 decreased passing from V1 and MT, to immediately surrounding areas, then to the angular gyrus. High R1 was correlated across the cortex with convex local curvature so the data was first “de-curved”. By overlaying R1 and retinotopic maps, we found that many visual area borders were associated with significant R1 increases including V1, V3A, MT, V6, V6A, V8/VO1, FST, and VIP. Surprisingly, retinotopic MT occupied only the posterior portion of an oval-shaped lateral occipital R1 maximum. R1 maps were reproducible within individuals and comparable between subjects without intensity normalization, enabling multi-center studies of development, aging, and disease progression, and structure/function mapping in other modalities.","container-title":"Cerebral Cortex","DOI":"10.1093/cercor/bhs213","ISSN":"1047-3211","issue":"9","journalAbbreviation":"Cerebral Cortex","page":"2261-2268","source":"Silverchair","title":"Mapping the Human Cortical Surface by Combining Quantitative T1 with Retinotopy†","URL":"https://doi.org/10.1093/cercor/bhs213","volume":"23","author":[{"family":"Sereno","given":"Martin I."},{"family":"Lutti","given":"Antoine"},{"family":"Weiskopf","given":"Nikolaus"},{"family":"Dick","given":"Frederic"}],"accessed":{"date-parts":[["2021",7,27]]},"issued":{"date-parts":[["2013",9,1]]}}},{"id":1120,"uris":["http://zotero.org/users/5009496/items/7EF7RPX4"],"itemData":{"id":1120,"type":"article-journal","container-title":"Proceedings of the National Academy of Sciences","DOI":"10.1073/pnas.1601745113","ISSN":"0027-8424, 1091-6490","issue":"32","language":"en","page":"9105-9110","source":"Crossref","title":"Adolescence is associated with genomically patterned consolidation of the hubs of the human brain connectome","URL":"http://www.pnas.org/lookup/doi/10.1073/pnas.1601745113","volume":"113","author":[{"family":"Whitaker","given":"Kirstie J."},{"family":"Vértes","given":"Petra E."},{"family":"Romero-Garcia","given":"Rafael"},{"family":"Váša","given":"František"},{"family":"Moutoussis","given":"Michael"},{"family":"Prabhu","given":"Gita"},{"family":"Weiskopf","given":"Nikolaus"},{"family":"Callaghan","given":"Martina F."},{"family":"Wagstyl","given":"Konrad"},{"family":"Rittman","given":"Timothy"},{"family":"Tait","given":"Roger"},{"family":"Ooi","given":"Cinly"},{"family":"Suckling","given":"John"},{"family":"Inkster","given":"Becky"},{"family":"Fonagy","given":"Peter"},{"family":"Dolan","given":"Raymond J."},{"family":"Jones","given":"Peter B."},{"family":"Goodyer","given":"Ian M."},{"literal":"the NSPN Consortium"},{"family":"Bullmore","given":"Edward T."}],"accessed":{"date-parts":[["2020",11,24]]},"issued":{"date-parts":[["2016",8,9]]}}}],"schema":"https://github.com/citation-style-language/schema/raw/master/csl-citation.json"} </w:instrText>
      </w:r>
      <w:r w:rsidR="00683A9B">
        <w:rPr>
          <w:color w:val="292526"/>
        </w:rPr>
        <w:fldChar w:fldCharType="separate"/>
      </w:r>
      <w:r w:rsidR="00B76341">
        <w:rPr>
          <w:noProof/>
          <w:color w:val="292526"/>
        </w:rPr>
        <w:t xml:space="preserve">(Carey et al., 2017; Dick et al., 2012; Sereno et </w:t>
      </w:r>
      <w:r w:rsidR="00B76341">
        <w:rPr>
          <w:noProof/>
          <w:color w:val="292526"/>
        </w:rPr>
        <w:lastRenderedPageBreak/>
        <w:t>al., 2013; Whitaker et al., 2016)</w:t>
      </w:r>
      <w:r w:rsidR="00683A9B">
        <w:rPr>
          <w:color w:val="292526"/>
        </w:rPr>
        <w:fldChar w:fldCharType="end"/>
      </w:r>
      <w:r w:rsidR="00E84DCA">
        <w:rPr>
          <w:color w:val="292526"/>
        </w:rPr>
        <w:t xml:space="preserve">, as can be seen in our maps as well (Figure </w:t>
      </w:r>
      <w:r w:rsidR="00AC12F4">
        <w:rPr>
          <w:color w:val="292526"/>
        </w:rPr>
        <w:t>3- figure supplement 1</w:t>
      </w:r>
      <w:r w:rsidR="00E84DCA">
        <w:rPr>
          <w:color w:val="292526"/>
        </w:rPr>
        <w:t>).</w:t>
      </w:r>
      <w:r w:rsidR="00DC0056">
        <w:rPr>
          <w:color w:val="292526"/>
        </w:rPr>
        <w:t xml:space="preserve"> </w:t>
      </w:r>
      <w:r w:rsidR="00DD12F4">
        <w:rPr>
          <w:color w:val="292526"/>
        </w:rPr>
        <w:t xml:space="preserve">It is therefore unsurprising to find </w:t>
      </w:r>
      <w:r w:rsidR="00204168">
        <w:rPr>
          <w:color w:val="292526"/>
        </w:rPr>
        <w:t xml:space="preserve">some </w:t>
      </w:r>
      <w:r w:rsidR="00DD12F4">
        <w:rPr>
          <w:color w:val="292526"/>
        </w:rPr>
        <w:t xml:space="preserve">convergence over MTsat and R1. </w:t>
      </w:r>
      <w:r w:rsidR="00683A9B">
        <w:rPr>
          <w:color w:val="292526"/>
        </w:rPr>
        <w:t xml:space="preserve">R2* is also considered a measure of myelin, but the T2* contrast is particularly sensitive to iron, especially within the basal ganglia. Despite R2* </w:t>
      </w:r>
      <w:r w:rsidR="0037479E">
        <w:rPr>
          <w:color w:val="292526"/>
        </w:rPr>
        <w:t xml:space="preserve">differences being noted </w:t>
      </w:r>
      <w:r w:rsidR="00683A9B">
        <w:rPr>
          <w:color w:val="292526"/>
        </w:rPr>
        <w:t xml:space="preserve">in </w:t>
      </w:r>
      <w:r w:rsidR="00073812">
        <w:rPr>
          <w:color w:val="292526"/>
        </w:rPr>
        <w:t>adults</w:t>
      </w:r>
      <w:r w:rsidR="00683A9B">
        <w:rPr>
          <w:color w:val="292526"/>
        </w:rPr>
        <w:t xml:space="preserve"> with speech problems</w:t>
      </w:r>
      <w:r w:rsidR="00B76341">
        <w:rPr>
          <w:color w:val="292526"/>
        </w:rPr>
        <w:t xml:space="preserve"> in the </w:t>
      </w:r>
      <w:r w:rsidR="0037479E">
        <w:rPr>
          <w:color w:val="292526"/>
        </w:rPr>
        <w:t>putamen and cortical speech motor network</w:t>
      </w:r>
      <w:r w:rsidR="0013116B">
        <w:rPr>
          <w:color w:val="292526"/>
        </w:rPr>
        <w:t xml:space="preserve"> </w:t>
      </w:r>
      <w:r w:rsidR="0013116B">
        <w:rPr>
          <w:color w:val="292526"/>
        </w:rPr>
        <w:fldChar w:fldCharType="begin"/>
      </w:r>
      <w:r w:rsidR="00563FB1">
        <w:rPr>
          <w:color w:val="292526"/>
        </w:rPr>
        <w:instrText xml:space="preserve"> ADDIN ZOTERO_ITEM CSL_CITATION {"citationID":"FicP1xDn","properties":{"formattedCitation":"(developmental stuttering, Cler et al., 2021)","plainCitation":"(developmental stuttering, Cler et al., 2021)","noteIndex":0},"citationItems":[{"id":"DfcH7hvo/IdrqMmrd","uris":["http://zotero.org/users/5009496/items/4UN78MVG"],"itemData":{"id":1234,"type":"report","abstract":"Theoretical accounts of developmental stuttering implicate dysfunctional cortico-striatal-thalamo-cortical motor loops through the putamen. Analysis of conventional MRI brain scans in people who stutter has failed to yield strong support for this theory in terms of reliable differences in the structure or function of the basal ganglia, however. Here, we performed quantitative mapping of brain tissue, which can be used to measure iron content alongside markers sensitive to myelin and thereby offers particular sensitivity to the measurement of iron-rich structures such as the basal ganglia. Analysis of these quantitative maps in 41 men and women who stutter and 32 matched controls revealed significant group differences in maps of R2*, indicative of higher iron content in people who stutter than controls in the left putamen and in left hemisphere cortical regions important for speech motor control. Higher iron levels in brain tissue in people who stutter could reflect elevated dopamine levels or lysosomal dysfunction, both of which are implicated in stuttering. This study represents the first use of these quantitative measures in developmental stuttering and provides new evidence of microstructural differences in the basal ganglia and connected frontal cortical regions.","note":"DOI: 10.31219/osf.io/ypq8s\ntype: article","publisher":"OSF Preprints","source":"OSF Preprints","title":"Elevated iron concentration in putamen and cortical speech motor network in developmental stuttering","URL":"https://osf.io/ypq8s/","author":[{"family":"Cler","given":"Gabriel"},{"family":"Krishnan","given":"Saloni"},{"family":"Papp","given":"Daniel"},{"family":"Wiltshire","given":"Charlotte"},{"family":"Chesters","given":"Jennifer"},{"family":"Watkins","given":"Kate E."}],"accessed":{"date-parts":[["2021",7,26]]},"issued":{"date-parts":[["2021",3,28]]}},"prefix":"developmental stuttering, "}],"schema":"https://github.com/citation-style-language/schema/raw/master/csl-citation.json"} </w:instrText>
      </w:r>
      <w:r w:rsidR="0013116B">
        <w:rPr>
          <w:color w:val="292526"/>
        </w:rPr>
        <w:fldChar w:fldCharType="separate"/>
      </w:r>
      <w:r w:rsidR="0013116B">
        <w:rPr>
          <w:noProof/>
          <w:color w:val="292526"/>
        </w:rPr>
        <w:t>(developmental stuttering, Cler et al., 2021)</w:t>
      </w:r>
      <w:r w:rsidR="0013116B">
        <w:rPr>
          <w:color w:val="292526"/>
        </w:rPr>
        <w:fldChar w:fldCharType="end"/>
      </w:r>
      <w:r w:rsidR="00683A9B">
        <w:rPr>
          <w:color w:val="292526"/>
        </w:rPr>
        <w:t xml:space="preserve">, and </w:t>
      </w:r>
      <w:r w:rsidR="0037479E">
        <w:rPr>
          <w:color w:val="292526"/>
        </w:rPr>
        <w:t xml:space="preserve">observed </w:t>
      </w:r>
      <w:r w:rsidR="00683A9B">
        <w:rPr>
          <w:color w:val="292526"/>
        </w:rPr>
        <w:t xml:space="preserve">links between verbal memory and R2* </w:t>
      </w:r>
      <w:r w:rsidR="0037479E">
        <w:rPr>
          <w:color w:val="292526"/>
        </w:rPr>
        <w:t xml:space="preserve">in the ventral striatum </w:t>
      </w:r>
      <w:r w:rsidR="00683A9B">
        <w:rPr>
          <w:color w:val="292526"/>
        </w:rPr>
        <w:fldChar w:fldCharType="begin"/>
      </w:r>
      <w:r w:rsidR="00ED5ABB">
        <w:rPr>
          <w:color w:val="292526"/>
        </w:rPr>
        <w:instrText xml:space="preserve"> ADDIN ZOTERO_ITEM CSL_CITATION {"citationID":"U6erEjz5","properties":{"formattedCitation":"(Steiger et al., 2016)","plainCitation":"(Steiger et al., 2016)","noteIndex":0},"citationItems":[{"id":1268,"uris":["http://zotero.org/users/5009496/items/7GF57IGP"],"itemData":{"id":1268,"type":"article-journal","container-title":"Journal of Neuroscience","DOI":"10.1523/JNEUROSCI.3617-15.2016","ISSN":"0270-6474, 1529-2401","issue":"12","journalAbbreviation":"Journal of Neuroscience","language":"en","page":"3552-3558","source":"DOI.org (Crossref)","title":"Iron Level and Myelin Content in the Ventral Striatum Predict Memory Performance in the Aging Brain","URL":"https://www.jneurosci.org/lookup/doi/10.1523/JNEUROSCI.3617-15.2016","volume":"36","author":[{"family":"Steiger","given":"T. K."},{"family":"Weiskopf","given":"N."},{"family":"Bunzeck","given":"N."}],"accessed":{"date-parts":[["2021",7,28]]},"issued":{"date-parts":[["2016",3,23]]}}}],"schema":"https://github.com/citation-style-language/schema/raw/master/csl-citation.json"} </w:instrText>
      </w:r>
      <w:r w:rsidR="00683A9B">
        <w:rPr>
          <w:color w:val="292526"/>
        </w:rPr>
        <w:fldChar w:fldCharType="separate"/>
      </w:r>
      <w:r w:rsidR="00683A9B">
        <w:rPr>
          <w:noProof/>
          <w:color w:val="292526"/>
        </w:rPr>
        <w:t>(Steiger et al., 2016)</w:t>
      </w:r>
      <w:r w:rsidR="00683A9B">
        <w:rPr>
          <w:color w:val="292526"/>
        </w:rPr>
        <w:fldChar w:fldCharType="end"/>
      </w:r>
      <w:r w:rsidR="00683A9B">
        <w:rPr>
          <w:color w:val="292526"/>
        </w:rPr>
        <w:t xml:space="preserve">, we did not see any evidence for R2* differences </w:t>
      </w:r>
      <w:r w:rsidR="0037479E">
        <w:rPr>
          <w:color w:val="292526"/>
        </w:rPr>
        <w:t xml:space="preserve">anywhere in the brain when comparing our TD and DLD </w:t>
      </w:r>
      <w:r w:rsidR="00683A9B">
        <w:rPr>
          <w:color w:val="292526"/>
        </w:rPr>
        <w:t>groups.</w:t>
      </w:r>
    </w:p>
    <w:p w14:paraId="3190893D" w14:textId="77777777" w:rsidR="00683A9B" w:rsidRPr="00050984" w:rsidRDefault="00683A9B" w:rsidP="00050984">
      <w:pPr>
        <w:spacing w:line="360" w:lineRule="auto"/>
        <w:jc w:val="both"/>
        <w:rPr>
          <w:color w:val="292526"/>
        </w:rPr>
      </w:pPr>
    </w:p>
    <w:p w14:paraId="423E5697" w14:textId="1F0EA775" w:rsidR="00050984" w:rsidRDefault="00050984" w:rsidP="00A22539">
      <w:pPr>
        <w:spacing w:line="360" w:lineRule="auto"/>
        <w:jc w:val="both"/>
        <w:rPr>
          <w:color w:val="292526"/>
        </w:rPr>
      </w:pPr>
      <w:r>
        <w:rPr>
          <w:color w:val="292526"/>
        </w:rPr>
        <w:t xml:space="preserve">Our findings </w:t>
      </w:r>
      <w:r w:rsidR="00802E41">
        <w:rPr>
          <w:color w:val="292526"/>
        </w:rPr>
        <w:t xml:space="preserve">also </w:t>
      </w:r>
      <w:r>
        <w:rPr>
          <w:color w:val="292526"/>
        </w:rPr>
        <w:t>strongly suggest that there is an advantage to using multi-parameter mapping to probe microstructure</w:t>
      </w:r>
      <w:r w:rsidR="00F8696B">
        <w:rPr>
          <w:color w:val="292526"/>
        </w:rPr>
        <w:t xml:space="preserve"> relative to standard T1 measures</w:t>
      </w:r>
      <w:r>
        <w:rPr>
          <w:color w:val="292526"/>
        </w:rPr>
        <w:t xml:space="preserve">. While previous studies reported differences using morphometric measures, we did not observe evidence for morphometric differences in our sample. </w:t>
      </w:r>
      <w:r w:rsidR="0037479E">
        <w:t>As others have argued, multi-parameter mapping is sensitive to microstructural differences that would not be detected by a standard voxel-based morphometry (VBM) analysis, as VBM</w:t>
      </w:r>
      <w:r w:rsidR="006F0D06">
        <w:t xml:space="preserve"> </w:t>
      </w:r>
      <w:r w:rsidR="0037479E">
        <w:t xml:space="preserve">is sensitive to differences in regional amounts of grey matter based on T1-weighting rather than quantitative measurements </w:t>
      </w:r>
      <w:r w:rsidR="002A2729">
        <w:rPr>
          <w:color w:val="292526"/>
        </w:rPr>
        <w:fldChar w:fldCharType="begin"/>
      </w:r>
      <w:r w:rsidR="00ED5ABB">
        <w:rPr>
          <w:color w:val="292526"/>
        </w:rPr>
        <w:instrText xml:space="preserve"> ADDIN ZOTERO_ITEM CSL_CITATION {"citationID":"13mXMpGr","properties":{"formattedCitation":"(Lorio et al., 2014, 2016)","plainCitation":"(Lorio et al., 2014, 2016)","noteIndex":0},"citationItems":[{"id":1130,"uris":["http://zotero.org/users/5009496/items/KDIBR797"],"itemData":{"id":1130,"type":"article-journal","container-title":"NeuroImage","DOI":"10.1016/j.neuroimage.2014.09.044","ISSN":"10538119","language":"en","page":"280-289","source":"Crossref","title":"Disentangling in vivo the effects of iron content and atrophy on the ageing human brain","URL":"https://linkinghub.elsevier.com/retrieve/pii/S1053811914007861","volume":"103","author":[{"family":"Lorio","given":"S."},{"family":"Lutti","given":"A."},{"family":"Kherif","given":"F."},{"family":"Ruef","given":"A."},{"family":"Dukart","given":"J."},{"family":"Chowdhury","given":"R."},{"family":"Frackowiak","given":"R.S."},{"family":"Ashburner","given":"J."},{"family":"Helms","given":"G."},{"family":"Weiskopf","given":"N."},{"family":"Draganski","given":"B."}],"accessed":{"date-parts":[["2020",11,24]]},"issued":{"date-parts":[["2014",12]]}}},{"id":1125,"uris":["http://zotero.org/users/5009496/items/I874IJXL"],"itemData":{"id":1125,"type":"article-journal","abstract":"The high gray-white matter contrast and spatial resolution provided by T1-weighted magnetic resonance imaging (MRI) has made it a widely used imaging protocol for computational anatomy studies of the brain. While the image intensity in T1-weighted images is predominantly driven by T1, other MRI parameters affect the image contrast, and hence brain morphological measures derived from the data. Because MRI parameters are correlates of different histological properties of brain tissue, this mixed contribution hampers the neurobiological interpretation of morphometry findings, an issue which remains largely ignored in the community. We acquired quantitative maps of the MRI parameters that determine signal intensities in T1-weighted images (R1 (=1/T1), R2*, and PD) in a large cohort of healthy subjects (n = 120, aged 18–87 years). Synthetic T1-weighted images were calculated from these quantitative maps and used to extract morphometry features—gray matter volume and cortical thickness. We observed significant variations in morphometry measures obtained from synthetic images derived from different subsets of MRI parameters. We also detected a modulation of these variations by age. Our findings highlight the impact of microstructural properties of brain tissue—myelination, iron, and water content—on automated measures of brain morphology and show that microstructural tissue changes might lead to the detection of spurious morphological changes in computational anatomy studies. They motivate a review of previous morphological results obtained from standard anatomical MRI images and highlight the value of quantitative MRI data for the inference of microscopic tissue changes in the healthy and diseased brain. Hum Brain Mapp 37:1801–1815, 2016. © 2016 The Authors. Human Brain Mapping Published by Wiley Periodicals, Inc.","container-title":"Human Brain Mapping","DOI":"https://doi.org/10.1002/hbm.23137","ISSN":"1097-0193","issue":"5","language":"en","note":"_eprint: https://onlinelibrary.wiley.com/doi/pdf/10.1002/hbm.23137","page":"1801-1815","source":"Wiley Online Library","title":"Neurobiological origin of spurious brain morphological changes: A quantitative MRI study","title-short":"Neurobiological origin of spurious brain morphological changes","URL":"https://onlinelibrary.wiley.com/doi/abs/10.1002/hbm.23137","volume":"37","author":[{"family":"Lorio","given":"S."},{"family":"Kherif","given":"Ferath"},{"family":"Ruef","given":"Anne"},{"family":"Melie‐Garcia","given":"Lester"},{"family":"Frackowiak","given":"Richard"},{"family":"Ashburner","given":"John"},{"family":"Helms","given":"Gunther"},{"family":"Lutti","given":"Antoine"},{"family":"Draganski","given":"Bodgan"}],"accessed":{"date-parts":[["2020",11,24]]},"issued":{"date-parts":[["2016"]]}}}],"schema":"https://github.com/citation-style-language/schema/raw/master/csl-citation.json"} </w:instrText>
      </w:r>
      <w:r w:rsidR="002A2729">
        <w:rPr>
          <w:color w:val="292526"/>
        </w:rPr>
        <w:fldChar w:fldCharType="separate"/>
      </w:r>
      <w:r w:rsidR="002A2729">
        <w:rPr>
          <w:noProof/>
          <w:color w:val="292526"/>
        </w:rPr>
        <w:t>(Lorio et al., 2014, 2016)</w:t>
      </w:r>
      <w:r w:rsidR="002A2729">
        <w:rPr>
          <w:color w:val="292526"/>
        </w:rPr>
        <w:fldChar w:fldCharType="end"/>
      </w:r>
      <w:r>
        <w:rPr>
          <w:color w:val="292526"/>
        </w:rPr>
        <w:t xml:space="preserve">. </w:t>
      </w:r>
      <w:r w:rsidR="005F2C35">
        <w:rPr>
          <w:color w:val="292526"/>
        </w:rPr>
        <w:t>Using MPMs allows us to more closely interrogate the histological processes involved in neural changes.</w:t>
      </w:r>
    </w:p>
    <w:p w14:paraId="7D36226D" w14:textId="66CDEC0A" w:rsidR="001145ED" w:rsidRDefault="001145ED" w:rsidP="00A22539">
      <w:pPr>
        <w:spacing w:line="360" w:lineRule="auto"/>
        <w:jc w:val="both"/>
        <w:rPr>
          <w:color w:val="292526"/>
        </w:rPr>
      </w:pPr>
    </w:p>
    <w:p w14:paraId="4B60E23E" w14:textId="5222ED22" w:rsidR="00C02E5C" w:rsidRPr="00561193" w:rsidRDefault="00561193" w:rsidP="00A22539">
      <w:pPr>
        <w:spacing w:line="360" w:lineRule="auto"/>
        <w:jc w:val="both"/>
        <w:rPr>
          <w:b/>
          <w:bCs/>
          <w:i/>
          <w:iCs/>
          <w:color w:val="292526"/>
        </w:rPr>
      </w:pPr>
      <w:r w:rsidRPr="00561193">
        <w:rPr>
          <w:b/>
          <w:bCs/>
          <w:i/>
          <w:iCs/>
          <w:color w:val="292526"/>
        </w:rPr>
        <w:t>Group differences in the striatum</w:t>
      </w:r>
    </w:p>
    <w:p w14:paraId="222C3BED" w14:textId="2F089E0C" w:rsidR="003314CE" w:rsidRDefault="00CE5BC9" w:rsidP="004B5968">
      <w:pPr>
        <w:spacing w:line="360" w:lineRule="auto"/>
        <w:jc w:val="both"/>
        <w:rPr>
          <w:color w:val="292526"/>
        </w:rPr>
      </w:pPr>
      <w:r>
        <w:rPr>
          <w:color w:val="292526"/>
        </w:rPr>
        <w:t>Our findings</w:t>
      </w:r>
      <w:r w:rsidR="001145ED">
        <w:rPr>
          <w:color w:val="292526"/>
        </w:rPr>
        <w:t xml:space="preserve"> </w:t>
      </w:r>
      <w:r>
        <w:rPr>
          <w:color w:val="292526"/>
        </w:rPr>
        <w:t xml:space="preserve">clearly </w:t>
      </w:r>
      <w:r w:rsidR="001145ED">
        <w:rPr>
          <w:color w:val="292526"/>
        </w:rPr>
        <w:t xml:space="preserve">indicate that there are microstructural abnormalities in the caudate nuclei </w:t>
      </w:r>
      <w:r w:rsidR="00317884">
        <w:rPr>
          <w:color w:val="292526"/>
        </w:rPr>
        <w:t>bilaterally in</w:t>
      </w:r>
      <w:r w:rsidR="001145ED">
        <w:rPr>
          <w:color w:val="292526"/>
        </w:rPr>
        <w:t xml:space="preserve"> children with DLD</w:t>
      </w:r>
      <w:r w:rsidR="00425F57">
        <w:rPr>
          <w:color w:val="292526"/>
        </w:rPr>
        <w:t xml:space="preserve">, and more broadly, </w:t>
      </w:r>
      <w:r w:rsidR="008333F0">
        <w:rPr>
          <w:color w:val="292526"/>
        </w:rPr>
        <w:t>that reduced myelin in the left caudate nucleu</w:t>
      </w:r>
      <w:r w:rsidR="00D655B3">
        <w:rPr>
          <w:color w:val="292526"/>
        </w:rPr>
        <w:t>s</w:t>
      </w:r>
      <w:r w:rsidR="008333F0">
        <w:rPr>
          <w:color w:val="292526"/>
        </w:rPr>
        <w:t xml:space="preserve"> is associated with </w:t>
      </w:r>
      <w:r w:rsidR="00317884">
        <w:rPr>
          <w:color w:val="292526"/>
        </w:rPr>
        <w:t xml:space="preserve">lower </w:t>
      </w:r>
      <w:r w:rsidR="00425F57">
        <w:rPr>
          <w:color w:val="292526"/>
        </w:rPr>
        <w:t>language proficiency</w:t>
      </w:r>
      <w:r w:rsidR="001145ED">
        <w:rPr>
          <w:color w:val="292526"/>
        </w:rPr>
        <w:t>.</w:t>
      </w:r>
      <w:r>
        <w:rPr>
          <w:color w:val="292526"/>
        </w:rPr>
        <w:t xml:space="preserve"> The convergence across MT and R1</w:t>
      </w:r>
      <w:r w:rsidR="00DD12F4">
        <w:rPr>
          <w:color w:val="292526"/>
        </w:rPr>
        <w:t xml:space="preserve"> differences</w:t>
      </w:r>
      <w:r w:rsidR="00E84DCA">
        <w:rPr>
          <w:color w:val="292526"/>
        </w:rPr>
        <w:t xml:space="preserve"> in the caudate </w:t>
      </w:r>
      <w:r w:rsidR="00073812">
        <w:rPr>
          <w:color w:val="292526"/>
        </w:rPr>
        <w:t xml:space="preserve">nuclei </w:t>
      </w:r>
      <w:r w:rsidR="004B5968">
        <w:rPr>
          <w:color w:val="292526"/>
        </w:rPr>
        <w:t>strongly</w:t>
      </w:r>
      <w:r w:rsidR="00062D56">
        <w:rPr>
          <w:color w:val="292526"/>
        </w:rPr>
        <w:t xml:space="preserve"> suggest these are linked to abnormal</w:t>
      </w:r>
      <w:r w:rsidR="00095CF6">
        <w:rPr>
          <w:color w:val="292526"/>
        </w:rPr>
        <w:t xml:space="preserve"> levels of</w:t>
      </w:r>
      <w:r w:rsidR="00062D56">
        <w:rPr>
          <w:color w:val="292526"/>
        </w:rPr>
        <w:t xml:space="preserve"> myelin.</w:t>
      </w:r>
    </w:p>
    <w:p w14:paraId="592C9C3E" w14:textId="11FE197A" w:rsidR="004B5968" w:rsidRDefault="004B5968" w:rsidP="00A22539">
      <w:pPr>
        <w:spacing w:line="360" w:lineRule="auto"/>
        <w:jc w:val="both"/>
        <w:rPr>
          <w:color w:val="292526"/>
        </w:rPr>
      </w:pPr>
    </w:p>
    <w:p w14:paraId="425ABE17" w14:textId="0B363E00" w:rsidR="005322B1" w:rsidRDefault="007332A3" w:rsidP="00A22539">
      <w:pPr>
        <w:spacing w:line="360" w:lineRule="auto"/>
        <w:jc w:val="both"/>
        <w:rPr>
          <w:color w:val="292526"/>
        </w:rPr>
      </w:pPr>
      <w:r>
        <w:rPr>
          <w:color w:val="292526"/>
        </w:rPr>
        <w:t>The</w:t>
      </w:r>
      <w:r w:rsidR="004B5968">
        <w:rPr>
          <w:color w:val="292526"/>
        </w:rPr>
        <w:t xml:space="preserve"> dorsal</w:t>
      </w:r>
      <w:r>
        <w:rPr>
          <w:color w:val="292526"/>
        </w:rPr>
        <w:t xml:space="preserve"> striat</w:t>
      </w:r>
      <w:r w:rsidR="004B5968">
        <w:rPr>
          <w:color w:val="292526"/>
        </w:rPr>
        <w:t>um has</w:t>
      </w:r>
      <w:r>
        <w:rPr>
          <w:color w:val="292526"/>
        </w:rPr>
        <w:t xml:space="preserve"> been implicated in learning through practice, particularly habit formation</w:t>
      </w:r>
      <w:r w:rsidR="00255354">
        <w:rPr>
          <w:color w:val="292526"/>
        </w:rPr>
        <w:t xml:space="preserve"> </w:t>
      </w:r>
      <w:r w:rsidR="00255354">
        <w:rPr>
          <w:color w:val="292526"/>
        </w:rPr>
        <w:fldChar w:fldCharType="begin"/>
      </w:r>
      <w:r w:rsidR="00ED5ABB">
        <w:rPr>
          <w:color w:val="292526"/>
        </w:rPr>
        <w:instrText xml:space="preserve"> ADDIN ZOTERO_ITEM CSL_CITATION {"citationID":"BIuKiGXg","properties":{"formattedCitation":"(Skipper et al., 2020; Yin &amp; Knowlton, 2006)","plainCitation":"(Skipper et al., 2020; Yin &amp; Knowlton, 2006)","noteIndex":0},"citationItems":[{"id":1248,"uris":["http://zotero.org/users/5009496/items/GR4XRMGV"],"itemData":{"id":1248,"type":"report","abstract":"There is a widespread assumption that there are a static set of ‘language regions’ in the brain. Yet, people still regularly produce familiar ‘formulaic’ expressions when those regions are severely damaged. This suggests that the neurobiology of language varies with the extent of word sequence learning and might not be fixed. We test the hypothesis that perceiving sentences is mostly supported by sensorimotor regions involved in speech production and not ‘language regions’ after overlearning. Twelve participants underwent two sessions of behavioural testing and functional magnetic resonance imaging (fMRI), separated by 15 days. During this period, they repeated two sentences 30 times each, twice a day. In both fMRI sessions, participants ‘passively’ listened to those two sentences and novel sentences. Lastly, they spoke novel sentences. Behavioural results confirm that participants overlearned sentences. Correspondingly, there was an increase or recruitment of sensorimotor regions involved in sentence production and a reduction in activity or inactivity for overlearned sentences in regions involved in listening to novel sentences. The global network organization of the brain changed by ~45%, mostly through lost connectivity. Thus, there was a profound reorganization of the neurobiology of speech perception after overlearning towards sensorimotor regions not considered in most contemporary models and away from the ‘language regions’ posited by those models. These same sensorimotor regions are generally preserved in aphasia and Alzheimer’s disease, perhaps explaining residual abilities with formulaic language. These and other results warrant reconsidering static neurobiological models of language.","genre":"preprint","language":"en","note":"DOI: 10.1101/2020.09.11.293167","publisher":"Neuroscience","source":"DOI.org (Crossref)","title":"Reorganization of the neurobiology of language after sentence overlearning","URL":"http://biorxiv.org/lookup/doi/10.1101/2020.09.11.293167","author":[{"family":"Skipper","given":"Jeremy I"},{"family":"Aliko","given":"Sarah"},{"family":"Brown","given":"Stephen"},{"family":"Jo","given":"Yoon Ju"},{"family":"Lo","given":"Serena"},{"family":"Molimpakis","given":"Emilia"},{"family":"Lametti","given":"Daniel R"}],"accessed":{"date-parts":[["2021",7,27]]},"issued":{"date-parts":[["2020",9,12]]}}},{"id":1241,"uris":["http://zotero.org/users/5009496/items/6P88AUDM"],"itemData":{"id":1241,"type":"article-journal","abstract":"The basal ganglia are a set of subcortical nuclei in the cerebrum that are involved in the integration and selection of voluntary behaviour. The striatum, the major input station of the basal ganglia, has a key role in instrumental behaviour — learned behaviour that is modified by its consequences.Reward-guided instrumental behaviours usually start as goal-directed actions that are controlled by the anticipation of the outcome, but under certain conditions these behaviours can become stimulus-driven habits, which are not controlled by outcome expectancy.Habits can be operationally defined as instrumental behaviour that is impervious to changes in the value of the outcome and in the causal contingency between action and outcome. Behavioural assays that directly manipulate these variables have become indispensable in the analysis of habit formation.The dorsal striatum is traditionally viewed as a substrate for stimulus–response habit learning, but more recent evidence indicates that this view requires modification. A more detailed analysis using modern behavioural assays reveals considerable functional heterogeneity in the dorsal striatum.The dorsolateral, or sensorimotor, striatum (DLS) and the dorsomedial, or associative, striatum (DMS) differ in their anatomical connectivity, distribution of key receptors, and rules of synaptic plasticity. They can also be doubly dissociated functionally, with the DLS being crucial for stimulus-driven habits and the DMS being crucial for goal-directed actions.The DMS and DLS belong to distinct cortico-basal ganglia networks, mediating actions and habits, respectively. The process of habit formation in instrumental learning finds its neural correlate in a shift of control from the associative to the sensorimotor cortico-basal ganglia network.","container-title":"Nature Reviews Neuroscience","DOI":"10.1038/nrn1919","ISSN":"1471-0048","issue":"6","journalAbbreviation":"Nat Rev Neurosci","language":"en","note":"Bandiera_abtest: a\nCg_type: Nature Research Journals\nnumber: 6\nPrimary_atype: Reviews\npublisher: Nature Publishing Group","page":"464-476","source":"www.nature.com","title":"The role of the basal ganglia in habit formation","URL":"https://www.nature.com/articles/nrn1919","volume":"7","author":[{"family":"Yin","given":"Henry H."},{"family":"Knowlton","given":"Barbara J."}],"accessed":{"date-parts":[["2021",7,27]]},"issued":{"date-parts":[["2006",6]]}}}],"schema":"https://github.com/citation-style-language/schema/raw/master/csl-citation.json"} </w:instrText>
      </w:r>
      <w:r w:rsidR="00255354">
        <w:rPr>
          <w:color w:val="292526"/>
        </w:rPr>
        <w:fldChar w:fldCharType="separate"/>
      </w:r>
      <w:r w:rsidR="00255354">
        <w:rPr>
          <w:noProof/>
          <w:color w:val="292526"/>
        </w:rPr>
        <w:t>(Skipper et al., 2020; Yin &amp; Knowlton, 2006)</w:t>
      </w:r>
      <w:r w:rsidR="00255354">
        <w:rPr>
          <w:color w:val="292526"/>
        </w:rPr>
        <w:fldChar w:fldCharType="end"/>
      </w:r>
      <w:r>
        <w:rPr>
          <w:color w:val="292526"/>
        </w:rPr>
        <w:t xml:space="preserve">. </w:t>
      </w:r>
      <w:r w:rsidR="00802E41">
        <w:rPr>
          <w:color w:val="292526"/>
        </w:rPr>
        <w:t>A number of groups,</w:t>
      </w:r>
      <w:r>
        <w:rPr>
          <w:color w:val="292526"/>
        </w:rPr>
        <w:t xml:space="preserve"> </w:t>
      </w:r>
      <w:r w:rsidR="00802E41">
        <w:rPr>
          <w:color w:val="292526"/>
        </w:rPr>
        <w:t xml:space="preserve">including us, have </w:t>
      </w:r>
      <w:r>
        <w:rPr>
          <w:color w:val="292526"/>
        </w:rPr>
        <w:t xml:space="preserve">hypothesised that the striatum </w:t>
      </w:r>
      <w:r w:rsidR="00BD2FF3">
        <w:rPr>
          <w:color w:val="292526"/>
        </w:rPr>
        <w:t>is</w:t>
      </w:r>
      <w:r>
        <w:rPr>
          <w:color w:val="292526"/>
        </w:rPr>
        <w:t xml:space="preserve"> a brain region </w:t>
      </w:r>
      <w:r w:rsidR="00BD2FF3">
        <w:rPr>
          <w:color w:val="292526"/>
        </w:rPr>
        <w:t xml:space="preserve">where </w:t>
      </w:r>
      <w:r>
        <w:rPr>
          <w:color w:val="292526"/>
        </w:rPr>
        <w:t>we might expect to see neural differences in</w:t>
      </w:r>
      <w:r w:rsidR="00CE5BC9">
        <w:rPr>
          <w:color w:val="292526"/>
        </w:rPr>
        <w:t xml:space="preserve"> children with DLD</w:t>
      </w:r>
      <w:r w:rsidR="00802E41">
        <w:rPr>
          <w:color w:val="292526"/>
        </w:rPr>
        <w:t xml:space="preserve"> </w:t>
      </w:r>
      <w:r w:rsidR="00802E41">
        <w:rPr>
          <w:color w:val="292526"/>
        </w:rPr>
        <w:fldChar w:fldCharType="begin"/>
      </w:r>
      <w:r w:rsidR="00ED5ABB">
        <w:rPr>
          <w:color w:val="292526"/>
        </w:rPr>
        <w:instrText xml:space="preserve"> ADDIN ZOTERO_ITEM CSL_CITATION {"citationID":"E77KftZw","properties":{"formattedCitation":"(Krishnan et al., 2016; Ullman et al., 2020; Ullman &amp; Pierpont, 2005)","plainCitation":"(Krishnan et al., 2016; Ullman et al., 2020; Ullman &amp; Pierpont, 2005)","noteIndex":0},"citationItems":[{"id":111,"uris":["http://zotero.org/users/5009496/items/HA99YAF7"],"itemData":{"id":111,"type":"article-journal","abstract":"In this paper we highlight why there is a need to examine subcortical learning systems in children with language impairment and dyslexia, rather than focusing solely on cortical areas relevant for language. First, behavioural studies find that children with these neurodevelopmental disorders perform less well than peers on procedural learning tasks that depend on corticostriatal learning circuits. Second, fMRI studies in neurotypical adults implicate corticostriatal and hippocampal systems in language learning. Finally, structural and functional abnormalities are seen in the striatum in children with language disorders. Studying corticostriatal networks in developmental language disorders could offer us insights into their neurobiological basis and elucidate possible modes of compensation for intervention.","container-title":"Trends in Cognitive Sciences","DOI":"10.1016/j.tics.2016.06.012","ISSN":"1364-6613","issue":"9","journalAbbreviation":"Trends in Cognitive Sciences","page":"701-714","source":"ScienceDirect","title":"Neurobiological Basis of Language Learning Difficulties","URL":"http://www.sciencedirect.com/science/article/pii/S1364661316300833","volume":"20","author":[{"family":"Krishnan","given":"Saloni"},{"family":"Watkins","given":"Kate E."},{"family":"Bishop","given":"Dorothy V. M."}],"accessed":{"date-parts":[["2018",6,29]]},"issued":{"date-parts":[["2016",9,1]]}}},{"id":1301,"uris":["http://zotero.org/users/5009496/items/SYMVPP6Q"],"itemData":{"id":1301,"type":"article-journal","abstract":"Developmental disorders of language include developmental language disorder, dyslexia, and motor-speech disorders such as articulation disorder and stuttering. These disorders have generally been explained by accounts that focus on their behavioral rather than neural characteristics; their processing rather than learning impairments; and each disorder separately rather than together, despite their commonalities and comorbidities. Here we update and review a unifying neurocognitive account—the Procedural circuit Deficit Hypothesis (PDH). The PDH posits that abnormalities of brain structures underlying procedural memory (learning and memory that rely on the basal ganglia and associated circuitry) can explain numerous brain and behavioral characteristics across learning and processing, in multiple disorders, including both commonalities and differences. We describe procedural memory, examine its role in various aspects of language, and then present the PDH and relevant evidence across language-related disorders. The PDH has substantial explanatory power, and both basic research and translational implications.","container-title":"Annual Review of Psychology","DOI":"10.1146/annurev-psych-122216-011555","ISSN":"0066-4308","issue":"1","journalAbbreviation":"Annu. Rev. Psychol.","note":"publisher: Annual Reviews","page":"389-417","source":"annualreviews.org (Atypon)","title":"The Neurocognition of Developmental Disorders of Language","URL":"https://www.annualreviews.org/doi/10.1146/annurev-psych-122216-011555","volume":"71","author":[{"family":"Ullman","given":"Michael T."},{"family":"Earle","given":"F. Sayako"},{"family":"Walenski","given":"Matthew"},{"family":"Janacsek","given":"Karolina"}],"accessed":{"date-parts":[["2021",8,12]]},"issued":{"date-parts":[["2020",1,4]]}}},{"id":257,"uris":["http://zotero.org/users/5009496/items/RAC6689L"],"itemData":{"id":257,"type":"article-journal","abstract":"Specific Language Impairment (SLI) has been explained by two broad classes of hypotheses, which posit either a deficit specific to grammar, or a non-linguistic processing impairment. Here we advance an alternative perspective. According to the Procedural Deficit Hypothesis (PDH), SLI can be largely explained by the abnormal development of brain structures that constitute the procedural memory system. This system, which is composed of a network of interconnected structures rooted in frontal/basal-ganglia circuits, subserves the learning and execution of motor and cognitive skills. Crucially, recent evidence also implicates this system in important aspects of grammar. The PDH posits that a significant proportion of individuals with SLI suffer from abnormalities of this brain network, leading to impairments of the linguistic and non-linguistic functions that depend on it. In contrast, functions such as lexical and declarative memory, which depend on other brain structures, are expected to remain largely spared. Evidence from an in-depth retrospective examination of the literature is presented. It is argued that the data support the predictions of the PDH, and particularly implicate Broca's area within frontal cortex, and the caudate nucleus within the basal ganglia. Finally, broader implications are discussed, and predictions for future research are presented. It is argued that the PDH forms the basis of a novel and potentially productive perspective on SLI.","container-title":"Cortex","DOI":"10.1016/S0010-9452(08)70276-4","ISSN":"0010-9452","issue":"3","journalAbbreviation":"Cortex","page":"399-433","source":"ScienceDirect","title":"Specific Language Impairment is not Specific to Language: the Procedural Deficit Hypothesis","title-short":"Specific Language Impairment is not Specific to Language","URL":"http://www.sciencedirect.com/science/article/pii/S0010945208702764","volume":"41","author":[{"family":"Ullman","given":"Michael T."},{"family":"Pierpont","given":"Elizabeth I."}],"accessed":{"date-parts":[["2018",11,26]]},"issued":{"date-parts":[["2005",1,1]]}}}],"schema":"https://github.com/citation-style-language/schema/raw/master/csl-citation.json"} </w:instrText>
      </w:r>
      <w:r w:rsidR="00802E41">
        <w:rPr>
          <w:color w:val="292526"/>
        </w:rPr>
        <w:fldChar w:fldCharType="separate"/>
      </w:r>
      <w:r w:rsidR="00062D56">
        <w:rPr>
          <w:noProof/>
          <w:color w:val="292526"/>
        </w:rPr>
        <w:t>(Krishnan et al., 2016; Ullman et al., 2020; Ullman &amp; Pierpont, 2005)</w:t>
      </w:r>
      <w:r w:rsidR="00802E41">
        <w:rPr>
          <w:color w:val="292526"/>
        </w:rPr>
        <w:fldChar w:fldCharType="end"/>
      </w:r>
      <w:r w:rsidR="00CE5BC9">
        <w:rPr>
          <w:color w:val="292526"/>
        </w:rPr>
        <w:t xml:space="preserve">. </w:t>
      </w:r>
      <w:r w:rsidR="00802E41">
        <w:rPr>
          <w:color w:val="292526"/>
        </w:rPr>
        <w:t>Our hypothesis was driven by the idea that</w:t>
      </w:r>
      <w:r>
        <w:rPr>
          <w:color w:val="292526"/>
        </w:rPr>
        <w:t xml:space="preserve"> children with DLD showed deficits in sequential procedural tasks</w:t>
      </w:r>
      <w:r w:rsidR="00802E41">
        <w:rPr>
          <w:color w:val="292526"/>
        </w:rPr>
        <w:t xml:space="preserve">, which </w:t>
      </w:r>
      <w:r w:rsidR="00073812">
        <w:rPr>
          <w:color w:val="292526"/>
        </w:rPr>
        <w:t>rely on loops through</w:t>
      </w:r>
      <w:r>
        <w:rPr>
          <w:color w:val="292526"/>
        </w:rPr>
        <w:t xml:space="preserve"> the striatum </w:t>
      </w:r>
      <w:r>
        <w:rPr>
          <w:color w:val="292526"/>
        </w:rPr>
        <w:fldChar w:fldCharType="begin"/>
      </w:r>
      <w:r w:rsidR="00ED5ABB">
        <w:rPr>
          <w:color w:val="292526"/>
        </w:rPr>
        <w:instrText xml:space="preserve"> ADDIN ZOTERO_ITEM CSL_CITATION {"citationID":"mQkfwhOh","properties":{"formattedCitation":"(Krishnan et al., 2016)","plainCitation":"(Krishnan et al., 2016)","noteIndex":0},"citationItems":[{"id":111,"uris":["http://zotero.org/users/5009496/items/HA99YAF7"],"itemData":{"id":111,"type":"article-journal","abstract":"In this paper we highlight why there is a need to examine subcortical learning systems in children with language impairment and dyslexia, rather than focusing solely on cortical areas relevant for language. First, behavioural studies find that children with these neurodevelopmental disorders perform less well than peers on procedural learning tasks that depend on corticostriatal learning circuits. Second, fMRI studies in neurotypical adults implicate corticostriatal and hippocampal systems in language learning. Finally, structural and functional abnormalities are seen in the striatum in children with language disorders. Studying corticostriatal networks in developmental language disorders could offer us insights into their neurobiological basis and elucidate possible modes of compensation for intervention.","container-title":"Trends in Cognitive Sciences","DOI":"10.1016/j.tics.2016.06.012","ISSN":"1364-6613","issue":"9","journalAbbreviation":"Trends in Cognitive Sciences","page":"701-714","source":"ScienceDirect","title":"Neurobiological Basis of Language Learning Difficulties","URL":"http://www.sciencedirect.com/science/article/pii/S1364661316300833","volume":"20","author":[{"family":"Krishnan","given":"Saloni"},{"family":"Watkins","given":"Kate E."},{"family":"Bishop","given":"Dorothy V. M."}],"accessed":{"date-parts":[["2018",6,29]]},"issued":{"date-parts":[["2016",9,1]]}}}],"schema":"https://github.com/citation-style-language/schema/raw/master/csl-citation.json"} </w:instrText>
      </w:r>
      <w:r>
        <w:rPr>
          <w:color w:val="292526"/>
        </w:rPr>
        <w:fldChar w:fldCharType="separate"/>
      </w:r>
      <w:r>
        <w:rPr>
          <w:noProof/>
          <w:color w:val="292526"/>
        </w:rPr>
        <w:t>(Krishnan et al., 2016)</w:t>
      </w:r>
      <w:r>
        <w:rPr>
          <w:color w:val="292526"/>
        </w:rPr>
        <w:fldChar w:fldCharType="end"/>
      </w:r>
      <w:r>
        <w:rPr>
          <w:color w:val="292526"/>
        </w:rPr>
        <w:t xml:space="preserve">. </w:t>
      </w:r>
      <w:r w:rsidR="00CE5BC9">
        <w:rPr>
          <w:color w:val="292526"/>
        </w:rPr>
        <w:t>Here</w:t>
      </w:r>
      <w:r>
        <w:rPr>
          <w:color w:val="292526"/>
        </w:rPr>
        <w:t>,</w:t>
      </w:r>
      <w:r w:rsidR="00CE5BC9">
        <w:rPr>
          <w:color w:val="292526"/>
        </w:rPr>
        <w:t xml:space="preserve"> using a direct neural measure, we see evidence for </w:t>
      </w:r>
      <w:r w:rsidR="00073812">
        <w:rPr>
          <w:color w:val="292526"/>
        </w:rPr>
        <w:t xml:space="preserve">structural </w:t>
      </w:r>
      <w:r w:rsidR="00CE5BC9">
        <w:rPr>
          <w:color w:val="292526"/>
        </w:rPr>
        <w:t>differences in the striatum</w:t>
      </w:r>
      <w:r w:rsidR="004B5968">
        <w:rPr>
          <w:color w:val="292526"/>
        </w:rPr>
        <w:t>, particularly in the caudate nuclei</w:t>
      </w:r>
      <w:r w:rsidR="00CE5BC9">
        <w:rPr>
          <w:color w:val="292526"/>
        </w:rPr>
        <w:t xml:space="preserve">. </w:t>
      </w:r>
      <w:r w:rsidR="003E7C3C">
        <w:rPr>
          <w:color w:val="292526"/>
        </w:rPr>
        <w:t xml:space="preserve">The </w:t>
      </w:r>
      <w:r w:rsidR="003E7C3C">
        <w:rPr>
          <w:color w:val="292526"/>
        </w:rPr>
        <w:lastRenderedPageBreak/>
        <w:t xml:space="preserve">functional consequences of these </w:t>
      </w:r>
      <w:r w:rsidR="00073812">
        <w:rPr>
          <w:color w:val="292526"/>
        </w:rPr>
        <w:t xml:space="preserve">structural </w:t>
      </w:r>
      <w:r w:rsidR="00B34804">
        <w:rPr>
          <w:color w:val="292526"/>
        </w:rPr>
        <w:t>changes</w:t>
      </w:r>
      <w:r w:rsidR="005322B1">
        <w:rPr>
          <w:color w:val="292526"/>
        </w:rPr>
        <w:t xml:space="preserve"> </w:t>
      </w:r>
      <w:r w:rsidR="00062D56">
        <w:rPr>
          <w:color w:val="292526"/>
        </w:rPr>
        <w:t xml:space="preserve">might </w:t>
      </w:r>
      <w:r w:rsidR="003E7C3C">
        <w:rPr>
          <w:color w:val="292526"/>
        </w:rPr>
        <w:t xml:space="preserve">be to </w:t>
      </w:r>
      <w:r w:rsidR="00372AA0">
        <w:rPr>
          <w:color w:val="292526"/>
        </w:rPr>
        <w:t>make certain aspects</w:t>
      </w:r>
      <w:r w:rsidR="00062D56">
        <w:rPr>
          <w:color w:val="292526"/>
        </w:rPr>
        <w:t xml:space="preserve"> </w:t>
      </w:r>
      <w:r w:rsidR="003E7C3C">
        <w:rPr>
          <w:color w:val="292526"/>
        </w:rPr>
        <w:t>of learning</w:t>
      </w:r>
      <w:r w:rsidR="00062D56">
        <w:rPr>
          <w:color w:val="292526"/>
        </w:rPr>
        <w:t>, such as the learning of stimulus-response mappings</w:t>
      </w:r>
      <w:r w:rsidR="003E7C3C">
        <w:rPr>
          <w:color w:val="292526"/>
        </w:rPr>
        <w:t>, more challenging</w:t>
      </w:r>
      <w:r w:rsidR="005322B1">
        <w:rPr>
          <w:color w:val="292526"/>
        </w:rPr>
        <w:t xml:space="preserve">. </w:t>
      </w:r>
      <w:r w:rsidR="003E7C3C">
        <w:rPr>
          <w:color w:val="292526"/>
        </w:rPr>
        <w:t>For instance, a</w:t>
      </w:r>
      <w:r w:rsidR="00372AA0">
        <w:rPr>
          <w:color w:val="292526"/>
        </w:rPr>
        <w:t xml:space="preserve"> reduction in myelin </w:t>
      </w:r>
      <w:r w:rsidR="003E7C3C">
        <w:rPr>
          <w:color w:val="292526"/>
        </w:rPr>
        <w:t xml:space="preserve">might make </w:t>
      </w:r>
      <w:r w:rsidR="007D63E8">
        <w:rPr>
          <w:color w:val="292526"/>
        </w:rPr>
        <w:t xml:space="preserve">sequential </w:t>
      </w:r>
      <w:r w:rsidR="003E7C3C">
        <w:rPr>
          <w:color w:val="292526"/>
        </w:rPr>
        <w:t xml:space="preserve">learning </w:t>
      </w:r>
      <w:r w:rsidR="00372AA0">
        <w:rPr>
          <w:color w:val="292526"/>
        </w:rPr>
        <w:t xml:space="preserve">less efficient. </w:t>
      </w:r>
      <w:r w:rsidR="005322B1">
        <w:rPr>
          <w:color w:val="292526"/>
        </w:rPr>
        <w:t xml:space="preserve">This </w:t>
      </w:r>
      <w:r w:rsidR="003E7C3C">
        <w:rPr>
          <w:color w:val="292526"/>
        </w:rPr>
        <w:t xml:space="preserve">could </w:t>
      </w:r>
      <w:r w:rsidR="005322B1">
        <w:rPr>
          <w:color w:val="292526"/>
        </w:rPr>
        <w:t xml:space="preserve">explain why </w:t>
      </w:r>
      <w:r w:rsidR="007D63E8">
        <w:rPr>
          <w:color w:val="292526"/>
        </w:rPr>
        <w:t>children with DLD face difficulties</w:t>
      </w:r>
      <w:r w:rsidR="005322B1">
        <w:rPr>
          <w:color w:val="292526"/>
        </w:rPr>
        <w:t xml:space="preserve"> in </w:t>
      </w:r>
      <w:r w:rsidR="007D63E8">
        <w:rPr>
          <w:color w:val="292526"/>
        </w:rPr>
        <w:t xml:space="preserve">complex </w:t>
      </w:r>
      <w:r w:rsidR="005322B1">
        <w:rPr>
          <w:color w:val="292526"/>
        </w:rPr>
        <w:t xml:space="preserve">language tasks, </w:t>
      </w:r>
      <w:r w:rsidR="008333F0">
        <w:rPr>
          <w:color w:val="292526"/>
        </w:rPr>
        <w:t xml:space="preserve">such as nonword repetition, </w:t>
      </w:r>
      <w:r w:rsidR="005322B1">
        <w:rPr>
          <w:color w:val="292526"/>
        </w:rPr>
        <w:t xml:space="preserve">where extracting and producing sequential responses are important. </w:t>
      </w:r>
      <w:r w:rsidR="003E7C3C">
        <w:rPr>
          <w:color w:val="292526"/>
        </w:rPr>
        <w:t>However, any speculation about the functional impact of these changes needs careful empirical investigation in future studies.</w:t>
      </w:r>
    </w:p>
    <w:p w14:paraId="33434B8E" w14:textId="77777777" w:rsidR="005322B1" w:rsidRDefault="005322B1" w:rsidP="00A22539">
      <w:pPr>
        <w:spacing w:line="360" w:lineRule="auto"/>
        <w:jc w:val="both"/>
        <w:rPr>
          <w:color w:val="292526"/>
        </w:rPr>
      </w:pPr>
    </w:p>
    <w:p w14:paraId="62AA3585" w14:textId="3F259DFC" w:rsidR="00010C9D" w:rsidRDefault="00CE5BC9" w:rsidP="00A22539">
      <w:pPr>
        <w:spacing w:line="360" w:lineRule="auto"/>
        <w:jc w:val="both"/>
        <w:rPr>
          <w:color w:val="292526"/>
        </w:rPr>
      </w:pPr>
      <w:r>
        <w:rPr>
          <w:color w:val="292526"/>
        </w:rPr>
        <w:t xml:space="preserve">Our findings are </w:t>
      </w:r>
      <w:r w:rsidR="00010C9D">
        <w:rPr>
          <w:color w:val="292526"/>
        </w:rPr>
        <w:t xml:space="preserve">generally </w:t>
      </w:r>
      <w:r>
        <w:rPr>
          <w:color w:val="292526"/>
        </w:rPr>
        <w:t>consistent with previous smaller-scale work</w:t>
      </w:r>
      <w:r w:rsidR="007332A3">
        <w:rPr>
          <w:color w:val="292526"/>
        </w:rPr>
        <w:t xml:space="preserve"> </w:t>
      </w:r>
      <w:r>
        <w:rPr>
          <w:color w:val="292526"/>
        </w:rPr>
        <w:t xml:space="preserve">linking </w:t>
      </w:r>
      <w:r w:rsidR="007332A3">
        <w:rPr>
          <w:color w:val="292526"/>
        </w:rPr>
        <w:t>volumetric differences in the caudate</w:t>
      </w:r>
      <w:r w:rsidR="00D35B3C">
        <w:rPr>
          <w:color w:val="292526"/>
        </w:rPr>
        <w:t xml:space="preserve"> nucleus</w:t>
      </w:r>
      <w:r w:rsidR="007332A3">
        <w:rPr>
          <w:color w:val="292526"/>
        </w:rPr>
        <w:t xml:space="preserve"> to language learning difficulties</w:t>
      </w:r>
      <w:r w:rsidR="00640892">
        <w:rPr>
          <w:color w:val="292526"/>
        </w:rPr>
        <w:t xml:space="preserve"> </w:t>
      </w:r>
      <w:r w:rsidR="00640892">
        <w:rPr>
          <w:color w:val="292526"/>
        </w:rPr>
        <w:fldChar w:fldCharType="begin"/>
      </w:r>
      <w:r w:rsidR="00995C1F">
        <w:rPr>
          <w:color w:val="292526"/>
        </w:rPr>
        <w:instrText xml:space="preserve"> ADDIN ZOTERO_ITEM CSL_CITATION {"citationID":"bw9dAacI","properties":{"formattedCitation":"(Badcock et al., 2012; Watkins, Vargha\\uc0\\u8208{}Khadem, et al., 2002)","plainCitation":"(Badcock et al., 2012; Watkins, Vargha‐Khadem, et al., 2002)","noteIndex":0},"citationItems":[{"id":112,"uris":["http://zotero.org/users/5009496/items/QFZKQJX9"],"itemData":{"id":112,"type":"article-journal","abstract":"We assessed the relationship between brain structure and function in 10 individuals with specific language impairment (SLI), compared to six unaffected siblings, and 16 unrelated control participants with typical language. Voxel-based morphometry indicated that grey matter in the SLI group, relative to controls, was increased in the left inferior frontal cortex and decreased in the right caudate nucleus and superior temporal cortex bilaterally. The unaffected siblings also showed reduced grey matter in the caudate nucleus relative to controls. In an auditory covert naming task, the SLI group showed reduced activation in the left inferior frontal cortex, right putamen, and in the superior temporal cortex bilaterally. Despite spatially coincident structural and functional abnormalities in frontal and temporal areas, the relationships between structure and function in these regions were different. These findings suggest multiple structural and functional abnormalities in SLI that are differently associated with receptive and expressive language processing.","container-title":"Brain and Language","DOI":"10.1016/j.bandl.2011.10.006","ISSN":"1090-2155","issue":"3","journalAbbreviation":"Brain Lang","language":"eng","note":"PMID: 22137677\nPMCID: PMC3315677","page":"310-320","source":"PubMed","title":"Co-localisation of abnormal brain structure and function in specific language impairment","volume":"120","author":[{"family":"Badcock","given":"Nicholas A."},{"family":"Bishop","given":"Dorothy V. M."},{"family":"Hardiman","given":"Mervyn J."},{"family":"Barry","given":"Johanna G."},{"family":"Watkins","given":"Kate E."}],"issued":{"date-parts":[["2012",3]]}}},{"id":27,"uris":["http://zotero.org/users/5009496/items/9GQ6JRRQ"],"itemData":{"id":27,"type":"article-journal","abstract":"Abstract.  Analyses of brain structure in genetic speech and language disorders provide an opportunity to identify neurobiological phenotypes and further elucid","container-title":"Brain","DOI":"10.1093/brain/awf057","ISSN":"0006-8950","issue":"3","journalAbbreviation":"Brain","language":"en","page":"465-478","source":"academic.oup.com","title":"MRI analysis of an inherited speech and language disorder: structural brain abnormalities","title-short":"MRI analysis of an inherited speech and language disorder","URL":"https://academic.oup.com/brain/article/125/3/465/519110","volume":"125","author":[{"family":"Watkins","given":"K. E."},{"family":"Vargha‐Khadem","given":"F."},{"family":"Ashburner","given":"J."},{"family":"Passingham","given":"R. E."},{"family":"Connelly","given":"A."},{"family":"Friston","given":"K. J."},{"family":"Frackowiak","given":"R. S. J."},{"family":"Mishkin","given":"M."},{"family":"Gadian","given":"D. G."}],"accessed":{"date-parts":[["2018",7,3]]},"issued":{"date-parts":[["2002",3,1]]}}}],"schema":"https://github.com/citation-style-language/schema/raw/master/csl-citation.json"} </w:instrText>
      </w:r>
      <w:r w:rsidR="00640892">
        <w:rPr>
          <w:color w:val="292526"/>
        </w:rPr>
        <w:fldChar w:fldCharType="separate"/>
      </w:r>
      <w:r w:rsidR="00995C1F" w:rsidRPr="00995C1F">
        <w:rPr>
          <w:color w:val="000000"/>
        </w:rPr>
        <w:t>(Badcock et al., 2012; Watkins, Vargha‐Khadem, et al., 2002)</w:t>
      </w:r>
      <w:r w:rsidR="00640892">
        <w:rPr>
          <w:color w:val="292526"/>
        </w:rPr>
        <w:fldChar w:fldCharType="end"/>
      </w:r>
      <w:r w:rsidR="007332A3">
        <w:rPr>
          <w:color w:val="292526"/>
        </w:rPr>
        <w:t xml:space="preserve">. </w:t>
      </w:r>
      <w:r w:rsidR="00802E41">
        <w:rPr>
          <w:color w:val="292526"/>
        </w:rPr>
        <w:t>They may also offer some resolution to previous work using VBM, where such differences were</w:t>
      </w:r>
      <w:r w:rsidR="000E66C4">
        <w:rPr>
          <w:color w:val="292526"/>
        </w:rPr>
        <w:t xml:space="preserve"> </w:t>
      </w:r>
      <w:r w:rsidR="00802E41">
        <w:rPr>
          <w:color w:val="292526"/>
        </w:rPr>
        <w:t xml:space="preserve">not </w:t>
      </w:r>
      <w:r w:rsidR="000E66C4">
        <w:rPr>
          <w:color w:val="292526"/>
        </w:rPr>
        <w:t xml:space="preserve">observed </w:t>
      </w:r>
      <w:r w:rsidR="000E66C4">
        <w:rPr>
          <w:color w:val="292526"/>
        </w:rPr>
        <w:fldChar w:fldCharType="begin"/>
      </w:r>
      <w:r w:rsidR="00ED5ABB">
        <w:rPr>
          <w:color w:val="292526"/>
        </w:rPr>
        <w:instrText xml:space="preserve"> ADDIN ZOTERO_ITEM CSL_CITATION {"citationID":"KPwxj7JO","properties":{"formattedCitation":"(Pigdon et al., 2019)","plainCitation":"(Pigdon et al., 2019)","noteIndex":0},"citationItems":[{"id":1163,"uris":["http://zotero.org/users/5009496/items/ENPTZMNE"],"itemData":{"id":1163,"type":"article-journal","abstract":"Developmental language disorder (DLD) and developmental speech disorder (DSD) are common, yet their etiologies are not well understood. Atypical volume of the inferior and posterior language regions and striatum have been reported in DLD; however, variability in both methodology and study findings limits interpretations. Imaging research within DSD, on the other hand, is scarce. The present study compared grey matter volume in children with DLD, DSD, and typically developing speech and language. Compared to typically developing controls, children with DLD had larger volume in the right cerebellum, possibly associated with the procedural learning deficits that have been proposed in DLD. Children with DSD showed larger volume in the left inferior occipital lobe compared to controls, which may indicate a compensatory role of the visual processing regions due to sub-optimal auditory-perceptual processes. Overall, these findings suggest that different neural systems may be involved in the specific deficits related to DLD and DSD.","container-title":"Brain Structure &amp; Function","DOI":"10.1007/s00429-019-01978-7","ISSN":"1863-2661","issue":"9","journalAbbreviation":"Brain Struct Funct","language":"eng","note":"PMID: 31732792","page":"3387-3398","source":"PubMed","title":"Grey matter volume in developmental speech and language disorder","volume":"224","author":[{"family":"Pigdon","given":"Lauren"},{"family":"Willmott","given":"Catherine"},{"family":"Reilly","given":"Sheena"},{"family":"Conti-Ramsden","given":"Gina"},{"family":"Gaser","given":"Christian"},{"family":"Connelly","given":"Alan"},{"family":"Morgan","given":"Angela T."}],"issued":{"date-parts":[["2019",12]]}}}],"schema":"https://github.com/citation-style-language/schema/raw/master/csl-citation.json"} </w:instrText>
      </w:r>
      <w:r w:rsidR="000E66C4">
        <w:rPr>
          <w:color w:val="292526"/>
        </w:rPr>
        <w:fldChar w:fldCharType="separate"/>
      </w:r>
      <w:r w:rsidR="000E66C4">
        <w:rPr>
          <w:noProof/>
          <w:color w:val="292526"/>
        </w:rPr>
        <w:t>(Pigdon et al., 2019)</w:t>
      </w:r>
      <w:r w:rsidR="000E66C4">
        <w:rPr>
          <w:color w:val="292526"/>
        </w:rPr>
        <w:fldChar w:fldCharType="end"/>
      </w:r>
      <w:r w:rsidR="00802E41">
        <w:rPr>
          <w:color w:val="292526"/>
        </w:rPr>
        <w:t>.</w:t>
      </w:r>
      <w:r w:rsidR="009F5ABA">
        <w:rPr>
          <w:color w:val="292526"/>
        </w:rPr>
        <w:t xml:space="preserve"> Indeed, our own VBM analysis did not reveal any differences in morphometry.</w:t>
      </w:r>
      <w:r w:rsidR="00802E41">
        <w:rPr>
          <w:color w:val="292526"/>
        </w:rPr>
        <w:t xml:space="preserve"> However</w:t>
      </w:r>
      <w:r w:rsidR="00010C9D">
        <w:rPr>
          <w:color w:val="292526"/>
        </w:rPr>
        <w:t xml:space="preserve">, and perhaps speaking to a slightly different interpretation of our findings, the striatal differences we </w:t>
      </w:r>
      <w:r w:rsidR="00DD12F4">
        <w:rPr>
          <w:color w:val="292526"/>
        </w:rPr>
        <w:t>find</w:t>
      </w:r>
      <w:r w:rsidR="00010C9D">
        <w:rPr>
          <w:color w:val="292526"/>
        </w:rPr>
        <w:t xml:space="preserve"> are </w:t>
      </w:r>
      <w:r w:rsidR="00DD12F4">
        <w:rPr>
          <w:color w:val="292526"/>
        </w:rPr>
        <w:t>in the body of the caudate</w:t>
      </w:r>
      <w:r w:rsidR="00D35B3C">
        <w:rPr>
          <w:color w:val="292526"/>
        </w:rPr>
        <w:t xml:space="preserve"> nucleus</w:t>
      </w:r>
      <w:r w:rsidR="00DD12F4">
        <w:rPr>
          <w:color w:val="292526"/>
        </w:rPr>
        <w:t>, rather than the head</w:t>
      </w:r>
      <w:r w:rsidR="00010C9D">
        <w:rPr>
          <w:color w:val="292526"/>
        </w:rPr>
        <w:t xml:space="preserve">. </w:t>
      </w:r>
      <w:r w:rsidR="00754805">
        <w:rPr>
          <w:color w:val="292526"/>
        </w:rPr>
        <w:t>T</w:t>
      </w:r>
      <w:r w:rsidR="00010C9D">
        <w:rPr>
          <w:color w:val="292526"/>
        </w:rPr>
        <w:t>he head of the caudate</w:t>
      </w:r>
      <w:r w:rsidR="00D35B3C">
        <w:rPr>
          <w:color w:val="292526"/>
        </w:rPr>
        <w:t xml:space="preserve"> nucleus</w:t>
      </w:r>
      <w:r w:rsidR="00010C9D">
        <w:rPr>
          <w:color w:val="292526"/>
        </w:rPr>
        <w:t xml:space="preserve"> </w:t>
      </w:r>
      <w:r w:rsidR="00754805">
        <w:rPr>
          <w:color w:val="292526"/>
        </w:rPr>
        <w:t>receives input from</w:t>
      </w:r>
      <w:r w:rsidR="00010C9D">
        <w:rPr>
          <w:color w:val="292526"/>
        </w:rPr>
        <w:t xml:space="preserve"> </w:t>
      </w:r>
      <w:r w:rsidR="00754805">
        <w:rPr>
          <w:color w:val="292526"/>
        </w:rPr>
        <w:t>pre</w:t>
      </w:r>
      <w:r w:rsidR="00010C9D">
        <w:rPr>
          <w:color w:val="292526"/>
        </w:rPr>
        <w:t xml:space="preserve">frontal </w:t>
      </w:r>
      <w:r w:rsidR="00754805">
        <w:rPr>
          <w:color w:val="292526"/>
        </w:rPr>
        <w:t>cortex</w:t>
      </w:r>
      <w:r w:rsidR="00DD12F4">
        <w:rPr>
          <w:color w:val="292526"/>
        </w:rPr>
        <w:t xml:space="preserve">. </w:t>
      </w:r>
      <w:r w:rsidR="007D63E8">
        <w:rPr>
          <w:color w:val="292526"/>
        </w:rPr>
        <w:t xml:space="preserve">DTI studies suggest the body of the caudate nucleus </w:t>
      </w:r>
      <w:r w:rsidR="00754805">
        <w:rPr>
          <w:color w:val="292526"/>
        </w:rPr>
        <w:t>gets its input from</w:t>
      </w:r>
      <w:r w:rsidR="007D63E8">
        <w:rPr>
          <w:color w:val="292526"/>
        </w:rPr>
        <w:t xml:space="preserve"> prefrontal cortex and supplementary motor regions </w:t>
      </w:r>
      <w:r w:rsidR="007D63E8">
        <w:rPr>
          <w:color w:val="292526"/>
        </w:rPr>
        <w:fldChar w:fldCharType="begin"/>
      </w:r>
      <w:r w:rsidR="00ED5ABB">
        <w:rPr>
          <w:color w:val="292526"/>
        </w:rPr>
        <w:instrText xml:space="preserve"> ADDIN ZOTERO_ITEM CSL_CITATION {"citationID":"qKh5IOuj","properties":{"formattedCitation":"(Leh\\uc0\\u233{}ricy et al., 2004)","plainCitation":"(Lehéricy et al., 2004)","noteIndex":0},"citationItems":[{"id":1271,"uris":["http://zotero.org/users/5009496/items/8P46U5TZ"],"itemData":{"id":1271,"type":"article-journal","container-title":"Annals of Neurology","DOI":"10.1002/ana.20030","ISSN":"03645134","issue":"4","journalAbbreviation":"Ann Neurol.","language":"en","page":"522-529","source":"DOI.org (Crossref)","title":"Diffusion tensor fiber tracking shows distinct corticostriatal circuits in humans: DTI Corticostriatal Fibers","title-short":"Diffusion tensor fiber tracking shows distinct corticostriatal circuits in humans","URL":"https://onlinelibrary.wiley.com/doi/10.1002/ana.20030","volume":"55","author":[{"family":"Lehéricy","given":"Stéphane"},{"family":"Ducros","given":"Mathieu"},{"family":"Van De Moortele","given":"Pierre-François"},{"family":"Francois","given":"Chantal"},{"family":"Thivard","given":"Lionel"},{"family":"Poupon","given":"Cyril"},{"family":"Swindale","given":"Nick"},{"family":"Ugurbil","given":"Kamil"},{"family":"Kim","given":"Dae-Shik"}],"accessed":{"date-parts":[["2021",7,28]]},"issued":{"date-parts":[["2004",4]]}}}],"schema":"https://github.com/citation-style-language/schema/raw/master/csl-citation.json"} </w:instrText>
      </w:r>
      <w:r w:rsidR="007D63E8">
        <w:rPr>
          <w:color w:val="292526"/>
        </w:rPr>
        <w:fldChar w:fldCharType="separate"/>
      </w:r>
      <w:r w:rsidR="007D63E8" w:rsidRPr="00BC6E74">
        <w:rPr>
          <w:color w:val="000000"/>
        </w:rPr>
        <w:t>(Lehéricy et al., 2004)</w:t>
      </w:r>
      <w:r w:rsidR="007D63E8">
        <w:rPr>
          <w:color w:val="292526"/>
        </w:rPr>
        <w:fldChar w:fldCharType="end"/>
      </w:r>
      <w:r w:rsidR="007D63E8">
        <w:rPr>
          <w:color w:val="292526"/>
        </w:rPr>
        <w:t>. Functional connectivity studies indicate that t</w:t>
      </w:r>
      <w:r w:rsidR="00010C9D">
        <w:rPr>
          <w:color w:val="292526"/>
        </w:rPr>
        <w:t xml:space="preserve">he </w:t>
      </w:r>
      <w:r w:rsidR="00802E41">
        <w:rPr>
          <w:color w:val="292526"/>
        </w:rPr>
        <w:t>body of the caudate nucleus</w:t>
      </w:r>
      <w:r w:rsidR="00DD12F4">
        <w:rPr>
          <w:color w:val="292526"/>
        </w:rPr>
        <w:t xml:space="preserve"> </w:t>
      </w:r>
      <w:r w:rsidR="007D63E8">
        <w:rPr>
          <w:color w:val="292526"/>
        </w:rPr>
        <w:t xml:space="preserve">also receives projections from temporal association cortex </w:t>
      </w:r>
      <w:r w:rsidR="00756BC5">
        <w:rPr>
          <w:color w:val="292526"/>
        </w:rPr>
        <w:fldChar w:fldCharType="begin"/>
      </w:r>
      <w:r w:rsidR="00ED5ABB">
        <w:rPr>
          <w:color w:val="292526"/>
        </w:rPr>
        <w:instrText xml:space="preserve"> ADDIN ZOTERO_ITEM CSL_CITATION {"citationID":"qJREgQQo","properties":{"formattedCitation":"(Choi et al., 2012)","plainCitation":"(Choi et al., 2012)","noteIndex":0},"citationItems":[{"id":1270,"uris":["http://zotero.org/users/5009496/items/2GN2525B"],"itemData":{"id":1270,"type":"article-journal","abstract":"The striatum is connected to the cerebral cortex through multiple anatomical loops that process sensory, limbic, and heteromodal information. Tract-tracing studies in the monkey reveal that these corticostriatal connections form stereotyped patterns in the striatum. Here the organization of the striatum was explored in the human with resting-state functional connectivity MRI (fcMRI). Data from 1,000 subjects were registered with nonlinear deformation of the striatum in combination with surface-based alignment of the cerebral cortex. fcMRI maps derived from seed regions placed in the foot and tongue representations of the motor cortex yielded the expected inverted somatotopy in the putamen. fcMRI maps derived from the supplementary motor area were located medially to the primary motor representation, also consistent with anatomical studies. The topography of the complete striatum was estimated and replicated by assigning each voxel in the striatum to its most strongly correlated cortical network in two independent groups of 500 subjects. The results revealed at least five cortical zones in the striatum linked to sensorimotor, premotor, limbic, and two association networks with a topography globally consistent with monkey anatomical studies. The majority of the human striatum was coupled to cortical association networks. Examining these association networks further revealed details that fractionated the five major networks. The resulting estimates of striatal organization provide a reference for exploring how the striatum contributes to processing motor, limbic, and heteromodal information through multiple large-scale corticostriatal circuits.","container-title":"Journal of Neurophysiology","DOI":"10.1152/jn.00270.2012","ISSN":"0022-3077, 1522-1598","issue":"8","journalAbbreviation":"Journal of Neurophysiology","language":"en","page":"2242-2263","source":"DOI.org (Crossref)","title":"The organization of the human striatum estimated by intrinsic functional connectivity","URL":"https://www.physiology.org/doi/10.1152/jn.00270.2012","volume":"108","author":[{"family":"Choi","given":"Eun Young"},{"family":"Yeo","given":"B. T. Thomas"},{"family":"Buckner","given":"Randy L."}],"accessed":{"date-parts":[["2021",7,28]]},"issued":{"date-parts":[["2012",10,15]]}}}],"schema":"https://github.com/citation-style-language/schema/raw/master/csl-citation.json"} </w:instrText>
      </w:r>
      <w:r w:rsidR="00756BC5">
        <w:rPr>
          <w:color w:val="292526"/>
        </w:rPr>
        <w:fldChar w:fldCharType="separate"/>
      </w:r>
      <w:r w:rsidR="00756BC5">
        <w:rPr>
          <w:noProof/>
          <w:color w:val="292526"/>
        </w:rPr>
        <w:t>(Choi et al., 2012)</w:t>
      </w:r>
      <w:r w:rsidR="00756BC5">
        <w:rPr>
          <w:color w:val="292526"/>
        </w:rPr>
        <w:fldChar w:fldCharType="end"/>
      </w:r>
      <w:r w:rsidR="00010C9D">
        <w:rPr>
          <w:color w:val="292526"/>
        </w:rPr>
        <w:t xml:space="preserve">. </w:t>
      </w:r>
      <w:r w:rsidR="00D8594A">
        <w:rPr>
          <w:color w:val="292526"/>
        </w:rPr>
        <w:t>Given our findings of differences in the body rather than the head of the caudate nuclei, further studies examining individual differences of microstructure and relevant behavioural tasks (e.g., auditory processing</w:t>
      </w:r>
      <w:r w:rsidR="00145FD2">
        <w:rPr>
          <w:color w:val="292526"/>
        </w:rPr>
        <w:t xml:space="preserve"> and </w:t>
      </w:r>
      <w:r w:rsidR="00D8594A">
        <w:rPr>
          <w:color w:val="292526"/>
        </w:rPr>
        <w:t>learning</w:t>
      </w:r>
      <w:r w:rsidR="00B04E3C">
        <w:rPr>
          <w:color w:val="292526"/>
        </w:rPr>
        <w:t>, or processing of rhythm</w:t>
      </w:r>
      <w:r w:rsidR="00D8594A">
        <w:rPr>
          <w:color w:val="292526"/>
        </w:rPr>
        <w:t>) are warranted.</w:t>
      </w:r>
    </w:p>
    <w:p w14:paraId="00FCC35C" w14:textId="77777777" w:rsidR="00010C9D" w:rsidRDefault="00010C9D" w:rsidP="00A22539">
      <w:pPr>
        <w:spacing w:line="360" w:lineRule="auto"/>
        <w:jc w:val="both"/>
        <w:rPr>
          <w:color w:val="292526"/>
        </w:rPr>
      </w:pPr>
    </w:p>
    <w:p w14:paraId="5226ED78" w14:textId="6CC1CDF5" w:rsidR="004B5968" w:rsidRDefault="00CE5BC9" w:rsidP="00A22539">
      <w:pPr>
        <w:spacing w:line="360" w:lineRule="auto"/>
        <w:jc w:val="both"/>
        <w:rPr>
          <w:color w:val="292526"/>
        </w:rPr>
      </w:pPr>
      <w:r>
        <w:rPr>
          <w:color w:val="292526"/>
        </w:rPr>
        <w:t>Although some previous work suggest</w:t>
      </w:r>
      <w:r w:rsidR="00754805">
        <w:rPr>
          <w:color w:val="292526"/>
        </w:rPr>
        <w:t>ed</w:t>
      </w:r>
      <w:r>
        <w:rPr>
          <w:color w:val="292526"/>
        </w:rPr>
        <w:t xml:space="preserve"> that striatal differences </w:t>
      </w:r>
      <w:r w:rsidR="00754805">
        <w:rPr>
          <w:color w:val="292526"/>
        </w:rPr>
        <w:t xml:space="preserve">were </w:t>
      </w:r>
      <w:r>
        <w:rPr>
          <w:color w:val="292526"/>
        </w:rPr>
        <w:t>normalised by adolescence</w:t>
      </w:r>
      <w:r w:rsidR="002B6620">
        <w:rPr>
          <w:color w:val="292526"/>
        </w:rPr>
        <w:t xml:space="preserve"> in children with DLD </w:t>
      </w:r>
      <w:r w:rsidR="002B6620">
        <w:rPr>
          <w:color w:val="292526"/>
        </w:rPr>
        <w:fldChar w:fldCharType="begin"/>
      </w:r>
      <w:r w:rsidR="00ED5ABB">
        <w:rPr>
          <w:color w:val="292526"/>
        </w:rPr>
        <w:instrText xml:space="preserve"> ADDIN ZOTERO_ITEM CSL_CITATION {"citationID":"N4HAgALV","properties":{"formattedCitation":"(Soriano\\uc0\\u8208{}Mas et al., 2009)","plainCitation":"(Soriano‐Mas et al., 2009)","noteIndex":0},"citationItems":[{"id":1152,"uris":["http://zotero.org/users/5009496/items/ZRVM8WUH"],"itemData":{"id":1152,"type":"article-journal","abstract":"Previous neuroimaging studies have suggested that children with specific language impairment (SLI) may show subtle anatomical alterations in specific brain regions. We aimed to characterize structural abnormalities in children with SLI using a voxel-wise analysis over the whole brain. Subjects covered a wide age range (5–17 years) in order to assess the dynamic nature of the disorder across childhood. Three-dimensional MRIs were collected from 36 children with SLI and from a comparable group of healthy controls. Global gray and white matter measurements were obtained for each subject, and voxel-based morphometry (VBM) was used to evaluate between-group differences in regional brain anatomy. Possible age-related changes were assessed in separate analyses of younger (below 11 years of age) and older children. SLI patients showed larger global gray and white matter volumes, particularly in the younger subgroup. Voxel-wise analyses of the whole sample showed two regions of increased gray matter volume in SLI: the right perisylvian region and the occipital petalia. Age-group analyses suggested a more extended pattern of volume increases in the younger subjects, which included entorhinal, temporopolar, caudate nucleus, motor-precentral and precuneus gray matter, and white matter of the frontal and temporal lobes. Our results suggest that in the SLI brain there are enduring anatomical alterations that exist across a wide age range, as well as a distributed pattern of abnormalities that appear to normalize with development. They also suggest that the neuroanatomical basis of SLI may be better characterized by considering the dynamic course of the disorder throughout childhood. Hum Brain Mapp 2009. © 2008 Wiley-Liss, Inc.","container-title":"Human Brain Mapping","DOI":"https://doi.org/10.1002/hbm.20620","ISSN":"1097-0193","issue":"5","language":"en","note":"_eprint: https://onlinelibrary.wiley.com/doi/pdf/10.1002/hbm.20620","page":"1626-1636","source":"Wiley Online Library","title":"Age-related brain structural alterations in children with specific language impairment","URL":"https://onlinelibrary.wiley.com/doi/abs/10.1002/hbm.20620","volume":"30","author":[{"family":"Soriano‐Mas","given":"Carles"},{"family":"Pujol","given":"Jesús"},{"family":"Ortiz","given":"Héctor"},{"family":"Deus","given":"Joan"},{"family":"López‐Sala","given":"Anna"},{"family":"Sans","given":"Anna"}],"accessed":{"date-parts":[["2020",12,9]]},"issued":{"date-parts":[["2009"]]}}}],"schema":"https://github.com/citation-style-language/schema/raw/master/csl-citation.json"} </w:instrText>
      </w:r>
      <w:r w:rsidR="002B6620">
        <w:rPr>
          <w:color w:val="292526"/>
        </w:rPr>
        <w:fldChar w:fldCharType="separate"/>
      </w:r>
      <w:r w:rsidR="002B6620" w:rsidRPr="002B6620">
        <w:rPr>
          <w:color w:val="000000"/>
        </w:rPr>
        <w:t>(Soriano‐Mas et al., 2009)</w:t>
      </w:r>
      <w:r w:rsidR="002B6620">
        <w:rPr>
          <w:color w:val="292526"/>
        </w:rPr>
        <w:fldChar w:fldCharType="end"/>
      </w:r>
      <w:r>
        <w:rPr>
          <w:color w:val="292526"/>
        </w:rPr>
        <w:t xml:space="preserve">, </w:t>
      </w:r>
      <w:r w:rsidR="00766724">
        <w:rPr>
          <w:color w:val="292526"/>
        </w:rPr>
        <w:t xml:space="preserve">our analyses </w:t>
      </w:r>
      <w:r w:rsidR="00802E41">
        <w:rPr>
          <w:color w:val="292526"/>
        </w:rPr>
        <w:t>do</w:t>
      </w:r>
      <w:r w:rsidR="00766724">
        <w:rPr>
          <w:color w:val="292526"/>
        </w:rPr>
        <w:t xml:space="preserve"> not show any evidence of </w:t>
      </w:r>
      <w:r w:rsidR="00802E41">
        <w:rPr>
          <w:color w:val="292526"/>
        </w:rPr>
        <w:t>group</w:t>
      </w:r>
      <w:r w:rsidR="007E63C3">
        <w:rPr>
          <w:color w:val="292526"/>
        </w:rPr>
        <w:t xml:space="preserve"> differences </w:t>
      </w:r>
      <w:r w:rsidR="00802E41">
        <w:rPr>
          <w:color w:val="292526"/>
        </w:rPr>
        <w:t xml:space="preserve">being modulated by age ( Figure </w:t>
      </w:r>
      <w:r w:rsidR="008778BD">
        <w:rPr>
          <w:color w:val="292526"/>
        </w:rPr>
        <w:t>1 – figure supplement 2</w:t>
      </w:r>
      <w:r w:rsidR="00802E41">
        <w:rPr>
          <w:color w:val="292526"/>
        </w:rPr>
        <w:t>)</w:t>
      </w:r>
      <w:r w:rsidR="00766724">
        <w:rPr>
          <w:color w:val="292526"/>
        </w:rPr>
        <w:t xml:space="preserve">. </w:t>
      </w:r>
      <w:r w:rsidR="007E63C3">
        <w:rPr>
          <w:color w:val="292526"/>
        </w:rPr>
        <w:t>Using the MPM protocols may give us a more sensitive marker of change</w:t>
      </w:r>
      <w:r w:rsidR="004F67D6">
        <w:rPr>
          <w:color w:val="292526"/>
        </w:rPr>
        <w:t xml:space="preserve"> to differences in DLD</w:t>
      </w:r>
      <w:r w:rsidR="007E63C3">
        <w:rPr>
          <w:color w:val="292526"/>
        </w:rPr>
        <w:t>.</w:t>
      </w:r>
      <w:r w:rsidR="004F67D6">
        <w:rPr>
          <w:color w:val="292526"/>
        </w:rPr>
        <w:t xml:space="preserve"> I</w:t>
      </w:r>
      <w:r w:rsidR="00802E41">
        <w:rPr>
          <w:color w:val="292526"/>
        </w:rPr>
        <w:t>n these analyses, it</w:t>
      </w:r>
      <w:r w:rsidR="004F67D6">
        <w:rPr>
          <w:color w:val="292526"/>
        </w:rPr>
        <w:t xml:space="preserve"> is perhaps surprising that we did not see age-related change</w:t>
      </w:r>
      <w:r w:rsidR="00802E41">
        <w:rPr>
          <w:color w:val="292526"/>
        </w:rPr>
        <w:t xml:space="preserve"> in the striatum within the time frame we sampled.</w:t>
      </w:r>
      <w:r w:rsidR="004F67D6">
        <w:rPr>
          <w:color w:val="292526"/>
        </w:rPr>
        <w:t xml:space="preserve"> </w:t>
      </w:r>
      <w:r w:rsidR="00802E41">
        <w:rPr>
          <w:color w:val="292526"/>
        </w:rPr>
        <w:t>L</w:t>
      </w:r>
      <w:r w:rsidR="005322B1">
        <w:rPr>
          <w:color w:val="292526"/>
        </w:rPr>
        <w:t xml:space="preserve">ongitudinal </w:t>
      </w:r>
      <w:r>
        <w:rPr>
          <w:color w:val="292526"/>
        </w:rPr>
        <w:t>work using MT</w:t>
      </w:r>
      <w:r w:rsidR="007E63C3">
        <w:rPr>
          <w:color w:val="292526"/>
        </w:rPr>
        <w:t>sat</w:t>
      </w:r>
      <w:r>
        <w:rPr>
          <w:color w:val="292526"/>
        </w:rPr>
        <w:t xml:space="preserve"> </w:t>
      </w:r>
      <w:r w:rsidR="005322B1">
        <w:rPr>
          <w:color w:val="292526"/>
        </w:rPr>
        <w:t>has demonstrated</w:t>
      </w:r>
      <w:r>
        <w:rPr>
          <w:color w:val="292526"/>
        </w:rPr>
        <w:t xml:space="preserve"> that the striatum </w:t>
      </w:r>
      <w:r w:rsidR="005322B1">
        <w:rPr>
          <w:color w:val="292526"/>
        </w:rPr>
        <w:t xml:space="preserve">continues to </w:t>
      </w:r>
      <w:r>
        <w:rPr>
          <w:color w:val="292526"/>
        </w:rPr>
        <w:t>mature through adolescence</w:t>
      </w:r>
      <w:r w:rsidR="007E63C3">
        <w:rPr>
          <w:color w:val="292526"/>
        </w:rPr>
        <w:t xml:space="preserve">, from 14 to 24 years of age </w:t>
      </w:r>
      <w:r w:rsidR="007E63C3">
        <w:rPr>
          <w:color w:val="292526"/>
        </w:rPr>
        <w:fldChar w:fldCharType="begin"/>
      </w:r>
      <w:r w:rsidR="00ED5ABB">
        <w:rPr>
          <w:color w:val="292526"/>
        </w:rPr>
        <w:instrText xml:space="preserve"> ADDIN ZOTERO_ITEM CSL_CITATION {"citationID":"g9ntHszX","properties":{"formattedCitation":"(NSPN Consortium et al., 2019)","plainCitation":"(NSPN Consortium et al., 2019)","noteIndex":0},"citationItems":[{"id":1179,"uris":["http://zotero.org/users/5009496/items/66E7A7U7"],"itemData":{"id":1179,"type":"article-journal","container-title":"Nature Neuroscience","DOI":"10.1038/s41593-019-0394-3","ISSN":"1097-6256, 1546-1726","issue":"6","journalAbbreviation":"Nat Neurosci","language":"en","page":"992-999","source":"DOI.org (Crossref)","title":"Compulsivity and impulsivity traits linked to attenuated developmental frontostriatal myelination trajectories","URL":"http://www.nature.com/articles/s41593-019-0394-3","volume":"22","author":[{"literal":"NSPN Consortium"},{"family":"Ziegler","given":"Gabriel"},{"family":"Hauser","given":"Tobias U."},{"family":"Moutoussis","given":"Michael"},{"family":"Bullmore","given":"Edward T."},{"family":"Goodyer","given":"Ian M."},{"family":"Fonagy","given":"Peter"},{"family":"Jones","given":"Peter B."},{"family":"Lindenberger","given":"Ulman"},{"family":"Dolan","given":"Raymond J."}],"accessed":{"date-parts":[["2021",3,3]]},"issued":{"date-parts":[["2019",6]]}}}],"schema":"https://github.com/citation-style-language/schema/raw/master/csl-citation.json"} </w:instrText>
      </w:r>
      <w:r w:rsidR="007E63C3">
        <w:rPr>
          <w:color w:val="292526"/>
        </w:rPr>
        <w:fldChar w:fldCharType="separate"/>
      </w:r>
      <w:r w:rsidR="007E63C3">
        <w:rPr>
          <w:noProof/>
          <w:color w:val="292526"/>
        </w:rPr>
        <w:t>(NSPN Consortium et al., 2019)</w:t>
      </w:r>
      <w:r w:rsidR="007E63C3">
        <w:rPr>
          <w:color w:val="292526"/>
        </w:rPr>
        <w:fldChar w:fldCharType="end"/>
      </w:r>
      <w:r w:rsidR="005322B1">
        <w:rPr>
          <w:color w:val="292526"/>
        </w:rPr>
        <w:t xml:space="preserve">. </w:t>
      </w:r>
      <w:r w:rsidR="00802E41">
        <w:rPr>
          <w:color w:val="292526"/>
        </w:rPr>
        <w:t xml:space="preserve">However, it may be that the time frame we sampled was too short, or that </w:t>
      </w:r>
      <w:r w:rsidR="00D35B3C">
        <w:rPr>
          <w:color w:val="292526"/>
        </w:rPr>
        <w:t xml:space="preserve">within-subject </w:t>
      </w:r>
      <w:r w:rsidR="00802E41">
        <w:rPr>
          <w:color w:val="292526"/>
        </w:rPr>
        <w:t>longitudinal studies</w:t>
      </w:r>
      <w:r w:rsidR="00754805">
        <w:rPr>
          <w:color w:val="292526"/>
        </w:rPr>
        <w:t xml:space="preserve">, which </w:t>
      </w:r>
      <w:r w:rsidR="0013116B">
        <w:rPr>
          <w:color w:val="292526"/>
        </w:rPr>
        <w:t>are</w:t>
      </w:r>
      <w:r w:rsidR="00D35B3C">
        <w:rPr>
          <w:color w:val="292526"/>
        </w:rPr>
        <w:t xml:space="preserve"> more sensitive to</w:t>
      </w:r>
      <w:r w:rsidR="00802E41">
        <w:rPr>
          <w:color w:val="292526"/>
        </w:rPr>
        <w:t xml:space="preserve"> change</w:t>
      </w:r>
      <w:r w:rsidR="00D35B3C">
        <w:rPr>
          <w:color w:val="292526"/>
        </w:rPr>
        <w:t>s</w:t>
      </w:r>
      <w:r w:rsidR="00802E41">
        <w:rPr>
          <w:color w:val="292526"/>
        </w:rPr>
        <w:t xml:space="preserve"> over time</w:t>
      </w:r>
      <w:r w:rsidR="00754805">
        <w:rPr>
          <w:color w:val="292526"/>
        </w:rPr>
        <w:t>, are needed</w:t>
      </w:r>
      <w:r w:rsidR="00802E41">
        <w:rPr>
          <w:color w:val="292526"/>
        </w:rPr>
        <w:t>.</w:t>
      </w:r>
    </w:p>
    <w:p w14:paraId="100FF286" w14:textId="43F9F5ED" w:rsidR="00BC0061" w:rsidRDefault="00BC0061" w:rsidP="00A22539">
      <w:pPr>
        <w:spacing w:line="360" w:lineRule="auto"/>
        <w:jc w:val="both"/>
        <w:rPr>
          <w:color w:val="292526"/>
        </w:rPr>
      </w:pPr>
    </w:p>
    <w:p w14:paraId="78A47E66" w14:textId="2554E279" w:rsidR="00CA2803" w:rsidRPr="00CA2803" w:rsidRDefault="00CA2803" w:rsidP="00A22539">
      <w:pPr>
        <w:spacing w:line="360" w:lineRule="auto"/>
        <w:jc w:val="both"/>
        <w:rPr>
          <w:b/>
          <w:bCs/>
          <w:i/>
          <w:iCs/>
          <w:color w:val="292526"/>
        </w:rPr>
      </w:pPr>
      <w:r>
        <w:rPr>
          <w:b/>
          <w:bCs/>
          <w:i/>
          <w:iCs/>
          <w:color w:val="292526"/>
        </w:rPr>
        <w:lastRenderedPageBreak/>
        <w:t xml:space="preserve">Genetic mechanisms underlying </w:t>
      </w:r>
      <w:r w:rsidR="006F49B6">
        <w:rPr>
          <w:b/>
          <w:bCs/>
          <w:i/>
          <w:iCs/>
          <w:color w:val="292526"/>
        </w:rPr>
        <w:t>group</w:t>
      </w:r>
      <w:r>
        <w:rPr>
          <w:b/>
          <w:bCs/>
          <w:i/>
          <w:iCs/>
          <w:color w:val="292526"/>
        </w:rPr>
        <w:t xml:space="preserve"> differences</w:t>
      </w:r>
      <w:r w:rsidR="006F49B6">
        <w:rPr>
          <w:b/>
          <w:bCs/>
          <w:i/>
          <w:iCs/>
          <w:color w:val="292526"/>
        </w:rPr>
        <w:t xml:space="preserve"> in the striatum</w:t>
      </w:r>
    </w:p>
    <w:p w14:paraId="675C69B9" w14:textId="0D365696" w:rsidR="00BC0061" w:rsidRDefault="00563FB1" w:rsidP="00A22539">
      <w:pPr>
        <w:spacing w:line="360" w:lineRule="auto"/>
        <w:jc w:val="both"/>
        <w:rPr>
          <w:color w:val="292526"/>
        </w:rPr>
      </w:pPr>
      <w:r w:rsidRPr="00E36F79">
        <w:rPr>
          <w:color w:val="292526"/>
        </w:rPr>
        <w:t>The genetic mechanisms that might drive these striatal changes are currently unclear. DLD is a highly heritable disorder but identification of genetic pathways has been difficult due to the broad phenotype and changes in diagnostic criteria</w:t>
      </w:r>
      <w:r>
        <w:rPr>
          <w:color w:val="292526"/>
        </w:rPr>
        <w:fldChar w:fldCharType="begin"/>
      </w:r>
      <w:r>
        <w:rPr>
          <w:color w:val="292526"/>
        </w:rPr>
        <w:instrText xml:space="preserve"> ADDIN ZOTERO_ITEM CSL_CITATION {"citationID":"drhY2Km3","properties":{"formattedCitation":"(for a recent review, see Mountford et al., 2022)","plainCitation":"(for a recent review, see Mountford et al., 2022)","noteIndex":0},"citationItems":[{"id":1628,"uris":["http://zotero.org/users/5009496/items/XWC9LYVW"],"itemData":{"id":1628,"type":"article-journal","abstract":"Language disorders are highly heritable and are influenced by complex interactions between genetic and environmental factors. Despite more than twenty years of research, we still lack critical understanding of the biological underpinnings of language. This review provides an overview of the genetic landscape of developmental language disorders (DLD), with an emphasis on the importance of defining the specific features (the phenotype) of DLD to inform gene discovery. We review the specific phenotype of DLD in the genetic literature, and the influence of historic variation in diagnostic inclusion criteria on researchers’ ability to compare and replicate genotype–phenotype studies. This review provides an overview of the recently identified gene pathways in populations with DLD and explores current state-of-the-art approaches to genetic analysis based on the hypothesised architecture of DLD. We will show how recent global efforts to unify diagnostic criteria have vastly increased sample size and allow for large multi-cohort metanalyses, leading the identification of a growing number of contributory loci. We emphasise the important role of estimating the genetic architecture of DLD to decipher underlying genetic associations. Finally, we explore the potential for epigenetics and environmental interactions to further unravel the biological basis of language disorders.","container-title":"Children","DOI":"10.3390/children9050586","ISSN":"2227-9067","issue":"5","language":"en","note":"number: 5\npublisher: Multidisciplinary Digital Publishing Institute","page":"586","source":"www.mdpi.com","title":"The Genetic and Molecular Basis of Developmental Language Disorder: A Review","title-short":"The Genetic and Molecular Basis of Developmental Language Disorder","URL":"https://www.mdpi.com/2227-9067/9/5/586","volume":"9","author":[{"family":"Mountford","given":"Hayley S."},{"family":"Braden","given":"Ruth"},{"family":"Newbury","given":"Dianne F."},{"family":"Morgan","given":"Angela T."}],"accessed":{"date-parts":[["2022",4,25]]},"issued":{"date-parts":[["2022",5]]}},"prefix":"for a recent review, see"}],"schema":"https://github.com/citation-style-language/schema/raw/master/csl-citation.json"} </w:instrText>
      </w:r>
      <w:r>
        <w:rPr>
          <w:color w:val="292526"/>
        </w:rPr>
        <w:fldChar w:fldCharType="separate"/>
      </w:r>
      <w:r>
        <w:rPr>
          <w:noProof/>
          <w:color w:val="292526"/>
        </w:rPr>
        <w:t>(for a recent review, see Mountford et al., 2022)</w:t>
      </w:r>
      <w:r>
        <w:rPr>
          <w:color w:val="292526"/>
        </w:rPr>
        <w:fldChar w:fldCharType="end"/>
      </w:r>
      <w:r w:rsidR="004962F4">
        <w:rPr>
          <w:color w:val="292526"/>
        </w:rPr>
        <w:t>.</w:t>
      </w:r>
      <w:r>
        <w:rPr>
          <w:color w:val="292526"/>
        </w:rPr>
        <w:t xml:space="preserve"> </w:t>
      </w:r>
      <w:r w:rsidRPr="00E36F79">
        <w:rPr>
          <w:color w:val="292526"/>
        </w:rPr>
        <w:t xml:space="preserve">In terms of monogenic disorders, the best known case is that of the KE family, the affected members of which had a rare point mutation in the gene </w:t>
      </w:r>
      <w:r w:rsidRPr="00E36F79">
        <w:rPr>
          <w:i/>
          <w:iCs/>
          <w:color w:val="292526"/>
        </w:rPr>
        <w:t>FOXP2</w:t>
      </w:r>
      <w:r w:rsidRPr="00E36F79">
        <w:rPr>
          <w:color w:val="292526"/>
        </w:rPr>
        <w:t xml:space="preserve"> causing verbal dyspraxia as well as the kinds of language learning difficulties seen in DLD.  The mutation in </w:t>
      </w:r>
      <w:r w:rsidRPr="00F97617">
        <w:rPr>
          <w:i/>
          <w:iCs/>
          <w:color w:val="292526"/>
        </w:rPr>
        <w:t>FOXP2</w:t>
      </w:r>
      <w:r w:rsidRPr="00E36F79">
        <w:rPr>
          <w:color w:val="292526"/>
        </w:rPr>
        <w:t xml:space="preserve"> was associated with reduced volumes of the caudate nuclei bilaterally in the KE family</w:t>
      </w:r>
      <w:r>
        <w:rPr>
          <w:color w:val="292526"/>
        </w:rPr>
        <w:t xml:space="preserve"> </w:t>
      </w:r>
      <w:r>
        <w:rPr>
          <w:color w:val="292526"/>
        </w:rPr>
        <w:fldChar w:fldCharType="begin"/>
      </w:r>
      <w:r>
        <w:rPr>
          <w:color w:val="292526"/>
        </w:rPr>
        <w:instrText xml:space="preserve"> ADDIN ZOTERO_ITEM CSL_CITATION {"citationID":"okKmAtES","properties":{"formattedCitation":"(Watkins, Vargha\\uc0\\u8208{}Khadem, et al., 2002)","plainCitation":"(Watkins, Vargha‐Khadem, et al., 2002)","noteIndex":0},"citationItems":[{"id":27,"uris":["http://zotero.org/users/5009496/items/9GQ6JRRQ"],"itemData":{"id":27,"type":"article-journal","abstract":"Abstract.  Analyses of brain structure in genetic speech and language disorders provide an opportunity to identify neurobiological phenotypes and further elucid","container-title":"Brain","DOI":"10.1093/brain/awf057","ISSN":"0006-8950","issue":"3","journalAbbreviation":"Brain","language":"en","page":"465-478","source":"academic.oup.com","title":"MRI analysis of an inherited speech and language disorder: structural brain abnormalities","title-short":"MRI analysis of an inherited speech and language disorder","URL":"https://academic.oup.com/brain/article/125/3/465/519110","volume":"125","author":[{"family":"Watkins","given":"K. E."},{"family":"Vargha‐Khadem","given":"F."},{"family":"Ashburner","given":"J."},{"family":"Passingham","given":"R. E."},{"family":"Connelly","given":"A."},{"family":"Friston","given":"K. J."},{"family":"Frackowiak","given":"R. S. J."},{"family":"Mishkin","given":"M."},{"family":"Gadian","given":"D. G."}],"accessed":{"date-parts":[["2018",7,3]]},"issued":{"date-parts":[["2002",3,1]]}}}],"schema":"https://github.com/citation-style-language/schema/raw/master/csl-citation.json"} </w:instrText>
      </w:r>
      <w:r>
        <w:rPr>
          <w:color w:val="292526"/>
        </w:rPr>
        <w:fldChar w:fldCharType="separate"/>
      </w:r>
      <w:r w:rsidRPr="00563FB1">
        <w:rPr>
          <w:color w:val="000000"/>
        </w:rPr>
        <w:t>(Watkins, Vargha‐Khadem, et al., 2002)</w:t>
      </w:r>
      <w:r>
        <w:rPr>
          <w:color w:val="292526"/>
        </w:rPr>
        <w:fldChar w:fldCharType="end"/>
      </w:r>
      <w:r>
        <w:rPr>
          <w:color w:val="292526"/>
        </w:rPr>
        <w:t xml:space="preserve">, </w:t>
      </w:r>
      <w:r w:rsidRPr="00E36F79">
        <w:rPr>
          <w:color w:val="292526"/>
        </w:rPr>
        <w:t>but it is unknown whether this was related to a quantitative difference in myelin content as seen here in DLD</w:t>
      </w:r>
      <w:r w:rsidR="004962F4">
        <w:rPr>
          <w:color w:val="292526"/>
        </w:rPr>
        <w:t xml:space="preserve">. </w:t>
      </w:r>
      <w:r w:rsidRPr="00F97617">
        <w:rPr>
          <w:i/>
          <w:iCs/>
          <w:color w:val="292526"/>
        </w:rPr>
        <w:t>FOXP2</w:t>
      </w:r>
      <w:r w:rsidRPr="00E36F79">
        <w:rPr>
          <w:color w:val="292526"/>
        </w:rPr>
        <w:t xml:space="preserve"> is strongly expressed in the medium-spiny neurons of the striatum in humans and other species, and in many other neural and non-neural tissues</w:t>
      </w:r>
      <w:r w:rsidR="00541F44">
        <w:rPr>
          <w:color w:val="292526"/>
        </w:rPr>
        <w:fldChar w:fldCharType="begin"/>
      </w:r>
      <w:r w:rsidR="00EF20C5">
        <w:rPr>
          <w:color w:val="292526"/>
        </w:rPr>
        <w:instrText xml:space="preserve"> ADDIN ZOTERO_ITEM CSL_CITATION {"citationID":"Fm3woEj2","properties":{"formattedCitation":"(Lai, 2003)","plainCitation":"(Lai, 2003)","noteIndex":0},"citationItems":[{"id":1633,"uris":["http://zotero.org/users/5009496/items/V3CU48C3"],"itemData":{"id":1633,"type":"article-journal","container-title":"Brain","DOI":"10.1093/brain/awg247","ISSN":"1460-2156","issue":"11","journalAbbreviation":"Brain","language":"en","page":"2455-2462","source":"DOI.org (Crossref)","title":"FOXP2 expression during brain development coincides with adult sites of pathology in a severe speech and language disorder","URL":"https://academic.oup.com/brain/article-lookup/doi/10.1093/brain/awg247","volume":"126","author":[{"family":"Lai","given":"C. S. L."}],"accessed":{"date-parts":[["2022",5,10]]},"issued":{"date-parts":[["2003",11,1]]}}}],"schema":"https://github.com/citation-style-language/schema/raw/master/csl-citation.json"} </w:instrText>
      </w:r>
      <w:r w:rsidR="00541F44">
        <w:rPr>
          <w:color w:val="292526"/>
        </w:rPr>
        <w:fldChar w:fldCharType="separate"/>
      </w:r>
      <w:r w:rsidR="00EF20C5">
        <w:rPr>
          <w:noProof/>
          <w:color w:val="292526"/>
        </w:rPr>
        <w:t>(Lai, 2003)</w:t>
      </w:r>
      <w:r w:rsidR="00541F44">
        <w:rPr>
          <w:color w:val="292526"/>
        </w:rPr>
        <w:fldChar w:fldCharType="end"/>
      </w:r>
      <w:r w:rsidRPr="00E36F79">
        <w:rPr>
          <w:color w:val="292526"/>
        </w:rPr>
        <w:t xml:space="preserve">. </w:t>
      </w:r>
      <w:r w:rsidRPr="00F97617">
        <w:rPr>
          <w:i/>
          <w:iCs/>
          <w:color w:val="292526"/>
        </w:rPr>
        <w:t>FOXP2</w:t>
      </w:r>
      <w:r w:rsidRPr="00E36F79">
        <w:rPr>
          <w:color w:val="292526"/>
        </w:rPr>
        <w:t xml:space="preserve"> is a transcription factor affecting the function of many downstream target genes, including </w:t>
      </w:r>
      <w:r w:rsidRPr="00F97617">
        <w:rPr>
          <w:i/>
          <w:iCs/>
          <w:color w:val="292526"/>
        </w:rPr>
        <w:t>CNTNAP2</w:t>
      </w:r>
      <w:r w:rsidRPr="00E36F79">
        <w:rPr>
          <w:color w:val="292526"/>
        </w:rPr>
        <w:t xml:space="preserve"> and </w:t>
      </w:r>
      <w:r w:rsidRPr="00F97617">
        <w:rPr>
          <w:i/>
          <w:iCs/>
          <w:color w:val="292526"/>
        </w:rPr>
        <w:t>FOXP1</w:t>
      </w:r>
      <w:r w:rsidRPr="00E36F79">
        <w:rPr>
          <w:i/>
          <w:iCs/>
          <w:color w:val="292526"/>
        </w:rPr>
        <w:t xml:space="preserve">, </w:t>
      </w:r>
      <w:r w:rsidRPr="00F97617">
        <w:rPr>
          <w:color w:val="292526"/>
        </w:rPr>
        <w:t>which in turn have been linked to phenotypic features of DLD</w:t>
      </w:r>
      <w:r w:rsidR="00763000">
        <w:rPr>
          <w:color w:val="292526"/>
        </w:rPr>
        <w:t xml:space="preserve"> </w:t>
      </w:r>
      <w:r w:rsidR="00F50D63">
        <w:rPr>
          <w:color w:val="292526"/>
        </w:rPr>
        <w:fldChar w:fldCharType="begin"/>
      </w:r>
      <w:r>
        <w:rPr>
          <w:color w:val="292526"/>
        </w:rPr>
        <w:instrText xml:space="preserve"> ADDIN ZOTERO_ITEM CSL_CITATION {"citationID":"EScOYt4U","properties":{"formattedCitation":"(Lozano et al., 2015; Vernes et al., 2008)","plainCitation":"(Lozano et al., 2015; Vernes et al., 2008)","noteIndex":0},"citationItems":[{"id":1631,"uris":["http://zotero.org/users/5009496/items/CY3EHA99"],"itemData":{"id":1631,"type":"article-journal","container-title":"European Journal of Human Genetics","DOI":"10.1038/ejhg.2015.66","ISSN":"1018-4813, 1476-5438","issue":"12","journalAbbreviation":"Eur J Hum Genet","language":"en","page":"1702-1707","source":"DOI.org (Crossref)","title":"A de novo FOXP1 variant in a patient with autism, intellectual disability and severe speech and language impairment","URL":"http://www.nature.com/articles/ejhg201566","volume":"23","author":[{"family":"Lozano","given":"Reymundo"},{"family":"Vino","given":"Arianna"},{"family":"Lozano","given":"Cristina"},{"family":"Fisher","given":"Simon E"},{"family":"Deriziotis","given":"Pelagia"}],"accessed":{"date-parts":[["2022",5,10]]},"issued":{"date-parts":[["2015",12]]}}},{"id":1470,"uris":["http://zotero.org/users/5009496/items/562W4BCF"],"itemData":{"id":1470,"type":"article-journal","abstract":"This study shows an association between variants of CNTNAP2 and a diminished ability to repeat nonsense words, a behavioral marker of specific language impairment. It suggests a common susceptibility factor for this disorder and autism, which has also been associated with some of the same variants in CNTNAP2.","container-title":"New England Journal of Medicine","DOI":"10.1056/NEJMoa0802828","ISSN":"0028-4793","issue":"22","note":"publisher: Massachusetts Medical Society\n_eprint: https://doi.org/10.1056/NEJMoa0802828\nPMID: 18987363","page":"2337-2345","source":"Taylor and Francis+NEJM","title":"A Functional Genetic Link between Distinct Developmental Language Disorders","URL":"https://doi.org/10.1056/NEJMoa0802828","volume":"359","author":[{"family":"Vernes","given":"Sonja C."},{"family":"Newbury","given":"Dianne F."},{"family":"Abrahams","given":"Brett S."},{"family":"Winchester","given":"Laura"},{"family":"Nicod","given":"Jérôme"},{"family":"Groszer","given":"Matthias"},{"family":"Alarcón","given":"Maricela"},{"family":"Oliver","given":"Peter L."},{"family":"Davies","given":"Kay E."},{"family":"Geschwind","given":"Daniel H."},{"family":"Monaco","given":"Anthony P."},{"family":"Fisher","given":"Simon E."}],"accessed":{"date-parts":[["2022",3,10]]},"issued":{"date-parts":[["2008",11,27]]}}}],"schema":"https://github.com/citation-style-language/schema/raw/master/csl-citation.json"} </w:instrText>
      </w:r>
      <w:r w:rsidR="00F50D63">
        <w:rPr>
          <w:color w:val="292526"/>
        </w:rPr>
        <w:fldChar w:fldCharType="separate"/>
      </w:r>
      <w:r>
        <w:rPr>
          <w:noProof/>
          <w:color w:val="292526"/>
        </w:rPr>
        <w:t>(Lozano et al., 2015; Vernes et al., 2008)</w:t>
      </w:r>
      <w:r w:rsidR="00F50D63">
        <w:rPr>
          <w:color w:val="292526"/>
        </w:rPr>
        <w:fldChar w:fldCharType="end"/>
      </w:r>
      <w:r w:rsidR="00165C95">
        <w:rPr>
          <w:color w:val="292526"/>
        </w:rPr>
        <w:t xml:space="preserve">. </w:t>
      </w:r>
      <w:r w:rsidRPr="00E36F79">
        <w:rPr>
          <w:color w:val="292526"/>
        </w:rPr>
        <w:t>Aside from identifying rare monogenic causes of DLD, other approaches have yielded common risk variants that explain variances in phenotypic features of DLD, including phonological skills</w:t>
      </w:r>
      <w:r w:rsidR="00EF20C5">
        <w:rPr>
          <w:color w:val="292526"/>
        </w:rPr>
        <w:t xml:space="preserve"> </w:t>
      </w:r>
      <w:r w:rsidR="00EF20C5">
        <w:rPr>
          <w:color w:val="292526"/>
        </w:rPr>
        <w:fldChar w:fldCharType="begin"/>
      </w:r>
      <w:r w:rsidR="00EF20C5">
        <w:rPr>
          <w:color w:val="292526"/>
        </w:rPr>
        <w:instrText xml:space="preserve"> ADDIN ZOTERO_ITEM CSL_CITATION {"citationID":"BiWJjSgi","properties":{"formattedCitation":"(Newbury et al., 2009)","plainCitation":"(Newbury et al., 2009)","noteIndex":0},"citationItems":[{"id":1635,"uris":["http://zotero.org/users/5009496/items/YYD8MIHP"],"itemData":{"id":1635,"type":"article-journal","container-title":"The American Journal of Human Genetics","DOI":"10.1016/j.ajhg.2009.07.004","ISSN":"00029297","issue":"2","journalAbbreviation":"The American Journal of Human Genetics","language":"en","page":"264-272","source":"DOI.org (Crossref)","title":"CMIP and ATP2C2 Modulate Phonological Short-Term Memory in Language Impairment","URL":"https://linkinghub.elsevier.com/retrieve/pii/S000292970900295X","volume":"85","author":[{"family":"Newbury","given":"Dianne F."},{"family":"Winchester","given":"Laura"},{"family":"Addis","given":"Laura"},{"family":"Paracchini","given":"Silvia"},{"family":"Buckingham","given":"Lyn-Louise"},{"family":"Clark","given":"Ann"},{"family":"Cohen","given":"Wendy"},{"family":"Cowie","given":"Hilary"},{"family":"Dworzynski","given":"Katharina"},{"family":"Everitt","given":"Andrea"},{"family":"Goodyer","given":"Ian M."},{"family":"Hennessy","given":"Elizabeth"},{"family":"Kindley","given":"A. David"},{"family":"Miller","given":"Laura L."},{"family":"Nasir","given":"Jamal"},{"family":"O'Hare","given":"Anne"},{"family":"Shaw","given":"Duncan"},{"family":"Simkin","given":"Zoe"},{"family":"Simonoff","given":"Emily"},{"family":"Slonims","given":"Vicky"},{"family":"Watson","given":"Jocelynne"},{"family":"Ragoussis","given":"Jiannis"},{"family":"Fisher","given":"Simon E."},{"family":"Seckl","given":"Jonathon R."},{"family":"Helms","given":"Peter J."},{"family":"Bolton","given":"Patrick F."},{"family":"Pickles","given":"Andrew"},{"family":"Conti-Ramsden","given":"Gina"},{"family":"Baird","given":"Gillian"},{"family":"Bishop","given":"Dorothy V.M."},{"family":"Monaco","given":"Anthony P."}],"accessed":{"date-parts":[["2022",5,10]]},"issued":{"date-parts":[["2009",8]]}}}],"schema":"https://github.com/citation-style-language/schema/raw/master/csl-citation.json"} </w:instrText>
      </w:r>
      <w:r w:rsidR="00EF20C5">
        <w:rPr>
          <w:color w:val="292526"/>
        </w:rPr>
        <w:fldChar w:fldCharType="separate"/>
      </w:r>
      <w:r w:rsidR="00EF20C5">
        <w:rPr>
          <w:noProof/>
          <w:color w:val="292526"/>
        </w:rPr>
        <w:t>(Newbury et al., 2009)</w:t>
      </w:r>
      <w:r w:rsidR="00EF20C5">
        <w:rPr>
          <w:color w:val="292526"/>
        </w:rPr>
        <w:fldChar w:fldCharType="end"/>
      </w:r>
      <w:r>
        <w:rPr>
          <w:color w:val="292526"/>
        </w:rPr>
        <w:t xml:space="preserve">. </w:t>
      </w:r>
      <w:r w:rsidR="00EF20C5" w:rsidRPr="00E36F79">
        <w:rPr>
          <w:color w:val="292526"/>
        </w:rPr>
        <w:t>A recent meta-analysis of DLD genome-wide association studies (GWAS) of reading and language traits with an N &gt;30,000 found significant genome-wide association with word reading and distinct genetic variation of word and nonword reading, spelling and phoneme awareness that correlated with cortical surface area of the left superior temporal sulcus</w:t>
      </w:r>
      <w:r w:rsidR="00EF20C5">
        <w:rPr>
          <w:color w:val="292526"/>
        </w:rPr>
        <w:t xml:space="preserve"> </w:t>
      </w:r>
      <w:r w:rsidR="00FD2084">
        <w:rPr>
          <w:color w:val="292526"/>
        </w:rPr>
        <w:fldChar w:fldCharType="begin"/>
      </w:r>
      <w:r w:rsidR="00FD2084">
        <w:rPr>
          <w:color w:val="292526"/>
        </w:rPr>
        <w:instrText xml:space="preserve"> ADDIN ZOTERO_ITEM CSL_CITATION {"citationID":"jo3OW3YW","properties":{"formattedCitation":"(Eising et al., 2021)","plainCitation":"(Eising et al., 2021)","noteIndex":0},"citationItems":[{"id":1466,"uris":["http://zotero.org/users/5009496/items/DAT8VHUE"],"itemData":{"id":1466,"type":"report","abstract":"The use of spoken and written language is a capacity that is unique to humans. Individual differences in reading- and language-related skills are influenced by genetic variation, with twin-based heritability estimates of 30-80%, depending on the trait. The relevant genetic architecture is complex, heterogeneous, and multifactorial, and yet to be investigated with well-powered studies. Here, we present a multicohort genome-wide association study (GWAS) of five traits assessed individually using psychometric measures: word reading, nonword reading, spelling, phoneme awareness, and nonword repetition, with total sample sizes ranging from 13,633 to 33,959 participants aged 5-26 years (12,411 to 27,180 for those with European ancestry, defined by principal component analyses). We identified a genome-wide significant association with word reading (rs11208009, p=1.098 x 10-8) independent of known loci associated with intelligence or educational attainment. All five reading-/language-related traits had robust SNP-heritability estimates (0.13–0.26), and genetic correlations between them were modest to high. Using genomic structural equation modelling, we found evidence for a shared genetic factor explaining the majority of variation in word and nonword reading, spelling, and phoneme awareness, which only partially overlapped with genetic variation contributing to nonword repetition, intelligence and educational attainment. A multivariate GWAS was performed to jointly analyse word and nonword reading, spelling, and phoneme awareness, maximizing power for follow-up investigation. Genetic correlation analysis of multivariate GWAS results with neuroimaging traits identified association with cortical surface area of the banks of the left superior temporal sulcus, a brain region with known links to processing of spoken and written language. Analysis of evolutionary annotations on the lineage that led to modern humans showed enriched heritability in regions depleted of Neanderthal variants. Together, these results provide new avenues for deciphering the biological underpinnings of these uniquely human traits.","genre":"preprint","language":"en","note":"DOI: 10.1101/2021.11.04.466897","publisher":"Genomics","source":"DOI.org (Crossref)","title":"Genome-wide association analyses of individual differences in quantitatively assessed reading- and language-related skills in up to 34,000 people","URL":"http://biorxiv.org/lookup/doi/10.1101/2021.11.04.466897","author":[{"family":"Eising","given":"Else"},{"family":"Mirza-Schreiber","given":"Nazanin"},{"family":"Zeeuw","given":"Eveline L.","non-dropping-particle":"de"},{"family":"Wang","given":"Carol A."},{"family":"Truong","given":"Dongnhu T."},{"family":"Allegrini","given":"Andrea G."},{"family":"Shapland","given":"Chin Yang"},{"family":"Zhu","given":"Gu"},{"family":"Wigg","given":"Karen G."},{"family":"Gerritse","given":"Margot"},{"family":"Molz","given":"Barbara"},{"family":"Alagöz","given":"Gökberk"},{"family":"Gialluisi","given":"Alessandro"},{"family":"Abbondanza","given":"Filippo"},{"family":"Rimfeld","given":"Kaili"},{"family":"Donkelaar","given":"Marjolein","non-dropping-particle":"van"},{"family":"Liao","given":"Zhijie"},{"family":"Jansen","given":"Philip R."},{"family":"Andlauer","given":"Till F. M."},{"family":"Bates","given":"Timothy C."},{"family":"Bernard","given":"Manon"},{"family":"Blokland","given":"Kirsten"},{"family":"Børglum","given":"Anders D."},{"family":"Bourgeron","given":"Thomas"},{"family":"Brandeis","given":"Daniel"},{"family":"Ceroni","given":"Fabiola"},{"family":"Dale","given":"Philip S."},{"family":"Landerl","given":"Karin"},{"family":"Lyytinen","given":"Heikki"},{"family":"Jong","given":"Peter F.","non-dropping-particle":"de"},{"family":"DeFries","given":"John C."},{"family":"Demontis","given":"Ditte"},{"family":"Feng","given":"Yu"},{"family":"Gordon","given":"Scott D."},{"family":"Guger","given":"Sharon L."},{"family":"Hayiou-Thomas","given":"Marianna E."},{"family":"Hernández-Cabrera","given":"Juan A."},{"family":"Hottenga","given":"Jouke-Jan"},{"family":"Hulme","given":"Charles"},{"family":"Kerr","given":"Elizabeth N."},{"family":"Koomar","given":"Tanner"},{"family":"Lovett","given":"Maureen W."},{"family":"Martin","given":"Nicholas G."},{"family":"Martinelli","given":"Angela"},{"family":"Maurer","given":"Urs"},{"family":"Michaelson","given":"Jacob J."},{"family":"Moll","given":"Kristina"},{"family":"Monaco","given":"Anthony P."},{"family":"Morgan","given":"Angela T."},{"family":"Nöthen","given":"Markus M."},{"family":"Pausova","given":"Zdenka"},{"family":"Pennell","given":"Craig E."},{"family":"Pennington","given":"Bruce F"},{"family":"Price","given":"Kaitlyn M."},{"family":"Rajagopal","given":"Veera M."},{"family":"Ramus","given":"Frank"},{"family":"Richer","given":"Louis"},{"family":"Simpson","given":"Nuala H."},{"family":"Smith","given":"Shelley"},{"family":"Snowling","given":"Margaret J."},{"family":"Stein","given":"John"},{"family":"Strug","given":"Lisa J."},{"family":"Talcott","given":"Joel B."},{"family":"Tiemeier","given":"Henning"},{"family":"Schroeff","given":"Marc M.P.","non-dropping-particle":"van de"},{"family":"Verhoef","given":"Ellen"},{"family":"Watkins","given":"Kate E."},{"family":"Wilkinson","given":"Margaret"},{"family":"Wright","given":"Margaret J."},{"family":"Barr","given":"Cathy L."},{"family":"Boomsma","given":"Dorret I."},{"family":"Carreiras","given":"Manuel"},{"family":"Franken","given":"Marie-Christine J."},{"family":"Gruen","given":"Jeffrey R."},{"family":"Luciano","given":"Michelle"},{"family":"Müller-Myhsok","given":"Bertram"},{"family":"Newbury","given":"Dianne F."},{"family":"Olson","given":"Richard K."},{"family":"Paracchini","given":"Silvia"},{"family":"Paus","given":"Tomas"},{"family":"Plomin","given":"Robert"},{"family":"Schulte-Körne","given":"Gerd"},{"family":"Reilly","given":"Sheena"},{"family":"Tomblin","given":"J. Bruce"},{"family":"Bergen","given":"Elsje","non-dropping-particle":"van"},{"family":"Whitehouse","given":"Andrew J.O."},{"family":"Willcutt","given":"Erik G."},{"family":"Pourcain","given":"Beate St"},{"family":"Francks","given":"Clyde"},{"family":"Fisher","given":"Simon E."}],"accessed":{"date-parts":[["2022",3,10]]},"issued":{"date-parts":[["2021",11,4]]}}}],"schema":"https://github.com/citation-style-language/schema/raw/master/csl-citation.json"} </w:instrText>
      </w:r>
      <w:r w:rsidR="00FD2084">
        <w:rPr>
          <w:color w:val="292526"/>
        </w:rPr>
        <w:fldChar w:fldCharType="separate"/>
      </w:r>
      <w:r w:rsidR="00FD2084">
        <w:rPr>
          <w:noProof/>
          <w:color w:val="292526"/>
        </w:rPr>
        <w:t>(Eising et al., 2021)</w:t>
      </w:r>
      <w:r w:rsidR="00FD2084">
        <w:rPr>
          <w:color w:val="292526"/>
        </w:rPr>
        <w:fldChar w:fldCharType="end"/>
      </w:r>
      <w:r w:rsidR="00763000">
        <w:rPr>
          <w:color w:val="292526"/>
        </w:rPr>
        <w:t>.</w:t>
      </w:r>
      <w:r w:rsidR="00FD2084">
        <w:rPr>
          <w:color w:val="292526"/>
        </w:rPr>
        <w:t xml:space="preserve"> </w:t>
      </w:r>
      <w:r w:rsidR="00EF20C5" w:rsidRPr="00E36F79">
        <w:rPr>
          <w:color w:val="292526"/>
        </w:rPr>
        <w:t xml:space="preserve">Interestingly, in our study, the posterior part of the superior temporal sulcus in the left hemisphere showed significantly reduced MTsat and R1 values in children with DLD (see Figures 1, 2 and 3).  </w:t>
      </w:r>
    </w:p>
    <w:p w14:paraId="007F26F8" w14:textId="29069EAF" w:rsidR="004B5968" w:rsidRDefault="004B5968" w:rsidP="00A22539">
      <w:pPr>
        <w:spacing w:line="360" w:lineRule="auto"/>
        <w:jc w:val="both"/>
        <w:rPr>
          <w:color w:val="292526"/>
        </w:rPr>
      </w:pPr>
    </w:p>
    <w:p w14:paraId="4089ED0C" w14:textId="0A140842" w:rsidR="00CE5BC9" w:rsidRDefault="007D18DA" w:rsidP="00A22539">
      <w:pPr>
        <w:spacing w:line="360" w:lineRule="auto"/>
        <w:jc w:val="both"/>
        <w:rPr>
          <w:color w:val="292526"/>
        </w:rPr>
      </w:pPr>
      <w:r>
        <w:rPr>
          <w:b/>
          <w:bCs/>
          <w:i/>
          <w:iCs/>
          <w:color w:val="292526"/>
        </w:rPr>
        <w:t>Neural d</w:t>
      </w:r>
      <w:r w:rsidR="004B5968" w:rsidRPr="004B5968">
        <w:rPr>
          <w:b/>
          <w:bCs/>
          <w:i/>
          <w:iCs/>
          <w:color w:val="292526"/>
        </w:rPr>
        <w:t>ifferences beyond the striatum</w:t>
      </w:r>
    </w:p>
    <w:p w14:paraId="6B36E7C4" w14:textId="02EBA90B" w:rsidR="007D63E8" w:rsidRDefault="00BD6195" w:rsidP="00A22539">
      <w:pPr>
        <w:spacing w:line="360" w:lineRule="auto"/>
        <w:jc w:val="both"/>
        <w:rPr>
          <w:color w:val="292526"/>
        </w:rPr>
      </w:pPr>
      <w:r>
        <w:rPr>
          <w:color w:val="292526"/>
        </w:rPr>
        <w:t>W</w:t>
      </w:r>
      <w:r w:rsidR="007E63C3">
        <w:rPr>
          <w:color w:val="292526"/>
        </w:rPr>
        <w:t xml:space="preserve">e </w:t>
      </w:r>
      <w:r>
        <w:rPr>
          <w:color w:val="292526"/>
        </w:rPr>
        <w:t xml:space="preserve">also </w:t>
      </w:r>
      <w:r w:rsidR="007E63C3">
        <w:rPr>
          <w:color w:val="292526"/>
        </w:rPr>
        <w:t xml:space="preserve">observed </w:t>
      </w:r>
      <w:r w:rsidR="00D35B3C">
        <w:rPr>
          <w:color w:val="292526"/>
        </w:rPr>
        <w:t xml:space="preserve">MTsat changes indicative of </w:t>
      </w:r>
      <w:r w:rsidR="00050984">
        <w:rPr>
          <w:color w:val="292526"/>
        </w:rPr>
        <w:t xml:space="preserve">myelin-related </w:t>
      </w:r>
      <w:r w:rsidR="007E63C3">
        <w:rPr>
          <w:color w:val="292526"/>
        </w:rPr>
        <w:t xml:space="preserve">differences </w:t>
      </w:r>
      <w:r w:rsidR="00D35B3C">
        <w:rPr>
          <w:color w:val="292526"/>
        </w:rPr>
        <w:t xml:space="preserve">in </w:t>
      </w:r>
      <w:r w:rsidR="007E63C3">
        <w:rPr>
          <w:color w:val="292526"/>
        </w:rPr>
        <w:t xml:space="preserve">the </w:t>
      </w:r>
      <w:r w:rsidR="00B16C7B">
        <w:rPr>
          <w:color w:val="292526"/>
        </w:rPr>
        <w:t xml:space="preserve">posterior part of the inferior frontal gyrus, </w:t>
      </w:r>
      <w:r w:rsidR="007E63C3">
        <w:rPr>
          <w:color w:val="292526"/>
        </w:rPr>
        <w:t xml:space="preserve">ventral sensorimotor cortex, </w:t>
      </w:r>
      <w:r w:rsidR="00D655B3">
        <w:rPr>
          <w:color w:val="292526"/>
        </w:rPr>
        <w:t xml:space="preserve">insula, </w:t>
      </w:r>
      <w:r w:rsidR="007E63C3">
        <w:rPr>
          <w:color w:val="292526"/>
        </w:rPr>
        <w:t xml:space="preserve">planum temporale, </w:t>
      </w:r>
      <w:r w:rsidR="00D655B3">
        <w:rPr>
          <w:color w:val="292526"/>
        </w:rPr>
        <w:t xml:space="preserve">lateral </w:t>
      </w:r>
      <w:r w:rsidR="007E63C3">
        <w:rPr>
          <w:color w:val="292526"/>
        </w:rPr>
        <w:t xml:space="preserve">Heschl’s gyrus, and </w:t>
      </w:r>
      <w:r w:rsidR="00D655B3">
        <w:rPr>
          <w:color w:val="292526"/>
        </w:rPr>
        <w:t>the</w:t>
      </w:r>
      <w:r w:rsidR="007E63C3">
        <w:rPr>
          <w:color w:val="292526"/>
        </w:rPr>
        <w:t xml:space="preserve"> superior temporal </w:t>
      </w:r>
      <w:r w:rsidR="00D655B3">
        <w:rPr>
          <w:color w:val="292526"/>
        </w:rPr>
        <w:t>sulcus</w:t>
      </w:r>
      <w:r w:rsidR="00B16C7B">
        <w:rPr>
          <w:color w:val="292526"/>
        </w:rPr>
        <w:t>, all in the left hemisphere</w:t>
      </w:r>
      <w:r w:rsidR="00CE5BC9">
        <w:rPr>
          <w:color w:val="292526"/>
        </w:rPr>
        <w:t>.</w:t>
      </w:r>
      <w:r w:rsidR="007E63C3">
        <w:rPr>
          <w:color w:val="292526"/>
        </w:rPr>
        <w:t xml:space="preserve"> </w:t>
      </w:r>
      <w:r w:rsidR="00330E65">
        <w:rPr>
          <w:color w:val="292526"/>
        </w:rPr>
        <w:t>R</w:t>
      </w:r>
      <w:r w:rsidR="007E63C3">
        <w:rPr>
          <w:color w:val="292526"/>
        </w:rPr>
        <w:t xml:space="preserve">egions </w:t>
      </w:r>
      <w:r w:rsidR="00330E65">
        <w:rPr>
          <w:color w:val="292526"/>
        </w:rPr>
        <w:t xml:space="preserve">such as the </w:t>
      </w:r>
      <w:r w:rsidR="00B16C7B">
        <w:rPr>
          <w:color w:val="292526"/>
        </w:rPr>
        <w:t>inferior frontal cortex and posterior superior temporal cortex</w:t>
      </w:r>
      <w:r w:rsidR="00330E65">
        <w:rPr>
          <w:color w:val="292526"/>
        </w:rPr>
        <w:t xml:space="preserve"> are considered core</w:t>
      </w:r>
      <w:r w:rsidR="007E63C3">
        <w:rPr>
          <w:color w:val="292526"/>
        </w:rPr>
        <w:t xml:space="preserve"> part</w:t>
      </w:r>
      <w:r w:rsidR="00330E65">
        <w:rPr>
          <w:color w:val="292526"/>
        </w:rPr>
        <w:t>s</w:t>
      </w:r>
      <w:r w:rsidR="007E63C3">
        <w:rPr>
          <w:color w:val="292526"/>
        </w:rPr>
        <w:t xml:space="preserve"> of the speech and language network</w:t>
      </w:r>
      <w:r w:rsidR="00D655B3">
        <w:rPr>
          <w:color w:val="292526"/>
        </w:rPr>
        <w:t xml:space="preserve"> </w:t>
      </w:r>
      <w:r w:rsidR="00D655B3">
        <w:rPr>
          <w:color w:val="292526"/>
        </w:rPr>
        <w:fldChar w:fldCharType="begin"/>
      </w:r>
      <w:r w:rsidR="00ED5ABB">
        <w:rPr>
          <w:color w:val="292526"/>
        </w:rPr>
        <w:instrText xml:space="preserve"> ADDIN ZOTERO_ITEM CSL_CITATION {"citationID":"I6odojlU","properties":{"formattedCitation":"(Ayyash et al., 2021; Fedorenko et al., 2011; Hickok &amp; Poeppel, 2007; J. P. Rauschecker &amp; Scott, 2009)","plainCitation":"(Ayyash et al., 2021; Fedorenko et al., 2011; Hickok &amp; Poeppel, 2007; J. P. Rauschecker &amp; Scott, 2009)","noteIndex":0},"citationItems":[{"id":1312,"uris":["http://zotero.org/users/5009496/items/26DKDJZV"],"itemData":{"id":1312,"type":"report","abstract":"Abstract\n          To understand the architecture of human language, it is critical to examine diverse languages; yet most cognitive neuroscience research has focused on a handful of primarily Indo-European languages. Here, we report a large-scale investigation of the fronto-temporal language network across 45 languages and establish the cross-linguistic generality of its key functional properties, including general topography, left-lateralization, strong functional integration among its brain regions, and functional selectivity for language processing.","genre":"preprint","language":"en","note":"DOI: 10.1101/2021.07.28.454040","publisher":"Neuroscience","source":"DOI.org (Crossref)","title":"The universal language network: A cross-linguistic investigation spanning 45 languages and 11 language families","title-short":"The universal language network","URL":"http://biorxiv.org/lookup/doi/10.1101/2021.07.28.454040","author":[{"family":"Ayyash","given":"Dima"},{"family":"Malik-Moraleda","given":"Saima"},{"family":"Gallée","given":"Jeanne"},{"family":"Affourtit","given":"Josef"},{"family":"Hoffman","given":"Malte"},{"family":"Mineroff","given":"Zachary"},{"family":"Jouravlev","given":"Olessia"},{"family":"Fedorenko","given":"Evelina"}],"accessed":{"date-parts":[["2021",8,19]]},"issued":{"date-parts":[["2021",7,29]]}}},{"id":1314,"uris":["http://zotero.org/users/5009496/items/MPTKZ8RF"],"itemData":{"id":1314,"type":"article-journal","container-title":"Proceedings of the National Academy of Sciences","DOI":"10.1073/pnas.1112937108","ISSN":"0027-8424, 1091-6490","issue":"39","journalAbbreviation":"Proceedings of the National Academy of Sciences","language":"en","page":"16428-16433","source":"DOI.org (Crossref)","title":"Functional specificity for high-level linguistic processing in the human brain","URL":"http://www.pnas.org/cgi/doi/10.1073/pnas.1112937108","volume":"108","author":[{"family":"Fedorenko","given":"E."},{"family":"Behr","given":"M. K."},{"family":"Kanwisher","given":"N."}],"accessed":{"date-parts":[["2021",8,19]]},"issued":{"date-parts":[["2011",9,27]]}}},{"id":1311,"uris":["http://zotero.org/users/5009496/items/KBTKYEIW"],"itemData":{"id":1311,"type":"article-journal","container-title":"Nature Reviews Neuroscience","DOI":"10.1038/nrn2113","ISSN":"1471-003X, 1471-0048","issue":"5","journalAbbreviation":"Nat Rev Neurosci","language":"en","page":"393-402","source":"DOI.org (Crossref)","title":"The cortical organization of speech processing","URL":"http://www.nature.com/articles/nrn2113","volume":"8","author":[{"family":"Hickok","given":"Gregory"},{"family":"Poeppel","given":"David"}],"accessed":{"date-parts":[["2021",8,19]]},"issued":{"date-parts":[["2007",5]]}}},{"id":1306,"uris":["http://zotero.org/users/5009496/items/7YSU4LIJ"],"itemData":{"id":1306,"type":"article-journal","container-title":"Nature Neuroscience","DOI":"10.1038/nn.2331","ISSN":"1097-6256, 1546-1726","issue":"6","journalAbbreviation":"Nat Neurosci","language":"en","page":"718-724","source":"DOI.org (Crossref)","title":"Maps and streams in the auditory cortex: nonhuman primates illuminate human speech processing","title-short":"Maps and streams in the auditory cortex","URL":"http://www.nature.com/articles/nn.2331","volume":"12","author":[{"family":"Rauschecker","given":"Josef P"},{"family":"Scott","given":"Sophie K"}],"accessed":{"date-parts":[["2021",8,19]]},"issued":{"date-parts":[["2009",6]]}}}],"schema":"https://github.com/citation-style-language/schema/raw/master/csl-citation.json"} </w:instrText>
      </w:r>
      <w:r w:rsidR="00D655B3">
        <w:rPr>
          <w:color w:val="292526"/>
        </w:rPr>
        <w:fldChar w:fldCharType="separate"/>
      </w:r>
      <w:r w:rsidR="00ED5ABB">
        <w:rPr>
          <w:noProof/>
          <w:color w:val="292526"/>
        </w:rPr>
        <w:t>(Ayyash et al., 2021; Fedorenko et al., 2011; Hickok &amp; Poeppel, 2007; Rauschecker &amp; Scott, 2009)</w:t>
      </w:r>
      <w:r w:rsidR="00D655B3">
        <w:rPr>
          <w:color w:val="292526"/>
        </w:rPr>
        <w:fldChar w:fldCharType="end"/>
      </w:r>
      <w:r w:rsidR="00330E65">
        <w:rPr>
          <w:color w:val="292526"/>
        </w:rPr>
        <w:t>, and ventral sensorimotor cortex and insula are regions that are clearly implicated in speech motor control</w:t>
      </w:r>
      <w:r w:rsidR="00D655B3">
        <w:rPr>
          <w:color w:val="292526"/>
        </w:rPr>
        <w:t xml:space="preserve"> </w:t>
      </w:r>
      <w:r w:rsidR="00D655B3">
        <w:rPr>
          <w:color w:val="292526"/>
        </w:rPr>
        <w:fldChar w:fldCharType="begin"/>
      </w:r>
      <w:r w:rsidR="00ED5ABB">
        <w:rPr>
          <w:color w:val="292526"/>
        </w:rPr>
        <w:instrText xml:space="preserve"> ADDIN ZOTERO_ITEM CSL_CITATION {"citationID":"ygONz60u","properties":{"formattedCitation":"(Bouchard et al., 2013; Carey et al., 2017; Dronkers, 1996; Wise et al., 1999)","plainCitation":"(Bouchard et al., 2013; Carey et al., 2017; Dronkers, 1996; Wise et al., 1999)","noteIndex":0},"citationItems":[{"id":1304,"uris":["http://zotero.org/users/5009496/items/WQ5KXEXQ"],"itemData":{"id":1304,"type":"article-journal","container-title":"Nature","DOI":"10.1038/nature11911","ISSN":"0028-0836, 1476-4687","issue":"7441","journalAbbreviation":"Nature","language":"en","page":"327-332","source":"DOI.org (Crossref)","title":"Functional organization of human sensorimotor cortex for speech articulation","URL":"http://www.nature.com/articles/nature11911","volume":"495","author":[{"family":"Bouchard","given":"Kristofer E."},{"family":"Mesgarani","given":"Nima"},{"family":"Johnson","given":"Keith"},{"family":"Chang","given":"Edward F."}],"accessed":{"date-parts":[["2021",8,19]]},"issued":{"date-parts":[["2013",3,21]]}}},{"id":509,"uris":["http://zotero.org/users/5009496/items/HXKC9944"],"itemData":{"id":509,"type":"article-journal","abstract":"Abstract.  Speech articulation requires precise control of and coordination between the effectors of the vocal tract (e.g., lips, tongue, soft palate, and laryn","container-title":"Cerebral Cortex","DOI":"10.1093/cercor/bhw393","ISSN":"1047-3211","issue":"1","journalAbbreviation":"Cereb Cortex","language":"en","page":"265-278","source":"academic.oup.com","title":"Functional and Quantitative MRI Mapping of Somatomotor Representations of Human Supralaryngeal Vocal Tract","URL":"https://academic.oup.com/cercor/article/27/1/265/2871229","volume":"27","author":[{"family":"Carey","given":"Daniel"},{"family":"Krishnan","given":"Saloni"},{"family":"Callaghan","given":"Martina F."},{"family":"Sereno","given":"Martin I."},{"family":"Dick","given":"Frederic"}],"accessed":{"date-parts":[["2019",7,30]]},"issued":{"date-parts":[["2017",1,1]]}}},{"id":1303,"uris":["http://zotero.org/users/5009496/items/KXDPXCTS"],"itemData":{"id":1303,"type":"article-journal","container-title":"Nature","issue":"384","page":"159-161","title":"A new brain region for coordinating speech articulation","author":[{"family":"Dronkers","given":"Nina"}],"issued":{"date-parts":[["1996"]]}}},{"id":1310,"uris":["http://zotero.org/users/5009496/items/G3VYVAA9"],"itemData":{"id":1310,"type":"article-journal","container-title":"The Lancet","DOI":"10.1016/S0140-6736(98)07491-1","ISSN":"01406736","issue":"9158","journalAbbreviation":"The Lancet","language":"en","page":"1057-1061","source":"DOI.org (Crossref)","title":"Brain regions involved in articulation","URL":"https://linkinghub.elsevier.com/retrieve/pii/S0140673698074911","volume":"353","author":[{"family":"Wise","given":"Rjs"},{"family":"Greene","given":"J"},{"family":"Büchel","given":"C"},{"family":"Scott","given":"Sk"}],"accessed":{"date-parts":[["2021",8,19]]},"issued":{"date-parts":[["1999",3]]}}}],"schema":"https://github.com/citation-style-language/schema/raw/master/csl-citation.json"} </w:instrText>
      </w:r>
      <w:r w:rsidR="00D655B3">
        <w:rPr>
          <w:color w:val="292526"/>
        </w:rPr>
        <w:fldChar w:fldCharType="separate"/>
      </w:r>
      <w:r w:rsidR="00C02ED8">
        <w:rPr>
          <w:noProof/>
          <w:color w:val="292526"/>
        </w:rPr>
        <w:t>(Bouchard et al., 2013; Carey et al., 2017; Dronkers, 1996; Wise et al., 1999)</w:t>
      </w:r>
      <w:r w:rsidR="00D655B3">
        <w:rPr>
          <w:color w:val="292526"/>
        </w:rPr>
        <w:fldChar w:fldCharType="end"/>
      </w:r>
      <w:r w:rsidR="00330E65">
        <w:rPr>
          <w:color w:val="292526"/>
        </w:rPr>
        <w:t>.</w:t>
      </w:r>
      <w:r w:rsidR="002C702F">
        <w:rPr>
          <w:color w:val="292526"/>
        </w:rPr>
        <w:t xml:space="preserve"> </w:t>
      </w:r>
      <w:r w:rsidR="00B16C7B">
        <w:rPr>
          <w:color w:val="292526"/>
        </w:rPr>
        <w:t>Our findings here of abnormal microstructure in these regions</w:t>
      </w:r>
      <w:r w:rsidR="002C702F">
        <w:rPr>
          <w:color w:val="292526"/>
        </w:rPr>
        <w:t xml:space="preserve"> are somewhat consistent with</w:t>
      </w:r>
      <w:r w:rsidR="00B16C7B">
        <w:rPr>
          <w:color w:val="292526"/>
        </w:rPr>
        <w:t xml:space="preserve"> those from</w:t>
      </w:r>
      <w:r w:rsidR="002C702F">
        <w:rPr>
          <w:color w:val="292526"/>
        </w:rPr>
        <w:t xml:space="preserve"> previous studies</w:t>
      </w:r>
      <w:r w:rsidR="00D35B3C">
        <w:rPr>
          <w:color w:val="292526"/>
        </w:rPr>
        <w:t xml:space="preserve"> in DLD</w:t>
      </w:r>
      <w:r w:rsidR="002C702F">
        <w:rPr>
          <w:color w:val="292526"/>
        </w:rPr>
        <w:t xml:space="preserve"> that report </w:t>
      </w:r>
      <w:r w:rsidR="00B16C7B">
        <w:rPr>
          <w:color w:val="292526"/>
        </w:rPr>
        <w:lastRenderedPageBreak/>
        <w:t xml:space="preserve">structural </w:t>
      </w:r>
      <w:r w:rsidR="002C702F">
        <w:rPr>
          <w:color w:val="292526"/>
        </w:rPr>
        <w:t xml:space="preserve">differences in perisylvian regions </w:t>
      </w:r>
      <w:r w:rsidR="00D655B3">
        <w:rPr>
          <w:color w:val="292526"/>
        </w:rPr>
        <w:fldChar w:fldCharType="begin"/>
      </w:r>
      <w:r w:rsidR="00ED5ABB">
        <w:rPr>
          <w:color w:val="292526"/>
        </w:rPr>
        <w:instrText xml:space="preserve"> ADDIN ZOTERO_ITEM CSL_CITATION {"citationID":"Lm6YAen6","properties":{"formattedCitation":"(Badcock et al., 2012; Gauger et al., 1997; Jancke et al., 2007; Plante, 1991; Preis et al., 1998)","plainCitation":"(Badcock et al., 2012; Gauger et al., 1997; Jancke et al., 2007; Plante, 1991; Preis et al., 1998)","noteIndex":0},"citationItems":[{"id":112,"uris":["http://zotero.org/users/5009496/items/QFZKQJX9"],"itemData":{"id":112,"type":"article-journal","abstract":"We assessed the relationship between brain structure and function in 10 individuals with specific language impairment (SLI), compared to six unaffected siblings, and 16 unrelated control participants with typical language. Voxel-based morphometry indicated that grey matter in the SLI group, relative to controls, was increased in the left inferior frontal cortex and decreased in the right caudate nucleus and superior temporal cortex bilaterally. The unaffected siblings also showed reduced grey matter in the caudate nucleus relative to controls. In an auditory covert naming task, the SLI group showed reduced activation in the left inferior frontal cortex, right putamen, and in the superior temporal cortex bilaterally. Despite spatially coincident structural and functional abnormalities in frontal and temporal areas, the relationships between structure and function in these regions were different. These findings suggest multiple structural and functional abnormalities in SLI that are differently associated with receptive and expressive language processing.","container-title":"Brain and Language","DOI":"10.1016/j.bandl.2011.10.006","ISSN":"1090-2155","issue":"3","journalAbbreviation":"Brain Lang","language":"eng","note":"PMID: 22137677\nPMCID: PMC3315677","page":"310-320","source":"PubMed","title":"Co-localisation of abnormal brain structure and function in specific language impairment","volume":"120","author":[{"family":"Badcock","given":"Nicholas A."},{"family":"Bishop","given":"Dorothy V. M."},{"family":"Hardiman","given":"Mervyn J."},{"family":"Barry","given":"Johanna G."},{"family":"Watkins","given":"Kate E."}],"issued":{"date-parts":[["2012",3]]}}},{"id":97,"uris":["http://zotero.org/users/5009496/items/AJMJC8QA"],"itemData":{"id":97,"type":"article-journal","abstract":"The planum temporale and pars triangularis have been found to be larger in the left hemisphere than the right in individuals with normal language skills. Brain morphology studies of individuals with developmental language disorders report reversed asymmetry or symmetry of the planum, although the bulk of this research has been completed on adults with dyslexia. Pars triangularis has not been studied in the developmental language impaired population. In this study, magnetic resonance imaging (MRI) was used for quantitative comparisons of the planum temporale (Wernicke's area) and pars triangularis (Broca's area) in children with specific language impairment (SLI) and children with normal language skills. The subjects were 11 children with SLI and 19 age- and sex-matched controls between 5.6 and 13.0 years old. Each subject received a neurolinguistic battery of tests and a high resolution volumetric MRI scan. Major results were that (a) pars triangularis was significantly smaller in the left hemisphere of children with SLI, and (b) children with SLI were more likely to have rightward asymmetry of language structures. Furthermore, anomalous morphology in these language areas correlated with depressed language ability. These findings support the hypothesis that language impairment is a consequence of an underlying neurobiological defect in areas of the brain known to subserve language.","container-title":"Journal of Speech, Language, and Hearing Research; Rockville","ISSN":"10924388","issue":"6","language":"English","page":"1272-84","source":"ProQuest","title":"Brain morphology in children with specific language impairment","URL":"https://search.proquest.com/docview/232349104/abstract/BD6AB18BF9924CCBPQ/1","volume":"40","author":[{"family":"Gauger","given":"Laurie M."},{"family":"Lombardino","given":"Linda J."},{"family":"Leonard","given":"Christiana M."}],"accessed":{"date-parts":[["2018",7,3]]},"issued":{"date-parts":[["1997",12]]}}},{"id":1258,"uris":["http://zotero.org/users/5009496/items/MSFM4XSW"],"itemData":{"id":1258,"type":"article-journal","container-title":"Brain and Language","DOI":"10.1016/j.bandl.2006.08.003","ISSN":"0093934X","issue":"1","journalAbbreviation":"Brain and Language","language":"en","page":"91-98","source":"DOI.org (Crossref)","title":"Decreased white-matter density in a left-sided fronto-temporal network in children with developmental language disorder: Evidence for anatomical anomalies in a motor-language network","title-short":"Decreased white-matter density in a left-sided fronto-temporal network in children with developmental language disorder","URL":"https://linkinghub.elsevier.com/retrieve/pii/S0093934X06003865","volume":"102","author":[{"family":"Jancke","given":"L"},{"family":"Siegenthaler","given":"T"},{"family":"Preis","given":"S"},{"family":"Steinmetz","given":"H"}],"accessed":{"date-parts":[["2021",7,28]]},"issued":{"date-parts":[["2007",7]]}}},{"id":1261,"uris":["http://zotero.org/users/5009496/items/VL5ZVB8E"],"itemData":{"id":1261,"type":"article-journal","container-title":"Brain and Language","DOI":"10.1016/0093-934X(91)90110-M","ISSN":"0093934X","issue":"1","journalAbbreviation":"Brain and Language","language":"en","page":"52-66","source":"DOI.org (Crossref)","title":"MRI findings in boys with specific language impairment","URL":"https://linkinghub.elsevier.com/retrieve/pii/0093934X9190110M","volume":"41","author":[{"family":"Plante","given":"E"}],"accessed":{"date-parts":[["2021",7,28]]},"issued":{"date-parts":[["1991",7]]}}},{"id":1259,"uris":["http://zotero.org/users/5009496/items/GKB9QZ4K"],"itemData":{"id":1259,"type":"article-journal","container-title":"Neuropsychologia","DOI":"10.1016/S0028-3932(98)00033-5","ISSN":"00283932","issue":"9","journalAbbreviation":"Neuropsychologia","language":"en","page":"849-855","source":"DOI.org (Crossref)","title":"Normal intrasylvian anatomical asymmetry in children with developmental language disorder","URL":"https://linkinghub.elsevier.com/retrieve/pii/S0028393298000335","volume":"36","author":[{"family":"Preis","given":"S"},{"family":"JÄncke","given":"L"},{"family":"Schittler","given":"P"},{"family":"Huang","given":"Y"},{"family":"Steinmetz","given":"H"}],"accessed":{"date-parts":[["2021",7,28]]},"issued":{"date-parts":[["1998",9]]}}}],"schema":"https://github.com/citation-style-language/schema/raw/master/csl-citation.json"} </w:instrText>
      </w:r>
      <w:r w:rsidR="00D655B3">
        <w:rPr>
          <w:color w:val="292526"/>
        </w:rPr>
        <w:fldChar w:fldCharType="separate"/>
      </w:r>
      <w:r w:rsidR="00C02ED8">
        <w:rPr>
          <w:noProof/>
          <w:color w:val="292526"/>
        </w:rPr>
        <w:t>(Badcock et al., 2012; Gauger et al., 1997; Jancke et al., 2007; Plante, 1991; Preis et al., 1998)</w:t>
      </w:r>
      <w:r w:rsidR="00D655B3">
        <w:rPr>
          <w:color w:val="292526"/>
        </w:rPr>
        <w:fldChar w:fldCharType="end"/>
      </w:r>
      <w:r w:rsidR="00D655B3">
        <w:rPr>
          <w:color w:val="292526"/>
        </w:rPr>
        <w:t xml:space="preserve"> </w:t>
      </w:r>
      <w:r w:rsidR="002C702F">
        <w:rPr>
          <w:color w:val="292526"/>
        </w:rPr>
        <w:t xml:space="preserve">with two notable differences – one, that these differences did not emerge in a VBM analysis, and two, </w:t>
      </w:r>
      <w:r w:rsidR="001F0210">
        <w:rPr>
          <w:color w:val="292526"/>
        </w:rPr>
        <w:t xml:space="preserve">on average, </w:t>
      </w:r>
      <w:r w:rsidR="002C702F">
        <w:rPr>
          <w:color w:val="292526"/>
        </w:rPr>
        <w:t xml:space="preserve">children </w:t>
      </w:r>
      <w:r w:rsidR="00B16C7B">
        <w:rPr>
          <w:color w:val="292526"/>
        </w:rPr>
        <w:t xml:space="preserve">with DLD had lower </w:t>
      </w:r>
      <w:r w:rsidR="00C47C7D">
        <w:rPr>
          <w:color w:val="292526"/>
        </w:rPr>
        <w:t xml:space="preserve">MTsat or R1 </w:t>
      </w:r>
      <w:r w:rsidR="00B16C7B">
        <w:rPr>
          <w:color w:val="292526"/>
        </w:rPr>
        <w:t>values tha</w:t>
      </w:r>
      <w:r w:rsidR="00C47C7D">
        <w:rPr>
          <w:color w:val="292526"/>
        </w:rPr>
        <w:t>n</w:t>
      </w:r>
      <w:r w:rsidR="00B16C7B">
        <w:rPr>
          <w:color w:val="292526"/>
        </w:rPr>
        <w:t xml:space="preserve"> </w:t>
      </w:r>
      <w:r w:rsidR="00C47C7D" w:rsidRPr="00C47C7D">
        <w:rPr>
          <w:color w:val="292526"/>
        </w:rPr>
        <w:t xml:space="preserve"> </w:t>
      </w:r>
      <w:r w:rsidR="00C47C7D">
        <w:rPr>
          <w:color w:val="292526"/>
        </w:rPr>
        <w:t>typically developing</w:t>
      </w:r>
      <w:r w:rsidR="00B16C7B">
        <w:rPr>
          <w:color w:val="292526"/>
        </w:rPr>
        <w:t xml:space="preserve"> children , indicative of slower maturation or abnormal developmental trajectories</w:t>
      </w:r>
      <w:r w:rsidR="002C702F">
        <w:rPr>
          <w:color w:val="292526"/>
        </w:rPr>
        <w:t xml:space="preserve">. </w:t>
      </w:r>
      <w:r w:rsidR="00B16C7B">
        <w:rPr>
          <w:color w:val="292526"/>
        </w:rPr>
        <w:t xml:space="preserve">Such differences </w:t>
      </w:r>
      <w:r w:rsidR="002C702F">
        <w:rPr>
          <w:color w:val="292526"/>
        </w:rPr>
        <w:t xml:space="preserve">in these regions therefore may </w:t>
      </w:r>
      <w:r w:rsidR="00D35B3C">
        <w:rPr>
          <w:color w:val="292526"/>
        </w:rPr>
        <w:t xml:space="preserve">be correlates of </w:t>
      </w:r>
      <w:r w:rsidR="00B16C7B">
        <w:rPr>
          <w:color w:val="292526"/>
        </w:rPr>
        <w:t xml:space="preserve">either </w:t>
      </w:r>
      <w:r w:rsidR="002C702F">
        <w:rPr>
          <w:color w:val="292526"/>
        </w:rPr>
        <w:t xml:space="preserve">auditory </w:t>
      </w:r>
      <w:r w:rsidR="00B16C7B">
        <w:rPr>
          <w:color w:val="292526"/>
        </w:rPr>
        <w:t xml:space="preserve">or </w:t>
      </w:r>
      <w:r w:rsidR="002C702F">
        <w:rPr>
          <w:color w:val="292526"/>
        </w:rPr>
        <w:t>motor inefficiency</w:t>
      </w:r>
      <w:r w:rsidR="00B16C7B">
        <w:rPr>
          <w:color w:val="292526"/>
        </w:rPr>
        <w:t xml:space="preserve"> or both</w:t>
      </w:r>
      <w:r w:rsidR="002C702F">
        <w:rPr>
          <w:color w:val="292526"/>
        </w:rPr>
        <w:t xml:space="preserve"> </w:t>
      </w:r>
      <w:r w:rsidR="00C02ED8">
        <w:rPr>
          <w:color w:val="292526"/>
        </w:rPr>
        <w:t xml:space="preserve">that have been </w:t>
      </w:r>
      <w:r w:rsidR="002C702F">
        <w:rPr>
          <w:color w:val="292526"/>
        </w:rPr>
        <w:t>observed in</w:t>
      </w:r>
      <w:r w:rsidR="00C02ED8">
        <w:rPr>
          <w:color w:val="292526"/>
        </w:rPr>
        <w:t xml:space="preserve"> some children with</w:t>
      </w:r>
      <w:r w:rsidR="002C702F">
        <w:rPr>
          <w:color w:val="292526"/>
        </w:rPr>
        <w:t xml:space="preserve"> DLD</w:t>
      </w:r>
      <w:r w:rsidR="00C02ED8">
        <w:rPr>
          <w:color w:val="292526"/>
        </w:rPr>
        <w:t xml:space="preserve"> </w:t>
      </w:r>
      <w:r w:rsidR="00C02ED8">
        <w:rPr>
          <w:color w:val="292526"/>
        </w:rPr>
        <w:fldChar w:fldCharType="begin"/>
      </w:r>
      <w:r w:rsidR="00ED5ABB">
        <w:rPr>
          <w:color w:val="292526"/>
        </w:rPr>
        <w:instrText xml:space="preserve"> ADDIN ZOTERO_ITEM CSL_CITATION {"citationID":"Pfyd28cU","properties":{"formattedCitation":"(Halliday et al., 2017; Hill, 2001; McArthur &amp; Bishop, 2004)","plainCitation":"(Halliday et al., 2017; Hill, 2001; McArthur &amp; Bishop, 2004)","noteIndex":0},"citationItems":[{"id":1316,"uris":["http://zotero.org/users/5009496/items/MSQWKPLR"],"itemData":{"id":1316,"type":"article-journal","container-title":"Cognition","DOI":"10.1016/j.cognition.2017.04.014","ISSN":"00100277","journalAbbreviation":"Cognition","language":"en","page":"139-151","source":"DOI.org (Crossref)","title":"Auditory processing deficits are sometimes necessary and sometimes sufficient for language difficulties in children: Evidence from mild to moderate sensorineural hearing loss","title-short":"Auditory processing deficits are sometimes necessary and sometimes sufficient for language difficulties in children","URL":"https://linkinghub.elsevier.com/retrieve/pii/S0010027717301142","volume":"166","author":[{"family":"Halliday","given":"Lorna F."},{"family":"Tuomainen","given":"Outi"},{"family":"Rosen","given":"Stuart"}],"accessed":{"date-parts":[["2021",8,19]]},"issued":{"date-parts":[["2017",9]]}}},{"id":1308,"uris":["http://zotero.org/users/5009496/items/32YB8L75"],"itemData":{"id":1308,"type":"article-journal","container-title":"International Journal of Language &amp; Communication Disorders","DOI":"10.1080/13682820010019874","ISSN":"1368-2822, 1460-6984","issue":"2","journalAbbreviation":"Int J Lang Commun Disord","language":"en","page":"149-171","source":"DOI.org (Crossref)","title":"Non-specific nature of specific language impairment: a review of the literature with regard to concomitant motor impairments","title-short":"Non-specific nature of specific language impairment","URL":"http://informahealthcare.com/doi/abs/10.1080/13682820010019874","volume":"36","author":[{"family":"Hill","given":"Elisabeth L."}],"accessed":{"date-parts":[["2021",8,19]]},"issued":{"date-parts":[["2001",1]]}}},{"id":1318,"uris":["http://zotero.org/users/5009496/items/AD7786TH"],"itemData":{"id":1318,"type":"article-journal","container-title":"Cognitive Neuropsychology","DOI":"10.1080/02643290342000087","ISSN":"0264-3294, 1464-0627","issue":"1","journalAbbreviation":"Cognitive Neuropsychology","language":"en","page":"79-94","source":"DOI.org (Crossref)","title":"Which People with Specific Language Impairment have Auditory Processing Deficits?","URL":"http://www.tandfonline.com/doi/abs/10.1080/02643290342000087","volume":"21","author":[{"family":"McArthur","given":"G. M."},{"family":"Bishop","given":"D. V. M."}],"accessed":{"date-parts":[["2021",8,19]]},"issued":{"date-parts":[["2004",2]]}}}],"schema":"https://github.com/citation-style-language/schema/raw/master/csl-citation.json"} </w:instrText>
      </w:r>
      <w:r w:rsidR="00C02ED8">
        <w:rPr>
          <w:color w:val="292526"/>
        </w:rPr>
        <w:fldChar w:fldCharType="separate"/>
      </w:r>
      <w:r w:rsidR="00C02ED8">
        <w:rPr>
          <w:noProof/>
          <w:color w:val="292526"/>
        </w:rPr>
        <w:t>(Halliday et al., 2017; Hill, 2001; McArthur &amp; Bishop, 2004)</w:t>
      </w:r>
      <w:r w:rsidR="00C02ED8">
        <w:rPr>
          <w:color w:val="292526"/>
        </w:rPr>
        <w:fldChar w:fldCharType="end"/>
      </w:r>
      <w:r w:rsidR="002C702F">
        <w:rPr>
          <w:color w:val="292526"/>
        </w:rPr>
        <w:t>.</w:t>
      </w:r>
    </w:p>
    <w:p w14:paraId="47164C0C" w14:textId="72FD2044" w:rsidR="0031270B" w:rsidRDefault="0031270B" w:rsidP="00A22539">
      <w:pPr>
        <w:spacing w:line="360" w:lineRule="auto"/>
        <w:jc w:val="both"/>
        <w:rPr>
          <w:color w:val="292526"/>
        </w:rPr>
      </w:pPr>
    </w:p>
    <w:p w14:paraId="4E228480" w14:textId="5C404678" w:rsidR="007D63E8" w:rsidRDefault="00BF78FF" w:rsidP="00A22539">
      <w:pPr>
        <w:spacing w:line="360" w:lineRule="auto"/>
        <w:jc w:val="both"/>
        <w:rPr>
          <w:color w:val="292526"/>
        </w:rPr>
      </w:pPr>
      <w:r>
        <w:rPr>
          <w:color w:val="292526"/>
        </w:rPr>
        <w:t>While</w:t>
      </w:r>
      <w:r w:rsidR="00C77483">
        <w:rPr>
          <w:color w:val="292526"/>
        </w:rPr>
        <w:t xml:space="preserve"> the TD&gt;DLD differences observed in the MTsat appeared </w:t>
      </w:r>
      <w:r w:rsidR="002A433B">
        <w:rPr>
          <w:color w:val="292526"/>
        </w:rPr>
        <w:t>left</w:t>
      </w:r>
      <w:r>
        <w:rPr>
          <w:color w:val="292526"/>
        </w:rPr>
        <w:t>-</w:t>
      </w:r>
      <w:r w:rsidR="002A433B">
        <w:rPr>
          <w:color w:val="292526"/>
        </w:rPr>
        <w:t>lateralised and focal</w:t>
      </w:r>
      <w:r w:rsidR="00C77483">
        <w:rPr>
          <w:color w:val="292526"/>
        </w:rPr>
        <w:t xml:space="preserve">, </w:t>
      </w:r>
      <w:r w:rsidR="002A433B">
        <w:rPr>
          <w:color w:val="292526"/>
        </w:rPr>
        <w:t>differences</w:t>
      </w:r>
      <w:r w:rsidR="00C77483">
        <w:rPr>
          <w:color w:val="292526"/>
        </w:rPr>
        <w:t xml:space="preserve"> in</w:t>
      </w:r>
      <w:r w:rsidR="002A433B">
        <w:rPr>
          <w:color w:val="292526"/>
        </w:rPr>
        <w:t xml:space="preserve"> the</w:t>
      </w:r>
      <w:r w:rsidR="00C77483">
        <w:rPr>
          <w:color w:val="292526"/>
        </w:rPr>
        <w:t xml:space="preserve"> R1</w:t>
      </w:r>
      <w:r w:rsidR="002A433B">
        <w:rPr>
          <w:color w:val="292526"/>
        </w:rPr>
        <w:t xml:space="preserve"> map</w:t>
      </w:r>
      <w:r w:rsidR="00C77483">
        <w:rPr>
          <w:color w:val="292526"/>
        </w:rPr>
        <w:t xml:space="preserve"> were </w:t>
      </w:r>
      <w:r w:rsidR="002A433B">
        <w:rPr>
          <w:color w:val="292526"/>
        </w:rPr>
        <w:t xml:space="preserve">widespread, </w:t>
      </w:r>
      <w:r w:rsidR="00C77483">
        <w:rPr>
          <w:color w:val="292526"/>
        </w:rPr>
        <w:t>observed in both hemispheres quite symmetrical</w:t>
      </w:r>
      <w:r w:rsidR="00C47C7D">
        <w:rPr>
          <w:color w:val="292526"/>
        </w:rPr>
        <w:t>ly</w:t>
      </w:r>
      <w:r w:rsidR="00C77483">
        <w:rPr>
          <w:color w:val="292526"/>
        </w:rPr>
        <w:t xml:space="preserve">. </w:t>
      </w:r>
      <w:r w:rsidR="00182B38">
        <w:rPr>
          <w:color w:val="292526"/>
        </w:rPr>
        <w:t>Interpreting the difference</w:t>
      </w:r>
      <w:r w:rsidR="006911B3">
        <w:rPr>
          <w:color w:val="292526"/>
        </w:rPr>
        <w:t>s</w:t>
      </w:r>
      <w:r w:rsidR="00182B38">
        <w:rPr>
          <w:color w:val="292526"/>
        </w:rPr>
        <w:t xml:space="preserve"> in these findings</w:t>
      </w:r>
      <w:r>
        <w:rPr>
          <w:color w:val="292526"/>
        </w:rPr>
        <w:t xml:space="preserve"> offers a paradox. </w:t>
      </w:r>
      <w:r w:rsidR="00C77483">
        <w:rPr>
          <w:color w:val="292526"/>
        </w:rPr>
        <w:t>On the face of it, left-lateralised</w:t>
      </w:r>
      <w:r w:rsidR="007003C2">
        <w:rPr>
          <w:color w:val="292526"/>
        </w:rPr>
        <w:t xml:space="preserve"> myelin reduction</w:t>
      </w:r>
      <w:r w:rsidR="00C77483">
        <w:rPr>
          <w:color w:val="292526"/>
        </w:rPr>
        <w:t xml:space="preserve"> in </w:t>
      </w:r>
      <w:r w:rsidR="00182B38">
        <w:rPr>
          <w:color w:val="292526"/>
        </w:rPr>
        <w:t xml:space="preserve">brain </w:t>
      </w:r>
      <w:r w:rsidR="00C77483">
        <w:rPr>
          <w:color w:val="292526"/>
        </w:rPr>
        <w:t>regions known to contribute to speech and language processing</w:t>
      </w:r>
      <w:r>
        <w:rPr>
          <w:color w:val="292526"/>
        </w:rPr>
        <w:t xml:space="preserve"> seems very plausible, as this would be</w:t>
      </w:r>
      <w:r w:rsidR="00182B38">
        <w:rPr>
          <w:color w:val="292526"/>
        </w:rPr>
        <w:t xml:space="preserve"> entirely</w:t>
      </w:r>
      <w:r w:rsidR="00C77483">
        <w:rPr>
          <w:color w:val="292526"/>
        </w:rPr>
        <w:t xml:space="preserve"> consistent with the behavioural profile of </w:t>
      </w:r>
      <w:r w:rsidR="002A433B">
        <w:rPr>
          <w:color w:val="292526"/>
        </w:rPr>
        <w:t>DLD</w:t>
      </w:r>
      <w:r w:rsidR="00C77483">
        <w:rPr>
          <w:color w:val="292526"/>
        </w:rPr>
        <w:t xml:space="preserve">. </w:t>
      </w:r>
      <w:r w:rsidR="007003C2">
        <w:rPr>
          <w:color w:val="292526"/>
        </w:rPr>
        <w:t xml:space="preserve"> This would fit with a popular theoretical view, i.e., that the</w:t>
      </w:r>
      <w:r w:rsidR="00EA2C12">
        <w:rPr>
          <w:color w:val="292526"/>
        </w:rPr>
        <w:t xml:space="preserve"> left hemisphere is uniquely privileged to support language</w:t>
      </w:r>
      <w:r w:rsidR="007003C2">
        <w:rPr>
          <w:color w:val="292526"/>
        </w:rPr>
        <w:t xml:space="preserve"> </w:t>
      </w:r>
      <w:r w:rsidR="006911B3">
        <w:rPr>
          <w:color w:val="292526"/>
        </w:rPr>
        <w:fldChar w:fldCharType="begin"/>
      </w:r>
      <w:r w:rsidR="00ED5ABB">
        <w:rPr>
          <w:color w:val="292526"/>
        </w:rPr>
        <w:instrText xml:space="preserve"> ADDIN ZOTERO_ITEM CSL_CITATION {"citationID":"1Q8etbjB","properties":{"formattedCitation":"(Vargha-Khadem et al., 1985)","plainCitation":"(Vargha-Khadem et al., 1985)","noteIndex":0},"citationItems":[{"id":1336,"uris":["http://zotero.org/users/5009496/items/EIWNMKDR"],"itemData":{"id":1336,"type":"article-journal","abstract":"The effects of the variables of hemispheric side of lesion, age at injury and severity of cerebral damage on language performance and hand dominance were investigated in groups of hemiparetic children. Severity of cerebral damage was defined by the degree of structural abnormality shown on computed tomography (CT) scans. Tests of auditory verbal comprehension and object naming were used as indicators of productive and receptive language skills. The responses to a series of questions on a handedness inventory provided a rated measure of hand dominance.The results indicated that language deficits characterize the performance of all patient groups with left cerebral injuries. Impairments are more profound, however, in the case of left hemisphere injuries acquired after the age of 5 years. In addition, prenatal and early postnatal left cerebral lesions consistently result in strong sinistrality.It is concluded that the crucial variable underlying the demonstration of language deficits and left hand dominance is not severity of lesion but age at injury and hemispheric side of lesion.","container-title":"Brain","DOI":"10.1093/brain/108.3.677","ISSN":"0006-8950","issue":"3","journalAbbreviation":"Brain","page":"677-696","source":"Silverchair","title":"Aphasia and handedness in relation to hemispheric side, age at injury and severity of cerebral lesion during childhood","URL":"https://doi.org/10.1093/brain/108.3.677","volume":"108","author":[{"family":"Vargha-Khadem","given":"Faraneh"},{"family":"O'Gorman","given":"A. M."},{"family":"Watters","given":"G. V."}],"accessed":{"date-parts":[["2021",9,9]]},"issued":{"date-parts":[["1985",9,1]]}}}],"schema":"https://github.com/citation-style-language/schema/raw/master/csl-citation.json"} </w:instrText>
      </w:r>
      <w:r w:rsidR="006911B3">
        <w:rPr>
          <w:color w:val="292526"/>
        </w:rPr>
        <w:fldChar w:fldCharType="separate"/>
      </w:r>
      <w:r w:rsidR="006911B3">
        <w:rPr>
          <w:noProof/>
          <w:color w:val="292526"/>
        </w:rPr>
        <w:t>(Vargha-Khadem et al., 1985)</w:t>
      </w:r>
      <w:r w:rsidR="006911B3">
        <w:rPr>
          <w:color w:val="292526"/>
        </w:rPr>
        <w:fldChar w:fldCharType="end"/>
      </w:r>
      <w:r w:rsidR="00EA2C12">
        <w:rPr>
          <w:color w:val="292526"/>
        </w:rPr>
        <w:t xml:space="preserve">. </w:t>
      </w:r>
      <w:r w:rsidR="00C77483">
        <w:rPr>
          <w:color w:val="292526"/>
        </w:rPr>
        <w:t>However, this does not fit with the developmental literature</w:t>
      </w:r>
      <w:r w:rsidR="00182B38">
        <w:rPr>
          <w:color w:val="292526"/>
        </w:rPr>
        <w:t xml:space="preserve"> on children with early brain lesions</w:t>
      </w:r>
      <w:r w:rsidR="00C77483">
        <w:rPr>
          <w:color w:val="292526"/>
        </w:rPr>
        <w:t xml:space="preserve">. </w:t>
      </w:r>
      <w:r w:rsidR="00182B38">
        <w:rPr>
          <w:color w:val="292526"/>
        </w:rPr>
        <w:t>C</w:t>
      </w:r>
      <w:r w:rsidR="00C77483">
        <w:rPr>
          <w:color w:val="292526"/>
        </w:rPr>
        <w:t>hildren with perinatal focal brain lesions, even those encompassing the entire left hemisphere, have fairly good language skills</w:t>
      </w:r>
      <w:r w:rsidR="00540F23">
        <w:rPr>
          <w:color w:val="292526"/>
        </w:rPr>
        <w:t>,</w:t>
      </w:r>
      <w:r w:rsidR="00C77483">
        <w:rPr>
          <w:color w:val="292526"/>
        </w:rPr>
        <w:t xml:space="preserve"> and they typically perform better than children with DLD on language tasks</w:t>
      </w:r>
      <w:r w:rsidR="00182B38">
        <w:rPr>
          <w:color w:val="292526"/>
        </w:rPr>
        <w:t xml:space="preserve"> </w:t>
      </w:r>
      <w:r w:rsidR="00182B38">
        <w:rPr>
          <w:color w:val="292526"/>
        </w:rPr>
        <w:fldChar w:fldCharType="begin"/>
      </w:r>
      <w:r w:rsidR="00ED5ABB">
        <w:rPr>
          <w:color w:val="292526"/>
        </w:rPr>
        <w:instrText xml:space="preserve"> ADDIN ZOTERO_ITEM CSL_CITATION {"citationID":"SqFshhPu","properties":{"formattedCitation":"(Asaridou et al., 2020; Bates &amp; Dick, 2002; Thal et al., 1991)","plainCitation":"(Asaridou et al., 2020; Bates &amp; Dick, 2002; Thal et al., 1991)","noteIndex":0},"citationItems":[{"id":1331,"uris":["http://zotero.org/users/5009496/items/CUEGLCGH"],"itemData":{"id":1331,"type":"article-journal","abstract":"We present a case of a 14-year-old girl born without the left hemisphere due to prenatal left internal carotid occlusion. We combined longitudinal language and cognitive assessments with functional and structural neuroimaging data to situate the case within age-matched, typically developing children. Despite having had a delay in getting language off the ground during the preschool years, our case performed within the normal range on a variety of standardized language tests, and exceptionally well on phonology and word reading, during the elementary and middle school years. Moreover, her spatial, number, and reasoning skills also fell in the average to above-average range based on assessments during these time periods. Functional MRI data revealed activation in right fronto-temporal areas when listening to short stories, resembling the bilateral activation patterns in age-matched typically developing children. Diffusion MRI data showed significantly larger dorsal white matter association tracts (the direct and anterior segments of the arcuate fasciculus) connecting areas active during language processing in her remaining right hemisphere, compared to either hemisphere in control children. We hypothesize that these changes in functional and structural brain organization are the result of compensatory brain plasticity, manifesting in unusually large right dorsal tracts, and exceptional performance in phonology, speech repetition, and decoding. More specifically, we posit that our case's large white matter connections might have played a compensatory role by providing fast and reliable transfer of information between cortical areas for language in the right hemisphere.","container-title":"Cortex","DOI":"10.1016/j.cortex.2020.02.006","ISSN":"0010-9452","journalAbbreviation":"Cortex","language":"en","page":"290-312","source":"ScienceDirect","title":"Language development and brain reorganization in a child born without the left hemisphere","URL":"https://www.sciencedirect.com/science/article/pii/S0010945220300678","volume":"127","author":[{"family":"Asaridou","given":"Salomi S."},{"family":"Demir-Lira","given":"Ö. Ece"},{"family":"Goldin-Meadow","given":"Susan"},{"family":"Levine","given":"Susan C."},{"family":"Small","given":"Steven L."}],"accessed":{"date-parts":[["2021",9,9]]},"issued":{"date-parts":[["2020",6,1]]}}},{"id":1338,"uris":["http://zotero.org/users/5009496/items/W5ZNNMYT"],"itemData":{"id":1338,"type":"article-journal","abstract":"Do language abilities develop in isolation? Are they mediated by a unique neural substrate, a “mental organ” devoted exclusively to language? Or is language built upon more general abilities, shared with other cognitive domains, and mediated by common neural systems? Here, we review results suggesting that language and gesture are “close family”, then turn to evidence that raises questions about how real those “family resemblances” are, summarizing dissociations from our developmental studies of several different child populations. We then examine both these veins of evidence in light of some new findings from the adult neuroimaging literature and suggest a possible reinterpretation of these dissociations as well as new directions for research with both children and adults. © 2002 Wiley Periodicals, Inc. Dev Psychobiol 40: 293–310, 2002. DOI 10.1002/dev.10034","container-title":"Developmental Psychobiology","DOI":"10.1002/dev.10034","ISSN":"1098-2302","issue":"3","language":"en","note":"_eprint: https://onlinelibrary.wiley.com/doi/pdf/10.1002/dev.10034","page":"293-310","source":"Wiley Online Library","title":"Language, gesture, and the developing brain","URL":"https://onlinelibrary.wiley.com/doi/abs/10.1002/dev.10034","volume":"40","author":[{"family":"Bates","given":"Elizabeth"},{"family":"Dick","given":"Frederic"}],"accessed":{"date-parts":[["2021",9,9]]},"issued":{"date-parts":[["2002"]]}}},{"id":1342,"uris":["http://zotero.org/users/5009496/items/LTFKMZBD"],"itemData":{"id":1342,"type":"article-journal","abstract":"Early lexical development in 27 children with focal brain injury was studied cross-sectionally and longitudinally. Data were obtained from children between 12 and 35 months of age who acquired their lesion prenatally or within the first 6 months of life. Results for the group as a whole provide clear evidence for delays in lexical comprehension and production, and for a larger number of comprehension/production dissociations than would be expected by chance. In addition, a significant number of children were observed having unusual difficulty mastering predication and/or using an atypically high proportion of closed class words (suggesting reliance on holistic/formulaic speech). Analyses by lesion type revealed no effect of lesion size. Analyses according to side of lesion revealed that children with right-hemisphere damage produced a higher proportion of closed class words, suggesting heavy reliance on well-practiced but under-analyzed speech formulae. Children with left-hemisphere damage were slightly better in comprehension than children with right-hemisphere damage. In addition, left posterior lesions were associated with greater delays in expressive language, and delays were more protracted in children with left posterior damage. No differential effects of left posterior damage were found for lexical comprehension.","container-title":"Brain and Language","DOI":"10.1016/0093-934X(91)90145-Q","ISSN":"0093-934X","issue":"4","journalAbbreviation":"Brain and Language","language":"en","page":"491-527","source":"ScienceDirect","title":"Early lexical development in children with focal brain injury","URL":"https://www.sciencedirect.com/science/article/pii/0093934X9190145Q","volume":"40","author":[{"family":"Thal","given":"Donna J"},{"family":"Marchman","given":"Virginia"},{"family":"Stiles","given":"Joan"},{"family":"Aram","given":"Dorothy"},{"family":"Trauner","given":"Doris"},{"family":"Nass","given":"Ruth"},{"family":"Bates","given":"Elizabeth"}],"accessed":{"date-parts":[["2021",9,9]]},"issued":{"date-parts":[["1991",5,1]]}}}],"schema":"https://github.com/citation-style-language/schema/raw/master/csl-citation.json"} </w:instrText>
      </w:r>
      <w:r w:rsidR="00182B38">
        <w:rPr>
          <w:color w:val="292526"/>
        </w:rPr>
        <w:fldChar w:fldCharType="separate"/>
      </w:r>
      <w:r w:rsidR="000E66C4">
        <w:rPr>
          <w:noProof/>
          <w:color w:val="292526"/>
        </w:rPr>
        <w:t>(Asaridou et al., 2020; Bates &amp; Dick, 2002; Thal et al., 1991)</w:t>
      </w:r>
      <w:r w:rsidR="00182B38">
        <w:rPr>
          <w:color w:val="292526"/>
        </w:rPr>
        <w:fldChar w:fldCharType="end"/>
      </w:r>
      <w:r w:rsidR="00C77483">
        <w:rPr>
          <w:color w:val="292526"/>
        </w:rPr>
        <w:t xml:space="preserve">. </w:t>
      </w:r>
      <w:r w:rsidR="002A433B">
        <w:rPr>
          <w:color w:val="292526"/>
        </w:rPr>
        <w:t xml:space="preserve">Right hemisphere homologues of language areas </w:t>
      </w:r>
      <w:r>
        <w:rPr>
          <w:color w:val="292526"/>
        </w:rPr>
        <w:t>are</w:t>
      </w:r>
      <w:r w:rsidR="002A433B">
        <w:rPr>
          <w:color w:val="292526"/>
        </w:rPr>
        <w:t xml:space="preserve"> able to support language reorganisation when early damage is sustained</w:t>
      </w:r>
      <w:r w:rsidR="00EA2C12">
        <w:rPr>
          <w:color w:val="292526"/>
        </w:rPr>
        <w:t xml:space="preserve"> </w:t>
      </w:r>
      <w:r w:rsidR="00EA2C12">
        <w:rPr>
          <w:color w:val="292526"/>
        </w:rPr>
        <w:fldChar w:fldCharType="begin"/>
      </w:r>
      <w:r w:rsidR="00ED5ABB">
        <w:rPr>
          <w:color w:val="292526"/>
        </w:rPr>
        <w:instrText xml:space="preserve"> ADDIN ZOTERO_ITEM CSL_CITATION {"citationID":"XucrrpkS","properties":{"formattedCitation":"(Bates &amp; Dick, 2002; Newport et al., 2017)","plainCitation":"(Bates &amp; Dick, 2002; Newport et al., 2017)","noteIndex":0},"citationItems":[{"id":1338,"uris":["http://zotero.org/users/5009496/items/W5ZNNMYT"],"itemData":{"id":1338,"type":"article-journal","abstract":"Do language abilities develop in isolation? Are they mediated by a unique neural substrate, a “mental organ” devoted exclusively to language? Or is language built upon more general abilities, shared with other cognitive domains, and mediated by common neural systems? Here, we review results suggesting that language and gesture are “close family”, then turn to evidence that raises questions about how real those “family resemblances” are, summarizing dissociations from our developmental studies of several different child populations. We then examine both these veins of evidence in light of some new findings from the adult neuroimaging literature and suggest a possible reinterpretation of these dissociations as well as new directions for research with both children and adults. © 2002 Wiley Periodicals, Inc. Dev Psychobiol 40: 293–310, 2002. DOI 10.1002/dev.10034","container-title":"Developmental Psychobiology","DOI":"10.1002/dev.10034","ISSN":"1098-2302","issue":"3","language":"en","note":"_eprint: https://onlinelibrary.wiley.com/doi/pdf/10.1002/dev.10034","page":"293-310","source":"Wiley Online Library","title":"Language, gesture, and the developing brain","URL":"https://onlinelibrary.wiley.com/doi/abs/10.1002/dev.10034","volume":"40","author":[{"family":"Bates","given":"Elizabeth"},{"family":"Dick","given":"Frederic"}],"accessed":{"date-parts":[["2021",9,9]]},"issued":{"date-parts":[["2002"]]}}},{"id":1328,"uris":["http://zotero.org/users/5009496/items/SXXZWCMS"],"itemData":{"id":1328,"type":"article-journal","container-title":"Biolinguistics","journalAbbreviation":"Biolinguistics (Nicos)","note":"PMID: 30556058\nPMCID: PMC6291004","page":"407-422","source":"PubMed Central","title":"Revisiting Lenneberg’s Hypotheses About Early Developmental Plasticity: Language Organization After Left-Hemisphere Perinatal Stroke","title-short":"Revisiting Lenneberg’s Hypotheses About Early Developmental Plasticity","URL":"https://www.ncbi.nlm.nih.gov/pmc/articles/PMC6291004/","volume":"11","author":[{"family":"Newport","given":"Elissa L."},{"family":"Landau","given":"Barbara"},{"family":"Seydell-Greenwald","given":"Anna"},{"family":"Turkeltaub","given":"Peter E."},{"family":"Chambers","given":"Catherine E."},{"family":"Dromerick","given":"Alexander W."},{"family":"Carpenter","given":"Jessica"},{"family":"Berl","given":"Madison M."},{"family":"Gaillard","given":"William D."}],"accessed":{"date-parts":[["2021",9,9]]},"issued":{"date-parts":[["2017"]]}}}],"schema":"https://github.com/citation-style-language/schema/raw/master/csl-citation.json"} </w:instrText>
      </w:r>
      <w:r w:rsidR="00EA2C12">
        <w:rPr>
          <w:color w:val="292526"/>
        </w:rPr>
        <w:fldChar w:fldCharType="separate"/>
      </w:r>
      <w:r w:rsidR="007003C2">
        <w:rPr>
          <w:noProof/>
          <w:color w:val="292526"/>
        </w:rPr>
        <w:t>(Bates &amp; Dick, 2002; Newport et al., 2017)</w:t>
      </w:r>
      <w:r w:rsidR="00EA2C12">
        <w:rPr>
          <w:color w:val="292526"/>
        </w:rPr>
        <w:fldChar w:fldCharType="end"/>
      </w:r>
      <w:r w:rsidR="002A433B">
        <w:rPr>
          <w:color w:val="292526"/>
        </w:rPr>
        <w:t xml:space="preserve">. </w:t>
      </w:r>
      <w:r w:rsidR="00C77483">
        <w:rPr>
          <w:color w:val="292526"/>
        </w:rPr>
        <w:t xml:space="preserve">This has led to theoretical speculation that abnormalities </w:t>
      </w:r>
      <w:r w:rsidR="00C47C7D">
        <w:rPr>
          <w:color w:val="292526"/>
        </w:rPr>
        <w:t>affect both hemispheres in children with DLD preventing this form of brain plasticity</w:t>
      </w:r>
      <w:r w:rsidR="002A433B">
        <w:rPr>
          <w:color w:val="292526"/>
        </w:rPr>
        <w:t xml:space="preserve">. </w:t>
      </w:r>
      <w:r w:rsidR="001C5E6D">
        <w:rPr>
          <w:color w:val="292526"/>
        </w:rPr>
        <w:t>In this vein, the widespread differences seen in the R1 maps</w:t>
      </w:r>
      <w:r w:rsidR="00182B38">
        <w:rPr>
          <w:color w:val="292526"/>
        </w:rPr>
        <w:t>, or the bilateral abnormalities observed in the caudate nuclei,</w:t>
      </w:r>
      <w:r w:rsidR="001C5E6D">
        <w:rPr>
          <w:color w:val="292526"/>
        </w:rPr>
        <w:t xml:space="preserve"> </w:t>
      </w:r>
      <w:r w:rsidR="002A433B">
        <w:rPr>
          <w:color w:val="292526"/>
        </w:rPr>
        <w:t xml:space="preserve">might point to </w:t>
      </w:r>
      <w:r w:rsidR="00182B38">
        <w:rPr>
          <w:color w:val="292526"/>
        </w:rPr>
        <w:t>why</w:t>
      </w:r>
      <w:r w:rsidR="002A433B">
        <w:rPr>
          <w:color w:val="292526"/>
        </w:rPr>
        <w:t xml:space="preserve"> organisation</w:t>
      </w:r>
      <w:r w:rsidR="00182B38">
        <w:rPr>
          <w:color w:val="292526"/>
        </w:rPr>
        <w:t xml:space="preserve"> of language is not maximally efficient</w:t>
      </w:r>
      <w:r w:rsidR="001C5E6D">
        <w:rPr>
          <w:color w:val="292526"/>
        </w:rPr>
        <w:t xml:space="preserve">. </w:t>
      </w:r>
      <w:r w:rsidR="00C47C7D">
        <w:rPr>
          <w:color w:val="292526"/>
        </w:rPr>
        <w:t xml:space="preserve">Another </w:t>
      </w:r>
      <w:r w:rsidR="001C5E6D">
        <w:rPr>
          <w:color w:val="292526"/>
        </w:rPr>
        <w:t>possibility is that MTsat</w:t>
      </w:r>
      <w:r w:rsidR="00B97136">
        <w:rPr>
          <w:color w:val="292526"/>
        </w:rPr>
        <w:t xml:space="preserve"> </w:t>
      </w:r>
      <w:r w:rsidR="007003C2">
        <w:rPr>
          <w:color w:val="292526"/>
        </w:rPr>
        <w:t xml:space="preserve">mainly </w:t>
      </w:r>
      <w:r w:rsidR="002A433B">
        <w:rPr>
          <w:color w:val="292526"/>
        </w:rPr>
        <w:t>indexes</w:t>
      </w:r>
      <w:r w:rsidR="00B97136">
        <w:rPr>
          <w:color w:val="292526"/>
        </w:rPr>
        <w:t xml:space="preserve"> </w:t>
      </w:r>
      <w:r w:rsidR="007003C2">
        <w:rPr>
          <w:color w:val="292526"/>
        </w:rPr>
        <w:t xml:space="preserve">myelin </w:t>
      </w:r>
      <w:r w:rsidR="002A433B">
        <w:rPr>
          <w:color w:val="292526"/>
        </w:rPr>
        <w:t>differences</w:t>
      </w:r>
      <w:r w:rsidR="007003C2">
        <w:rPr>
          <w:color w:val="292526"/>
        </w:rPr>
        <w:t xml:space="preserve">, whereas R1 </w:t>
      </w:r>
      <w:r w:rsidR="00CF2187">
        <w:rPr>
          <w:color w:val="292526"/>
        </w:rPr>
        <w:t xml:space="preserve">could be </w:t>
      </w:r>
      <w:r w:rsidR="007003C2">
        <w:rPr>
          <w:color w:val="292526"/>
        </w:rPr>
        <w:t xml:space="preserve">sensitive to other microstructural features such as iron and neuronal fibres </w:t>
      </w:r>
      <w:r w:rsidR="007003C2">
        <w:rPr>
          <w:color w:val="292526"/>
        </w:rPr>
        <w:fldChar w:fldCharType="begin"/>
      </w:r>
      <w:r w:rsidR="00ED5ABB">
        <w:rPr>
          <w:color w:val="292526"/>
        </w:rPr>
        <w:instrText xml:space="preserve"> ADDIN ZOTERO_ITEM CSL_CITATION {"citationID":"d3osjCXd","properties":{"formattedCitation":"(Edwards et al., 2018)","plainCitation":"(Edwards et al., 2018)","noteIndex":0},"citationItems":[{"id":1349,"uris":["http://zotero.org/users/5009496/items/ZEYSD7EV"],"itemData":{"id":1349,"type":"article-journal","abstract":"The neocortex of the human brain is the seat of higher brain function. Modern imaging techniques, chief among them magnetic resonance imaging (MRI), allow non-invasive imaging of this important structure. Knowledge of the microstructure of the neocortex has classically come from post-mortem histological studies of human tissue, and extrapolations from invasive animal studies. From these studies, we know that the scale of important neocortical structure spans six orders of magnitude, ranging from the size of axonal diameters (microns), to the size of cortical areas responsible for integrating sensory information (centimetres). MRI presents an opportunity to move beyond classical methods, because MRI is non-invasive and MRI contrast is sensitive to neocortical microstructure over all these length scales. MRI thus allows inferences to be made about neocortical microstructure in vivo, i.e. MRI-based in vivo histology. We review recent literature that has applied and developed MRI-based in vivo histology to probe the microstructure of the human neocortex, focusing specifically on myelin, iron, and neuronal fibre mapping. We find that applications such as cortical parcellation (using R1 maps as proxies for myelin content) and investigation of cortical iron deposition with age (using R2* maps) are already contributing to the frontiers of knowledge in neuroscience. Neuronal fibre mapping in the cortex remains challenging in vivo, but recent improvements in diffusion MRI hold promise for exciting applications in the near future. The literature also suggests that utilising multiple complementary quantitative MRI maps could increase the specificity of inferences about neocortical microstructure relative to contemporary techniques, but that further investment in modelling is required to appropriately combine the maps. In vivo histology of human neocortical microstructure is undergoing rapid development. Future developments will improve its specificity, sensitivity, and clinical applicability, granting an ever greater ability to investigate neuroscientific and clinical questions about the human neocortex.","collection-title":"Microstructural Imaging","container-title":"NeuroImage","DOI":"10.1016/j.neuroimage.2018.02.055","ISSN":"1053-8119","journalAbbreviation":"NeuroImage","language":"en","page":"184-206","source":"ScienceDirect","title":"Microstructural imaging of human neocortex in vivo","URL":"https://www.sciencedirect.com/science/article/pii/S1053811918301629","volume":"182","author":[{"family":"Edwards","given":"Luke J."},{"family":"Kirilina","given":"Evgeniya"},{"family":"Mohammadi","given":"Siawoosh"},{"family":"Weiskopf","given":"Nikolaus"}],"accessed":{"date-parts":[["2021",9,10]]},"issued":{"date-parts":[["2018",11,15]]}}}],"schema":"https://github.com/citation-style-language/schema/raw/master/csl-citation.json"} </w:instrText>
      </w:r>
      <w:r w:rsidR="007003C2">
        <w:rPr>
          <w:color w:val="292526"/>
        </w:rPr>
        <w:fldChar w:fldCharType="separate"/>
      </w:r>
      <w:r w:rsidR="007003C2">
        <w:rPr>
          <w:noProof/>
          <w:color w:val="292526"/>
        </w:rPr>
        <w:t>(Edwards et al., 2018)</w:t>
      </w:r>
      <w:r w:rsidR="007003C2">
        <w:rPr>
          <w:color w:val="292526"/>
        </w:rPr>
        <w:fldChar w:fldCharType="end"/>
      </w:r>
      <w:r w:rsidR="007003C2">
        <w:rPr>
          <w:color w:val="292526"/>
        </w:rPr>
        <w:t xml:space="preserve">. This might suggest that the myelin differences observed in R1, that are not observed in MTsat, indicate further sources of </w:t>
      </w:r>
      <w:r w:rsidR="009024C5">
        <w:rPr>
          <w:color w:val="292526"/>
        </w:rPr>
        <w:t xml:space="preserve">neural </w:t>
      </w:r>
      <w:r w:rsidR="004A2AEA">
        <w:rPr>
          <w:color w:val="292526"/>
        </w:rPr>
        <w:t>difference</w:t>
      </w:r>
      <w:r w:rsidR="009024C5">
        <w:rPr>
          <w:color w:val="292526"/>
        </w:rPr>
        <w:t xml:space="preserve"> </w:t>
      </w:r>
      <w:r w:rsidR="007003C2">
        <w:rPr>
          <w:color w:val="292526"/>
        </w:rPr>
        <w:t>in DLD. F</w:t>
      </w:r>
      <w:r w:rsidR="001C5E6D">
        <w:rPr>
          <w:color w:val="292526"/>
        </w:rPr>
        <w:t>urther work is</w:t>
      </w:r>
      <w:r w:rsidR="002A433B">
        <w:rPr>
          <w:color w:val="292526"/>
        </w:rPr>
        <w:t xml:space="preserve"> </w:t>
      </w:r>
      <w:r w:rsidR="001C5E6D">
        <w:rPr>
          <w:color w:val="292526"/>
        </w:rPr>
        <w:t xml:space="preserve">needed to understand </w:t>
      </w:r>
      <w:r w:rsidR="00FE6F1A">
        <w:rPr>
          <w:color w:val="292526"/>
        </w:rPr>
        <w:t>what</w:t>
      </w:r>
      <w:r w:rsidR="00B97136">
        <w:rPr>
          <w:color w:val="292526"/>
        </w:rPr>
        <w:t xml:space="preserve"> </w:t>
      </w:r>
      <w:r w:rsidR="00FE6F1A">
        <w:rPr>
          <w:color w:val="292526"/>
        </w:rPr>
        <w:t xml:space="preserve">the divergent TD&gt;DLD differences across the </w:t>
      </w:r>
      <w:r w:rsidR="001C5E6D">
        <w:rPr>
          <w:color w:val="292526"/>
        </w:rPr>
        <w:t xml:space="preserve">R1 and MTsat </w:t>
      </w:r>
      <w:r w:rsidR="00FE6F1A">
        <w:rPr>
          <w:color w:val="292526"/>
        </w:rPr>
        <w:t>maps</w:t>
      </w:r>
      <w:r w:rsidR="004803CC">
        <w:rPr>
          <w:color w:val="292526"/>
        </w:rPr>
        <w:t xml:space="preserve"> might</w:t>
      </w:r>
      <w:r w:rsidR="00FE6F1A">
        <w:rPr>
          <w:color w:val="292526"/>
        </w:rPr>
        <w:t xml:space="preserve"> reflect</w:t>
      </w:r>
      <w:r w:rsidR="001C5E6D">
        <w:rPr>
          <w:color w:val="292526"/>
        </w:rPr>
        <w:t xml:space="preserve">. </w:t>
      </w:r>
    </w:p>
    <w:p w14:paraId="01DBD7BC" w14:textId="77777777" w:rsidR="001C5E6D" w:rsidRDefault="001C5E6D" w:rsidP="00A22539">
      <w:pPr>
        <w:spacing w:line="360" w:lineRule="auto"/>
        <w:jc w:val="both"/>
        <w:rPr>
          <w:color w:val="292526"/>
        </w:rPr>
      </w:pPr>
    </w:p>
    <w:p w14:paraId="2996698E" w14:textId="28B9824F" w:rsidR="0031270B" w:rsidRDefault="00FC49CF" w:rsidP="00A22539">
      <w:pPr>
        <w:spacing w:line="360" w:lineRule="auto"/>
        <w:jc w:val="both"/>
        <w:rPr>
          <w:color w:val="292526"/>
        </w:rPr>
      </w:pPr>
      <w:r>
        <w:rPr>
          <w:color w:val="292526"/>
        </w:rPr>
        <w:lastRenderedPageBreak/>
        <w:t xml:space="preserve">It is </w:t>
      </w:r>
      <w:r w:rsidR="0037479E">
        <w:rPr>
          <w:color w:val="292526"/>
        </w:rPr>
        <w:t xml:space="preserve">also </w:t>
      </w:r>
      <w:r>
        <w:rPr>
          <w:color w:val="292526"/>
        </w:rPr>
        <w:t xml:space="preserve">notable that </w:t>
      </w:r>
      <w:r w:rsidR="00BF78FF">
        <w:rPr>
          <w:color w:val="292526"/>
        </w:rPr>
        <w:t xml:space="preserve">many </w:t>
      </w:r>
      <w:r>
        <w:rPr>
          <w:color w:val="292526"/>
        </w:rPr>
        <w:t xml:space="preserve">of </w:t>
      </w:r>
      <w:r w:rsidR="007D63E8">
        <w:rPr>
          <w:color w:val="292526"/>
        </w:rPr>
        <w:t>the MT</w:t>
      </w:r>
      <w:r w:rsidR="00D655B3">
        <w:rPr>
          <w:color w:val="292526"/>
        </w:rPr>
        <w:t>sat</w:t>
      </w:r>
      <w:r w:rsidR="007D63E8">
        <w:rPr>
          <w:color w:val="292526"/>
        </w:rPr>
        <w:t xml:space="preserve"> and R1 </w:t>
      </w:r>
      <w:r>
        <w:rPr>
          <w:color w:val="292526"/>
        </w:rPr>
        <w:t>differences</w:t>
      </w:r>
      <w:r w:rsidR="007D63E8">
        <w:rPr>
          <w:color w:val="292526"/>
        </w:rPr>
        <w:t xml:space="preserve"> we observe</w:t>
      </w:r>
      <w:r>
        <w:rPr>
          <w:color w:val="292526"/>
        </w:rPr>
        <w:t xml:space="preserve"> </w:t>
      </w:r>
      <w:r w:rsidR="007D63E8">
        <w:rPr>
          <w:color w:val="292526"/>
        </w:rPr>
        <w:t xml:space="preserve">are </w:t>
      </w:r>
      <w:r>
        <w:rPr>
          <w:color w:val="292526"/>
        </w:rPr>
        <w:t>in primary motor and sensory areas</w:t>
      </w:r>
      <w:r w:rsidR="007D63E8">
        <w:rPr>
          <w:color w:val="292526"/>
        </w:rPr>
        <w:t>, or closely adjacent areas</w:t>
      </w:r>
      <w:r>
        <w:rPr>
          <w:color w:val="292526"/>
        </w:rPr>
        <w:t xml:space="preserve">. </w:t>
      </w:r>
      <w:r w:rsidR="007D63E8">
        <w:rPr>
          <w:color w:val="292526"/>
        </w:rPr>
        <w:t>Myelin</w:t>
      </w:r>
      <w:r w:rsidR="00EF20C5">
        <w:rPr>
          <w:color w:val="292526"/>
        </w:rPr>
        <w:t xml:space="preserve"> content</w:t>
      </w:r>
      <w:r w:rsidR="00B16C7B">
        <w:rPr>
          <w:color w:val="292526"/>
        </w:rPr>
        <w:t xml:space="preserve"> is </w:t>
      </w:r>
      <w:r w:rsidR="00EF20C5">
        <w:rPr>
          <w:color w:val="292526"/>
        </w:rPr>
        <w:t>high</w:t>
      </w:r>
      <w:r w:rsidR="00C47C7D">
        <w:rPr>
          <w:color w:val="292526"/>
        </w:rPr>
        <w:t xml:space="preserve"> </w:t>
      </w:r>
      <w:r w:rsidR="007D63E8">
        <w:rPr>
          <w:color w:val="292526"/>
        </w:rPr>
        <w:t>in primary sensory</w:t>
      </w:r>
      <w:r w:rsidR="00B16C7B">
        <w:rPr>
          <w:color w:val="292526"/>
        </w:rPr>
        <w:t xml:space="preserve"> (due to </w:t>
      </w:r>
      <w:r w:rsidR="00EF20C5">
        <w:rPr>
          <w:color w:val="292526"/>
        </w:rPr>
        <w:t xml:space="preserve">dense </w:t>
      </w:r>
      <w:r w:rsidR="00B16C7B">
        <w:rPr>
          <w:color w:val="292526"/>
        </w:rPr>
        <w:t>thalamo-cortical projections)</w:t>
      </w:r>
      <w:r w:rsidR="007D63E8">
        <w:rPr>
          <w:color w:val="292526"/>
        </w:rPr>
        <w:t xml:space="preserve"> and motor areas</w:t>
      </w:r>
      <w:r w:rsidR="00B16C7B">
        <w:rPr>
          <w:color w:val="292526"/>
        </w:rPr>
        <w:t xml:space="preserve"> (due to the large axons of cortico-spinal projections)</w:t>
      </w:r>
      <w:r w:rsidR="007D63E8">
        <w:rPr>
          <w:color w:val="292526"/>
        </w:rPr>
        <w:t xml:space="preserve"> </w:t>
      </w:r>
      <w:r w:rsidR="00B16C7B">
        <w:rPr>
          <w:color w:val="292526"/>
        </w:rPr>
        <w:t xml:space="preserve">and therefore </w:t>
      </w:r>
      <w:r w:rsidR="007D63E8">
        <w:rPr>
          <w:color w:val="292526"/>
        </w:rPr>
        <w:t>peak</w:t>
      </w:r>
      <w:r w:rsidR="00B16C7B">
        <w:rPr>
          <w:color w:val="292526"/>
        </w:rPr>
        <w:t>s</w:t>
      </w:r>
      <w:r w:rsidR="007D63E8">
        <w:rPr>
          <w:color w:val="292526"/>
        </w:rPr>
        <w:t xml:space="preserve"> at earlier stages of development</w:t>
      </w:r>
      <w:r w:rsidR="00FE7A32">
        <w:rPr>
          <w:color w:val="292526"/>
        </w:rPr>
        <w:t xml:space="preserve"> </w:t>
      </w:r>
      <w:r w:rsidR="00FE7A32">
        <w:rPr>
          <w:color w:val="292526"/>
        </w:rPr>
        <w:fldChar w:fldCharType="begin"/>
      </w:r>
      <w:r w:rsidR="00ED5ABB">
        <w:rPr>
          <w:color w:val="292526"/>
        </w:rPr>
        <w:instrText xml:space="preserve"> ADDIN ZOTERO_ITEM CSL_CITATION {"citationID":"Y7PNY5Pw","properties":{"formattedCitation":"(Natu et al., 2019; Paquola et al., 2019; Whitaker et al., 2016)","plainCitation":"(Natu et al., 2019; Paquola et al., 2019; Whitaker et al., 2016)","noteIndex":0},"citationItems":[{"id":1290,"uris":["http://zotero.org/users/5009496/items/KFQDHBQP"],"itemData":{"id":1290,"type":"article-journal","abstract":"Human cortex appears to thin during childhood development. However, the underlying microstructural mechanisms are unknown. Using functional magnetic resonance imaging (fMRI), quantitative MRI (qMRI), and diffusion MRI (dMRI) in children and adults, we tested what quantitative changes occur to gray and white matter in ventral temporal cortex (VTC) from childhood to adulthood, and how these changes relate to cortical thinning. T1 relaxation time from qMRI and mean diffusivity (MD) from dMRI provide independent and complementary measurements of microstructural properties of gray and white matter tissue. In face- and character-selective regions in lateral VTC, T1 and MD decreased from age 5 to adulthood in mid and deep cortex, as well as in their adjacent white matter. T1 reduction also occurred longitudinally in children’s brain regions. T1 and MD decreases 1) were consistent with tissue growth related to myelination, which we verified with adult histological myelin stains, and 2) were correlated with apparent cortical thinning. In contrast, in place-selective cortex in medial VTC, we found no development of T1 or MD after age 5, and thickness was related to cortical morphology. These findings suggest that lateral VTC likely becomes more myelinated from childhood to adulthood, affecting the contrast of MR images and, in turn, the apparent gray–white boundary. These findings are important because they suggest that VTC does not thin during childhood but instead gets more myelinated. Our data have broad ramifications for understanding both typical and atypical brain development using advanced in vivo quantitative measurements and clinical conditions implicating myelin.","container-title":"Proceedings of the National Academy of Sciences","DOI":"10.1073/pnas.1904931116","ISSN":"0027-8424, 1091-6490","issue":"41","journalAbbreviation":"PNAS","language":"en","note":"publisher: National Academy of Sciences\nsection: PNAS Plus\nPMID: 31548375","page":"20750-20759","source":"www.pnas.org","title":"Apparent thinning of human visual cortex during childhood is associated with myelination","URL":"https://www.pnas.org/content/116/41/20750","volume":"116","author":[{"family":"Natu","given":"Vaidehi S."},{"family":"Gomez","given":"Jesse"},{"family":"Barnett","given":"Michael"},{"family":"Jeska","given":"Brianna"},{"family":"Kirilina","given":"Evgeniya"},{"family":"Jaeger","given":"Carsten"},{"family":"Zhen","given":"Zonglei"},{"family":"Cox","given":"Siobhan"},{"family":"Weiner","given":"Kevin S."},{"family":"Weiskopf","given":"Nikolaus"},{"family":"Grill-Spector","given":"Kalanit"}],"accessed":{"date-parts":[["2021",8,10]]},"issued":{"date-parts":[["2019",10,8]]}}},{"id":1262,"uris":["http://zotero.org/users/5009496/items/VE7F7NXP"],"itemData":{"id":1262,"type":"article-journal","abstract":"We studied an accelerated longitudinal cohort of adolescents and young adults (n = 234, two time points) to investigate dynamic reconfigurations in myeloarchitecture. Intracortical profiles were generated using magnetization transfer (MT) data, a myelin-sensitive magnetic resonance imaging contrast. Mixed-effect models of depth specific intracortical profiles demonstrated two separate processes i) overall increases in MT, and ii) flattening of the MT profile related to enhanced signal in mid-to-deeper layers, especially in heteromodal and unimodal association cortices. This development was independent of morphological changes. Enhanced MT in mid-to-deeper layers was found to spatially co-localise specifically with gene expression markers of oligodendrocytes. Interregional covariance analysis revealed that these intracortical changes contributed to a gradual differentiation of higher-order from lower-order systems. Depth-dependent trajectories of intracortical myeloarchitectural development contribute to the maturation of structural hierarchies in the human neocortex, providing a model for adolescent development that bridges microstructural and macroscopic scales of brain organisation.","container-title":"eLife","DOI":"10.7554/eLife.50482","ISSN":"2050-084X","language":"en","page":"e50482","source":"DOI.org (Crossref)","title":"Shifts in myeloarchitecture characterise adolescent development of cortical gradients","URL":"https://elifesciences.org/articles/50482","volume":"8","author":[{"family":"Paquola","given":"Casey"},{"family":"Bethlehem","given":"Richard AI"},{"family":"Seidlitz","given":"Jakob"},{"family":"Wagstyl","given":"Konrad"},{"family":"Romero-Garcia","given":"Rafael"},{"family":"Whitaker","given":"Kirstie J"},{"family":"Vos de Wael","given":"Reinder"},{"family":"Williams","given":"Guy B"},{"literal":"NSPN Consortium"},{"family":"Vértes","given":"Petra E"},{"family":"Margulies","given":"Daniel S"},{"family":"Bernhardt","given":"Boris"},{"family":"Bullmore","given":"Edward T"}],"accessed":{"date-parts":[["2021",7,28]]},"issued":{"date-parts":[["2019",11,14]]}}},{"id":1120,"uris":["http://zotero.org/users/5009496/items/7EF7RPX4"],"itemData":{"id":1120,"type":"article-journal","container-title":"Proceedings of the National Academy of Sciences","DOI":"10.1073/pnas.1601745113","ISSN":"0027-8424, 1091-6490","issue":"32","language":"en","page":"9105-9110","source":"Crossref","title":"Adolescence is associated with genomically patterned consolidation of the hubs of the human brain connectome","URL":"http://www.pnas.org/lookup/doi/10.1073/pnas.1601745113","volume":"113","author":[{"family":"Whitaker","given":"Kirstie J."},{"family":"Vértes","given":"Petra E."},{"family":"Romero-Garcia","given":"Rafael"},{"family":"Váša","given":"František"},{"family":"Moutoussis","given":"Michael"},{"family":"Prabhu","given":"Gita"},{"family":"Weiskopf","given":"Nikolaus"},{"family":"Callaghan","given":"Martina F."},{"family":"Wagstyl","given":"Konrad"},{"family":"Rittman","given":"Timothy"},{"family":"Tait","given":"Roger"},{"family":"Ooi","given":"Cinly"},{"family":"Suckling","given":"John"},{"family":"Inkster","given":"Becky"},{"family":"Fonagy","given":"Peter"},{"family":"Dolan","given":"Raymond J."},{"family":"Jones","given":"Peter B."},{"family":"Goodyer","given":"Ian M."},{"literal":"the NSPN Consortium"},{"family":"Bullmore","given":"Edward T."}],"accessed":{"date-parts":[["2020",11,24]]},"issued":{"date-parts":[["2016",8,9]]}}}],"schema":"https://github.com/citation-style-language/schema/raw/master/csl-citation.json"} </w:instrText>
      </w:r>
      <w:r w:rsidR="00FE7A32">
        <w:rPr>
          <w:color w:val="292526"/>
        </w:rPr>
        <w:fldChar w:fldCharType="separate"/>
      </w:r>
      <w:r w:rsidR="00FE7A32">
        <w:rPr>
          <w:noProof/>
          <w:color w:val="292526"/>
        </w:rPr>
        <w:t>(Natu et al., 2019; Paquola et al., 2019; Whitaker et al., 2016)</w:t>
      </w:r>
      <w:r w:rsidR="00FE7A32">
        <w:rPr>
          <w:color w:val="292526"/>
        </w:rPr>
        <w:fldChar w:fldCharType="end"/>
      </w:r>
      <w:r w:rsidR="007D63E8">
        <w:rPr>
          <w:color w:val="292526"/>
        </w:rPr>
        <w:t>. As seen from our average parameter maps</w:t>
      </w:r>
      <w:r w:rsidR="00D655B3">
        <w:rPr>
          <w:color w:val="292526"/>
        </w:rPr>
        <w:t xml:space="preserve"> (</w:t>
      </w:r>
      <w:r w:rsidR="00AC12F4">
        <w:rPr>
          <w:color w:val="292526"/>
        </w:rPr>
        <w:t>Figure 3 – figure supplement 1</w:t>
      </w:r>
      <w:r w:rsidR="00D655B3">
        <w:rPr>
          <w:color w:val="292526"/>
        </w:rPr>
        <w:t>)</w:t>
      </w:r>
      <w:r w:rsidR="007D63E8">
        <w:rPr>
          <w:color w:val="292526"/>
        </w:rPr>
        <w:t xml:space="preserve">, we see </w:t>
      </w:r>
      <w:r w:rsidR="00B16C7B">
        <w:rPr>
          <w:color w:val="292526"/>
        </w:rPr>
        <w:t xml:space="preserve">the expected </w:t>
      </w:r>
      <w:r w:rsidR="007D63E8">
        <w:rPr>
          <w:color w:val="292526"/>
        </w:rPr>
        <w:t xml:space="preserve">strong </w:t>
      </w:r>
      <w:r w:rsidR="00095CF6">
        <w:rPr>
          <w:color w:val="292526"/>
        </w:rPr>
        <w:t xml:space="preserve">myelination </w:t>
      </w:r>
      <w:r w:rsidR="007D63E8">
        <w:rPr>
          <w:color w:val="292526"/>
        </w:rPr>
        <w:t xml:space="preserve">in these regions, and we may therefore have stronger signal in these regions of the brain to evaluate group differences. In contrast, a relative lack of differences in association areas may be a true finding or may reflect </w:t>
      </w:r>
      <w:r w:rsidR="00B16C7B">
        <w:rPr>
          <w:color w:val="292526"/>
        </w:rPr>
        <w:t>reduced</w:t>
      </w:r>
      <w:r w:rsidR="007D63E8">
        <w:rPr>
          <w:color w:val="292526"/>
        </w:rPr>
        <w:t xml:space="preserve"> sensitivity to measure this change</w:t>
      </w:r>
      <w:r w:rsidR="00B16C7B">
        <w:rPr>
          <w:color w:val="292526"/>
        </w:rPr>
        <w:t xml:space="preserve"> because there is less myelin content there</w:t>
      </w:r>
      <w:r w:rsidR="007D63E8">
        <w:rPr>
          <w:color w:val="292526"/>
        </w:rPr>
        <w:t xml:space="preserve">. </w:t>
      </w:r>
      <w:r w:rsidR="00517B11">
        <w:rPr>
          <w:color w:val="292526"/>
        </w:rPr>
        <w:t xml:space="preserve">For instance, in our maps, we do not see very strong myelination in some areas, such as the inferior frontal gyrus, which might limit the ability to see group differences. </w:t>
      </w:r>
      <w:r w:rsidR="007D63E8">
        <w:rPr>
          <w:color w:val="292526"/>
        </w:rPr>
        <w:t>I</w:t>
      </w:r>
      <w:r>
        <w:rPr>
          <w:color w:val="292526"/>
        </w:rPr>
        <w:t xml:space="preserve">n typically developing </w:t>
      </w:r>
      <w:r w:rsidR="00D35B3C">
        <w:rPr>
          <w:color w:val="292526"/>
        </w:rPr>
        <w:t>teenagers</w:t>
      </w:r>
      <w:r>
        <w:rPr>
          <w:color w:val="292526"/>
        </w:rPr>
        <w:t xml:space="preserve">, myelogenesis is </w:t>
      </w:r>
      <w:r w:rsidR="00D35B3C">
        <w:rPr>
          <w:color w:val="292526"/>
        </w:rPr>
        <w:t xml:space="preserve">highest </w:t>
      </w:r>
      <w:r>
        <w:rPr>
          <w:color w:val="292526"/>
        </w:rPr>
        <w:t xml:space="preserve">in association areas </w:t>
      </w:r>
      <w:r>
        <w:rPr>
          <w:color w:val="292526"/>
        </w:rPr>
        <w:fldChar w:fldCharType="begin"/>
      </w:r>
      <w:r w:rsidR="00ED5ABB">
        <w:rPr>
          <w:color w:val="292526"/>
        </w:rPr>
        <w:instrText xml:space="preserve"> ADDIN ZOTERO_ITEM CSL_CITATION {"citationID":"e6hXJKyW","properties":{"formattedCitation":"(Whitaker et al., 2016)","plainCitation":"(Whitaker et al., 2016)","noteIndex":0},"citationItems":[{"id":1120,"uris":["http://zotero.org/users/5009496/items/7EF7RPX4"],"itemData":{"id":1120,"type":"article-journal","container-title":"Proceedings of the National Academy of Sciences","DOI":"10.1073/pnas.1601745113","ISSN":"0027-8424, 1091-6490","issue":"32","language":"en","page":"9105-9110","source":"Crossref","title":"Adolescence is associated with genomically patterned consolidation of the hubs of the human brain connectome","URL":"http://www.pnas.org/lookup/doi/10.1073/pnas.1601745113","volume":"113","author":[{"family":"Whitaker","given":"Kirstie J."},{"family":"Vértes","given":"Petra E."},{"family":"Romero-Garcia","given":"Rafael"},{"family":"Váša","given":"František"},{"family":"Moutoussis","given":"Michael"},{"family":"Prabhu","given":"Gita"},{"family":"Weiskopf","given":"Nikolaus"},{"family":"Callaghan","given":"Martina F."},{"family":"Wagstyl","given":"Konrad"},{"family":"Rittman","given":"Timothy"},{"family":"Tait","given":"Roger"},{"family":"Ooi","given":"Cinly"},{"family":"Suckling","given":"John"},{"family":"Inkster","given":"Becky"},{"family":"Fonagy","given":"Peter"},{"family":"Dolan","given":"Raymond J."},{"family":"Jones","given":"Peter B."},{"family":"Goodyer","given":"Ian M."},{"literal":"the NSPN Consortium"},{"family":"Bullmore","given":"Edward T."}],"accessed":{"date-parts":[["2020",11,24]]},"issued":{"date-parts":[["2016",8,9]]}}}],"schema":"https://github.com/citation-style-language/schema/raw/master/csl-citation.json"} </w:instrText>
      </w:r>
      <w:r>
        <w:rPr>
          <w:color w:val="292526"/>
        </w:rPr>
        <w:fldChar w:fldCharType="separate"/>
      </w:r>
      <w:r>
        <w:rPr>
          <w:noProof/>
          <w:color w:val="292526"/>
        </w:rPr>
        <w:t>(Whitaker et al., 2016)</w:t>
      </w:r>
      <w:r>
        <w:rPr>
          <w:color w:val="292526"/>
        </w:rPr>
        <w:fldChar w:fldCharType="end"/>
      </w:r>
      <w:r>
        <w:rPr>
          <w:color w:val="292526"/>
        </w:rPr>
        <w:t xml:space="preserve">. </w:t>
      </w:r>
      <w:r w:rsidR="00BD6195">
        <w:rPr>
          <w:color w:val="292526"/>
        </w:rPr>
        <w:t>L</w:t>
      </w:r>
      <w:r>
        <w:rPr>
          <w:color w:val="292526"/>
        </w:rPr>
        <w:t xml:space="preserve">ongitudinal studies are </w:t>
      </w:r>
      <w:r w:rsidR="00517B11">
        <w:rPr>
          <w:color w:val="292526"/>
        </w:rPr>
        <w:t xml:space="preserve">therefore </w:t>
      </w:r>
      <w:r>
        <w:rPr>
          <w:color w:val="292526"/>
        </w:rPr>
        <w:t xml:space="preserve">necessary to evaluate whether </w:t>
      </w:r>
      <w:r w:rsidR="00BD6195">
        <w:rPr>
          <w:color w:val="292526"/>
        </w:rPr>
        <w:t>differences in myelin</w:t>
      </w:r>
      <w:r>
        <w:rPr>
          <w:color w:val="292526"/>
        </w:rPr>
        <w:t xml:space="preserve"> persist in the same areas</w:t>
      </w:r>
      <w:r w:rsidR="00BD6195">
        <w:rPr>
          <w:color w:val="292526"/>
        </w:rPr>
        <w:t xml:space="preserve"> in children with DLD</w:t>
      </w:r>
      <w:r>
        <w:rPr>
          <w:color w:val="292526"/>
        </w:rPr>
        <w:t xml:space="preserve">, i.e., regionally specific changes, or whether </w:t>
      </w:r>
      <w:r w:rsidR="00517B11">
        <w:rPr>
          <w:color w:val="292526"/>
        </w:rPr>
        <w:t>differences in myelin</w:t>
      </w:r>
      <w:r>
        <w:rPr>
          <w:color w:val="292526"/>
        </w:rPr>
        <w:t xml:space="preserve"> would be seen in association </w:t>
      </w:r>
      <w:r w:rsidR="00D35B3C">
        <w:rPr>
          <w:color w:val="292526"/>
        </w:rPr>
        <w:t xml:space="preserve">areas </w:t>
      </w:r>
      <w:r>
        <w:rPr>
          <w:color w:val="292526"/>
        </w:rPr>
        <w:t xml:space="preserve">at later </w:t>
      </w:r>
      <w:r w:rsidR="00EF61C2">
        <w:rPr>
          <w:color w:val="292526"/>
        </w:rPr>
        <w:t>stages of development</w:t>
      </w:r>
      <w:r>
        <w:rPr>
          <w:color w:val="292526"/>
        </w:rPr>
        <w:t xml:space="preserve">. </w:t>
      </w:r>
    </w:p>
    <w:p w14:paraId="654ED43F" w14:textId="35D58EF0" w:rsidR="0031270B" w:rsidRDefault="0031270B" w:rsidP="00A22539">
      <w:pPr>
        <w:spacing w:line="360" w:lineRule="auto"/>
        <w:jc w:val="both"/>
        <w:rPr>
          <w:color w:val="292526"/>
        </w:rPr>
      </w:pPr>
    </w:p>
    <w:p w14:paraId="6CD87B9E" w14:textId="48585833" w:rsidR="0031270B" w:rsidRDefault="00545E66" w:rsidP="0031270B">
      <w:pPr>
        <w:spacing w:line="360" w:lineRule="auto"/>
        <w:jc w:val="both"/>
        <w:rPr>
          <w:color w:val="292526"/>
        </w:rPr>
      </w:pPr>
      <w:r>
        <w:rPr>
          <w:color w:val="292526"/>
        </w:rPr>
        <w:t xml:space="preserve">The broad constellation of challenges faced by children with DLD </w:t>
      </w:r>
      <w:r w:rsidR="00816E14">
        <w:rPr>
          <w:color w:val="292526"/>
        </w:rPr>
        <w:t>might</w:t>
      </w:r>
      <w:r>
        <w:rPr>
          <w:color w:val="292526"/>
        </w:rPr>
        <w:t xml:space="preserve"> </w:t>
      </w:r>
      <w:r w:rsidR="00C47C7D">
        <w:rPr>
          <w:color w:val="292526"/>
        </w:rPr>
        <w:t xml:space="preserve">also </w:t>
      </w:r>
      <w:r>
        <w:rPr>
          <w:color w:val="292526"/>
        </w:rPr>
        <w:t>explain</w:t>
      </w:r>
      <w:r w:rsidR="00816E14">
        <w:rPr>
          <w:color w:val="292526"/>
        </w:rPr>
        <w:t xml:space="preserve"> some of </w:t>
      </w:r>
      <w:r w:rsidR="00CA07FE">
        <w:rPr>
          <w:color w:val="292526"/>
        </w:rPr>
        <w:t>the</w:t>
      </w:r>
      <w:r w:rsidR="00816E14">
        <w:rPr>
          <w:color w:val="292526"/>
        </w:rPr>
        <w:t xml:space="preserve"> group differences in </w:t>
      </w:r>
      <w:r w:rsidR="00C61B41">
        <w:rPr>
          <w:color w:val="292526"/>
        </w:rPr>
        <w:t>MTsat and R1</w:t>
      </w:r>
      <w:r w:rsidR="00816E14">
        <w:rPr>
          <w:color w:val="292526"/>
        </w:rPr>
        <w:t xml:space="preserve"> values</w:t>
      </w:r>
      <w:r w:rsidR="0031270B">
        <w:rPr>
          <w:color w:val="292526"/>
        </w:rPr>
        <w:t>.</w:t>
      </w:r>
      <w:r w:rsidR="00816E14">
        <w:rPr>
          <w:color w:val="292526"/>
        </w:rPr>
        <w:t xml:space="preserve"> For example, many children with DLD have co-occurring motor challenges</w:t>
      </w:r>
      <w:r w:rsidR="00F45750">
        <w:rPr>
          <w:color w:val="292526"/>
        </w:rPr>
        <w:t xml:space="preserve"> </w:t>
      </w:r>
      <w:r w:rsidR="00D525C6">
        <w:rPr>
          <w:color w:val="292526"/>
        </w:rPr>
        <w:fldChar w:fldCharType="begin"/>
      </w:r>
      <w:r w:rsidR="00D525C6">
        <w:rPr>
          <w:color w:val="292526"/>
        </w:rPr>
        <w:instrText xml:space="preserve"> ADDIN ZOTERO_ITEM CSL_CITATION {"citationID":"fz3aOJ5b","properties":{"formattedCitation":"(Hill, 2001; Sanjeevan &amp; Mainela-Arnold, 2019)","plainCitation":"(Hill, 2001; Sanjeevan &amp; Mainela-Arnold, 2019)","noteIndex":0},"citationItems":[{"id":1308,"uris":["http://zotero.org/users/5009496/items/32YB8L75"],"itemData":{"id":1308,"type":"article-journal","container-title":"International Journal of Language &amp; Communication Disorders","DOI":"10.1080/13682820010019874","ISSN":"1368-2822, 1460-6984","issue":"2","journalAbbreviation":"Int J Lang Commun Disord","language":"en","page":"149-171","source":"DOI.org (Crossref)","title":"Non-specific nature of specific language impairment: a review of the literature with regard to concomitant motor impairments","title-short":"Non-specific nature of specific language impairment","URL":"http://informahealthcare.com/doi/abs/10.1080/13682820010019874","volume":"36","author":[{"family":"Hill","given":"Elisabeth L."}],"accessed":{"date-parts":[["2021",8,19]]},"issued":{"date-parts":[["2001",1]]}}},{"id":1607,"uris":["http://zotero.org/users/5009496/items/2SL6TSBY"],"itemData":{"id":1607,"type":"article-journal","abstract":"&lt;b&gt;&lt;i&gt;Background/Aims:&lt;/i&gt;&lt;/b&gt; Specific language impairment (SLI) is characterized by deficits in language ability. However, studies have also reported motor impairments in SLI. It has been proposed that the language and motor impairments in SLI share common origins. This exploratory study compared the gross, fine, oral, and speech motor skills of children with SLI and children with typical development (TD) to determine whether children with SLI would exhibit difficulties on particular motor tasks and to inform us about the underlying cognitive deficits in SLI. &lt;b&gt;&lt;i&gt;Methods:&lt;/i&gt;&lt;/b&gt; A total of 13 children with SLI (aged 8–12 years) and 14 age-matched children with TD were administered the Movement Assessment Battery for Children – Second Edition and the Verbal Motor Production Assessment for Children to examine gross and fine motor skills and oral and speech motor skills, respectively. &lt;b&gt;&lt;i&gt;Results:&lt;/i&gt;&lt;/b&gt; Children with SLI scored significantly lower on gross, fine, and speech motor tasks relative to children with TD. In particular, children with SLI found movements organized into sequences and movement modifications challenging. On oral motor tasks, however, children with SLI were comparable to children with TD. &lt;b&gt;&lt;i&gt;Conclusion:&lt;/i&gt;&lt;/b&gt; Impairment of the motor sequencing and adaptation processes may explain the performance of children with SLI on these tasks, which may be suggestive of a procedural memory deficit in SLI.","container-title":"Folia Phoniatrica et Logopaedica","DOI":"10.1159/000493262","ISSN":"1021-7762, 1421-9972","issue":"1","journalAbbreviation":"FPL","language":"english","note":"publisher: Karger Publishers\nPMID: 30541007","page":"42-55","source":"www.karger.com","title":"Characterizing the Motor Skills in Children with Specific Language Impairment","URL":"https://www.karger.com/Article/FullText/493262","volume":"71","author":[{"family":"Sanjeevan","given":"Teenu"},{"family":"Mainela-Arnold","given":"Elina"}],"accessed":{"date-parts":[["2022",4,22]]},"issued":{"date-parts":[["2019"]]}}}],"schema":"https://github.com/citation-style-language/schema/raw/master/csl-citation.json"} </w:instrText>
      </w:r>
      <w:r w:rsidR="00D525C6">
        <w:rPr>
          <w:color w:val="292526"/>
        </w:rPr>
        <w:fldChar w:fldCharType="separate"/>
      </w:r>
      <w:r w:rsidR="00D525C6">
        <w:rPr>
          <w:noProof/>
          <w:color w:val="292526"/>
        </w:rPr>
        <w:t>(Hill, 2001; Sanjeevan &amp; Mainela-Arnold, 2019)</w:t>
      </w:r>
      <w:r w:rsidR="00D525C6">
        <w:rPr>
          <w:color w:val="292526"/>
        </w:rPr>
        <w:fldChar w:fldCharType="end"/>
      </w:r>
      <w:r w:rsidR="00816E14">
        <w:rPr>
          <w:color w:val="292526"/>
        </w:rPr>
        <w:t>, which may be reflected in changes in the motor network.</w:t>
      </w:r>
      <w:r w:rsidR="0031270B">
        <w:rPr>
          <w:color w:val="292526"/>
        </w:rPr>
        <w:t xml:space="preserve"> </w:t>
      </w:r>
      <w:r w:rsidR="00CA07FE">
        <w:rPr>
          <w:color w:val="292526"/>
        </w:rPr>
        <w:t>This might also account for</w:t>
      </w:r>
      <w:r w:rsidR="00D525C6">
        <w:rPr>
          <w:color w:val="292526"/>
        </w:rPr>
        <w:t xml:space="preserve"> </w:t>
      </w:r>
      <w:r w:rsidR="00C61B41">
        <w:rPr>
          <w:color w:val="292526"/>
        </w:rPr>
        <w:t xml:space="preserve">differences in regions we did not have clear hypotheses about, </w:t>
      </w:r>
      <w:r w:rsidR="00CA07FE">
        <w:rPr>
          <w:color w:val="292526"/>
        </w:rPr>
        <w:t xml:space="preserve">for </w:t>
      </w:r>
      <w:r w:rsidR="00EF20C5">
        <w:rPr>
          <w:color w:val="292526"/>
        </w:rPr>
        <w:t>example</w:t>
      </w:r>
      <w:r w:rsidR="00CA07FE">
        <w:rPr>
          <w:color w:val="292526"/>
        </w:rPr>
        <w:t>,</w:t>
      </w:r>
      <w:r w:rsidR="00C61B41">
        <w:rPr>
          <w:color w:val="292526"/>
        </w:rPr>
        <w:t xml:space="preserve"> </w:t>
      </w:r>
      <w:r w:rsidR="00F45750">
        <w:rPr>
          <w:color w:val="292526"/>
        </w:rPr>
        <w:t>in the occipital lobe. Many children in our study faced reading challenges, and</w:t>
      </w:r>
      <w:r w:rsidR="00CA07FE">
        <w:rPr>
          <w:color w:val="292526"/>
        </w:rPr>
        <w:t xml:space="preserve"> left occipital-temporal hypoactivation is associated with dyslexia </w:t>
      </w:r>
      <w:r w:rsidR="00CA07FE">
        <w:rPr>
          <w:color w:val="292526"/>
        </w:rPr>
        <w:fldChar w:fldCharType="begin"/>
      </w:r>
      <w:r w:rsidR="00CA07FE">
        <w:rPr>
          <w:color w:val="292526"/>
        </w:rPr>
        <w:instrText xml:space="preserve"> ADDIN ZOTERO_ITEM CSL_CITATION {"citationID":"CNOvHS39","properties":{"formattedCitation":"(Paulesu et al., 2014; Richlan, 2012)","plainCitation":"(Paulesu et al., 2014; Richlan, 2012)","noteIndex":0},"citationItems":[{"id":1616,"uris":["http://zotero.org/users/5009496/items/RCS85PE7"],"itemData":{"id":1616,"type":"article-journal","abstract":"Developmental dyslexia has been the focus of much functional anatomical research. The main trust of this work is that typical developmental dyslexics have a dysfunction of the phonological and orthography to phonology conversion systems, in which the left occipito-temporal cortex has a crucial role. It remains to be seen whether there is a systematic co-occurrence of dysfunctional patterns of different functional systems perhaps converging on the same brain regions associated with the reading deficit. Such evidence would be relevant for theories like, for example, the magnocellular/attentional or the motor/cerebellar ones, which postulate a more basic and anatomically distributed disorder in dyslexia. We addressed this issue with a meta-analysis of all the imaging literature published until September 2013 using a combination of hierarchical clustering and activation likelihood estimation methods. The clustering analysis on 2360 peaks identified 193 clusters, 92 of which proved spatially significant. Following binomial tests on the clusters, we found left hemispheric network specific for normal controls (i.e., of reduced involvement in dyslexics) including the left inferior frontal, premotor, supramarginal cortices and the left infero-temporal and fusiform regions: these were preferentially associated with reading and the visual-to-phonology processes. There was also a more dorsal left fronto-parietal network: these clusters included peaks from tasks involving phonological manipulation, but also motoric or visuo-spatial perception/attention. No cluster was identified in area V5 for no task, nor cerebellar clusters showed a reduced association with dyslexics. We conclude that the examined literature demonstrates a specific lack of activation of the left occipito-temporal cortex in dyslexia particularly for reading and reading-like behaviors and for visuo-phonological tasks. Additional deficits of motor and attentional systems relevant for reading may be associated with altered functionality of dorsal left fronto-parietal cortex.","container-title":"Frontiers in Human Neuroscience","ISSN":"1662-5161","source":"Frontiers","title":"Reading the dyslexic brain: multiple dysfunctional routes revealed by a new meta-analysis of PET and fMRI activation studies","title-short":"Reading the dyslexic brain","URL":"https://www.frontiersin.org/article/10.3389/fnhum.2014.00830","volume":"8","author":[{"family":"Paulesu","given":"Eraldo"},{"family":"Danelli","given":"Laura"},{"family":"Berlingeri","given":"Manuela"}],"accessed":{"date-parts":[["2022",4,22]]},"issued":{"date-parts":[["2014"]]}}},{"id":1618,"uris":["http://zotero.org/users/5009496/items/PUXUUJJP"],"itemData":{"id":1618,"type":"article-journal","abstract":"This mini-review summarizes and integrates findings from recent meta-analyses and original neuroimaging studies on functional brain abnormalities in dyslexic readers. Surprisingly, there is little empirical support for the standard neuroanatomical model of developmental dyslexia, which localizes the primary phonological decoding deficit in left temporo-parietal (TP) regions. Rather, recent evidence points to a dysfunction of a left hemisphere reading network, which includes occipito-temporal (OT), inferior frontal, and inferior parietal regions.","container-title":"Frontiers in Human Neuroscience","ISSN":"1662-5161","source":"Frontiers","title":"Developmental dyslexia: dysfunction of a left hemisphere reading network","title-short":"Developmental dyslexia","URL":"https://www.frontiersin.org/article/10.3389/fnhum.2012.00120","volume":"6","author":[{"family":"Richlan","given":"Fabio"}],"accessed":{"date-parts":[["2022",4,22]]},"issued":{"date-parts":[["2012"]]}}}],"schema":"https://github.com/citation-style-language/schema/raw/master/csl-citation.json"} </w:instrText>
      </w:r>
      <w:r w:rsidR="00CA07FE">
        <w:rPr>
          <w:color w:val="292526"/>
        </w:rPr>
        <w:fldChar w:fldCharType="separate"/>
      </w:r>
      <w:r w:rsidR="00CA07FE">
        <w:rPr>
          <w:noProof/>
          <w:color w:val="292526"/>
        </w:rPr>
        <w:t>(Paulesu et al., 2014; Richlan, 2012)</w:t>
      </w:r>
      <w:r w:rsidR="00CA07FE">
        <w:rPr>
          <w:color w:val="292526"/>
        </w:rPr>
        <w:fldChar w:fldCharType="end"/>
      </w:r>
      <w:r w:rsidR="00EF20C5">
        <w:rPr>
          <w:color w:val="292526"/>
        </w:rPr>
        <w:t xml:space="preserve"> and now genetic variation in literacy skills </w:t>
      </w:r>
      <w:r w:rsidR="00EF20C5">
        <w:rPr>
          <w:color w:val="292526"/>
        </w:rPr>
        <w:fldChar w:fldCharType="begin"/>
      </w:r>
      <w:r w:rsidR="00EF20C5">
        <w:rPr>
          <w:color w:val="292526"/>
        </w:rPr>
        <w:instrText xml:space="preserve"> ADDIN ZOTERO_ITEM CSL_CITATION {"citationID":"FGgoOZBG","properties":{"formattedCitation":"(see above, Eising et al., 2021)","plainCitation":"(see above, Eising et al., 2021)","noteIndex":0},"citationItems":[{"id":1466,"uris":["http://zotero.org/users/5009496/items/DAT8VHUE"],"itemData":{"id":1466,"type":"report","abstract":"The use of spoken and written language is a capacity that is unique to humans. Individual differences in reading- and language-related skills are influenced by genetic variation, with twin-based heritability estimates of 30-80%, depending on the trait. The relevant genetic architecture is complex, heterogeneous, and multifactorial, and yet to be investigated with well-powered studies. Here, we present a multicohort genome-wide association study (GWAS) of five traits assessed individually using psychometric measures: word reading, nonword reading, spelling, phoneme awareness, and nonword repetition, with total sample sizes ranging from 13,633 to 33,959 participants aged 5-26 years (12,411 to 27,180 for those with European ancestry, defined by principal component analyses). We identified a genome-wide significant association with word reading (rs11208009, p=1.098 x 10-8) independent of known loci associated with intelligence or educational attainment. All five reading-/language-related traits had robust SNP-heritability estimates (0.13–0.26), and genetic correlations between them were modest to high. Using genomic structural equation modelling, we found evidence for a shared genetic factor explaining the majority of variation in word and nonword reading, spelling, and phoneme awareness, which only partially overlapped with genetic variation contributing to nonword repetition, intelligence and educational attainment. A multivariate GWAS was performed to jointly analyse word and nonword reading, spelling, and phoneme awareness, maximizing power for follow-up investigation. Genetic correlation analysis of multivariate GWAS results with neuroimaging traits identified association with cortical surface area of the banks of the left superior temporal sulcus, a brain region with known links to processing of spoken and written language. Analysis of evolutionary annotations on the lineage that led to modern humans showed enriched heritability in regions depleted of Neanderthal variants. Together, these results provide new avenues for deciphering the biological underpinnings of these uniquely human traits.","genre":"preprint","language":"en","note":"DOI: 10.1101/2021.11.04.466897","publisher":"Genomics","source":"DOI.org (Crossref)","title":"Genome-wide association analyses of individual differences in quantitatively assessed reading- and language-related skills in up to 34,000 people","URL":"http://biorxiv.org/lookup/doi/10.1101/2021.11.04.466897","author":[{"family":"Eising","given":"Else"},{"family":"Mirza-Schreiber","given":"Nazanin"},{"family":"Zeeuw","given":"Eveline L.","non-dropping-particle":"de"},{"family":"Wang","given":"Carol A."},{"family":"Truong","given":"Dongnhu T."},{"family":"Allegrini","given":"Andrea G."},{"family":"Shapland","given":"Chin Yang"},{"family":"Zhu","given":"Gu"},{"family":"Wigg","given":"Karen G."},{"family":"Gerritse","given":"Margot"},{"family":"Molz","given":"Barbara"},{"family":"Alagöz","given":"Gökberk"},{"family":"Gialluisi","given":"Alessandro"},{"family":"Abbondanza","given":"Filippo"},{"family":"Rimfeld","given":"Kaili"},{"family":"Donkelaar","given":"Marjolein","non-dropping-particle":"van"},{"family":"Liao","given":"Zhijie"},{"family":"Jansen","given":"Philip R."},{"family":"Andlauer","given":"Till F. M."},{"family":"Bates","given":"Timothy C."},{"family":"Bernard","given":"Manon"},{"family":"Blokland","given":"Kirsten"},{"family":"Børglum","given":"Anders D."},{"family":"Bourgeron","given":"Thomas"},{"family":"Brandeis","given":"Daniel"},{"family":"Ceroni","given":"Fabiola"},{"family":"Dale","given":"Philip S."},{"family":"Landerl","given":"Karin"},{"family":"Lyytinen","given":"Heikki"},{"family":"Jong","given":"Peter F.","non-dropping-particle":"de"},{"family":"DeFries","given":"John C."},{"family":"Demontis","given":"Ditte"},{"family":"Feng","given":"Yu"},{"family":"Gordon","given":"Scott D."},{"family":"Guger","given":"Sharon L."},{"family":"Hayiou-Thomas","given":"Marianna E."},{"family":"Hernández-Cabrera","given":"Juan A."},{"family":"Hottenga","given":"Jouke-Jan"},{"family":"Hulme","given":"Charles"},{"family":"Kerr","given":"Elizabeth N."},{"family":"Koomar","given":"Tanner"},{"family":"Lovett","given":"Maureen W."},{"family":"Martin","given":"Nicholas G."},{"family":"Martinelli","given":"Angela"},{"family":"Maurer","given":"Urs"},{"family":"Michaelson","given":"Jacob J."},{"family":"Moll","given":"Kristina"},{"family":"Monaco","given":"Anthony P."},{"family":"Morgan","given":"Angela T."},{"family":"Nöthen","given":"Markus M."},{"family":"Pausova","given":"Zdenka"},{"family":"Pennell","given":"Craig E."},{"family":"Pennington","given":"Bruce F"},{"family":"Price","given":"Kaitlyn M."},{"family":"Rajagopal","given":"Veera M."},{"family":"Ramus","given":"Frank"},{"family":"Richer","given":"Louis"},{"family":"Simpson","given":"Nuala H."},{"family":"Smith","given":"Shelley"},{"family":"Snowling","given":"Margaret J."},{"family":"Stein","given":"John"},{"family":"Strug","given":"Lisa J."},{"family":"Talcott","given":"Joel B."},{"family":"Tiemeier","given":"Henning"},{"family":"Schroeff","given":"Marc M.P.","non-dropping-particle":"van de"},{"family":"Verhoef","given":"Ellen"},{"family":"Watkins","given":"Kate E."},{"family":"Wilkinson","given":"Margaret"},{"family":"Wright","given":"Margaret J."},{"family":"Barr","given":"Cathy L."},{"family":"Boomsma","given":"Dorret I."},{"family":"Carreiras","given":"Manuel"},{"family":"Franken","given":"Marie-Christine J."},{"family":"Gruen","given":"Jeffrey R."},{"family":"Luciano","given":"Michelle"},{"family":"Müller-Myhsok","given":"Bertram"},{"family":"Newbury","given":"Dianne F."},{"family":"Olson","given":"Richard K."},{"family":"Paracchini","given":"Silvia"},{"family":"Paus","given":"Tomas"},{"family":"Plomin","given":"Robert"},{"family":"Schulte-Körne","given":"Gerd"},{"family":"Reilly","given":"Sheena"},{"family":"Tomblin","given":"J. Bruce"},{"family":"Bergen","given":"Elsje","non-dropping-particle":"van"},{"family":"Whitehouse","given":"Andrew J.O."},{"family":"Willcutt","given":"Erik G."},{"family":"Pourcain","given":"Beate St"},{"family":"Francks","given":"Clyde"},{"family":"Fisher","given":"Simon E."}],"accessed":{"date-parts":[["2022",3,10]]},"issued":{"date-parts":[["2021",11,4]]}},"prefix":"see above, "}],"schema":"https://github.com/citation-style-language/schema/raw/master/csl-citation.json"} </w:instrText>
      </w:r>
      <w:r w:rsidR="00EF20C5">
        <w:rPr>
          <w:color w:val="292526"/>
        </w:rPr>
        <w:fldChar w:fldCharType="separate"/>
      </w:r>
      <w:r w:rsidR="00EF20C5">
        <w:rPr>
          <w:noProof/>
          <w:color w:val="292526"/>
        </w:rPr>
        <w:t>(see above, Eising et al., 2021)</w:t>
      </w:r>
      <w:r w:rsidR="00EF20C5">
        <w:rPr>
          <w:color w:val="292526"/>
        </w:rPr>
        <w:fldChar w:fldCharType="end"/>
      </w:r>
      <w:r w:rsidR="00F45750">
        <w:rPr>
          <w:color w:val="292526"/>
        </w:rPr>
        <w:t xml:space="preserve">. </w:t>
      </w:r>
      <w:r w:rsidR="00816E14">
        <w:rPr>
          <w:color w:val="292526"/>
        </w:rPr>
        <w:t xml:space="preserve">One way to disentangle </w:t>
      </w:r>
      <w:r w:rsidR="00CA07FE">
        <w:rPr>
          <w:color w:val="292526"/>
        </w:rPr>
        <w:t>the</w:t>
      </w:r>
      <w:r w:rsidR="00816E14">
        <w:rPr>
          <w:color w:val="292526"/>
        </w:rPr>
        <w:t xml:space="preserve"> contributions</w:t>
      </w:r>
      <w:r w:rsidR="00CA07FE">
        <w:rPr>
          <w:color w:val="292526"/>
        </w:rPr>
        <w:t xml:space="preserve"> of these different cognitive traits</w:t>
      </w:r>
      <w:r w:rsidR="00816E14">
        <w:rPr>
          <w:color w:val="292526"/>
        </w:rPr>
        <w:t xml:space="preserve"> would be to conduct large-scale studies including those with multiple diagnoses and use a transdiagnostic approach to establish specific relationships between brain and behaviour</w:t>
      </w:r>
      <w:r w:rsidR="00A7075D">
        <w:rPr>
          <w:color w:val="292526"/>
        </w:rPr>
        <w:t xml:space="preserve"> </w:t>
      </w:r>
      <w:r w:rsidR="00132FAC">
        <w:rPr>
          <w:color w:val="292526"/>
        </w:rPr>
        <w:fldChar w:fldCharType="begin"/>
      </w:r>
      <w:r w:rsidR="00132FAC">
        <w:rPr>
          <w:color w:val="292526"/>
        </w:rPr>
        <w:instrText xml:space="preserve"> ADDIN ZOTERO_ITEM CSL_CITATION {"citationID":"F1ojNvrJ","properties":{"formattedCitation":"(Siugzdaite et al., 2020)","plainCitation":"(Siugzdaite et al., 2020)","noteIndex":0},"citationItems":[{"id":714,"uris":["http://zotero.org/users/5009496/items/ST8S6Q5K"],"itemData":{"id":714,"type":"article-journal","abstract":"Childhood learning difficulties and developmental disorders are common, but progress toward understanding their underlying brain mechanisms has been slow. Structural neuroimaging, cognitive, and learning data were collected from 479 children (299 boys, ranging in age from 62 to 223 months), 337 of whom had been referred to the study on the basis of learning-related cognitive problems. Machine learning identified different cognitive profiles within the sample, and hold-out cross-validation showed that these profiles were significantly associated with children’s learning ability. The same machine learning approach was applied to cortical morphology data to identify different brain profiles. Hold-out cross-validation demonstrated that these were significantly associated with children’s cognitive profiles. Crucially, these mappings were not one-to-one. The same neural profile could be associated with different cognitive impairments across different children. One possibility is that the organization of some children’s brains is less susceptible to local deficits. This was tested by using diffusion-weighted imaging (DWI) to construct whole-brain white-matter connectomes. A simulated attack on each child’s connectome revealed that some brain networks were strongly organized around highly connected hubs. Children with these networks had only selective cognitive impairments or no cognitive impairments at all. By contrast, the same attacks had a significantly different impact on some children’s networks, because their brain efficiency was less critically dependent on hubs. These children had the most widespread and severe cognitive impairments. On this basis, we propose a new framework in which the nature and mechanisms of brain-to-cognition relationships are moderated by the organizational context of the overall network.","container-title":"Current Biology","DOI":"10.1016/j.cub.2020.01.078","ISSN":"0960-9822","issue":"7","journalAbbreviation":"Current Biology","language":"en","page":"1245-1257.e4","source":"ScienceDirect","title":"Transdiagnostic Brain Mapping in Developmental Disorders","URL":"http://www.sciencedirect.com/science/article/pii/S0960982220301585","volume":"30","author":[{"family":"Siugzdaite","given":"Roma"},{"family":"Bathelt","given":"Joe"},{"family":"Holmes","given":"Joni"},{"family":"Astle","given":"Duncan E."}],"accessed":{"date-parts":[["2020",5,18]]},"issued":{"date-parts":[["2020",4,6]]}}}],"schema":"https://github.com/citation-style-language/schema/raw/master/csl-citation.json"} </w:instrText>
      </w:r>
      <w:r w:rsidR="00132FAC">
        <w:rPr>
          <w:color w:val="292526"/>
        </w:rPr>
        <w:fldChar w:fldCharType="separate"/>
      </w:r>
      <w:r w:rsidR="00132FAC">
        <w:rPr>
          <w:noProof/>
          <w:color w:val="292526"/>
        </w:rPr>
        <w:t>(Siugzdaite et al., 2020)</w:t>
      </w:r>
      <w:r w:rsidR="00132FAC">
        <w:rPr>
          <w:color w:val="292526"/>
        </w:rPr>
        <w:fldChar w:fldCharType="end"/>
      </w:r>
      <w:r w:rsidR="00816E14">
        <w:rPr>
          <w:color w:val="292526"/>
        </w:rPr>
        <w:t xml:space="preserve">. </w:t>
      </w:r>
    </w:p>
    <w:p w14:paraId="3986DCBD" w14:textId="163BA664" w:rsidR="00C61B41" w:rsidRDefault="00C61B41" w:rsidP="0031270B">
      <w:pPr>
        <w:spacing w:line="360" w:lineRule="auto"/>
        <w:jc w:val="both"/>
        <w:rPr>
          <w:color w:val="292526"/>
        </w:rPr>
      </w:pPr>
    </w:p>
    <w:p w14:paraId="096AF770" w14:textId="6FC8EBA9" w:rsidR="00C61B41" w:rsidRDefault="00C61B41" w:rsidP="0031270B">
      <w:pPr>
        <w:spacing w:line="360" w:lineRule="auto"/>
        <w:jc w:val="both"/>
        <w:rPr>
          <w:color w:val="292526"/>
        </w:rPr>
      </w:pPr>
      <w:r>
        <w:rPr>
          <w:color w:val="292526"/>
        </w:rPr>
        <w:t xml:space="preserve">Finally, it is important to note that we previously hypothesised that the microstructure of grey and white matter in the medial temporal lobe would be relatively normal in children with DLD </w:t>
      </w:r>
      <w:r>
        <w:rPr>
          <w:color w:val="292526"/>
        </w:rPr>
        <w:fldChar w:fldCharType="begin"/>
      </w:r>
      <w:r>
        <w:rPr>
          <w:color w:val="292526"/>
        </w:rPr>
        <w:instrText xml:space="preserve"> ADDIN ZOTERO_ITEM CSL_CITATION {"citationID":"MWW5pCug","properties":{"formattedCitation":"(Krishnan et al., 2016)","plainCitation":"(Krishnan et al., 2016)","noteIndex":0},"citationItems":[{"id":111,"uris":["http://zotero.org/users/5009496/items/HA99YAF7"],"itemData":{"id":111,"type":"article-journal","abstract":"In this paper we highlight why there is a need to examine subcortical learning systems in children with language impairment and dyslexia, rather than focusing solely on cortical areas relevant for language. First, behavioural studies find that children with these neurodevelopmental disorders perform less well than peers on procedural learning tasks that depend on corticostriatal learning circuits. Second, fMRI studies in neurotypical adults implicate corticostriatal and hippocampal systems in language learning. Finally, structural and functional abnormalities are seen in the striatum in children with language disorders. Studying corticostriatal networks in developmental language disorders could offer us insights into their neurobiological basis and elucidate possible modes of compensation for intervention.","container-title":"Trends in Cognitive Sciences","DOI":"10.1016/j.tics.2016.06.012","ISSN":"1364-6613","issue":"9","journalAbbreviation":"Trends in Cognitive Sciences","page":"701-714","source":"ScienceDirect","title":"Neurobiological Basis of Language Learning Difficulties","URL":"http://www.sciencedirect.com/science/article/pii/S1364661316300833","volume":"20","author":[{"family":"Krishnan","given":"Saloni"},{"family":"Watkins","given":"Kate E."},{"family":"Bishop","given":"Dorothy V. M."}],"accessed":{"date-parts":[["2018",6,29]]},"issued":{"date-parts":[["2016",9,1]]}}}],"schema":"https://github.com/citation-style-language/schema/raw/master/csl-citation.json"} </w:instrText>
      </w:r>
      <w:r>
        <w:rPr>
          <w:color w:val="292526"/>
        </w:rPr>
        <w:fldChar w:fldCharType="separate"/>
      </w:r>
      <w:r>
        <w:rPr>
          <w:noProof/>
          <w:color w:val="292526"/>
        </w:rPr>
        <w:t>(Krishnan et al., 2016)</w:t>
      </w:r>
      <w:r>
        <w:rPr>
          <w:color w:val="292526"/>
        </w:rPr>
        <w:fldChar w:fldCharType="end"/>
      </w:r>
      <w:r>
        <w:rPr>
          <w:color w:val="292526"/>
        </w:rPr>
        <w:t>. However, we observed differences in R1 values in these regions</w:t>
      </w:r>
      <w:r w:rsidR="00C26C39">
        <w:rPr>
          <w:color w:val="292526"/>
        </w:rPr>
        <w:t xml:space="preserve"> (see Figure 2</w:t>
      </w:r>
      <w:r w:rsidR="00BE0D66">
        <w:rPr>
          <w:color w:val="292526"/>
        </w:rPr>
        <w:t xml:space="preserve">, medial </w:t>
      </w:r>
      <w:r w:rsidR="00140776">
        <w:rPr>
          <w:color w:val="292526"/>
        </w:rPr>
        <w:t>surface</w:t>
      </w:r>
      <w:r w:rsidR="00BE0D66">
        <w:rPr>
          <w:color w:val="292526"/>
        </w:rPr>
        <w:t xml:space="preserve"> of the left hemisphere</w:t>
      </w:r>
      <w:r w:rsidR="00C26C39">
        <w:rPr>
          <w:color w:val="292526"/>
        </w:rPr>
        <w:t>)</w:t>
      </w:r>
      <w:r>
        <w:rPr>
          <w:color w:val="292526"/>
        </w:rPr>
        <w:t xml:space="preserve">. This fits with the emerging picture that children with DLD can struggle with aspects of learning thought to depend on the medial </w:t>
      </w:r>
      <w:r>
        <w:rPr>
          <w:color w:val="292526"/>
        </w:rPr>
        <w:lastRenderedPageBreak/>
        <w:t xml:space="preserve">temporal lobe, e.g. so-called declarative memory tasks such as list learning </w:t>
      </w:r>
      <w:r>
        <w:rPr>
          <w:color w:val="292526"/>
        </w:rPr>
        <w:fldChar w:fldCharType="begin"/>
      </w:r>
      <w:r>
        <w:rPr>
          <w:color w:val="292526"/>
        </w:rPr>
        <w:instrText xml:space="preserve"> ADDIN ZOTERO_ITEM CSL_CITATION {"citationID":"EsPATMeA","properties":{"formattedCitation":"(Bishop &amp; Hsu, 2015; Earle &amp; Ullman, 2021; Jackson et al., 2020; McGregor et al., 2017)","plainCitation":"(Bishop &amp; Hsu, 2015; Earle &amp; Ullman, 2021; Jackson et al., 2020; McGregor et al., 2017)","noteIndex":0},"citationItems":[{"id":71,"uris":["http://zotero.org/users/5009496/items/5UVZ583Q"],"itemData":{"id":71,"type":"article-journal","abstract":"It has been proposed that children with Specific Language Impairment (SLI) have a selective deficit in procedural learning, with relatively spared declarative learning. In previous studies we and others confirmed deficits in procedural learning of sequences, using both verbal and nonverbal materials. Here we studied the same children using a task that implicates the declarative system, auditory-visual paired associate learning. There were parallel tasks for verbal materials (vocabulary learning) and nonverbal materials (meaningless patterns and sounds).","container-title":"BMC Psychology","DOI":"10.1186/s40359-015-0062-7","ISSN":"2050-7283","issue":"1","journalAbbreviation":"BMC Psychology","page":"3","source":"BioMed Central","title":"The declarative system in children with specific language impairment: a comparison of meaningful and meaningless auditory-visual paired associate learning","title-short":"The declarative system in children with specific language impairment","URL":"https://doi.org/10.1186/s40359-015-0062-7","volume":"3","author":[{"family":"Bishop","given":"Dorothy V. M."},{"family":"Hsu","given":"Hsinjen Julie"}],"accessed":{"date-parts":[["2018",7,25]]},"issued":{"date-parts":[["2015",2,19]]}}},{"id":1333,"uris":["http://zotero.org/users/5009496/items/A2MDZ3S9"],"itemData":{"id":1333,"type":"article-journal","abstract":"Purpose\n\nThis study examined procedural and declarative learning and consolidation abilities in adults with developmental language disorder (DLD) relative to their typical language (TD) peers.\n\nMethod\n\nA total of 100 young adults (age 18–24 years) with (n = 21) and without (n = 79) DLD participated across two sites. Performance measures on a recognition memory task and a serial reaction time task were used to assess declarative and procedural memory, respectively. Performance was measured shortly after learning (8 a.m.) and again after a 12-hr, overnight delay (8 a.m.).\n\nResults\n\nLinear mixed-effects modeling was used to examine the effects of time and group membership on task performance. For the serial reaction time task, there were significant effects of group (TD &gt; DLD) and time (Day 1 &gt; Day 2), but no interaction between them. For the recognition memory task, there was a significant interaction between group and time, driven by overnight gains in the TD group, combined with stable performance across days by those with DLD.\n\nConclusions\n\nIn procedural memory, adults with DLD demonstrate a learning deficit relative to adults without DLD, but appear to have comparable retention of learned information. In declarative memory, adults with DLD demonstrate a deficit in the overnight enhancement of memory retrieval, despite typical-like learning exhibited when tested shortly after encoding.\n\nSupplemental Material\n\nhttps://doi.org/10.23641/asha.13626485","container-title":"Journal of Speech, Language, and Hearing Research","DOI":"10.1044/2020_JSLHR-20-00292","issue":"2","note":"publisher: American Speech-Language-Hearing Association","page":"531-541","source":"pubs.asha.org (Atypon)","title":"Deficits of Learning in Procedural Memory and Consolidation in Declarative Memory in Adults With Developmental Language Disorder","URL":"https://pubs.asha.org/doi/abs/10.1044/2020_JSLHR-20-00292","volume":"64","author":[{"family":"Earle","given":"F. Sayako"},{"family":"Ullman","given":"Michael T."}],"accessed":{"date-parts":[["2021",9,9]]},"issued":{"date-parts":[["2021",2,17]]}}},{"id":1332,"uris":["http://zotero.org/users/5009496/items/JTG2568W"],"itemData":{"id":1332,"type":"article-journal","abstract":"Purpose\n\nPrevious research into the working, declarative, and procedural memory systems in children with developmental language disorder (DLD) has yielded inconsistent results. The purpose of this research was to profile these memory systems in children with DLD and their typically developing peers.\n\nMethod\n\nOne hundred four 5- to 8-year-old children participated in the study. Fifty had DLD, and 54 were typically developing. Aspects of the working memory system (verbal short-term memory, verbal working memory, and visual–spatial short-term memory) were assessed using a nonword repetition test and subtests from the Working Memory Test Battery for Children. Verbal and visual–spatial declarative memory were measured using the Children's Memory Scale, and an audiovisual serial reaction time task was used to evaluate procedural memory.\n\nResults\n\nThe children with DLD demonstrated significant impairments in verbal short-term and working memory, visual–spatial short-term memory, verbal declarative memory, and procedural memory. However, verbal declarative memory and procedural memory were no longer impaired after controlling for working memory and nonverbal IQ. Declarative memory for visual–spatial information was unimpaired.\n\nConclusions\n\nThese findings indicate that children with DLD have deficits in the working memory system. While verbal declarative memory and procedural memory also appear to be impaired, these deficits could largely be accounted for by working memory skills. The results have implications for our understanding of the cognitive processes underlying language impairment in the DLD population; however, further investigation of the relationships between the memory systems is required using tasks that measure learning over long-term intervals.\n\nSupplemental Material\n\nhttps://doi.org/10.23641/asha.13250180","container-title":"Journal of Speech, Language, and Hearing Research","DOI":"10.1044/2020_JSLHR-20-00135","issue":"12","note":"publisher: American Speech-Language-Hearing Association","page":"4162-4178","source":"pubs.asha.org (Atypon)","title":"Working, Declarative, and Procedural Memory in Children With Developmental Language Disorder","URL":"https://pubs.asha.org/doi/abs/10.1044/2020_JSLHR-20-00135","volume":"63","author":[{"family":"Jackson","given":"Emily"},{"family":"Leit","given":"ão Suze"},{"family":"Claessen","given":"Mary"},{"family":"Boyes","given":"Mark"}],"accessed":{"date-parts":[["2021",9,9]]},"issued":{"date-parts":[["2020",12,14]]}}},{"id":1334,"uris":["http://zotero.org/users/5009496/items/DJF3JKZG"],"itemData":{"id":1334,"type":"article-journal","abstract":"Purpose\n\nThe aim of this study was to determine whether the word-learning challenges associated with developmental language disorder (DLD) result from encoding or retention deficits.\n\nMethod\n\nIn Study 1, 59 postsecondary students with DLD and 60 with normal development (ND) took the California Verbal Learning Test–Second Edition, Adult Version (Delis, Kramer, Kaplan, &amp; Ober, 2000). In Study 2, 23 postsecondary students with DLD and 24 with ND attempted to learn 9 novel words in each of 3 training conditions: uncued test, cued test, and no test (passive study). Retention was measured 1 day and 1 week later.\n\nResults\n\nBy the end of training, students with DLD had encoded fewer familiar words (Study 1) and fewer novel words (Study 2) than their ND peers as evinced by word recall. They also demonstrated poorer encoding as evinced by slower growth in recall from Trials 1 to 2 (Studies 1 and 2), less semantic clustering of recalled words, and poorer recognition (Study 1). The DLD and ND groups were similar in the relative amount of information they could recall after retention periods of 5 and 20 min (Study 1). After a 1-day retention period, the DLD group recalled less information that had been encoded via passive study, but they performed as well as their ND peers when recalling information that had been encoded via tests (Study 2). Compared to passive study, encoding via tests also resulted in more robust lexical engagement after a 1-week retention for DLD and ND groups.\n\nConclusions\n\nEncoding, not retention, is the problematic stage of word learning for adults with DLD. Self-testing with feedback lessens the deficit.\n\nSupplemental Materials\n\nhttps://doi.org/10.23641/asha.5435200","container-title":"Journal of Speech, Language, and Hearing Research","DOI":"10.1044/2017_JSLHR-L-17-0031","issue":"10","note":"publisher: American Speech-Language-Hearing Association","page":"2891-2905","source":"pubs.asha.org (Atypon)","title":"Encoding Deficits Impede Word Learning and Memory in Adults With Developmental Language Disorders","URL":"https://pubs.asha.org/doi/abs/10.1044/2017_JSLHR-L-17-0031","volume":"60","author":[{"family":"McGregor","given":"Karla K."},{"family":"Gordon","given":"Katherine"},{"family":"Eden","given":"Nichole"},{"family":"Arbisi","given":"-Kelm Tim"},{"family":"Oleson","given":"Jacob"}],"accessed":{"date-parts":[["2021",9,9]]},"issued":{"date-parts":[["2017",10,17]]}}}],"schema":"https://github.com/citation-style-language/schema/raw/master/csl-citation.json"} </w:instrText>
      </w:r>
      <w:r>
        <w:rPr>
          <w:color w:val="292526"/>
        </w:rPr>
        <w:fldChar w:fldCharType="separate"/>
      </w:r>
      <w:r>
        <w:rPr>
          <w:noProof/>
          <w:color w:val="292526"/>
        </w:rPr>
        <w:t>(Bishop &amp; Hsu, 2015; Earle &amp; Ullman, 2021; Jackson et al., 2020; McGregor et al., 2017)</w:t>
      </w:r>
      <w:r>
        <w:rPr>
          <w:color w:val="292526"/>
        </w:rPr>
        <w:fldChar w:fldCharType="end"/>
      </w:r>
      <w:r>
        <w:rPr>
          <w:color w:val="292526"/>
        </w:rPr>
        <w:t>.</w:t>
      </w:r>
    </w:p>
    <w:p w14:paraId="75C92B25" w14:textId="0086326B" w:rsidR="00EF20E1" w:rsidRDefault="00EF20E1" w:rsidP="00A22539">
      <w:pPr>
        <w:spacing w:line="360" w:lineRule="auto"/>
        <w:jc w:val="both"/>
        <w:rPr>
          <w:color w:val="292526"/>
        </w:rPr>
      </w:pPr>
    </w:p>
    <w:p w14:paraId="5CC13B2A" w14:textId="37769E60" w:rsidR="007877C3" w:rsidRPr="004E02FB" w:rsidRDefault="00932795" w:rsidP="00A22539">
      <w:pPr>
        <w:spacing w:line="360" w:lineRule="auto"/>
        <w:jc w:val="both"/>
        <w:rPr>
          <w:b/>
          <w:bCs/>
          <w:i/>
          <w:iCs/>
          <w:color w:val="292526"/>
        </w:rPr>
      </w:pPr>
      <w:r w:rsidRPr="004E02FB">
        <w:rPr>
          <w:b/>
          <w:bCs/>
          <w:i/>
          <w:iCs/>
          <w:color w:val="292526"/>
        </w:rPr>
        <w:t>Implications for theories of DLD</w:t>
      </w:r>
    </w:p>
    <w:p w14:paraId="6C34D3F0" w14:textId="74511682" w:rsidR="008F759D" w:rsidRDefault="00932795" w:rsidP="00A22539">
      <w:pPr>
        <w:spacing w:line="360" w:lineRule="auto"/>
        <w:jc w:val="both"/>
        <w:rPr>
          <w:color w:val="292526"/>
        </w:rPr>
      </w:pPr>
      <w:r>
        <w:rPr>
          <w:color w:val="292526"/>
        </w:rPr>
        <w:t xml:space="preserve">The striatal differences we report are broadly consistent with </w:t>
      </w:r>
      <w:r w:rsidR="008F759D">
        <w:rPr>
          <w:color w:val="292526"/>
        </w:rPr>
        <w:t>our views on the dorsal striatum being involved in language learning</w:t>
      </w:r>
      <w:r w:rsidR="007877C3">
        <w:rPr>
          <w:color w:val="292526"/>
        </w:rPr>
        <w:t xml:space="preserve"> </w:t>
      </w:r>
      <w:r w:rsidR="007877C3">
        <w:rPr>
          <w:color w:val="292526"/>
        </w:rPr>
        <w:fldChar w:fldCharType="begin"/>
      </w:r>
      <w:r w:rsidR="007877C3">
        <w:rPr>
          <w:color w:val="292526"/>
        </w:rPr>
        <w:instrText xml:space="preserve"> ADDIN ZOTERO_ITEM CSL_CITATION {"citationID":"758kdjqA","properties":{"formattedCitation":"(Krishnan et al., 2016)","plainCitation":"(Krishnan et al., 2016)","noteIndex":0},"citationItems":[{"id":111,"uris":["http://zotero.org/users/5009496/items/HA99YAF7"],"itemData":{"id":111,"type":"article-journal","abstract":"In this paper we highlight why there is a need to examine subcortical learning systems in children with language impairment and dyslexia, rather than focusing solely on cortical areas relevant for language. First, behavioural studies find that children with these neurodevelopmental disorders perform less well than peers on procedural learning tasks that depend on corticostriatal learning circuits. Second, fMRI studies in neurotypical adults implicate corticostriatal and hippocampal systems in language learning. Finally, structural and functional abnormalities are seen in the striatum in children with language disorders. Studying corticostriatal networks in developmental language disorders could offer us insights into their neurobiological basis and elucidate possible modes of compensation for intervention.","container-title":"Trends in Cognitive Sciences","DOI":"10.1016/j.tics.2016.06.012","ISSN":"1364-6613","issue":"9","journalAbbreviation":"Trends in Cognitive Sciences","page":"701-714","source":"ScienceDirect","title":"Neurobiological Basis of Language Learning Difficulties","URL":"http://www.sciencedirect.com/science/article/pii/S1364661316300833","volume":"20","author":[{"family":"Krishnan","given":"Saloni"},{"family":"Watkins","given":"Kate E."},{"family":"Bishop","given":"Dorothy V. M."}],"accessed":{"date-parts":[["2018",6,29]]},"issued":{"date-parts":[["2016",9,1]]}}}],"schema":"https://github.com/citation-style-language/schema/raw/master/csl-citation.json"} </w:instrText>
      </w:r>
      <w:r w:rsidR="007877C3">
        <w:rPr>
          <w:color w:val="292526"/>
        </w:rPr>
        <w:fldChar w:fldCharType="separate"/>
      </w:r>
      <w:r w:rsidR="007877C3">
        <w:rPr>
          <w:noProof/>
          <w:color w:val="292526"/>
        </w:rPr>
        <w:t>(Krishnan et al., 2016)</w:t>
      </w:r>
      <w:r w:rsidR="007877C3">
        <w:rPr>
          <w:color w:val="292526"/>
        </w:rPr>
        <w:fldChar w:fldCharType="end"/>
      </w:r>
      <w:r w:rsidR="008D3BA5">
        <w:rPr>
          <w:color w:val="292526"/>
        </w:rPr>
        <w:t>, as well as with theories such as the procedural deficit</w:t>
      </w:r>
      <w:r w:rsidR="00130565">
        <w:rPr>
          <w:color w:val="292526"/>
        </w:rPr>
        <w:t xml:space="preserve"> hypothesis</w:t>
      </w:r>
      <w:r w:rsidR="008D3BA5">
        <w:rPr>
          <w:color w:val="292526"/>
        </w:rPr>
        <w:t xml:space="preserve"> </w:t>
      </w:r>
      <w:r w:rsidR="00130565">
        <w:rPr>
          <w:color w:val="292526"/>
        </w:rPr>
        <w:fldChar w:fldCharType="begin"/>
      </w:r>
      <w:r w:rsidR="00130565">
        <w:rPr>
          <w:color w:val="292526"/>
        </w:rPr>
        <w:instrText xml:space="preserve"> ADDIN ZOTERO_ITEM CSL_CITATION {"citationID":"wfZYp5Ai","properties":{"formattedCitation":"(Lum et al., 2014; Ullman &amp; Pierpont, 2005)","plainCitation":"(Lum et al., 2014; Ullman &amp; Pierpont, 2005)","noteIndex":0},"citationItems":[{"id":263,"uris":["http://zotero.org/users/5009496/items/59YHW3RY"],"itemData":{"id":263,"type":"article-journal","abstract":"Meta-analysis and meta-regression were used to evaluate whether evidence to date demonstrates deficits in procedural memory in individuals with specific language impairment (SLI), and to examine reasons for inconsistencies of findings across studies. The Procedural Deficit Hypothesis (PDH) proposes that SLI is largely explained by abnormal functioning of the frontal-basal ganglia circuits that support procedural memory. It has also been suggested that declarative memory can compensate for at least some of the problems observed in individuals with SLI. A number of studies have used Serial Reaction Time (SRT) tasks to investigate procedural learning in SLI. In this report, results from eight studies that collectively examined 186 participants with SLI and 203 typically-developing peers were submitted to a meta-analysis. The average mean effect size was .328 (CI95: .071, .584) and was significant. This suggests SLI is associated with impairments of procedural learning as measured by the SRT task. Differences among individual study effect sizes, examined with meta-regression, indicated that smaller effect sizes were found in studies with older participants, and in studies that had a larger number of trials on the SRT task. The contributions of age and SRT task characteristics to learning are discussed with respect to impaired and compensatory neural mechanisms in SLI.","container-title":"Cortex","DOI":"10.1016/j.cortex.2013.10.011","ISSN":"0010-9452","journalAbbreviation":"Cortex","page":"1-10","source":"ScienceDirect","title":"Procedural learning deficits in specific language impairment (SLI): A meta-analysis of serial reaction time task performance","title-short":"Procedural learning deficits in specific language impairment (SLI)","URL":"http://www.sciencedirect.com/science/article/pii/S0010945213002566","volume":"51","author":[{"family":"Lum","given":"Jarrad A. G."},{"family":"Conti-Ramsden","given":"Gina"},{"family":"Morgan","given":"Angela T."},{"family":"Ullman","given":"Michael T."}],"accessed":{"date-parts":[["2018",11,27]]},"issued":{"date-parts":[["2014",2,1]]}}},{"id":257,"uris":["http://zotero.org/users/5009496/items/RAC6689L"],"itemData":{"id":257,"type":"article-journal","abstract":"Specific Language Impairment (SLI) has been explained by two broad classes of hypotheses, which posit either a deficit specific to grammar, or a non-linguistic processing impairment. Here we advance an alternative perspective. According to the Procedural Deficit Hypothesis (PDH), SLI can be largely explained by the abnormal development of brain structures that constitute the procedural memory system. This system, which is composed of a network of interconnected structures rooted in frontal/basal-ganglia circuits, subserves the learning and execution of motor and cognitive skills. Crucially, recent evidence also implicates this system in important aspects of grammar. The PDH posits that a significant proportion of individuals with SLI suffer from abnormalities of this brain network, leading to impairments of the linguistic and non-linguistic functions that depend on it. In contrast, functions such as lexical and declarative memory, which depend on other brain structures, are expected to remain largely spared. Evidence from an in-depth retrospective examination of the literature is presented. It is argued that the data support the predictions of the PDH, and particularly implicate Broca's area within frontal cortex, and the caudate nucleus within the basal ganglia. Finally, broader implications are discussed, and predictions for future research are presented. It is argued that the PDH forms the basis of a novel and potentially productive perspective on SLI.","container-title":"Cortex","DOI":"10.1016/S0010-9452(08)70276-4","ISSN":"0010-9452","issue":"3","journalAbbreviation":"Cortex","page":"399-433","source":"ScienceDirect","title":"Specific Language Impairment is not Specific to Language: the Procedural Deficit Hypothesis","title-short":"Specific Language Impairment is not Specific to Language","URL":"http://www.sciencedirect.com/science/article/pii/S0010945208702764","volume":"41","author":[{"family":"Ullman","given":"Michael T."},{"family":"Pierpont","given":"Elizabeth I."}],"accessed":{"date-parts":[["2018",11,26]]},"issued":{"date-parts":[["2005",1,1]]}}}],"schema":"https://github.com/citation-style-language/schema/raw/master/csl-citation.json"} </w:instrText>
      </w:r>
      <w:r w:rsidR="00130565">
        <w:rPr>
          <w:color w:val="292526"/>
        </w:rPr>
        <w:fldChar w:fldCharType="separate"/>
      </w:r>
      <w:r w:rsidR="00130565">
        <w:rPr>
          <w:noProof/>
          <w:color w:val="292526"/>
        </w:rPr>
        <w:t>(Lum et al., 2014; Ullman &amp; Pierpont, 2005)</w:t>
      </w:r>
      <w:r w:rsidR="00130565">
        <w:rPr>
          <w:color w:val="292526"/>
        </w:rPr>
        <w:fldChar w:fldCharType="end"/>
      </w:r>
      <w:r w:rsidR="00130565">
        <w:rPr>
          <w:color w:val="292526"/>
        </w:rPr>
        <w:t>, and the procedural deficit circuit hypothesis</w:t>
      </w:r>
      <w:r w:rsidR="0095290C">
        <w:rPr>
          <w:color w:val="292526"/>
        </w:rPr>
        <w:t xml:space="preserve"> </w:t>
      </w:r>
      <w:r w:rsidR="0095290C">
        <w:rPr>
          <w:color w:val="292526"/>
        </w:rPr>
        <w:fldChar w:fldCharType="begin"/>
      </w:r>
      <w:r w:rsidR="00130565">
        <w:rPr>
          <w:color w:val="292526"/>
        </w:rPr>
        <w:instrText xml:space="preserve"> ADDIN ZOTERO_ITEM CSL_CITATION {"citationID":"6bSNcGft","properties":{"formattedCitation":"(Ullman et al., 2020)","plainCitation":"(Ullman et al., 2020)","noteIndex":0},"citationItems":[{"id":1301,"uris":["http://zotero.org/users/5009496/items/SYMVPP6Q"],"itemData":{"id":1301,"type":"article-journal","abstract":"Developmental disorders of language include developmental language disorder, dyslexia, and motor-speech disorders such as articulation disorder and stuttering. These disorders have generally been explained by accounts that focus on their behavioral rather than neural characteristics; their processing rather than learning impairments; and each disorder separately rather than together, despite their commonalities and comorbidities. Here we update and review a unifying neurocognitive account—the Procedural circuit Deficit Hypothesis (PDH). The PDH posits that abnormalities of brain structures underlying procedural memory (learning and memory that rely on the basal ganglia and associated circuitry) can explain numerous brain and behavioral characteristics across learning and processing, in multiple disorders, including both commonalities and differences. We describe procedural memory, examine its role in various aspects of language, and then present the PDH and relevant evidence across language-related disorders. The PDH has substantial explanatory power, and both basic research and translational implications.","container-title":"Annual Review of Psychology","DOI":"10.1146/annurev-psych-122216-011555","ISSN":"0066-4308","issue":"1","journalAbbreviation":"Annu. Rev. Psychol.","note":"publisher: Annual Reviews","page":"389-417","source":"annualreviews.org (Atypon)","title":"The Neurocognition of Developmental Disorders of Language","URL":"https://www.annualreviews.org/doi/10.1146/annurev-psych-122216-011555","volume":"71","author":[{"family":"Ullman","given":"Michael T."},{"family":"Earle","given":"F. Sayako"},{"family":"Walenski","given":"Matthew"},{"family":"Janacsek","given":"Karolina"}],"accessed":{"date-parts":[["2021",8,12]]},"issued":{"date-parts":[["2020",1,4]]}}}],"schema":"https://github.com/citation-style-language/schema/raw/master/csl-citation.json"} </w:instrText>
      </w:r>
      <w:r w:rsidR="0095290C">
        <w:rPr>
          <w:color w:val="292526"/>
        </w:rPr>
        <w:fldChar w:fldCharType="separate"/>
      </w:r>
      <w:r w:rsidR="00130565">
        <w:rPr>
          <w:noProof/>
          <w:color w:val="292526"/>
        </w:rPr>
        <w:t>(Ullman et al., 2020)</w:t>
      </w:r>
      <w:r w:rsidR="0095290C">
        <w:rPr>
          <w:color w:val="292526"/>
        </w:rPr>
        <w:fldChar w:fldCharType="end"/>
      </w:r>
      <w:r w:rsidR="008F759D">
        <w:rPr>
          <w:color w:val="292526"/>
        </w:rPr>
        <w:t xml:space="preserve">. This may be linked to difficulties extracting and retaining the sequential regularities for language, or challenges in automatising the use of language rules. </w:t>
      </w:r>
      <w:r w:rsidR="00AF1499">
        <w:rPr>
          <w:color w:val="292526"/>
        </w:rPr>
        <w:t>Our sample with DLD show</w:t>
      </w:r>
      <w:r w:rsidR="009B2847">
        <w:rPr>
          <w:color w:val="292526"/>
        </w:rPr>
        <w:t>s</w:t>
      </w:r>
      <w:r w:rsidR="00AF1499">
        <w:rPr>
          <w:color w:val="292526"/>
        </w:rPr>
        <w:t xml:space="preserve"> differences in linguistic tasks that draw upon these abilities, such as nonword repetition or oromotor sequencing</w:t>
      </w:r>
      <w:r w:rsidR="007877C3">
        <w:rPr>
          <w:color w:val="292526"/>
        </w:rPr>
        <w:t>, even though they were not selected on this basis</w:t>
      </w:r>
      <w:r w:rsidR="00AF1499">
        <w:rPr>
          <w:color w:val="292526"/>
        </w:rPr>
        <w:t xml:space="preserve">. </w:t>
      </w:r>
      <w:r w:rsidR="00090BFD">
        <w:rPr>
          <w:color w:val="292526"/>
        </w:rPr>
        <w:t xml:space="preserve">Orpella and colleagues </w:t>
      </w:r>
      <w:r w:rsidR="00AF1499">
        <w:rPr>
          <w:color w:val="292526"/>
        </w:rPr>
        <w:fldChar w:fldCharType="begin"/>
      </w:r>
      <w:r w:rsidR="00AF1499">
        <w:rPr>
          <w:color w:val="292526"/>
        </w:rPr>
        <w:instrText xml:space="preserve"> ADDIN ZOTERO_ITEM CSL_CITATION {"citationID":"LqpSJX6D","properties":{"formattedCitation":"(2021)","plainCitation":"(2021)","noteIndex":0},"citationItems":[{"id":1481,"uris":["http://zotero.org/users/5009496/items/K3S6P2X7"],"itemData":{"id":1481,"type":"article-journal","abstract":"Statistical learning (SL) is the ability to extract regularities from the environment. In the domain of language, this ability is fundamental in the learning of words and structural rules. In lack of reliable online measures, statistical word and rule learning have been primarily investigated using offline (post-familiarization) tests, which gives limited insights into the dynamics of SL and its neural basis. Here, we capitalize on a novel task that tracks the online SL of simple syntactic structures combined with computational modeling to show that online SL responds to reinforcement learning principles rooted in striatal function. Specifically, we demonstrate—on 2 different cohorts—that a temporal difference model, which relies on prediction errors, accounts for participants’ online learning behavior. We then show that the trial-by-trial development of predictions through learning strongly correlates with activity in both ventral and dorsal striatum. Our results thus provide a detailed mechanistic account of language-related SL and an explanation for the oft-cited implication of the striatum in SL tasks. This work, therefore, bridges the long-standing gap between language learning and reinforcement learning phenomena.","container-title":"PLOS Biology","DOI":"10.1371/journal.pbio.3001119","ISSN":"1545-7885","issue":"9","journalAbbreviation":"PLOS Biology","language":"en","note":"publisher: Public Library of Science","page":"e3001119","source":"PLoS Journals","title":"Language statistical learning responds to reinforcement learning principles rooted in the striatum","URL":"https://journals.plos.org/plosbiology/article?id=10.1371/journal.pbio.3001119","volume":"19","author":[{"family":"Orpella","given":"Joan"},{"family":"Mas-Herrero","given":"Ernest"},{"family":"Ripollés","given":"Pablo"},{"family":"Marco-Pallarés","given":"Josep"},{"family":"Diego-Balaguer","given":"Ruth","dropping-particle":"de"}],"accessed":{"date-parts":[["2022",3,10]]},"issued":{"date-parts":[["2021",9,7]]}},"suppress-author":true}],"schema":"https://github.com/citation-style-language/schema/raw/master/csl-citation.json"} </w:instrText>
      </w:r>
      <w:r w:rsidR="00AF1499">
        <w:rPr>
          <w:color w:val="292526"/>
        </w:rPr>
        <w:fldChar w:fldCharType="separate"/>
      </w:r>
      <w:r w:rsidR="00AF1499">
        <w:rPr>
          <w:noProof/>
          <w:color w:val="292526"/>
        </w:rPr>
        <w:t>(2021)</w:t>
      </w:r>
      <w:r w:rsidR="00AF1499">
        <w:rPr>
          <w:color w:val="292526"/>
        </w:rPr>
        <w:fldChar w:fldCharType="end"/>
      </w:r>
      <w:r w:rsidR="00AF1499">
        <w:rPr>
          <w:color w:val="292526"/>
        </w:rPr>
        <w:t xml:space="preserve"> </w:t>
      </w:r>
      <w:r w:rsidR="00090BFD">
        <w:rPr>
          <w:color w:val="292526"/>
        </w:rPr>
        <w:t>recently demonstrated that the dorsal and ventral striatum</w:t>
      </w:r>
      <w:r w:rsidR="00AF1499">
        <w:rPr>
          <w:color w:val="292526"/>
        </w:rPr>
        <w:t xml:space="preserve"> were crucial for developing and acting upon predictions in a </w:t>
      </w:r>
      <w:r w:rsidR="007877C3">
        <w:rPr>
          <w:color w:val="292526"/>
        </w:rPr>
        <w:t>statistical</w:t>
      </w:r>
      <w:r w:rsidR="00AF1499">
        <w:rPr>
          <w:color w:val="292526"/>
        </w:rPr>
        <w:t xml:space="preserve"> learning task</w:t>
      </w:r>
      <w:r w:rsidR="00090BFD">
        <w:rPr>
          <w:color w:val="292526"/>
        </w:rPr>
        <w:t xml:space="preserve">. </w:t>
      </w:r>
      <w:r w:rsidR="00AF1499">
        <w:rPr>
          <w:color w:val="292526"/>
        </w:rPr>
        <w:t xml:space="preserve">The use of such sensitive functional tasks may be important to demonstrate the functional consequences of these changes. Understanding such learning mechanisms may also help us understand how to design better intervention for children with DLD, for example, this may be a reason to </w:t>
      </w:r>
      <w:r w:rsidR="007877C3">
        <w:rPr>
          <w:color w:val="292526"/>
        </w:rPr>
        <w:t>simplify and repeat rules during learning, providing greater opportunities for practice and habituation.  We are now testing the role of repetition in enhancing language comprehension in DLD</w:t>
      </w:r>
      <w:r w:rsidR="00DA1F42">
        <w:rPr>
          <w:color w:val="292526"/>
        </w:rPr>
        <w:t xml:space="preserve"> </w:t>
      </w:r>
      <w:r w:rsidR="00DA1F42">
        <w:rPr>
          <w:color w:val="292526"/>
        </w:rPr>
        <w:fldChar w:fldCharType="begin"/>
      </w:r>
      <w:r w:rsidR="00DA1F42">
        <w:rPr>
          <w:color w:val="292526"/>
        </w:rPr>
        <w:instrText xml:space="preserve"> ADDIN ZOTERO_ITEM CSL_CITATION {"citationID":"rAP3EzKL","properties":{"formattedCitation":"(Parker et al., 2021)","plainCitation":"(Parker et al., 2021)","noteIndex":0},"citationItems":[{"id":1428,"uris":["http://zotero.org/users/5009496/items/BHZAZ6I5"],"itemData":{"id":1428,"type":"article-journal","container-title":"Language Development Research","DOI":"10.17605/OSF.IO/V3EBF","language":"en","note":"publisher: OSF","source":"osf.io","title":"Impact of stimulus variability on understanding of reversible sentences in children with Developmental Language Disorder: learning vs generalisation. Stage 1 Registered Report","URL":"https://osf.io/v3ebf/","author":[{"family":"Parker","given":"Adam J."},{"family":"Krishnan","given":"Saloni"},{"family":"Thompson","given":"Paul Andrew"},{"family":"Watkins","given":"Kate E."},{"family":"Bishop","given":"Dorothy"}],"accessed":{"date-parts":[["2021",11,19]]},"issued":{"date-parts":[["2021",1,7]]}}}],"schema":"https://github.com/citation-style-language/schema/raw/master/csl-citation.json"} </w:instrText>
      </w:r>
      <w:r w:rsidR="00DA1F42">
        <w:rPr>
          <w:color w:val="292526"/>
        </w:rPr>
        <w:fldChar w:fldCharType="separate"/>
      </w:r>
      <w:r w:rsidR="00DA1F42">
        <w:rPr>
          <w:noProof/>
          <w:color w:val="292526"/>
        </w:rPr>
        <w:t>(Parker et al., 2021)</w:t>
      </w:r>
      <w:r w:rsidR="00DA1F42">
        <w:rPr>
          <w:color w:val="292526"/>
        </w:rPr>
        <w:fldChar w:fldCharType="end"/>
      </w:r>
      <w:r w:rsidR="007877C3">
        <w:rPr>
          <w:color w:val="292526"/>
        </w:rPr>
        <w:t>.</w:t>
      </w:r>
    </w:p>
    <w:p w14:paraId="3A1E3691" w14:textId="77777777" w:rsidR="00AF1499" w:rsidRDefault="00AF1499" w:rsidP="00A22539">
      <w:pPr>
        <w:spacing w:line="360" w:lineRule="auto"/>
        <w:jc w:val="both"/>
        <w:rPr>
          <w:color w:val="292526"/>
        </w:rPr>
      </w:pPr>
    </w:p>
    <w:p w14:paraId="3C752E30" w14:textId="67138A74" w:rsidR="00932795" w:rsidRDefault="00E01714" w:rsidP="00A22539">
      <w:pPr>
        <w:spacing w:line="360" w:lineRule="auto"/>
        <w:jc w:val="both"/>
        <w:rPr>
          <w:color w:val="292526"/>
        </w:rPr>
      </w:pPr>
      <w:r>
        <w:rPr>
          <w:color w:val="292526"/>
        </w:rPr>
        <w:t>Our more global differences in myelination</w:t>
      </w:r>
      <w:r w:rsidR="00932795">
        <w:rPr>
          <w:color w:val="292526"/>
        </w:rPr>
        <w:t xml:space="preserve"> would also be consistent with theoretical views postulating that children with DLD show differences in the speed of processing</w:t>
      </w:r>
      <w:r w:rsidR="008F759D">
        <w:rPr>
          <w:color w:val="292526"/>
        </w:rPr>
        <w:t>, perhaps due to inefficiencies in information transfer through the brain</w:t>
      </w:r>
      <w:r w:rsidR="00324B72">
        <w:rPr>
          <w:color w:val="292526"/>
        </w:rPr>
        <w:t xml:space="preserve"> </w:t>
      </w:r>
      <w:r w:rsidR="00324B72">
        <w:rPr>
          <w:color w:val="292526"/>
        </w:rPr>
        <w:fldChar w:fldCharType="begin"/>
      </w:r>
      <w:r w:rsidR="00324B72">
        <w:rPr>
          <w:color w:val="292526"/>
        </w:rPr>
        <w:instrText xml:space="preserve"> ADDIN ZOTERO_ITEM CSL_CITATION {"citationID":"FdEiR7WY","properties":{"formattedCitation":"(Kail, 1994; Miller et al., 2001)","plainCitation":"(Kail, 1994; Miller et al., 2001)","noteIndex":0},"citationItems":[{"id":1494,"uris":["http://zotero.org/users/5009496/items/8U88KXNJ"],"itemData":{"id":1494,"type":"article-journal","abstract":"The present work was conducted to demonstrate a method that could be used to assess the hypothesis that children with specific language impairment (SLI) often respond more slowly than unimpaired children on a range of tasks. The data consisted of 22 pairs of mean response times (RTs) obtained from previously published studies; each pair consisted of a mean RT for a group of children with SLI for an experimental condition and the corresponding mean RT for a group of children without SLI. If children with SLI always respond more slowly than unimpaired children and by an amount that does not vary across tasks, then RTs for children with SLI should increase linearly as a function of RTs for age-matched control children without SLI. This result was obtained and is consistent with the view that differences in processing speed between children with and without SLI reflect some general (i.e., non-task specific) component of cognitive processing. Future applications of the method are suggested.","container-title":"Journal of Speech, Language, and Hearing Research","DOI":"10.1044/jshr.3702.418","issue":"2","note":"publisher: American Speech-Language-Hearing Association","page":"418-421","source":"pubs.asha.org (Atypon)","title":"A Method for Studying the Generalized Slowing Hypothesis in Children With Specific Language Impairment","URL":"https://pubs.asha.org/doi/full/10.1044/jshr.3702.418","volume":"37","author":[{"family":"Kail","given":"Robert"}],"accessed":{"date-parts":[["2022",3,22]]},"issued":{"date-parts":[["1994",4]]}}},{"id":1495,"uris":["http://zotero.org/users/5009496/items/8E897KJM"],"itemData":{"id":1495,"type":"article-journal","abstract":"The aim of the present study was to investigate the speed with which children with specific language impairment (SLI) respond on a range of tasks. Seventy-seven third-grade children participated in 10 different tasks (involving a total of 41 conditions), including nonlinguistic and linguistic activities. Mean response times RTs) of children with SLI (n=29) increased as a function of mean RTs of children with normal language (NLD, n=29) under each of three different regression models; children with SLI responded more slowly across all task conditions, and also when linguistic and nonlinguistic tasks were analyzed separately. Children with nonspecific language impairment (NLI) were also included (n=19). The results were similar to those for children with SLI, but the degree of slowing was greater. The results of the group analyses support the hypothesis that speed of processing in children with SLI is generally slower than that of children with normal language. However, some children with SLI do not appear to show deficits of this type.","container-title":"Journal of Speech, Language, and Hearing Research","DOI":"10.1044/1092-4388(2001/034)","issue":"2","note":"publisher: American Speech-Language-Hearing Association","page":"416-433","source":"pubs.asha.org (Atypon)","title":"Speed of Processing in Children With Specific Language Impairment","URL":"https://pubs.asha.org/doi/abs/10.1044/1092-4388%282001/034%29","volume":"44","author":[{"family":"Miller","given":"Carol A."},{"family":"Kail","given":"Robert"},{"family":"Leonard","given":"Laurence B."},{"family":"Tomblin","given":"J. Bruce"}],"accessed":{"date-parts":[["2022",3,22]]},"issued":{"date-parts":[["2001",4]]}}}],"schema":"https://github.com/citation-style-language/schema/raw/master/csl-citation.json"} </w:instrText>
      </w:r>
      <w:r w:rsidR="00324B72">
        <w:rPr>
          <w:color w:val="292526"/>
        </w:rPr>
        <w:fldChar w:fldCharType="separate"/>
      </w:r>
      <w:r w:rsidR="00324B72">
        <w:rPr>
          <w:noProof/>
          <w:color w:val="292526"/>
        </w:rPr>
        <w:t>(Kail, 1994; Miller et al., 2001)</w:t>
      </w:r>
      <w:r w:rsidR="00324B72">
        <w:rPr>
          <w:color w:val="292526"/>
        </w:rPr>
        <w:fldChar w:fldCharType="end"/>
      </w:r>
      <w:r>
        <w:rPr>
          <w:color w:val="292526"/>
        </w:rPr>
        <w:t>.</w:t>
      </w:r>
      <w:r w:rsidR="000A3CE3">
        <w:rPr>
          <w:color w:val="292526"/>
        </w:rPr>
        <w:t xml:space="preserve"> </w:t>
      </w:r>
      <w:r w:rsidR="006D320C">
        <w:rPr>
          <w:color w:val="292526"/>
        </w:rPr>
        <w:t xml:space="preserve">However, </w:t>
      </w:r>
      <w:r w:rsidR="00324B72">
        <w:rPr>
          <w:color w:val="292526"/>
        </w:rPr>
        <w:t>m</w:t>
      </w:r>
      <w:r w:rsidR="006D320C">
        <w:rPr>
          <w:color w:val="292526"/>
        </w:rPr>
        <w:t xml:space="preserve">ore recent theories </w:t>
      </w:r>
      <w:r>
        <w:rPr>
          <w:color w:val="292526"/>
        </w:rPr>
        <w:t xml:space="preserve">point to </w:t>
      </w:r>
      <w:r w:rsidR="00324B72">
        <w:rPr>
          <w:color w:val="292526"/>
        </w:rPr>
        <w:t xml:space="preserve">more specific </w:t>
      </w:r>
      <w:r w:rsidR="006D320C">
        <w:rPr>
          <w:color w:val="292526"/>
        </w:rPr>
        <w:t xml:space="preserve">lexical processing </w:t>
      </w:r>
      <w:r>
        <w:rPr>
          <w:color w:val="292526"/>
        </w:rPr>
        <w:t>differences in DLD</w:t>
      </w:r>
      <w:r w:rsidR="008F759D">
        <w:rPr>
          <w:color w:val="292526"/>
        </w:rPr>
        <w:t>.</w:t>
      </w:r>
      <w:r w:rsidR="000A3CE3">
        <w:rPr>
          <w:color w:val="292526"/>
        </w:rPr>
        <w:t xml:space="preserve"> Children with DLD </w:t>
      </w:r>
      <w:r w:rsidR="006D320C">
        <w:rPr>
          <w:color w:val="292526"/>
        </w:rPr>
        <w:t>have been shown to have</w:t>
      </w:r>
      <w:r w:rsidR="000A3CE3">
        <w:rPr>
          <w:color w:val="292526"/>
        </w:rPr>
        <w:t xml:space="preserve"> greater difficulty with lexical selection</w:t>
      </w:r>
      <w:r w:rsidR="00324B72">
        <w:rPr>
          <w:color w:val="292526"/>
        </w:rPr>
        <w:t xml:space="preserve"> and inhibition of competitors</w:t>
      </w:r>
      <w:r w:rsidR="000A3CE3">
        <w:rPr>
          <w:color w:val="292526"/>
        </w:rPr>
        <w:t xml:space="preserve">, rather than the initial perceptual </w:t>
      </w:r>
      <w:r w:rsidR="006D320C">
        <w:rPr>
          <w:color w:val="292526"/>
        </w:rPr>
        <w:t xml:space="preserve">or phonological </w:t>
      </w:r>
      <w:r w:rsidR="000A3CE3">
        <w:rPr>
          <w:color w:val="292526"/>
        </w:rPr>
        <w:t>processing</w:t>
      </w:r>
      <w:r w:rsidR="006D320C">
        <w:rPr>
          <w:color w:val="292526"/>
        </w:rPr>
        <w:t xml:space="preserve"> </w:t>
      </w:r>
      <w:r w:rsidR="006D320C">
        <w:rPr>
          <w:color w:val="292526"/>
        </w:rPr>
        <w:fldChar w:fldCharType="begin"/>
      </w:r>
      <w:r w:rsidR="006D320C">
        <w:rPr>
          <w:color w:val="292526"/>
        </w:rPr>
        <w:instrText xml:space="preserve"> ADDIN ZOTERO_ITEM CSL_CITATION {"citationID":"VcthlrLw","properties":{"formattedCitation":"(Nation, 2014)","plainCitation":"(Nation, 2014)","noteIndex":0},"citationItems":[{"id":50,"uris":["http://zotero.org/users/5009496/items/UHLQWQKP"],"itemData":{"id":50,"type":"article-journal","abstract":"Lexical skills are a crucial component of language comprehension and production. This paper reviews evidence for lexical-level deficits in children and young people with developmental language impairment (LI). Across a range of tasks, LI is associated with reduced vocabulary knowledge in terms of both breadth and depth and difficulty with learning and retaining new words; evidence is emerging from on-line tasks to suggest that low levels of language skill are associated with differences in lexical competition in spoken word recognition. The role of lexical deficits in understanding the nature of LI is also discussed.","container-title":"Philosophical Transactions of the Royal Society of London B: Biological Sciences","DOI":"10.1098/rstb.2012.0387","ISSN":"0962-8436, 1471-2970","issue":"1634","language":"en","note":"PMID: 24324231","page":"20120387","source":"rstb.royalsocietypublishing.org","title":"Lexical learning and lexical processing in children with developmental language impairments","URL":"http://rstb.royalsocietypublishing.org/content/369/1634/20120387","volume":"369","author":[{"family":"Nation","given":"Kate"}],"accessed":{"date-parts":[["2018",7,27]]},"issued":{"date-parts":[["2014",1,19]]}}}],"schema":"https://github.com/citation-style-language/schema/raw/master/csl-citation.json"} </w:instrText>
      </w:r>
      <w:r w:rsidR="006D320C">
        <w:rPr>
          <w:color w:val="292526"/>
        </w:rPr>
        <w:fldChar w:fldCharType="separate"/>
      </w:r>
      <w:r w:rsidR="006D320C">
        <w:rPr>
          <w:noProof/>
          <w:color w:val="292526"/>
        </w:rPr>
        <w:t>(Nation, 2014)</w:t>
      </w:r>
      <w:r w:rsidR="006D320C">
        <w:rPr>
          <w:color w:val="292526"/>
        </w:rPr>
        <w:fldChar w:fldCharType="end"/>
      </w:r>
      <w:r w:rsidR="000A3CE3">
        <w:rPr>
          <w:color w:val="292526"/>
        </w:rPr>
        <w:t xml:space="preserve">. </w:t>
      </w:r>
      <w:r w:rsidR="006D320C">
        <w:rPr>
          <w:color w:val="292526"/>
        </w:rPr>
        <w:t>C</w:t>
      </w:r>
      <w:r w:rsidR="000A3CE3">
        <w:rPr>
          <w:color w:val="292526"/>
        </w:rPr>
        <w:t xml:space="preserve">omputational models suggest this </w:t>
      </w:r>
      <w:r w:rsidR="00324B72">
        <w:rPr>
          <w:color w:val="292526"/>
        </w:rPr>
        <w:t>could be</w:t>
      </w:r>
      <w:r w:rsidR="000A3CE3">
        <w:rPr>
          <w:color w:val="292526"/>
        </w:rPr>
        <w:t xml:space="preserve"> </w:t>
      </w:r>
      <w:r w:rsidR="006D320C">
        <w:rPr>
          <w:color w:val="292526"/>
        </w:rPr>
        <w:t xml:space="preserve">due to increased levels of lexical delay </w:t>
      </w:r>
      <w:r w:rsidR="006D320C">
        <w:rPr>
          <w:color w:val="292526"/>
        </w:rPr>
        <w:fldChar w:fldCharType="begin"/>
      </w:r>
      <w:r w:rsidR="006D320C">
        <w:rPr>
          <w:color w:val="292526"/>
        </w:rPr>
        <w:instrText xml:space="preserve"> ADDIN ZOTERO_ITEM CSL_CITATION {"citationID":"almbBcp6","properties":{"formattedCitation":"(McMurray et al., 2010)","plainCitation":"(McMurray et al., 2010)","noteIndex":0},"citationItems":[{"id":1490,"uris":["http://zotero.org/users/5009496/items/GEN48EY3"],"itemData":{"id":1490,"type":"article-journal","abstract":"Thirty years of research has uncovered the broad principles that characterize spoken word processing across listeners. However, there have been few systematic investigations of individual differences. Such an investigation could help refine models of word recognition by indicating which processing parameters are likely to vary, and could also have important implications for work on language impairment. The present study begins to fill this gap by relating individual differences in overall language ability to variation in online word recognition processes. Using the visual world paradigm, we evaluated online spoken word recognition in adolescents who varied in both basic language abilities and non-verbal cognitive abilities. Eye movements to target, cohort and rhyme objects were monitored during spoken word recognition, as an index of lexical activation. Adolescents with poor language skills showed fewer looks to the target and more fixations to the cohort and rhyme competitors. These results were compared to a number of variants of the TRACE model (McClelland &amp; Elman, 1986) that were constructed to test a range of theoretical approaches to language impairment: impairments at sensory and phonological levels; vocabulary size, and generalized slowing. None of the existing approaches were strongly supported, and variation in lexical decay offered the best fit. Thus, basic word recognition processes like lexical decay may offer a new way to characterize processing differences in language impairment.","container-title":"Cognitive Psychology","DOI":"10.1016/j.cogpsych.2009.06.003","ISSN":"0010-0285","issue":"1","journalAbbreviation":"Cognitive Psychology","language":"en","page":"1-39","source":"ScienceDirect","title":"Individual differences in online spoken word recognition: Implications for SLI","title-short":"Individual differences in online spoken word recognition","URL":"https://www.sciencedirect.com/science/article/pii/S0010028509000358","volume":"60","author":[{"family":"McMurray","given":"Bob"},{"family":"Samelson","given":"Vicki M."},{"family":"Lee","given":"Sung Hee"},{"family":"Bruce Tomblin","given":"J."}],"accessed":{"date-parts":[["2022",3,22]]},"issued":{"date-parts":[["2010",2,1]]}}}],"schema":"https://github.com/citation-style-language/schema/raw/master/csl-citation.json"} </w:instrText>
      </w:r>
      <w:r w:rsidR="006D320C">
        <w:rPr>
          <w:color w:val="292526"/>
        </w:rPr>
        <w:fldChar w:fldCharType="separate"/>
      </w:r>
      <w:r w:rsidR="006D320C">
        <w:rPr>
          <w:noProof/>
          <w:color w:val="292526"/>
        </w:rPr>
        <w:t>(McMurray et al., 2010)</w:t>
      </w:r>
      <w:r w:rsidR="006D320C">
        <w:rPr>
          <w:color w:val="292526"/>
        </w:rPr>
        <w:fldChar w:fldCharType="end"/>
      </w:r>
      <w:r w:rsidR="006D320C">
        <w:rPr>
          <w:color w:val="292526"/>
        </w:rPr>
        <w:t>. Abnormalities in myelination could result in differing levels of inhibition for targets</w:t>
      </w:r>
      <w:r w:rsidR="00324B72">
        <w:rPr>
          <w:color w:val="292526"/>
        </w:rPr>
        <w:t xml:space="preserve"> and competitors</w:t>
      </w:r>
      <w:r w:rsidR="006D320C">
        <w:rPr>
          <w:color w:val="292526"/>
        </w:rPr>
        <w:t xml:space="preserve">. </w:t>
      </w:r>
      <w:r w:rsidR="00DA1F42">
        <w:rPr>
          <w:color w:val="292526"/>
        </w:rPr>
        <w:t>T</w:t>
      </w:r>
      <w:r w:rsidR="008F759D">
        <w:rPr>
          <w:color w:val="292526"/>
        </w:rPr>
        <w:t>echniques like MEG</w:t>
      </w:r>
      <w:r w:rsidR="00932795">
        <w:rPr>
          <w:color w:val="292526"/>
        </w:rPr>
        <w:t xml:space="preserve"> would be </w:t>
      </w:r>
      <w:r w:rsidR="000A3CE3">
        <w:rPr>
          <w:color w:val="292526"/>
        </w:rPr>
        <w:t>better suited</w:t>
      </w:r>
      <w:r w:rsidR="00932795">
        <w:rPr>
          <w:color w:val="292526"/>
        </w:rPr>
        <w:t xml:space="preserve"> to test this hypothesis.</w:t>
      </w:r>
    </w:p>
    <w:p w14:paraId="33111C3A" w14:textId="19B15815" w:rsidR="00E01714" w:rsidRDefault="00E01714" w:rsidP="00A22539">
      <w:pPr>
        <w:spacing w:line="360" w:lineRule="auto"/>
        <w:jc w:val="both"/>
        <w:rPr>
          <w:color w:val="292526"/>
        </w:rPr>
      </w:pPr>
    </w:p>
    <w:p w14:paraId="21297D07" w14:textId="00059705" w:rsidR="00932795" w:rsidRDefault="00D50A23" w:rsidP="00A22539">
      <w:pPr>
        <w:spacing w:line="360" w:lineRule="auto"/>
        <w:jc w:val="both"/>
        <w:rPr>
          <w:color w:val="292526"/>
        </w:rPr>
      </w:pPr>
      <w:r w:rsidRPr="00D50A23">
        <w:rPr>
          <w:color w:val="292526"/>
        </w:rPr>
        <w:t xml:space="preserve">There has </w:t>
      </w:r>
      <w:r w:rsidR="0095290C">
        <w:rPr>
          <w:color w:val="292526"/>
        </w:rPr>
        <w:t xml:space="preserve">also </w:t>
      </w:r>
      <w:r w:rsidRPr="00D50A23">
        <w:rPr>
          <w:color w:val="292526"/>
        </w:rPr>
        <w:t xml:space="preserve">been significant theoretical debate about whether DLD represents the tail end of a spectrum of language ability or if represents a group or several subgroups that are biologically distinguishable from those with </w:t>
      </w:r>
      <w:r w:rsidR="00254604">
        <w:rPr>
          <w:color w:val="292526"/>
        </w:rPr>
        <w:t>typical</w:t>
      </w:r>
      <w:r w:rsidRPr="00D50A23">
        <w:rPr>
          <w:color w:val="292526"/>
        </w:rPr>
        <w:t xml:space="preserve"> language ability </w:t>
      </w:r>
      <w:r w:rsidR="00821EEE">
        <w:rPr>
          <w:color w:val="292526"/>
        </w:rPr>
        <w:fldChar w:fldCharType="begin"/>
      </w:r>
      <w:r w:rsidR="00132FAC">
        <w:rPr>
          <w:color w:val="292526"/>
        </w:rPr>
        <w:instrText xml:space="preserve"> ADDIN ZOTERO_ITEM CSL_CITATION {"citationID":"Z6YKeejj","properties":{"formattedCitation":"(Tomblin, 2011)","plainCitation":"(Tomblin, 2011)","noteIndex":0},"citationItems":[{"id":1444,"uris":["http://zotero.org/users/5009496/items/UQ5JCKN9"],"itemData":{"id":1444,"type":"article-journal","abstract":"There has been a long-standing interest in the relationship between specific language impairment (SLI) and autism spectrum disorder (ASD). In the last decade Tager-Flusberg and colleagues have proposed that this relationship consists of a partial overlap between the two. Therefore, among children with ASD there exists a subgroup who have SLI and ASD which has been called ‘ALI’. Tager-Flusberg's laboratory has presented several papers showing similar language profiles and brain structure abnormalities in both SLI and ALI. Others (Bishop, Whitehouse, Botting, Williams) have been less convinced that these ALI children have both ASD and SLI. Although they generally agree that the two groups are grossly similar, careful inspection of the data shows that there are differences. I will argue that many of the problems in this debate stem from a view of SLI that represents a particular kind of language learner and therefore a particular and unique profile can be assumed. I argue for recognizing that SLI is not likely to be a unique kind of language learner. Many of the features reported to be characteristic of SLI are also found in other forms of neurodevelopmental disorders. Other features are the outgrowth of studying clinically identified children with SLI and thus the profile appears to reflect biases and practices in the clinical service system. As a result it may be more reasonable to conclude that there is a large group of children with ASD who have poor language skills. The question then remains why are there so many children with ASD who also have poor language? There are several factors that collectively are strong candidates for answers to this question.","container-title":"International Journal of Language &amp; Communication Disorders","DOI":"10.1111/j.1460-6984.2011.00017.x","ISSN":"1460-6984","issue":"2","language":"en","note":"_eprint: https://onlinelibrary.wiley.com/doi/pdf/10.1111/j.1460-6984.2011.00017.x","page":"127-137","source":"Wiley Online Library","title":"Co-morbidity of autism and SLI: kinds, kin and complexity","title-short":"Co-morbidity of autism and SLI","URL":"https://onlinelibrary.wiley.com/doi/abs/10.1111/j.1460-6984.2011.00017.x","volume":"46","author":[{"family":"Tomblin","given":"Bruce"}],"accessed":{"date-parts":[["2022",3,10]]},"issued":{"date-parts":[["2011"]]}}}],"schema":"https://github.com/citation-style-language/schema/raw/master/csl-citation.json"} </w:instrText>
      </w:r>
      <w:r w:rsidR="00821EEE">
        <w:rPr>
          <w:color w:val="292526"/>
        </w:rPr>
        <w:fldChar w:fldCharType="separate"/>
      </w:r>
      <w:r w:rsidR="00132FAC">
        <w:rPr>
          <w:color w:val="292526"/>
        </w:rPr>
        <w:t>(Tomblin, 2011)</w:t>
      </w:r>
      <w:r w:rsidR="00821EEE">
        <w:rPr>
          <w:color w:val="292526"/>
        </w:rPr>
        <w:fldChar w:fldCharType="end"/>
      </w:r>
      <w:r>
        <w:rPr>
          <w:color w:val="292526"/>
        </w:rPr>
        <w:t xml:space="preserve">. </w:t>
      </w:r>
      <w:r w:rsidR="00D346D2">
        <w:rPr>
          <w:color w:val="292526"/>
        </w:rPr>
        <w:t xml:space="preserve">Broadly </w:t>
      </w:r>
      <w:r w:rsidR="00D346D2">
        <w:rPr>
          <w:color w:val="292526"/>
        </w:rPr>
        <w:lastRenderedPageBreak/>
        <w:t>speaking, there is now consensus in the field that these children represent the extreme end of a distribution</w:t>
      </w:r>
      <w:r w:rsidR="002201C5">
        <w:rPr>
          <w:color w:val="292526"/>
        </w:rPr>
        <w:t xml:space="preserve"> </w:t>
      </w:r>
      <w:r w:rsidR="00C86D87">
        <w:rPr>
          <w:color w:val="292526"/>
        </w:rPr>
        <w:fldChar w:fldCharType="begin"/>
      </w:r>
      <w:r>
        <w:rPr>
          <w:color w:val="292526"/>
        </w:rPr>
        <w:instrText xml:space="preserve"> ADDIN ZOTERO_ITEM CSL_CITATION {"citationID":"q7NxvkoD","properties":{"formattedCitation":"(Bishop et al., 2016; Lancaster &amp; Camarata, 2019; Tomblin &amp; Zhang, 1999)","plainCitation":"(Bishop et al., 2016; Lancaster &amp; Camarata, 2019; Tomblin &amp; Zhang, 1999)","noteIndex":0},"citationItems":[{"id":42,"uris":["http://zotero.org/users/5009496/items/6U68384R"],"itemData":{"id":42,"type":"article-journal","container-title":"PLOS ONE","DOI":"10.1371/journal.pone.0158753","ISSN":"1932-6203","issue":"7","language":"en","page":"e0158753","source":"Crossref","title":"CATALISE: A Multinational and Multidisciplinary Delphi Consensus Study. Identifying Language Impairments in Children","title-short":"CATALISE","URL":"http://dx.plos.org/10.1371/journal.pone.0158753","volume":"11","author":[{"family":"Bishop","given":"D. V. M."},{"family":"Snowling","given":"Margaret J."},{"family":"Thompson","given":"Paul A."},{"family":"Greenhalgh","given":"Trisha"},{"literal":"CATALISE consortium"}],"editor":[{"family":"Schiller","given":"Niels O."}],"accessed":{"date-parts":[["2018",6,29]]},"issued":{"date-parts":[["2016",7,8]]}}},{"id":1625,"uris":["http://zotero.org/users/5009496/items/UFBTB6NE"],"itemData":{"id":1625,"type":"article-journal","abstract":"Background:\nThere is considerable variability in the presentation of developmental language disorder (DLD). Disagreement amongst professionals about how to characterize and interpret the variability complicates both the research on understanding the nature of DLD and the best clinical framework for diagnosing and treating children with DLD. We describe and statistically examine three primary possible models for characterizing the variability in presentation in DLD: predictable subtypes; individual differences; and continuum/spectrum.\n\nAims:\nTo test these three models of DLD in a population-based sample using two distinct types of cluster analyses.\n\nMethods &amp; Procedures:\nThis study included children with DLD (n = 505) from the US Epidemiological Study of Language Impairment database. All available language and cognitive measures were included. Two cluster methods were used: Ward’s method and K-means. Optimal cluster sizes were selected using Bayesian information criteria (BIC). Bootstrapping and permutation methods were used to evaluate randomness of clustering.\n\nOutcomes &amp; Results:\nBoth clustering analyses yielded more than 10 clusters, and the clusters did not have spatial distinction: many of these clusters were not clinically interpretable. However, tests of random clustering revealed that the cluster solutions obtained did not arise from random aggregation.\n\nConclusions &amp; Implications:\nNon-random clustering coupled with a large number of non-interpretable subtypes provides empirical support for the continuum/spectrum and individual differences models. Although there was substantial support for the continuum/spectrum model and weaker support for the individual differences model, additional research testing these models should be completed. Based on these results, clinicians working with children with DLD should focus on creating treatment plans that address the severity of functioning rather than seeking to identify and treat distinct subtypes. Additional consideration should be given to reconceptualizing DLD as a spectrum condition.","container-title":"International journal of language &amp; communication disorders","DOI":"10.1111/1460-6984.12433","ISSN":"1368-2822","issue":"1","journalAbbreviation":"Int J Lang Commun Disord","note":"PMID: 30426606\nPMCID: PMC6684235","page":"79-94","source":"PubMed Central","title":"Reconceptualizing developmental language disorder as a spectrum disorder: issues and evidence","title-short":"Reconceptualizing developmental language disorder as a spectrum disorder","URL":"https://www.ncbi.nlm.nih.gov/pmc/articles/PMC6684235/","volume":"54","author":[{"family":"Lancaster","given":"Hope S."},{"family":"Camarata","given":"Stephen"}],"accessed":{"date-parts":[["2022",4,22]]},"issued":{"date-parts":[["2019",1]]}}},{"id":1486,"uris":["http://zotero.org/users/5009496/items/6PT73X4N"],"itemData":{"id":1486,"type":"chapter","container-title":"Neurodevelopmental disorders","page":"361","publisher":"MIT Press","title":"Language Patterns and Etiology in Children with Specific Language Impairment","author":[{"family":"Tomblin","given":"Bruce"},{"family":"Zhang","given":"Xuyang"}],"issued":{"date-parts":[["1999"]]}}}],"schema":"https://github.com/citation-style-language/schema/raw/master/csl-citation.json"} </w:instrText>
      </w:r>
      <w:r w:rsidR="00C86D87">
        <w:rPr>
          <w:color w:val="292526"/>
        </w:rPr>
        <w:fldChar w:fldCharType="separate"/>
      </w:r>
      <w:r>
        <w:rPr>
          <w:color w:val="292526"/>
        </w:rPr>
        <w:t>(Bishop et al., 2016; Lancaster &amp; Camarata, 2019; Tomblin &amp; Zhang, 1999)</w:t>
      </w:r>
      <w:r w:rsidR="00C86D87">
        <w:rPr>
          <w:color w:val="292526"/>
        </w:rPr>
        <w:fldChar w:fldCharType="end"/>
      </w:r>
      <w:r w:rsidR="00D346D2">
        <w:rPr>
          <w:color w:val="292526"/>
        </w:rPr>
        <w:t xml:space="preserve">. </w:t>
      </w:r>
      <w:r>
        <w:rPr>
          <w:color w:val="292526"/>
        </w:rPr>
        <w:t xml:space="preserve">We examined if our data was consistent with </w:t>
      </w:r>
      <w:r w:rsidR="007E22C4">
        <w:rPr>
          <w:color w:val="292526"/>
        </w:rPr>
        <w:t xml:space="preserve">this idea by examining the distribution of our data. </w:t>
      </w:r>
      <w:r w:rsidRPr="007E22C4">
        <w:rPr>
          <w:color w:val="292526"/>
        </w:rPr>
        <w:t>When plotted, the average values of striatal myelination</w:t>
      </w:r>
      <w:r w:rsidR="002201C5">
        <w:rPr>
          <w:color w:val="292526"/>
        </w:rPr>
        <w:t xml:space="preserve"> for individual participants</w:t>
      </w:r>
      <w:r w:rsidRPr="007E22C4">
        <w:rPr>
          <w:color w:val="292526"/>
        </w:rPr>
        <w:t xml:space="preserve"> indicate</w:t>
      </w:r>
      <w:r w:rsidR="007E22C4">
        <w:rPr>
          <w:color w:val="292526"/>
        </w:rPr>
        <w:t>d</w:t>
      </w:r>
      <w:r w:rsidRPr="007E22C4">
        <w:rPr>
          <w:color w:val="292526"/>
        </w:rPr>
        <w:t xml:space="preserve"> overlap between the DLD and TD groups (see Figure 1).  So not all children </w:t>
      </w:r>
      <w:r w:rsidR="0010411B">
        <w:rPr>
          <w:color w:val="292526"/>
        </w:rPr>
        <w:t>with</w:t>
      </w:r>
      <w:r w:rsidRPr="007E22C4">
        <w:rPr>
          <w:color w:val="292526"/>
        </w:rPr>
        <w:t xml:space="preserve"> DLD had values outside of the range of values for the TD groups</w:t>
      </w:r>
      <w:r w:rsidR="007E22C4" w:rsidRPr="007E22C4">
        <w:rPr>
          <w:color w:val="292526"/>
        </w:rPr>
        <w:t>, as might be expected if we were observing a distinct sub-type</w:t>
      </w:r>
      <w:r w:rsidRPr="007E22C4">
        <w:rPr>
          <w:color w:val="292526"/>
        </w:rPr>
        <w:t xml:space="preserve">.  </w:t>
      </w:r>
      <w:r w:rsidR="007E22C4">
        <w:rPr>
          <w:color w:val="292526"/>
        </w:rPr>
        <w:t>However</w:t>
      </w:r>
      <w:r w:rsidRPr="007E22C4">
        <w:rPr>
          <w:color w:val="292526"/>
        </w:rPr>
        <w:t xml:space="preserve">, </w:t>
      </w:r>
      <w:r w:rsidR="007E22C4">
        <w:rPr>
          <w:color w:val="292526"/>
        </w:rPr>
        <w:t>our</w:t>
      </w:r>
      <w:r w:rsidRPr="007E22C4">
        <w:rPr>
          <w:color w:val="292526"/>
        </w:rPr>
        <w:t xml:space="preserve"> continuous analysis does indicate that those who have the lowest values for striatal myelination</w:t>
      </w:r>
      <w:r w:rsidR="002201C5">
        <w:rPr>
          <w:color w:val="292526"/>
        </w:rPr>
        <w:t xml:space="preserve"> have the lowest language factor scores</w:t>
      </w:r>
      <w:r w:rsidR="004A295E">
        <w:rPr>
          <w:color w:val="292526"/>
        </w:rPr>
        <w:t xml:space="preserve"> (see Figure 4)</w:t>
      </w:r>
      <w:r w:rsidRPr="007E22C4">
        <w:rPr>
          <w:color w:val="292526"/>
        </w:rPr>
        <w:t xml:space="preserve">.  </w:t>
      </w:r>
      <w:r>
        <w:rPr>
          <w:color w:val="292526"/>
        </w:rPr>
        <w:t xml:space="preserve">Our limited </w:t>
      </w:r>
      <w:r w:rsidRPr="007E22C4">
        <w:rPr>
          <w:color w:val="292526"/>
        </w:rPr>
        <w:t>exploration of how these measures are distributed both within the DLD group and across the cohort is consistent with the idea that DLD is a spectrum disorder.</w:t>
      </w:r>
      <w:r w:rsidR="007E22C4" w:rsidRPr="007E22C4">
        <w:rPr>
          <w:color w:val="292526"/>
        </w:rPr>
        <w:t xml:space="preserve"> Even so, further theoretically driven analyses that relate specific behaviour to these quantitative measures of brain microstructure might provide insight into whether </w:t>
      </w:r>
      <w:r w:rsidR="00D95861">
        <w:rPr>
          <w:color w:val="292526"/>
        </w:rPr>
        <w:t>there are distinct sub-types within DLD</w:t>
      </w:r>
      <w:r w:rsidR="007E22C4" w:rsidRPr="007E22C4">
        <w:rPr>
          <w:color w:val="292526"/>
        </w:rPr>
        <w:t xml:space="preserve">. </w:t>
      </w:r>
      <w:r w:rsidR="00EB29E4">
        <w:rPr>
          <w:color w:val="292526"/>
        </w:rPr>
        <w:t>Future studies should</w:t>
      </w:r>
      <w:r w:rsidR="00394E9C">
        <w:rPr>
          <w:color w:val="292526"/>
        </w:rPr>
        <w:t xml:space="preserve"> focus </w:t>
      </w:r>
      <w:r w:rsidR="00EB29E4">
        <w:rPr>
          <w:color w:val="292526"/>
        </w:rPr>
        <w:t>on</w:t>
      </w:r>
      <w:r w:rsidR="00023C39">
        <w:rPr>
          <w:color w:val="292526"/>
        </w:rPr>
        <w:t xml:space="preserve"> understand</w:t>
      </w:r>
      <w:r w:rsidR="00394E9C">
        <w:rPr>
          <w:color w:val="292526"/>
        </w:rPr>
        <w:t>ing</w:t>
      </w:r>
      <w:r w:rsidR="00023C39">
        <w:rPr>
          <w:color w:val="292526"/>
        </w:rPr>
        <w:t xml:space="preserve"> the full spectrum of DLD</w:t>
      </w:r>
      <w:r w:rsidR="00265586">
        <w:rPr>
          <w:color w:val="292526"/>
        </w:rPr>
        <w:t xml:space="preserve"> using large datasets</w:t>
      </w:r>
      <w:r w:rsidR="00023C39">
        <w:rPr>
          <w:color w:val="292526"/>
        </w:rPr>
        <w:t>, establishing if there are distinct brain-behaviour relationships within this broad category.</w:t>
      </w:r>
    </w:p>
    <w:p w14:paraId="1284297B" w14:textId="77777777" w:rsidR="00932795" w:rsidRDefault="00932795" w:rsidP="00A22539">
      <w:pPr>
        <w:spacing w:line="360" w:lineRule="auto"/>
        <w:jc w:val="both"/>
        <w:rPr>
          <w:b/>
          <w:bCs/>
          <w:i/>
          <w:iCs/>
          <w:color w:val="292526"/>
        </w:rPr>
      </w:pPr>
    </w:p>
    <w:p w14:paraId="3A88DA44" w14:textId="1129FAB8" w:rsidR="00561193" w:rsidRPr="004B5968" w:rsidRDefault="00561193" w:rsidP="00A22539">
      <w:pPr>
        <w:spacing w:line="360" w:lineRule="auto"/>
        <w:jc w:val="both"/>
        <w:rPr>
          <w:b/>
          <w:bCs/>
          <w:i/>
          <w:iCs/>
          <w:color w:val="292526"/>
        </w:rPr>
      </w:pPr>
      <w:r w:rsidRPr="004B5968">
        <w:rPr>
          <w:b/>
          <w:bCs/>
          <w:i/>
          <w:iCs/>
          <w:color w:val="292526"/>
        </w:rPr>
        <w:t>Limitations</w:t>
      </w:r>
      <w:r w:rsidR="004B5968">
        <w:rPr>
          <w:b/>
          <w:bCs/>
          <w:i/>
          <w:iCs/>
          <w:color w:val="292526"/>
        </w:rPr>
        <w:t xml:space="preserve"> and future directions</w:t>
      </w:r>
    </w:p>
    <w:p w14:paraId="127984E5" w14:textId="758F3334" w:rsidR="004B5968" w:rsidRDefault="00EA2443" w:rsidP="00A22539">
      <w:pPr>
        <w:spacing w:line="360" w:lineRule="auto"/>
        <w:jc w:val="both"/>
        <w:rPr>
          <w:color w:val="292526"/>
        </w:rPr>
      </w:pPr>
      <w:r w:rsidRPr="00EA2443">
        <w:rPr>
          <w:color w:val="292526"/>
        </w:rPr>
        <w:t>The differenc</w:t>
      </w:r>
      <w:r>
        <w:rPr>
          <w:color w:val="292526"/>
        </w:rPr>
        <w:t>es we see here are observed at a group level</w:t>
      </w:r>
      <w:r w:rsidR="00BA6659">
        <w:rPr>
          <w:color w:val="292526"/>
        </w:rPr>
        <w:t>. In other words,</w:t>
      </w:r>
      <w:r>
        <w:rPr>
          <w:color w:val="292526"/>
        </w:rPr>
        <w:t xml:space="preserve"> </w:t>
      </w:r>
      <w:r w:rsidR="004958F0">
        <w:rPr>
          <w:color w:val="292526"/>
        </w:rPr>
        <w:t xml:space="preserve">as noted above, </w:t>
      </w:r>
      <w:r>
        <w:rPr>
          <w:color w:val="292526"/>
        </w:rPr>
        <w:t>lower MT or R1 values in</w:t>
      </w:r>
      <w:r w:rsidR="00BA6659">
        <w:rPr>
          <w:color w:val="292526"/>
        </w:rPr>
        <w:t xml:space="preserve"> the caudate </w:t>
      </w:r>
      <w:r w:rsidR="006107CE">
        <w:rPr>
          <w:color w:val="292526"/>
        </w:rPr>
        <w:t xml:space="preserve">nuclei </w:t>
      </w:r>
      <w:r w:rsidR="00BA6659">
        <w:rPr>
          <w:color w:val="292526"/>
        </w:rPr>
        <w:t xml:space="preserve">are not observed in every child with DLD. </w:t>
      </w:r>
      <w:r w:rsidR="00324FC1">
        <w:rPr>
          <w:color w:val="292526"/>
        </w:rPr>
        <w:t>In future</w:t>
      </w:r>
      <w:r w:rsidR="00BA6659">
        <w:rPr>
          <w:color w:val="292526"/>
        </w:rPr>
        <w:t xml:space="preserve"> studies</w:t>
      </w:r>
      <w:r w:rsidR="00324FC1">
        <w:rPr>
          <w:color w:val="292526"/>
        </w:rPr>
        <w:t>, we are keen to</w:t>
      </w:r>
      <w:r w:rsidR="00BA6659">
        <w:rPr>
          <w:color w:val="292526"/>
        </w:rPr>
        <w:t xml:space="preserve"> </w:t>
      </w:r>
      <w:r w:rsidR="00324FC1">
        <w:rPr>
          <w:color w:val="292526"/>
        </w:rPr>
        <w:t>use</w:t>
      </w:r>
      <w:r w:rsidR="00BA6659">
        <w:rPr>
          <w:color w:val="292526"/>
        </w:rPr>
        <w:t xml:space="preserve"> </w:t>
      </w:r>
      <w:r w:rsidR="00BD6195">
        <w:rPr>
          <w:color w:val="292526"/>
        </w:rPr>
        <w:t>structural connectivity</w:t>
      </w:r>
      <w:r w:rsidR="00BA6659">
        <w:rPr>
          <w:color w:val="292526"/>
        </w:rPr>
        <w:t xml:space="preserve"> analyses, </w:t>
      </w:r>
      <w:r w:rsidR="00324FC1">
        <w:rPr>
          <w:color w:val="292526"/>
        </w:rPr>
        <w:t>as they will</w:t>
      </w:r>
      <w:r w:rsidR="00BA6659">
        <w:rPr>
          <w:color w:val="292526"/>
        </w:rPr>
        <w:t xml:space="preserve"> allow us to understand how</w:t>
      </w:r>
      <w:r w:rsidR="00324FC1">
        <w:rPr>
          <w:color w:val="292526"/>
        </w:rPr>
        <w:t xml:space="preserve"> differences across</w:t>
      </w:r>
      <w:r w:rsidR="00BA6659">
        <w:rPr>
          <w:color w:val="292526"/>
        </w:rPr>
        <w:t xml:space="preserve"> a network of </w:t>
      </w:r>
      <w:r w:rsidR="00324FC1">
        <w:rPr>
          <w:color w:val="292526"/>
        </w:rPr>
        <w:t>brain areas</w:t>
      </w:r>
      <w:r w:rsidR="00BA6659">
        <w:rPr>
          <w:color w:val="292526"/>
        </w:rPr>
        <w:t xml:space="preserve"> may make children susceptible to DLD. </w:t>
      </w:r>
      <w:r>
        <w:rPr>
          <w:color w:val="292526"/>
        </w:rPr>
        <w:t>It</w:t>
      </w:r>
      <w:r w:rsidR="00B34804">
        <w:rPr>
          <w:color w:val="292526"/>
        </w:rPr>
        <w:t xml:space="preserve"> is </w:t>
      </w:r>
      <w:r>
        <w:rPr>
          <w:color w:val="292526"/>
        </w:rPr>
        <w:t xml:space="preserve">also </w:t>
      </w:r>
      <w:r w:rsidR="004958F0">
        <w:rPr>
          <w:color w:val="292526"/>
        </w:rPr>
        <w:t>un</w:t>
      </w:r>
      <w:r w:rsidR="00B34804">
        <w:rPr>
          <w:color w:val="292526"/>
        </w:rPr>
        <w:t xml:space="preserve">clear whether </w:t>
      </w:r>
      <w:r w:rsidR="00BA6659">
        <w:rPr>
          <w:color w:val="292526"/>
        </w:rPr>
        <w:t>the</w:t>
      </w:r>
      <w:r w:rsidR="00B34804">
        <w:rPr>
          <w:color w:val="292526"/>
        </w:rPr>
        <w:t xml:space="preserve"> </w:t>
      </w:r>
      <w:r>
        <w:rPr>
          <w:color w:val="292526"/>
        </w:rPr>
        <w:t xml:space="preserve">neural </w:t>
      </w:r>
      <w:r w:rsidR="00B34804">
        <w:rPr>
          <w:color w:val="292526"/>
        </w:rPr>
        <w:t xml:space="preserve">changes </w:t>
      </w:r>
      <w:r w:rsidR="00BA6659">
        <w:rPr>
          <w:color w:val="292526"/>
        </w:rPr>
        <w:t xml:space="preserve">we observe </w:t>
      </w:r>
      <w:r w:rsidR="00B34804">
        <w:rPr>
          <w:color w:val="292526"/>
        </w:rPr>
        <w:t>are the cause of DLD, or a consequence of having a language disorder</w:t>
      </w:r>
      <w:r>
        <w:rPr>
          <w:color w:val="292526"/>
        </w:rPr>
        <w:t>. Longitudinal studies where children are followed over time</w:t>
      </w:r>
      <w:r w:rsidR="00BA6659">
        <w:rPr>
          <w:color w:val="292526"/>
        </w:rPr>
        <w:t xml:space="preserve"> are </w:t>
      </w:r>
      <w:r w:rsidR="00517B11">
        <w:rPr>
          <w:color w:val="292526"/>
        </w:rPr>
        <w:t xml:space="preserve">the best way </w:t>
      </w:r>
      <w:r w:rsidR="00BA6659">
        <w:rPr>
          <w:color w:val="292526"/>
        </w:rPr>
        <w:t>to shed light on this issue</w:t>
      </w:r>
      <w:r>
        <w:rPr>
          <w:color w:val="292526"/>
        </w:rPr>
        <w:t xml:space="preserve">. </w:t>
      </w:r>
      <w:r w:rsidR="00B14C8E">
        <w:rPr>
          <w:color w:val="292526"/>
        </w:rPr>
        <w:t xml:space="preserve">A </w:t>
      </w:r>
      <w:r w:rsidR="00072D94">
        <w:rPr>
          <w:color w:val="292526"/>
        </w:rPr>
        <w:t>pertinent</w:t>
      </w:r>
      <w:r w:rsidR="000943F7">
        <w:rPr>
          <w:color w:val="292526"/>
        </w:rPr>
        <w:t xml:space="preserve"> issue </w:t>
      </w:r>
      <w:r w:rsidR="00517B11">
        <w:rPr>
          <w:color w:val="292526"/>
        </w:rPr>
        <w:t xml:space="preserve">when considering longitudinal studies </w:t>
      </w:r>
      <w:r w:rsidR="00072D94">
        <w:rPr>
          <w:color w:val="292526"/>
        </w:rPr>
        <w:t>is</w:t>
      </w:r>
      <w:r w:rsidR="000943F7">
        <w:rPr>
          <w:color w:val="292526"/>
        </w:rPr>
        <w:t xml:space="preserve"> the amount of data we were able to retain</w:t>
      </w:r>
      <w:r w:rsidR="002F3583">
        <w:rPr>
          <w:color w:val="292526"/>
        </w:rPr>
        <w:t xml:space="preserve"> from children</w:t>
      </w:r>
      <w:r w:rsidR="005950A7">
        <w:rPr>
          <w:color w:val="292526"/>
        </w:rPr>
        <w:t xml:space="preserve"> we tested</w:t>
      </w:r>
      <w:r w:rsidR="000943F7">
        <w:rPr>
          <w:color w:val="292526"/>
        </w:rPr>
        <w:t xml:space="preserve"> (between </w:t>
      </w:r>
      <w:r w:rsidR="004F4B37">
        <w:rPr>
          <w:color w:val="292526"/>
        </w:rPr>
        <w:t xml:space="preserve">approximately </w:t>
      </w:r>
      <w:r w:rsidR="000943F7">
        <w:rPr>
          <w:color w:val="292526"/>
        </w:rPr>
        <w:t>65-80%</w:t>
      </w:r>
      <w:r w:rsidR="00D13D46">
        <w:rPr>
          <w:color w:val="292526"/>
        </w:rPr>
        <w:t xml:space="preserve"> based on whether children were in the TD, HSL or DLD group</w:t>
      </w:r>
      <w:r w:rsidR="002F3583">
        <w:rPr>
          <w:color w:val="292526"/>
        </w:rPr>
        <w:t>, see Methods</w:t>
      </w:r>
      <w:r w:rsidR="000943F7">
        <w:rPr>
          <w:color w:val="292526"/>
        </w:rPr>
        <w:t>).</w:t>
      </w:r>
      <w:r w:rsidR="00CF633A">
        <w:rPr>
          <w:color w:val="292526"/>
        </w:rPr>
        <w:t xml:space="preserve"> </w:t>
      </w:r>
      <w:r w:rsidR="00072D94">
        <w:rPr>
          <w:color w:val="292526"/>
        </w:rPr>
        <w:t>We were concerned that s</w:t>
      </w:r>
      <w:r w:rsidR="009810BD">
        <w:rPr>
          <w:color w:val="292526"/>
        </w:rPr>
        <w:t>ystematic biases</w:t>
      </w:r>
      <w:r w:rsidR="00CF633A">
        <w:rPr>
          <w:color w:val="292526"/>
        </w:rPr>
        <w:t xml:space="preserve"> </w:t>
      </w:r>
      <w:r w:rsidR="00072D94">
        <w:rPr>
          <w:color w:val="292526"/>
        </w:rPr>
        <w:t>might affect</w:t>
      </w:r>
      <w:r w:rsidR="00CF633A">
        <w:rPr>
          <w:color w:val="292526"/>
        </w:rPr>
        <w:t xml:space="preserve"> </w:t>
      </w:r>
      <w:r w:rsidR="00072D94">
        <w:rPr>
          <w:color w:val="292526"/>
        </w:rPr>
        <w:t>retention</w:t>
      </w:r>
      <w:r w:rsidR="004A5338">
        <w:rPr>
          <w:color w:val="292526"/>
        </w:rPr>
        <w:t xml:space="preserve">, </w:t>
      </w:r>
      <w:r w:rsidR="00072D94">
        <w:rPr>
          <w:color w:val="292526"/>
        </w:rPr>
        <w:t>with</w:t>
      </w:r>
      <w:r w:rsidR="004A5338">
        <w:rPr>
          <w:color w:val="292526"/>
        </w:rPr>
        <w:t xml:space="preserve"> </w:t>
      </w:r>
      <w:r w:rsidR="00072D94">
        <w:rPr>
          <w:color w:val="292526"/>
        </w:rPr>
        <w:t xml:space="preserve">children with </w:t>
      </w:r>
      <w:r w:rsidR="004A5338">
        <w:rPr>
          <w:color w:val="292526"/>
        </w:rPr>
        <w:t xml:space="preserve">severe language problems </w:t>
      </w:r>
      <w:r w:rsidR="00072D94">
        <w:rPr>
          <w:color w:val="292526"/>
        </w:rPr>
        <w:t>being</w:t>
      </w:r>
      <w:r w:rsidR="004A5338">
        <w:rPr>
          <w:color w:val="292526"/>
        </w:rPr>
        <w:t xml:space="preserve"> more likely to be excluded</w:t>
      </w:r>
      <w:r w:rsidR="009810BD">
        <w:rPr>
          <w:color w:val="292526"/>
        </w:rPr>
        <w:t xml:space="preserve">. </w:t>
      </w:r>
      <w:r w:rsidR="00072D94">
        <w:rPr>
          <w:color w:val="292526"/>
        </w:rPr>
        <w:t>Consequently, i</w:t>
      </w:r>
      <w:r w:rsidR="005C078F">
        <w:rPr>
          <w:color w:val="292526"/>
        </w:rPr>
        <w:t xml:space="preserve">n our sample, </w:t>
      </w:r>
      <w:r w:rsidR="00A57753">
        <w:rPr>
          <w:color w:val="292526"/>
        </w:rPr>
        <w:t xml:space="preserve">we assessed if there were any differences between children whose scans were excluded, relative to those </w:t>
      </w:r>
      <w:r w:rsidR="002E0B9D">
        <w:rPr>
          <w:color w:val="292526"/>
        </w:rPr>
        <w:t xml:space="preserve">we </w:t>
      </w:r>
      <w:r w:rsidR="00A57753">
        <w:rPr>
          <w:color w:val="292526"/>
        </w:rPr>
        <w:t xml:space="preserve">retained for </w:t>
      </w:r>
      <w:r w:rsidR="00986980">
        <w:rPr>
          <w:color w:val="292526"/>
        </w:rPr>
        <w:t xml:space="preserve">our </w:t>
      </w:r>
      <w:r w:rsidR="00A57753">
        <w:rPr>
          <w:color w:val="292526"/>
        </w:rPr>
        <w:t>analysis. W</w:t>
      </w:r>
      <w:r w:rsidR="005C078F">
        <w:rPr>
          <w:color w:val="292526"/>
        </w:rPr>
        <w:t>e found that children</w:t>
      </w:r>
      <w:r w:rsidR="00CF633A">
        <w:rPr>
          <w:color w:val="292526"/>
        </w:rPr>
        <w:t xml:space="preserve"> with DLD</w:t>
      </w:r>
      <w:r w:rsidR="005C078F">
        <w:rPr>
          <w:color w:val="292526"/>
        </w:rPr>
        <w:t xml:space="preserve"> </w:t>
      </w:r>
      <w:r w:rsidR="00A57753">
        <w:rPr>
          <w:color w:val="292526"/>
        </w:rPr>
        <w:t xml:space="preserve">whose scans were excluded </w:t>
      </w:r>
      <w:r w:rsidR="005C078F">
        <w:rPr>
          <w:color w:val="292526"/>
        </w:rPr>
        <w:t>were younge</w:t>
      </w:r>
      <w:r w:rsidR="009810BD">
        <w:rPr>
          <w:color w:val="292526"/>
        </w:rPr>
        <w:t>r</w:t>
      </w:r>
      <w:r w:rsidR="00CF633A">
        <w:rPr>
          <w:color w:val="292526"/>
        </w:rPr>
        <w:t xml:space="preserve"> than those who were selected</w:t>
      </w:r>
      <w:r w:rsidR="009810BD">
        <w:rPr>
          <w:color w:val="292526"/>
        </w:rPr>
        <w:t xml:space="preserve">, but </w:t>
      </w:r>
      <w:r w:rsidR="00072D94">
        <w:rPr>
          <w:color w:val="292526"/>
        </w:rPr>
        <w:t xml:space="preserve">they </w:t>
      </w:r>
      <w:r w:rsidR="009810BD">
        <w:rPr>
          <w:color w:val="292526"/>
        </w:rPr>
        <w:t>were not more severely affected in terms of their language</w:t>
      </w:r>
      <w:r w:rsidR="00EA20DE">
        <w:rPr>
          <w:color w:val="292526"/>
        </w:rPr>
        <w:t xml:space="preserve"> learning</w:t>
      </w:r>
      <w:r w:rsidR="009810BD">
        <w:rPr>
          <w:color w:val="292526"/>
        </w:rPr>
        <w:t xml:space="preserve"> (Supplementary </w:t>
      </w:r>
      <w:r w:rsidR="008778BD">
        <w:rPr>
          <w:color w:val="292526"/>
        </w:rPr>
        <w:t>file 1c</w:t>
      </w:r>
      <w:r w:rsidR="009810BD">
        <w:rPr>
          <w:color w:val="292526"/>
        </w:rPr>
        <w:t>)</w:t>
      </w:r>
      <w:r w:rsidR="005C078F">
        <w:rPr>
          <w:color w:val="292526"/>
        </w:rPr>
        <w:t>.</w:t>
      </w:r>
      <w:r w:rsidR="00B14C8E">
        <w:rPr>
          <w:color w:val="292526"/>
        </w:rPr>
        <w:t xml:space="preserve"> </w:t>
      </w:r>
      <w:r w:rsidR="00425F57">
        <w:rPr>
          <w:color w:val="292526"/>
        </w:rPr>
        <w:t>However</w:t>
      </w:r>
      <w:r w:rsidR="00A57753">
        <w:rPr>
          <w:color w:val="292526"/>
        </w:rPr>
        <w:t xml:space="preserve">, it is worth noting </w:t>
      </w:r>
      <w:r w:rsidR="00425F57">
        <w:rPr>
          <w:color w:val="292526"/>
        </w:rPr>
        <w:t>our</w:t>
      </w:r>
      <w:r w:rsidR="003F03D1">
        <w:rPr>
          <w:color w:val="292526"/>
        </w:rPr>
        <w:t xml:space="preserve"> analysis</w:t>
      </w:r>
      <w:r w:rsidR="00A57753">
        <w:rPr>
          <w:color w:val="292526"/>
        </w:rPr>
        <w:t xml:space="preserve"> does not account for </w:t>
      </w:r>
      <w:r w:rsidR="003F03D1">
        <w:rPr>
          <w:color w:val="292526"/>
        </w:rPr>
        <w:t>the</w:t>
      </w:r>
      <w:r w:rsidR="00A57753">
        <w:rPr>
          <w:color w:val="292526"/>
        </w:rPr>
        <w:t xml:space="preserve"> children who we recruited</w:t>
      </w:r>
      <w:r w:rsidR="00317884">
        <w:rPr>
          <w:color w:val="292526"/>
        </w:rPr>
        <w:t xml:space="preserve"> </w:t>
      </w:r>
      <w:r w:rsidR="00A57753">
        <w:rPr>
          <w:color w:val="292526"/>
        </w:rPr>
        <w:t xml:space="preserve">but </w:t>
      </w:r>
      <w:r w:rsidR="00317884">
        <w:rPr>
          <w:color w:val="292526"/>
        </w:rPr>
        <w:t>were unable to</w:t>
      </w:r>
      <w:r w:rsidR="00A57753">
        <w:rPr>
          <w:color w:val="292526"/>
        </w:rPr>
        <w:t xml:space="preserve"> scan.</w:t>
      </w:r>
      <w:r w:rsidR="00C4352B">
        <w:rPr>
          <w:color w:val="292526"/>
        </w:rPr>
        <w:t xml:space="preserve"> </w:t>
      </w:r>
      <w:r w:rsidR="00986980">
        <w:rPr>
          <w:color w:val="292526"/>
        </w:rPr>
        <w:t>Dropout and data quality</w:t>
      </w:r>
      <w:r w:rsidR="00C4352B">
        <w:rPr>
          <w:color w:val="292526"/>
        </w:rPr>
        <w:t xml:space="preserve"> </w:t>
      </w:r>
      <w:r w:rsidR="00517B11">
        <w:rPr>
          <w:color w:val="292526"/>
        </w:rPr>
        <w:t>are</w:t>
      </w:r>
      <w:r w:rsidR="00C4352B">
        <w:rPr>
          <w:color w:val="292526"/>
        </w:rPr>
        <w:t xml:space="preserve"> factor</w:t>
      </w:r>
      <w:r w:rsidR="00986980">
        <w:rPr>
          <w:color w:val="292526"/>
        </w:rPr>
        <w:t xml:space="preserve">s to consider </w:t>
      </w:r>
      <w:r w:rsidR="00517B11">
        <w:rPr>
          <w:color w:val="292526"/>
        </w:rPr>
        <w:t>if</w:t>
      </w:r>
      <w:r w:rsidR="00C4352B">
        <w:rPr>
          <w:color w:val="292526"/>
        </w:rPr>
        <w:t xml:space="preserve"> scanning young</w:t>
      </w:r>
      <w:r w:rsidR="00986980">
        <w:rPr>
          <w:color w:val="292526"/>
        </w:rPr>
        <w:t>er</w:t>
      </w:r>
      <w:r w:rsidR="00C4352B">
        <w:rPr>
          <w:color w:val="292526"/>
        </w:rPr>
        <w:t xml:space="preserve"> </w:t>
      </w:r>
      <w:r w:rsidR="00C4352B">
        <w:rPr>
          <w:color w:val="292526"/>
        </w:rPr>
        <w:lastRenderedPageBreak/>
        <w:t>children with this protocol.</w:t>
      </w:r>
      <w:r w:rsidR="00A57753">
        <w:rPr>
          <w:color w:val="292526"/>
        </w:rPr>
        <w:t xml:space="preserve"> </w:t>
      </w:r>
      <w:r>
        <w:rPr>
          <w:color w:val="292526"/>
        </w:rPr>
        <w:t xml:space="preserve">Finally, the relationship between structure and function is complex. </w:t>
      </w:r>
      <w:r w:rsidR="004A2AEA">
        <w:rPr>
          <w:color w:val="292526"/>
        </w:rPr>
        <w:t>We need to understand how these structural differences might affect specific aspects of function. For instance</w:t>
      </w:r>
      <w:r>
        <w:rPr>
          <w:color w:val="292526"/>
        </w:rPr>
        <w:t>, we did not observe differences in dorsal striatal activity for a simple language task of verb generation in the same group of children</w:t>
      </w:r>
      <w:r w:rsidR="00CE187B">
        <w:rPr>
          <w:color w:val="292526"/>
        </w:rPr>
        <w:t xml:space="preserve"> </w:t>
      </w:r>
      <w:r w:rsidR="00CE187B">
        <w:rPr>
          <w:color w:val="292526"/>
        </w:rPr>
        <w:fldChar w:fldCharType="begin"/>
      </w:r>
      <w:r w:rsidR="00ED5ABB">
        <w:rPr>
          <w:color w:val="292526"/>
        </w:rPr>
        <w:instrText xml:space="preserve"> ADDIN ZOTERO_ITEM CSL_CITATION {"citationID":"EYfFTNx0","properties":{"formattedCitation":"(Krishnan et al., 2020)","plainCitation":"(Krishnan et al., 2020)","noteIndex":0},"citationItems":[{"id":1136,"uris":["http://zotero.org/users/5009496/items/MG9HSFUF"],"itemData":{"id":1136,"type":"article-journal","abstract":"Developmental language disorder (DLD) is characterised by difficulties in learning one's native language for no apparent reason. These language difficulties occur in 7% of children and are known to limit future academic and social achievement. Our understanding of the brain abnormalities associated with DLD is limited. Here, we used a simple four-minute verb generation task (children saw a picture of an object and were instructed to say an action that goes with that object) to test children between the ages of 10-15 years (DLD N=50, typically developing N=67). We also tested 26 children with poor language ability who did not meet our criteria for DLD. Contrary to our registered predictions, we found that children with DLD did not have (i) reduced activity in language relevant regions such as the left inferior frontal cortex; (ii) dysfunctional striatal activity during overt production; or (iii) a reduction in left-lateralised activity in frontal cortex. Indeed, performance of this simple language task evoked activity in children with DLD in the same regions and to a similar level as in typically developing children. Consistent with previous reports, we found sub-threshold group differences in the left inferior frontal gyrus and caudate nuclei, but only when analysis was limited to a subsample of the DLD group (N=14) who had the poorest performance on the task. Additionally, we used a two-factor model to capture variation in all children studied (N=143) on a range of neuropsychological tests and found that these language and verbal memory factors correlated with activity in different brain regions. Our findings indicate a lack of support for some neurological models of atypical language learning, such as the procedural deficit hypothesis or the atypical lateralization hypothesis, at least when using simple language tasks that children can perform. These results also emphasise the importance of controlling for and monitoring task performance.","container-title":"NeuroImage","DOI":"10.1016/j.neuroimage.2020.117599","ISSN":"1053-8119","journalAbbreviation":"NeuroImage","language":"en","page":"117599","source":"ScienceDirect","title":"Functional organisation for verb generation in children with developmental language disorder","URL":"http://www.sciencedirect.com/science/article/pii/S1053811920310843","author":[{"family":"Krishnan","given":"Saloni"},{"family":"Asaridou","given":"Salomi S."},{"family":"Cler","given":"Gabriel J."},{"family":"Smith","given":"Harriet J."},{"family":"Willis","given":"Hannah E."},{"family":"Healy","given":"Máiréad P."},{"family":"Thompson","given":"Paul A."},{"family":"Bishop","given":"Dorothy V. M."},{"family":"Watkins","given":"Kate E."}],"accessed":{"date-parts":[["2020",12,7]]},"issued":{"date-parts":[["2020",12,4]]}}}],"schema":"https://github.com/citation-style-language/schema/raw/master/csl-citation.json"} </w:instrText>
      </w:r>
      <w:r w:rsidR="00CE187B">
        <w:rPr>
          <w:color w:val="292526"/>
        </w:rPr>
        <w:fldChar w:fldCharType="separate"/>
      </w:r>
      <w:r w:rsidR="00CE187B">
        <w:rPr>
          <w:noProof/>
          <w:color w:val="292526"/>
        </w:rPr>
        <w:t>(Krishnan et al., 2020)</w:t>
      </w:r>
      <w:r w:rsidR="00CE187B">
        <w:rPr>
          <w:color w:val="292526"/>
        </w:rPr>
        <w:fldChar w:fldCharType="end"/>
      </w:r>
      <w:r>
        <w:rPr>
          <w:color w:val="292526"/>
        </w:rPr>
        <w:t xml:space="preserve">. </w:t>
      </w:r>
      <w:r w:rsidR="004A2AEA">
        <w:rPr>
          <w:color w:val="292526"/>
        </w:rPr>
        <w:t>This may signal the task was not sensitive to differences, or alternately, that we need to tap different aspects of language processing.</w:t>
      </w:r>
      <w:r w:rsidR="00BA6659">
        <w:rPr>
          <w:color w:val="292526"/>
        </w:rPr>
        <w:t xml:space="preserve"> </w:t>
      </w:r>
    </w:p>
    <w:p w14:paraId="024EB436" w14:textId="77777777" w:rsidR="004B5968" w:rsidRDefault="004B5968" w:rsidP="00A22539">
      <w:pPr>
        <w:spacing w:line="360" w:lineRule="auto"/>
        <w:jc w:val="both"/>
        <w:rPr>
          <w:color w:val="292526"/>
          <w:sz w:val="28"/>
          <w:szCs w:val="28"/>
        </w:rPr>
      </w:pPr>
    </w:p>
    <w:p w14:paraId="739EB6BF" w14:textId="10CAF753" w:rsidR="00561193" w:rsidRDefault="004B5968" w:rsidP="00A22539">
      <w:pPr>
        <w:spacing w:line="360" w:lineRule="auto"/>
        <w:jc w:val="both"/>
        <w:rPr>
          <w:color w:val="292526"/>
          <w:sz w:val="28"/>
          <w:szCs w:val="28"/>
        </w:rPr>
      </w:pPr>
      <w:r>
        <w:rPr>
          <w:b/>
          <w:bCs/>
          <w:i/>
          <w:iCs/>
          <w:color w:val="292526"/>
        </w:rPr>
        <w:t>Summary and conclusions</w:t>
      </w:r>
    </w:p>
    <w:p w14:paraId="643902A3" w14:textId="69B43839" w:rsidR="00561193" w:rsidRDefault="000D2C0C" w:rsidP="00A22539">
      <w:pPr>
        <w:spacing w:line="360" w:lineRule="auto"/>
        <w:jc w:val="both"/>
        <w:rPr>
          <w:color w:val="292526"/>
        </w:rPr>
      </w:pPr>
      <w:r>
        <w:rPr>
          <w:color w:val="292526"/>
        </w:rPr>
        <w:t>U</w:t>
      </w:r>
      <w:r w:rsidR="007E63C3">
        <w:rPr>
          <w:color w:val="292526"/>
        </w:rPr>
        <w:t xml:space="preserve">nderstanding the neural basis of </w:t>
      </w:r>
      <w:r w:rsidR="008B31EB">
        <w:rPr>
          <w:color w:val="292526"/>
        </w:rPr>
        <w:t>DLD</w:t>
      </w:r>
      <w:r w:rsidR="007E63C3">
        <w:rPr>
          <w:color w:val="292526"/>
        </w:rPr>
        <w:t xml:space="preserve"> </w:t>
      </w:r>
      <w:r>
        <w:rPr>
          <w:color w:val="292526"/>
        </w:rPr>
        <w:t>is particularly</w:t>
      </w:r>
      <w:r w:rsidR="007E63C3">
        <w:rPr>
          <w:color w:val="292526"/>
        </w:rPr>
        <w:t xml:space="preserve"> challeng</w:t>
      </w:r>
      <w:r>
        <w:rPr>
          <w:color w:val="292526"/>
        </w:rPr>
        <w:t xml:space="preserve">ing given the developmental nature of the disorder, as well as the </w:t>
      </w:r>
      <w:r w:rsidR="006107CE">
        <w:rPr>
          <w:color w:val="292526"/>
        </w:rPr>
        <w:t xml:space="preserve">lack </w:t>
      </w:r>
      <w:r>
        <w:rPr>
          <w:color w:val="292526"/>
        </w:rPr>
        <w:t>of appropriate animal models for understanding language.</w:t>
      </w:r>
      <w:r w:rsidR="007E63C3">
        <w:rPr>
          <w:color w:val="292526"/>
        </w:rPr>
        <w:t xml:space="preserve"> </w:t>
      </w:r>
      <w:r w:rsidR="008B7A6E">
        <w:rPr>
          <w:color w:val="292526"/>
        </w:rPr>
        <w:t>Novel semiq</w:t>
      </w:r>
      <w:r>
        <w:rPr>
          <w:color w:val="292526"/>
        </w:rPr>
        <w:t xml:space="preserve">uantitative MPM protocols allow us an </w:t>
      </w:r>
      <w:r w:rsidR="00317884">
        <w:rPr>
          <w:color w:val="292526"/>
        </w:rPr>
        <w:t>unparalleled</w:t>
      </w:r>
      <w:r>
        <w:rPr>
          <w:color w:val="292526"/>
        </w:rPr>
        <w:t xml:space="preserve"> </w:t>
      </w:r>
      <w:r w:rsidRPr="000D2C0C">
        <w:rPr>
          <w:i/>
          <w:iCs/>
          <w:color w:val="292526"/>
        </w:rPr>
        <w:t>in vivo</w:t>
      </w:r>
      <w:r>
        <w:rPr>
          <w:color w:val="292526"/>
        </w:rPr>
        <w:t xml:space="preserve"> method to investigate microstructural neural changes in these children. Our findings </w:t>
      </w:r>
      <w:r w:rsidR="00966995">
        <w:rPr>
          <w:color w:val="292526"/>
        </w:rPr>
        <w:t xml:space="preserve">using this protocol </w:t>
      </w:r>
      <w:r>
        <w:rPr>
          <w:color w:val="292526"/>
        </w:rPr>
        <w:t xml:space="preserve">suggest that the caudate nucleus, as well as regions in </w:t>
      </w:r>
      <w:r w:rsidR="006107CE">
        <w:rPr>
          <w:color w:val="292526"/>
        </w:rPr>
        <w:t xml:space="preserve">the </w:t>
      </w:r>
      <w:r>
        <w:rPr>
          <w:color w:val="292526"/>
        </w:rPr>
        <w:t xml:space="preserve">wider speech and language network, show alterations in </w:t>
      </w:r>
      <w:r w:rsidR="00095CF6">
        <w:rPr>
          <w:color w:val="292526"/>
        </w:rPr>
        <w:t xml:space="preserve">myelin </w:t>
      </w:r>
      <w:r>
        <w:rPr>
          <w:color w:val="292526"/>
        </w:rPr>
        <w:t xml:space="preserve">in children with DLD. </w:t>
      </w:r>
      <w:r w:rsidR="00966995">
        <w:rPr>
          <w:color w:val="292526"/>
        </w:rPr>
        <w:t>These findings strongly point to a role for the</w:t>
      </w:r>
      <w:r>
        <w:rPr>
          <w:color w:val="292526"/>
        </w:rPr>
        <w:t xml:space="preserve"> striatum in</w:t>
      </w:r>
      <w:r w:rsidR="00966995">
        <w:rPr>
          <w:color w:val="292526"/>
        </w:rPr>
        <w:t xml:space="preserve"> the development of</w:t>
      </w:r>
      <w:r>
        <w:rPr>
          <w:color w:val="292526"/>
        </w:rPr>
        <w:t xml:space="preserve"> DLD</w:t>
      </w:r>
      <w:r w:rsidR="00966995">
        <w:rPr>
          <w:color w:val="292526"/>
        </w:rPr>
        <w:t xml:space="preserve">. </w:t>
      </w:r>
      <w:r w:rsidR="00972CEA">
        <w:rPr>
          <w:color w:val="292526"/>
        </w:rPr>
        <w:t>This role is likely to be in the learning of habits and sequences, but future work is necessary to test this hypothesis</w:t>
      </w:r>
      <w:r w:rsidR="00CB0E9E">
        <w:rPr>
          <w:color w:val="292526"/>
        </w:rPr>
        <w:t xml:space="preserve"> given the anatomical localisation in our study</w:t>
      </w:r>
      <w:r w:rsidR="00972CEA">
        <w:rPr>
          <w:color w:val="292526"/>
        </w:rPr>
        <w:t xml:space="preserve">. </w:t>
      </w:r>
      <w:r w:rsidR="00966995">
        <w:rPr>
          <w:color w:val="292526"/>
        </w:rPr>
        <w:t>Additionally</w:t>
      </w:r>
      <w:r>
        <w:rPr>
          <w:color w:val="292526"/>
        </w:rPr>
        <w:t xml:space="preserve">, myelin patterns can </w:t>
      </w:r>
      <w:r w:rsidR="00906BA4">
        <w:rPr>
          <w:color w:val="292526"/>
        </w:rPr>
        <w:t>change</w:t>
      </w:r>
      <w:r>
        <w:rPr>
          <w:color w:val="292526"/>
        </w:rPr>
        <w:t xml:space="preserve"> over development, and </w:t>
      </w:r>
      <w:r w:rsidR="00906BA4">
        <w:rPr>
          <w:color w:val="292526"/>
        </w:rPr>
        <w:t>myelination can be observed after successful training</w:t>
      </w:r>
      <w:r>
        <w:rPr>
          <w:color w:val="292526"/>
        </w:rPr>
        <w:t xml:space="preserve">. </w:t>
      </w:r>
      <w:r w:rsidR="00906BA4">
        <w:rPr>
          <w:color w:val="292526"/>
        </w:rPr>
        <w:t xml:space="preserve">In next steps, it is important to assess </w:t>
      </w:r>
      <w:r w:rsidR="00CB0E9E">
        <w:rPr>
          <w:color w:val="292526"/>
        </w:rPr>
        <w:t>whether</w:t>
      </w:r>
      <w:r>
        <w:rPr>
          <w:color w:val="292526"/>
        </w:rPr>
        <w:t xml:space="preserve"> </w:t>
      </w:r>
      <w:r w:rsidR="00966995">
        <w:rPr>
          <w:color w:val="292526"/>
        </w:rPr>
        <w:t>these differences in myelin persist over development</w:t>
      </w:r>
      <w:r w:rsidR="00CB0E9E">
        <w:rPr>
          <w:color w:val="292526"/>
        </w:rPr>
        <w:t xml:space="preserve"> in DLD</w:t>
      </w:r>
      <w:r w:rsidR="00966995">
        <w:rPr>
          <w:color w:val="292526"/>
        </w:rPr>
        <w:t xml:space="preserve">, </w:t>
      </w:r>
      <w:r w:rsidR="00906BA4">
        <w:rPr>
          <w:color w:val="292526"/>
        </w:rPr>
        <w:t>and if they can be targeted through training</w:t>
      </w:r>
      <w:r w:rsidR="001D3223">
        <w:rPr>
          <w:color w:val="292526"/>
        </w:rPr>
        <w:t xml:space="preserve"> using behavioural interventions</w:t>
      </w:r>
      <w:r w:rsidR="00966995">
        <w:rPr>
          <w:color w:val="292526"/>
        </w:rPr>
        <w:t xml:space="preserve">. </w:t>
      </w:r>
    </w:p>
    <w:p w14:paraId="5B8BC05A" w14:textId="77777777" w:rsidR="00E12B90" w:rsidRDefault="00E12B90" w:rsidP="00425EB4">
      <w:pPr>
        <w:spacing w:line="360" w:lineRule="auto"/>
        <w:jc w:val="both"/>
        <w:outlineLvl w:val="0"/>
        <w:rPr>
          <w:b/>
          <w:sz w:val="28"/>
          <w:szCs w:val="28"/>
        </w:rPr>
      </w:pPr>
    </w:p>
    <w:p w14:paraId="33770EC7" w14:textId="12297575" w:rsidR="00425EB4" w:rsidRPr="0041245B" w:rsidRDefault="00425EB4" w:rsidP="00425EB4">
      <w:pPr>
        <w:spacing w:line="360" w:lineRule="auto"/>
        <w:jc w:val="both"/>
        <w:outlineLvl w:val="0"/>
        <w:rPr>
          <w:b/>
          <w:sz w:val="28"/>
          <w:szCs w:val="28"/>
        </w:rPr>
      </w:pPr>
      <w:r w:rsidRPr="0041245B">
        <w:rPr>
          <w:b/>
          <w:sz w:val="28"/>
          <w:szCs w:val="28"/>
        </w:rPr>
        <w:t>Methods</w:t>
      </w:r>
    </w:p>
    <w:p w14:paraId="797EC87F" w14:textId="77777777" w:rsidR="00425EB4" w:rsidRPr="0041245B" w:rsidRDefault="00425EB4" w:rsidP="00425EB4">
      <w:pPr>
        <w:spacing w:line="360" w:lineRule="auto"/>
        <w:jc w:val="both"/>
        <w:outlineLvl w:val="0"/>
        <w:rPr>
          <w:b/>
          <w:sz w:val="26"/>
          <w:szCs w:val="26"/>
        </w:rPr>
      </w:pPr>
      <w:r w:rsidRPr="0041245B">
        <w:rPr>
          <w:b/>
          <w:sz w:val="26"/>
          <w:szCs w:val="26"/>
        </w:rPr>
        <w:t>Ethics</w:t>
      </w:r>
    </w:p>
    <w:p w14:paraId="0FDEB909" w14:textId="77777777" w:rsidR="00425EB4" w:rsidRDefault="00425EB4" w:rsidP="00425EB4">
      <w:pPr>
        <w:spacing w:line="360" w:lineRule="auto"/>
        <w:jc w:val="both"/>
        <w:rPr>
          <w:color w:val="292526"/>
        </w:rPr>
      </w:pPr>
      <w:r w:rsidRPr="001240D9">
        <w:rPr>
          <w:color w:val="292526"/>
        </w:rPr>
        <w:t>This study was approved by the Medical Sciences Interdivisional Research Ethics Committee at the University of Oxford (R55835/RE002). Before enrolling participants in the study, we obtained written informed consent from parents/guardians, and written assent from children.</w:t>
      </w:r>
    </w:p>
    <w:p w14:paraId="6E6D3C59" w14:textId="77777777" w:rsidR="00425EB4" w:rsidRDefault="00425EB4" w:rsidP="00425EB4">
      <w:pPr>
        <w:spacing w:line="360" w:lineRule="auto"/>
        <w:jc w:val="both"/>
        <w:rPr>
          <w:color w:val="292526"/>
        </w:rPr>
      </w:pPr>
    </w:p>
    <w:p w14:paraId="6FB1175E" w14:textId="77777777" w:rsidR="00425EB4" w:rsidRPr="0041245B" w:rsidRDefault="00425EB4" w:rsidP="00425EB4">
      <w:pPr>
        <w:spacing w:line="360" w:lineRule="auto"/>
        <w:jc w:val="both"/>
        <w:outlineLvl w:val="0"/>
        <w:rPr>
          <w:b/>
          <w:sz w:val="26"/>
          <w:szCs w:val="26"/>
        </w:rPr>
      </w:pPr>
      <w:r w:rsidRPr="0041245B">
        <w:rPr>
          <w:b/>
          <w:sz w:val="26"/>
          <w:szCs w:val="26"/>
        </w:rPr>
        <w:t>Participants</w:t>
      </w:r>
    </w:p>
    <w:p w14:paraId="77DA66DC" w14:textId="578D0003" w:rsidR="00425EB4" w:rsidRDefault="00425EB4" w:rsidP="00425EB4">
      <w:pPr>
        <w:spacing w:line="360" w:lineRule="auto"/>
        <w:jc w:val="both"/>
        <w:rPr>
          <w:color w:val="292526"/>
        </w:rPr>
      </w:pPr>
      <w:r>
        <w:rPr>
          <w:color w:val="292526"/>
        </w:rPr>
        <w:t>As part of the Oxford BOLD study, we recruited and tested 175 children between the ages of 10 and 15</w:t>
      </w:r>
      <w:r w:rsidR="00E77C7E">
        <w:rPr>
          <w:color w:val="292526"/>
        </w:rPr>
        <w:t xml:space="preserve"> years</w:t>
      </w:r>
      <w:r>
        <w:rPr>
          <w:color w:val="292526"/>
        </w:rPr>
        <w:t xml:space="preserve">. All children had to </w:t>
      </w:r>
      <w:r w:rsidRPr="00C36615">
        <w:rPr>
          <w:color w:val="292526"/>
        </w:rPr>
        <w:t>me</w:t>
      </w:r>
      <w:r>
        <w:rPr>
          <w:color w:val="292526"/>
        </w:rPr>
        <w:t>e</w:t>
      </w:r>
      <w:r w:rsidRPr="00C36615">
        <w:rPr>
          <w:color w:val="292526"/>
        </w:rPr>
        <w:t>t certain inclusion/exclusion criteria</w:t>
      </w:r>
      <w:r w:rsidR="00E77C7E">
        <w:rPr>
          <w:color w:val="292526"/>
        </w:rPr>
        <w:t>;</w:t>
      </w:r>
      <w:r w:rsidRPr="00C36615">
        <w:rPr>
          <w:color w:val="292526"/>
        </w:rPr>
        <w:t xml:space="preserve"> </w:t>
      </w:r>
      <w:r>
        <w:rPr>
          <w:color w:val="292526"/>
        </w:rPr>
        <w:t>specifically</w:t>
      </w:r>
      <w:r w:rsidRPr="00C36615">
        <w:rPr>
          <w:color w:val="292526"/>
        </w:rPr>
        <w:t>, they had</w:t>
      </w:r>
      <w:r>
        <w:rPr>
          <w:color w:val="292526"/>
        </w:rPr>
        <w:t xml:space="preserve"> to have</w:t>
      </w:r>
      <w:r w:rsidRPr="00C36615">
        <w:rPr>
          <w:color w:val="292526"/>
        </w:rPr>
        <w:t xml:space="preserve">: (i) normal hearing (defined as passing audiometric screening at 25 dB at 500 Hz, 1000 Hz, and 2000 Hz, in the better ear); (ii) a nonverbal IQ &gt; 70 (assessed using the WISC-IV Matrix Reasoning and Block Design Tests – Wechsler, 2004); and (iii) </w:t>
      </w:r>
      <w:r>
        <w:rPr>
          <w:color w:val="292526"/>
        </w:rPr>
        <w:t>have grown</w:t>
      </w:r>
      <w:r w:rsidRPr="00C36615">
        <w:rPr>
          <w:color w:val="292526"/>
        </w:rPr>
        <w:t xml:space="preserve"> up in </w:t>
      </w:r>
      <w:r w:rsidRPr="00C36615">
        <w:rPr>
          <w:color w:val="292526"/>
        </w:rPr>
        <w:lastRenderedPageBreak/>
        <w:t>the UK speaking English.  Children were excluded if they had another neurodevelopmental disorder such as autism or attention-deficit hyperactivity disorder, or history of neurological disorder</w:t>
      </w:r>
      <w:r>
        <w:rPr>
          <w:color w:val="292526"/>
        </w:rPr>
        <w:t xml:space="preserve">. </w:t>
      </w:r>
      <w:r w:rsidRPr="00C36615">
        <w:rPr>
          <w:color w:val="292526"/>
        </w:rPr>
        <w:t>Participants who met inclusionary/exclusionary criteria were categorised as having DLD if they presented with a history of language problems and scored at least 1 SD below the normative mean on two or more standardised tests of language</w:t>
      </w:r>
      <w:r>
        <w:rPr>
          <w:color w:val="292526"/>
        </w:rPr>
        <w:t xml:space="preserve"> ability</w:t>
      </w:r>
      <w:r w:rsidRPr="00C36615">
        <w:rPr>
          <w:color w:val="292526"/>
        </w:rPr>
        <w:t>.</w:t>
      </w:r>
      <w:r>
        <w:rPr>
          <w:color w:val="292526"/>
        </w:rPr>
        <w:t xml:space="preserve"> Children were categorised as HSL if they presented with a history of speech and language problems but did not meet criteria for DLD. Those who were categorised as TD had no history of speech and language problems. If these children scored 1 SD or more below the mean on more than one standardised test score of language ability, they were excluded from the TD group. Of the 175 children we recruited, a total of 162 children completed both behavioural testing and MRI scans and met our inclusionary criteria (77 typically developing children, </w:t>
      </w:r>
      <w:r w:rsidR="00AE1763">
        <w:rPr>
          <w:color w:val="292526"/>
        </w:rPr>
        <w:t xml:space="preserve">57 </w:t>
      </w:r>
      <w:r>
        <w:rPr>
          <w:color w:val="292526"/>
        </w:rPr>
        <w:t xml:space="preserve">children with DLD, and </w:t>
      </w:r>
      <w:r w:rsidR="00AE1763">
        <w:rPr>
          <w:color w:val="292526"/>
        </w:rPr>
        <w:t xml:space="preserve">28 </w:t>
      </w:r>
      <w:r>
        <w:rPr>
          <w:color w:val="292526"/>
        </w:rPr>
        <w:t xml:space="preserve">who had a history of speech and language difficulties (HSL) but did not meet our criteria for DLD at time of testing), for further details, see </w:t>
      </w:r>
      <w:r>
        <w:rPr>
          <w:color w:val="292526"/>
        </w:rPr>
        <w:fldChar w:fldCharType="begin"/>
      </w:r>
      <w:r w:rsidR="00ED5ABB">
        <w:rPr>
          <w:color w:val="292526"/>
        </w:rPr>
        <w:instrText xml:space="preserve"> ADDIN ZOTERO_ITEM CSL_CITATION {"citationID":"GfiItZc9","properties":{"formattedCitation":"(Krishnan et al., 2020)","plainCitation":"(Krishnan et al., 2020)","noteIndex":0},"citationItems":[{"id":1136,"uris":["http://zotero.org/users/5009496/items/MG9HSFUF"],"itemData":{"id":1136,"type":"article-journal","abstract":"Developmental language disorder (DLD) is characterised by difficulties in learning one's native language for no apparent reason. These language difficulties occur in 7% of children and are known to limit future academic and social achievement. Our understanding of the brain abnormalities associated with DLD is limited. Here, we used a simple four-minute verb generation task (children saw a picture of an object and were instructed to say an action that goes with that object) to test children between the ages of 10-15 years (DLD N=50, typically developing N=67). We also tested 26 children with poor language ability who did not meet our criteria for DLD. Contrary to our registered predictions, we found that children with DLD did not have (i) reduced activity in language relevant regions such as the left inferior frontal cortex; (ii) dysfunctional striatal activity during overt production; or (iii) a reduction in left-lateralised activity in frontal cortex. Indeed, performance of this simple language task evoked activity in children with DLD in the same regions and to a similar level as in typically developing children. Consistent with previous reports, we found sub-threshold group differences in the left inferior frontal gyrus and caudate nuclei, but only when analysis was limited to a subsample of the DLD group (N=14) who had the poorest performance on the task. Additionally, we used a two-factor model to capture variation in all children studied (N=143) on a range of neuropsychological tests and found that these language and verbal memory factors correlated with activity in different brain regions. Our findings indicate a lack of support for some neurological models of atypical language learning, such as the procedural deficit hypothesis or the atypical lateralization hypothesis, at least when using simple language tasks that children can perform. These results also emphasise the importance of controlling for and monitoring task performance.","container-title":"NeuroImage","DOI":"10.1016/j.neuroimage.2020.117599","ISSN":"1053-8119","journalAbbreviation":"NeuroImage","language":"en","page":"117599","source":"ScienceDirect","title":"Functional organisation for verb generation in children with developmental language disorder","URL":"http://www.sciencedirect.com/science/article/pii/S1053811920310843","author":[{"family":"Krishnan","given":"Saloni"},{"family":"Asaridou","given":"Salomi S."},{"family":"Cler","given":"Gabriel J."},{"family":"Smith","given":"Harriet J."},{"family":"Willis","given":"Hannah E."},{"family":"Healy","given":"Máiréad P."},{"family":"Thompson","given":"Paul A."},{"family":"Bishop","given":"Dorothy V. M."},{"family":"Watkins","given":"Kate E."}],"accessed":{"date-parts":[["2020",12,7]]},"issued":{"date-parts":[["2020",12,4]]}}}],"schema":"https://github.com/citation-style-language/schema/raw/master/csl-citation.json"} </w:instrText>
      </w:r>
      <w:r>
        <w:rPr>
          <w:color w:val="292526"/>
        </w:rPr>
        <w:fldChar w:fldCharType="separate"/>
      </w:r>
      <w:r>
        <w:rPr>
          <w:noProof/>
          <w:color w:val="292526"/>
        </w:rPr>
        <w:t>(Krishnan et al., 2020)</w:t>
      </w:r>
      <w:r>
        <w:rPr>
          <w:color w:val="292526"/>
        </w:rPr>
        <w:fldChar w:fldCharType="end"/>
      </w:r>
      <w:r>
        <w:rPr>
          <w:color w:val="292526"/>
        </w:rPr>
        <w:t xml:space="preserve">. From this sample, we acquired MPM data in 72 TD children, </w:t>
      </w:r>
      <w:r w:rsidR="00AE1763">
        <w:rPr>
          <w:color w:val="292526"/>
        </w:rPr>
        <w:t xml:space="preserve">51 </w:t>
      </w:r>
      <w:r>
        <w:rPr>
          <w:color w:val="292526"/>
        </w:rPr>
        <w:t xml:space="preserve">children with DLD, and in </w:t>
      </w:r>
      <w:r w:rsidR="00AE1763">
        <w:rPr>
          <w:color w:val="292526"/>
        </w:rPr>
        <w:t xml:space="preserve">25 </w:t>
      </w:r>
      <w:r>
        <w:rPr>
          <w:color w:val="292526"/>
        </w:rPr>
        <w:t>children with HSL.</w:t>
      </w:r>
    </w:p>
    <w:p w14:paraId="10A8ED8D" w14:textId="77777777" w:rsidR="00425EB4" w:rsidRPr="0041245B" w:rsidRDefault="00425EB4" w:rsidP="00425EB4">
      <w:pPr>
        <w:spacing w:line="360" w:lineRule="auto"/>
        <w:jc w:val="both"/>
        <w:outlineLvl w:val="0"/>
        <w:rPr>
          <w:b/>
          <w:sz w:val="26"/>
          <w:szCs w:val="26"/>
        </w:rPr>
      </w:pPr>
    </w:p>
    <w:p w14:paraId="3BADF5CB" w14:textId="77777777" w:rsidR="00425EB4" w:rsidRPr="0041245B" w:rsidRDefault="00425EB4" w:rsidP="00425EB4">
      <w:pPr>
        <w:spacing w:line="360" w:lineRule="auto"/>
        <w:jc w:val="both"/>
        <w:outlineLvl w:val="0"/>
        <w:rPr>
          <w:b/>
          <w:sz w:val="26"/>
          <w:szCs w:val="26"/>
        </w:rPr>
      </w:pPr>
      <w:r w:rsidRPr="0041245B">
        <w:rPr>
          <w:b/>
          <w:sz w:val="26"/>
          <w:szCs w:val="26"/>
        </w:rPr>
        <w:t>Data acquisition</w:t>
      </w:r>
    </w:p>
    <w:p w14:paraId="1BBB2FBC" w14:textId="77777777" w:rsidR="00425EB4" w:rsidRDefault="00425EB4" w:rsidP="00425EB4">
      <w:pPr>
        <w:spacing w:line="360" w:lineRule="auto"/>
        <w:jc w:val="both"/>
        <w:rPr>
          <w:color w:val="292526"/>
        </w:rPr>
      </w:pPr>
      <w:r w:rsidRPr="00A72090">
        <w:rPr>
          <w:color w:val="292526"/>
        </w:rPr>
        <w:t xml:space="preserve">MR data were collected with a 3T Siemens Prisma scanner with a 32-channel head coil. Participants wore noise-cancelling headphones (Optoacoustics OptoActive II Active Noise Cancelling Headphones). Foam padding was placed around the head for comfort and to restrict movement; the headphones were held in place with inflatable pads. </w:t>
      </w:r>
    </w:p>
    <w:p w14:paraId="7723019B" w14:textId="77777777" w:rsidR="00425EB4" w:rsidRDefault="00425EB4" w:rsidP="00425EB4">
      <w:pPr>
        <w:spacing w:line="360" w:lineRule="auto"/>
        <w:jc w:val="both"/>
        <w:rPr>
          <w:color w:val="292526"/>
        </w:rPr>
      </w:pPr>
    </w:p>
    <w:p w14:paraId="15018DFF" w14:textId="24D95107" w:rsidR="00425EB4" w:rsidRDefault="00425EB4" w:rsidP="00425EB4">
      <w:pPr>
        <w:spacing w:line="360" w:lineRule="auto"/>
        <w:jc w:val="both"/>
        <w:rPr>
          <w:color w:val="292526"/>
        </w:rPr>
      </w:pPr>
      <w:r>
        <w:rPr>
          <w:color w:val="292526"/>
        </w:rPr>
        <w:t xml:space="preserve">Whole brain images at an isotropic resolution of 1mm were obtained using an MPM quantitative imaging protocol </w:t>
      </w:r>
      <w:r>
        <w:rPr>
          <w:color w:val="292526"/>
        </w:rPr>
        <w:fldChar w:fldCharType="begin"/>
      </w:r>
      <w:r w:rsidR="00ED5ABB">
        <w:rPr>
          <w:color w:val="292526"/>
        </w:rPr>
        <w:instrText xml:space="preserve"> ADDIN ZOTERO_ITEM CSL_CITATION {"citationID":"qXYOSoMV","properties":{"formattedCitation":"(Lutti et al., 2014; Weiskopf et al., 2013)","plainCitation":"(Lutti et al., 2014; Weiskopf et al., 2013)","noteIndex":0},"citationItems":[{"id":1124,"uris":["http://zotero.org/users/5009496/items/8D97JPWX"],"itemData":{"id":1124,"type":"article-journal","abstract":"A fundamental tenet of neuroscience is that cortical functional differentiation is related to the cross-areal differences in cyto-, receptor-, and myeloarchitectonics that are observed in ex-vivo preparations. An ongoing challenge is to create noninvasive magnetic resonance (MR) imaging techniques that offer sufficient resolution, tissue contrast, accuracy and precision to allow for characterization of cortical architecture over an entire living human brain. One exciting development is the advent of fast, high-resolution quantitative mapping of basic MR parameters that reflect cortical myeloarchitecture. Here, we outline some of the theoretical and technical advances underlying this technique, particularly in terms of measuring and correcting for transmit and receive radio frequency field inhomogeneities. We also discuss new directions in analytic techniques, including higher resolution reconstructions of the cortical surface. We then discuss two recent applications of this technique. The first compares individual and group myelin maps to functional retinotopic maps in the same individuals, demonstrating a close relationship between functionally and myeloarchitectonically defined areal boundaries (as well as revealing an interesting disparity in a highly studied visual area). The second combines tonotopic and myeloarchitectonic mapping to localize primary auditory areas in individual healthy adults, using a similar strategy as combined electrophysiological and post-mortem myeloarchitectonic studies in non-human primates.","collection-title":"In-vivo Brodmann Mapping of the Human Brain","container-title":"NeuroImage","DOI":"10.1016/j.neuroimage.2013.06.005","ISSN":"1053-8119","journalAbbreviation":"NeuroImage","language":"en","page":"176-188","source":"ScienceDirect","title":"Using high-resolution quantitative mapping of R1 as an index of cortical myelination","URL":"http://www.sciencedirect.com/science/article/pii/S1053811913006423","volume":"93","author":[{"family":"Lutti","given":"Antoine"},{"family":"Dick","given":"Frederic"},{"family":"Sereno","given":"Martin I."},{"family":"Weiskopf","given":"Nikolaus"}],"accessed":{"date-parts":[["2020",11,24]]},"issued":{"date-parts":[["2014",6,1]]}}},{"id":304,"uris":["http://zotero.org/users/5009496/items/4KHBSMK2"],"itemData":{"id":304,"type":"article-journal","abstract":"Multi-center studies using magnetic resonance imaging facilitate studying small effect sizes, global population variance and rare diseases. The reliability and sensitivity of these multi-center studies crucially depend on the comparability of the data generated at different sites and time points. The level of inter-site comparability is still controversial for conventional anatomical T1-weighted MRI data. Quantitative multi-parameter mapping (MPM) was designed to provide MR parameter measures that are comparable across sites and time points, i.e., 1mm high-resolution maps of the longitudinal relaxation rate (R1=1/T1), effective proton density (PD*), magnetization transfer saturation (MT) and effective transverse relaxation rate (R2*=1/T2*). MPM was validated at 3T for use in multi-center studies by scanning five volunteers at three different sites. We determined the inter-site bias, inter-site and intra-site coefficient of variation (CoV) for typical morphometric measures (i.e., gray matter probability maps used in voxel-based morphometry) and the four quantitative parameters. The inter-site bias and CoV were smaller than 3.1% and 8%, respectively, except for the inter-site CoV of R2* (&amp;lt; 20%). The gray matter probability maps based on the MT parameter maps had a 14% higher inter-site reproducibility than maps based on conventional T1-weighted images. The low inter-site bias and variance in the parameters and derived gray matter probability maps confirm the high comparability of the quantitative maps across sites and time points. The reliability, short acquisition time, high resolution and the detailed insights into the brain microstructure provided by MPM makes it an efficient tool for multi-center imaging studies.","container-title":"Frontiers in Neuroscience","DOI":"10.3389/fnins.2013.00095","ISSN":"1662-453X","journalAbbreviation":"Front. Neurosci.","language":"English","source":"Frontiers","title":"Quantitative multi-parameter mapping of R1, PD*, MT, and R2* at 3T: a multi-center validation","title-short":"Quantitative multi-parameter mapping of R1, PD*, MT, and R2* at 3T","URL":"https://www.frontiersin.org/articles/10.3389/fnins.2013.00095/full","volume":"7","author":[{"family":"Weiskopf","given":"Nikolaus"},{"family":"Suckling","given":"John"},{"family":"Williams","given":"Guy"},{"family":"Correia","given":"Marta Morgado"},{"family":"Inkster","given":"Becky"},{"family":"Tait","given":"Roger"},{"family":"Ooi","given":"Cinly"},{"family":"Bullmore","given":"Edward T."},{"family":"Lutti","given":"Antoine"}],"accessed":{"date-parts":[["2018",12,13]]},"issued":{"date-parts":[["2013"]]}}}],"schema":"https://github.com/citation-style-language/schema/raw/master/csl-citation.json"} </w:instrText>
      </w:r>
      <w:r>
        <w:rPr>
          <w:color w:val="292526"/>
        </w:rPr>
        <w:fldChar w:fldCharType="separate"/>
      </w:r>
      <w:r>
        <w:rPr>
          <w:color w:val="292526"/>
        </w:rPr>
        <w:t>(Lutti et al., 2014; Weiskopf et al., 2013)</w:t>
      </w:r>
      <w:r>
        <w:rPr>
          <w:color w:val="292526"/>
        </w:rPr>
        <w:fldChar w:fldCharType="end"/>
      </w:r>
      <w:r>
        <w:rPr>
          <w:color w:val="292526"/>
        </w:rPr>
        <w:t>. This protocol consisted of the acquisition of three multi-echo gradient acquisitions with proton density (PD), T1, or MT weighting. Each acquisition had a TR of 25ms, field of view = 256 x 224 x 176 mm</w:t>
      </w:r>
      <w:r w:rsidRPr="008507F5">
        <w:rPr>
          <w:color w:val="292526"/>
          <w:vertAlign w:val="superscript"/>
        </w:rPr>
        <w:t>3</w:t>
      </w:r>
      <w:r>
        <w:rPr>
          <w:color w:val="292526"/>
        </w:rPr>
        <w:t>, readout bandwidth 488 Hz/pixel, and slab rotation of 30</w:t>
      </w:r>
      <w:r w:rsidRPr="00F80F95">
        <w:rPr>
          <w:color w:val="292526"/>
          <w:vertAlign w:val="superscript"/>
        </w:rPr>
        <w:t>0</w:t>
      </w:r>
      <w:r>
        <w:rPr>
          <w:color w:val="292526"/>
        </w:rPr>
        <w:t xml:space="preserve">. </w:t>
      </w:r>
      <w:r w:rsidR="0005142C">
        <w:rPr>
          <w:color w:val="292526"/>
        </w:rPr>
        <w:t>Flip angle for MT and PD weighted acquisitions was 6</w:t>
      </w:r>
      <w:r w:rsidR="0005142C" w:rsidRPr="0075367B">
        <w:rPr>
          <w:rFonts w:eastAsiaTheme="minorHAnsi"/>
          <w:color w:val="292526"/>
          <w:lang w:eastAsia="en-US"/>
        </w:rPr>
        <w:t>°</w:t>
      </w:r>
      <w:r w:rsidR="0005142C">
        <w:rPr>
          <w:rFonts w:eastAsiaTheme="minorHAnsi"/>
          <w:color w:val="292526"/>
          <w:lang w:eastAsia="en-US"/>
        </w:rPr>
        <w:t>, and 21</w:t>
      </w:r>
      <w:r w:rsidR="0005142C" w:rsidRPr="0075367B">
        <w:rPr>
          <w:rFonts w:eastAsiaTheme="minorHAnsi"/>
          <w:color w:val="292526"/>
          <w:lang w:eastAsia="en-US"/>
        </w:rPr>
        <w:t>°</w:t>
      </w:r>
      <w:r w:rsidR="0005142C">
        <w:rPr>
          <w:rFonts w:eastAsiaTheme="minorHAnsi"/>
          <w:color w:val="292526"/>
          <w:lang w:eastAsia="en-US"/>
        </w:rPr>
        <w:t xml:space="preserve"> for T1 weighted acquisitions. </w:t>
      </w:r>
      <w:r>
        <w:rPr>
          <w:color w:val="292526"/>
        </w:rPr>
        <w:t>MT weighting was achieved by using a Gaussian RF pulse 2kHz off resonance with 4ms duration and a nominal flip angle of 220</w:t>
      </w:r>
      <w:r w:rsidRPr="0075367B">
        <w:rPr>
          <w:rFonts w:eastAsiaTheme="minorHAnsi"/>
          <w:color w:val="292526"/>
          <w:lang w:eastAsia="en-US"/>
        </w:rPr>
        <w:t>°</w:t>
      </w:r>
      <w:r>
        <w:rPr>
          <w:rFonts w:eastAsiaTheme="minorHAnsi"/>
          <w:color w:val="292526"/>
          <w:lang w:eastAsia="en-US"/>
        </w:rPr>
        <w:t xml:space="preserve"> prior to excitation</w:t>
      </w:r>
      <w:r>
        <w:rPr>
          <w:color w:val="292526"/>
        </w:rPr>
        <w:t xml:space="preserve">. To speed up data acquisition, a GRAPPA acceleration factor of 2 was applied, with 40 references lines in each phase encoding direction. Eight echoes were acquired for the T1 and PD weighted contrasts, and six echoes were acquired for the MT contrast. Each sequence took approximately 5 minutes to acquire. In addition, data to calculate a </w:t>
      </w:r>
      <w:r w:rsidR="0005142C">
        <w:rPr>
          <w:color w:val="292526"/>
        </w:rPr>
        <w:t xml:space="preserve">radiofrequency (RF) </w:t>
      </w:r>
      <w:r>
        <w:rPr>
          <w:color w:val="292526"/>
        </w:rPr>
        <w:t xml:space="preserve">transmit field map was acquired at the start of the session, </w:t>
      </w:r>
      <w:r w:rsidRPr="0075367B">
        <w:rPr>
          <w:rFonts w:eastAsiaTheme="minorHAnsi"/>
          <w:color w:val="292526"/>
          <w:lang w:eastAsia="en-US"/>
        </w:rPr>
        <w:t xml:space="preserve">using a 3D </w:t>
      </w:r>
      <w:r w:rsidRPr="0075367B">
        <w:rPr>
          <w:rFonts w:eastAsiaTheme="minorHAnsi"/>
          <w:color w:val="292526"/>
          <w:lang w:eastAsia="en-US"/>
        </w:rPr>
        <w:lastRenderedPageBreak/>
        <w:t>echo-planar imaging spin-echo/stimulated echo method (Lutti et al. 2010, 2012; FOV = 256 × 192 × 192 mm</w:t>
      </w:r>
      <w:r w:rsidRPr="0010616B">
        <w:rPr>
          <w:rFonts w:eastAsiaTheme="minorHAnsi"/>
          <w:color w:val="292526"/>
          <w:vertAlign w:val="superscript"/>
          <w:lang w:eastAsia="en-US"/>
        </w:rPr>
        <w:t>3</w:t>
      </w:r>
      <w:r w:rsidRPr="0075367B">
        <w:rPr>
          <w:rFonts w:eastAsiaTheme="minorHAnsi"/>
          <w:color w:val="292526"/>
          <w:lang w:eastAsia="en-US"/>
        </w:rPr>
        <w:t>, matrix = 64 × 64 × 48 mm</w:t>
      </w:r>
      <w:r w:rsidRPr="0010616B">
        <w:rPr>
          <w:rFonts w:eastAsiaTheme="minorHAnsi"/>
          <w:color w:val="292526"/>
          <w:vertAlign w:val="superscript"/>
          <w:lang w:eastAsia="en-US"/>
        </w:rPr>
        <w:t>3</w:t>
      </w:r>
      <w:r w:rsidRPr="0075367B">
        <w:rPr>
          <w:rFonts w:eastAsiaTheme="minorHAnsi"/>
          <w:color w:val="292526"/>
          <w:lang w:eastAsia="en-US"/>
        </w:rPr>
        <w:t xml:space="preserve">, TE = 39.06, mixing time = 33.8 ms, TR = 500 ms, nominal α varying from 115° to 65° in steps of 5°, acquisition time 4 min 24 s). </w:t>
      </w:r>
      <w:r>
        <w:rPr>
          <w:color w:val="292526"/>
        </w:rPr>
        <w:t xml:space="preserve">In total, the MPM protocol took approximately 20 minutes to acquire. </w:t>
      </w:r>
    </w:p>
    <w:p w14:paraId="77B13EAF" w14:textId="53F77275" w:rsidR="00425EB4" w:rsidRPr="000A0A36" w:rsidRDefault="0005142C" w:rsidP="000A0A36">
      <w:pPr>
        <w:pStyle w:val="NormalWeb"/>
        <w:spacing w:line="360" w:lineRule="auto"/>
        <w:jc w:val="both"/>
        <w:rPr>
          <w:rFonts w:eastAsiaTheme="minorHAnsi"/>
          <w:color w:val="292526"/>
          <w:lang w:eastAsia="en-US"/>
        </w:rPr>
      </w:pPr>
      <w:r w:rsidRPr="0005142C">
        <w:rPr>
          <w:rFonts w:eastAsiaTheme="minorHAnsi"/>
          <w:color w:val="292526"/>
          <w:lang w:eastAsia="en-US"/>
        </w:rPr>
        <w:t xml:space="preserve">We did collect other imaging data as part of the Oxford BOLD study, including fMRI data </w:t>
      </w:r>
      <w:r w:rsidRPr="0005142C">
        <w:rPr>
          <w:rFonts w:eastAsiaTheme="minorHAnsi"/>
          <w:color w:val="292526"/>
          <w:lang w:eastAsia="en-US"/>
        </w:rPr>
        <w:fldChar w:fldCharType="begin"/>
      </w:r>
      <w:r w:rsidR="00ED5ABB">
        <w:rPr>
          <w:rFonts w:eastAsiaTheme="minorHAnsi"/>
          <w:color w:val="292526"/>
          <w:lang w:eastAsia="en-US"/>
        </w:rPr>
        <w:instrText xml:space="preserve"> ADDIN ZOTERO_ITEM CSL_CITATION {"citationID":"jhrzdAug","properties":{"formattedCitation":"(Krishnan et al., 2020)","plainCitation":"(Krishnan et al., 2020)","noteIndex":0},"citationItems":[{"id":1136,"uris":["http://zotero.org/users/5009496/items/MG9HSFUF"],"itemData":{"id":1136,"type":"article-journal","abstract":"Developmental language disorder (DLD) is characterised by difficulties in learning one's native language for no apparent reason. These language difficulties occur in 7% of children and are known to limit future academic and social achievement. Our understanding of the brain abnormalities associated with DLD is limited. Here, we used a simple four-minute verb generation task (children saw a picture of an object and were instructed to say an action that goes with that object) to test children between the ages of 10-15 years (DLD N=50, typically developing N=67). We also tested 26 children with poor language ability who did not meet our criteria for DLD. Contrary to our registered predictions, we found that children with DLD did not have (i) reduced activity in language relevant regions such as the left inferior frontal cortex; (ii) dysfunctional striatal activity during overt production; or (iii) a reduction in left-lateralised activity in frontal cortex. Indeed, performance of this simple language task evoked activity in children with DLD in the same regions and to a similar level as in typically developing children. Consistent with previous reports, we found sub-threshold group differences in the left inferior frontal gyrus and caudate nuclei, but only when analysis was limited to a subsample of the DLD group (N=14) who had the poorest performance on the task. Additionally, we used a two-factor model to capture variation in all children studied (N=143) on a range of neuropsychological tests and found that these language and verbal memory factors correlated with activity in different brain regions. Our findings indicate a lack of support for some neurological models of atypical language learning, such as the procedural deficit hypothesis or the atypical lateralization hypothesis, at least when using simple language tasks that children can perform. These results also emphasise the importance of controlling for and monitoring task performance.","container-title":"NeuroImage","DOI":"10.1016/j.neuroimage.2020.117599","ISSN":"1053-8119","journalAbbreviation":"NeuroImage","language":"en","page":"117599","source":"ScienceDirect","title":"Functional organisation for verb generation in children with developmental language disorder","URL":"http://www.sciencedirect.com/science/article/pii/S1053811920310843","author":[{"family":"Krishnan","given":"Saloni"},{"family":"Asaridou","given":"Salomi S."},{"family":"Cler","given":"Gabriel J."},{"family":"Smith","given":"Harriet J."},{"family":"Willis","given":"Hannah E."},{"family":"Healy","given":"Máiréad P."},{"family":"Thompson","given":"Paul A."},{"family":"Bishop","given":"Dorothy V. M."},{"family":"Watkins","given":"Kate E."}],"accessed":{"date-parts":[["2020",12,7]]},"issued":{"date-parts":[["2020",12,4]]}}}],"schema":"https://github.com/citation-style-language/schema/raw/master/csl-citation.json"} </w:instrText>
      </w:r>
      <w:r w:rsidRPr="0005142C">
        <w:rPr>
          <w:rFonts w:eastAsiaTheme="minorHAnsi"/>
          <w:color w:val="292526"/>
          <w:lang w:eastAsia="en-US"/>
        </w:rPr>
        <w:fldChar w:fldCharType="separate"/>
      </w:r>
      <w:r w:rsidRPr="0005142C">
        <w:rPr>
          <w:rFonts w:eastAsiaTheme="minorHAnsi"/>
          <w:color w:val="292526"/>
          <w:lang w:eastAsia="en-US"/>
        </w:rPr>
        <w:t>(Krishnan et al., 2020)</w:t>
      </w:r>
      <w:r w:rsidRPr="0005142C">
        <w:rPr>
          <w:rFonts w:eastAsiaTheme="minorHAnsi"/>
          <w:color w:val="292526"/>
          <w:lang w:eastAsia="en-US"/>
        </w:rPr>
        <w:fldChar w:fldCharType="end"/>
      </w:r>
      <w:r w:rsidRPr="0005142C">
        <w:rPr>
          <w:rFonts w:eastAsiaTheme="minorHAnsi"/>
          <w:color w:val="292526"/>
          <w:lang w:eastAsia="en-US"/>
        </w:rPr>
        <w:t>. Notably, we also obtained a T1-weighted MPRAGE scan (magnetization prepared low angle spoiled gradient echo, TR 1900ms, TE 3.97ms, flip angle 8</w:t>
      </w:r>
      <w:r w:rsidRPr="0075367B">
        <w:rPr>
          <w:rFonts w:eastAsiaTheme="minorHAnsi"/>
          <w:color w:val="292526"/>
          <w:lang w:eastAsia="en-US"/>
        </w:rPr>
        <w:t>°</w:t>
      </w:r>
      <w:r w:rsidRPr="0005142C">
        <w:rPr>
          <w:rFonts w:eastAsiaTheme="minorHAnsi"/>
          <w:color w:val="292526"/>
          <w:lang w:eastAsia="en-US"/>
        </w:rPr>
        <w:t>, field of view 208 × 256 × 256 mm) with 1 mm in-plane resolution and 1 mm slice thickness</w:t>
      </w:r>
      <w:r w:rsidR="000A0A36">
        <w:rPr>
          <w:rFonts w:eastAsiaTheme="minorHAnsi"/>
          <w:color w:val="292526"/>
          <w:lang w:eastAsia="en-US"/>
        </w:rPr>
        <w:t xml:space="preserve"> in this set of scans</w:t>
      </w:r>
      <w:r w:rsidRPr="0005142C">
        <w:rPr>
          <w:rFonts w:eastAsiaTheme="minorHAnsi"/>
          <w:color w:val="292526"/>
          <w:lang w:eastAsia="en-US"/>
        </w:rPr>
        <w:t xml:space="preserve">. </w:t>
      </w:r>
    </w:p>
    <w:p w14:paraId="65BEB19D" w14:textId="77777777" w:rsidR="00425EB4" w:rsidRPr="0041245B" w:rsidRDefault="00425EB4" w:rsidP="00425EB4">
      <w:pPr>
        <w:spacing w:line="360" w:lineRule="auto"/>
        <w:jc w:val="both"/>
        <w:outlineLvl w:val="0"/>
        <w:rPr>
          <w:b/>
          <w:sz w:val="26"/>
          <w:szCs w:val="26"/>
        </w:rPr>
      </w:pPr>
      <w:r w:rsidRPr="0041245B">
        <w:rPr>
          <w:b/>
          <w:sz w:val="26"/>
          <w:szCs w:val="26"/>
        </w:rPr>
        <w:t>Procedure</w:t>
      </w:r>
    </w:p>
    <w:p w14:paraId="5FB0BF8E" w14:textId="77777777" w:rsidR="00425EB4" w:rsidRDefault="00425EB4" w:rsidP="00425EB4">
      <w:pPr>
        <w:spacing w:line="360" w:lineRule="auto"/>
        <w:jc w:val="both"/>
        <w:rPr>
          <w:color w:val="292526"/>
        </w:rPr>
      </w:pPr>
      <w:r>
        <w:rPr>
          <w:color w:val="292526"/>
        </w:rPr>
        <w:t xml:space="preserve">MPM data were collected at the end of the scanning session. The session also included two task fMRI scans, a resting state scan, and a diffusion weighted scan; these data are not reported here. During the MPM scans, participants were given the option of either closing their eyes or watching an animated film; nearly all participants chose the film. </w:t>
      </w:r>
    </w:p>
    <w:p w14:paraId="1AB19D87" w14:textId="77777777" w:rsidR="00425EB4" w:rsidRDefault="00425EB4" w:rsidP="00425EB4">
      <w:pPr>
        <w:spacing w:line="360" w:lineRule="auto"/>
        <w:jc w:val="both"/>
        <w:rPr>
          <w:color w:val="292526"/>
        </w:rPr>
      </w:pPr>
    </w:p>
    <w:p w14:paraId="2AF50FF2" w14:textId="61B81B5E" w:rsidR="00425EB4" w:rsidRPr="008D1E6C" w:rsidRDefault="00425EB4" w:rsidP="00425EB4">
      <w:pPr>
        <w:spacing w:line="360" w:lineRule="auto"/>
        <w:jc w:val="both"/>
        <w:rPr>
          <w:color w:val="292526"/>
        </w:rPr>
      </w:pPr>
      <w:r>
        <w:rPr>
          <w:color w:val="292526"/>
        </w:rPr>
        <w:t xml:space="preserve">Participants also completed a comprehensive neuropsychological battery outside of the scanner, focusing on their linguistic and cognitive abilities </w:t>
      </w:r>
      <w:r>
        <w:rPr>
          <w:color w:val="292526"/>
        </w:rPr>
        <w:fldChar w:fldCharType="begin"/>
      </w:r>
      <w:r w:rsidR="00ED5ABB">
        <w:rPr>
          <w:color w:val="292526"/>
        </w:rPr>
        <w:instrText xml:space="preserve"> ADDIN ZOTERO_ITEM CSL_CITATION {"citationID":"fD1qdh5V","properties":{"formattedCitation":"(see Krishnan et al., 2020 for further details)","plainCitation":"(see Krishnan et al., 2020 for further details)","noteIndex":0},"citationItems":[{"id":1136,"uris":["http://zotero.org/users/5009496/items/MG9HSFUF"],"itemData":{"id":1136,"type":"article-journal","abstract":"Developmental language disorder (DLD) is characterised by difficulties in learning one's native language for no apparent reason. These language difficulties occur in 7% of children and are known to limit future academic and social achievement. Our understanding of the brain abnormalities associated with DLD is limited. Here, we used a simple four-minute verb generation task (children saw a picture of an object and were instructed to say an action that goes with that object) to test children between the ages of 10-15 years (DLD N=50, typically developing N=67). We also tested 26 children with poor language ability who did not meet our criteria for DLD. Contrary to our registered predictions, we found that children with DLD did not have (i) reduced activity in language relevant regions such as the left inferior frontal cortex; (ii) dysfunctional striatal activity during overt production; or (iii) a reduction in left-lateralised activity in frontal cortex. Indeed, performance of this simple language task evoked activity in children with DLD in the same regions and to a similar level as in typically developing children. Consistent with previous reports, we found sub-threshold group differences in the left inferior frontal gyrus and caudate nuclei, but only when analysis was limited to a subsample of the DLD group (N=14) who had the poorest performance on the task. Additionally, we used a two-factor model to capture variation in all children studied (N=143) on a range of neuropsychological tests and found that these language and verbal memory factors correlated with activity in different brain regions. Our findings indicate a lack of support for some neurological models of atypical language learning, such as the procedural deficit hypothesis or the atypical lateralization hypothesis, at least when using simple language tasks that children can perform. These results also emphasise the importance of controlling for and monitoring task performance.","container-title":"NeuroImage","DOI":"10.1016/j.neuroimage.2020.117599","ISSN":"1053-8119","journalAbbreviation":"NeuroImage","language":"en","page":"117599","source":"ScienceDirect","title":"Functional organisation for verb generation in children with developmental language disorder","URL":"http://www.sciencedirect.com/science/article/pii/S1053811920310843","author":[{"family":"Krishnan","given":"Saloni"},{"family":"Asaridou","given":"Salomi S."},{"family":"Cler","given":"Gabriel J."},{"family":"Smith","given":"Harriet J."},{"family":"Willis","given":"Hannah E."},{"family":"Healy","given":"Máiréad P."},{"family":"Thompson","given":"Paul A."},{"family":"Bishop","given":"Dorothy V. M."},{"family":"Watkins","given":"Kate E."}],"accessed":{"date-parts":[["2020",12,7]]},"issued":{"date-parts":[["2020",12,4]]}},"prefix":"see","suffix":"for further details"}],"schema":"https://github.com/citation-style-language/schema/raw/master/csl-citation.json"} </w:instrText>
      </w:r>
      <w:r>
        <w:rPr>
          <w:color w:val="292526"/>
        </w:rPr>
        <w:fldChar w:fldCharType="separate"/>
      </w:r>
      <w:r>
        <w:rPr>
          <w:noProof/>
          <w:color w:val="292526"/>
        </w:rPr>
        <w:t>(see Krishnan et al., 2020 for further details)</w:t>
      </w:r>
      <w:r>
        <w:rPr>
          <w:color w:val="292526"/>
        </w:rPr>
        <w:fldChar w:fldCharType="end"/>
      </w:r>
      <w:r w:rsidRPr="008D1E6C">
        <w:rPr>
          <w:color w:val="292526"/>
        </w:rPr>
        <w:t xml:space="preserve">.  </w:t>
      </w:r>
      <w:r>
        <w:rPr>
          <w:color w:val="292526"/>
        </w:rPr>
        <w:t xml:space="preserve">In brief, </w:t>
      </w:r>
      <w:r>
        <w:t>language</w:t>
      </w:r>
      <w:r w:rsidRPr="00FD5240">
        <w:t xml:space="preserve"> ability </w:t>
      </w:r>
      <w:r>
        <w:t>was</w:t>
      </w:r>
      <w:r w:rsidRPr="00FD5240">
        <w:t xml:space="preserve"> assessed using</w:t>
      </w:r>
      <w:r>
        <w:t xml:space="preserve"> five</w:t>
      </w:r>
      <w:r w:rsidRPr="00FD5240">
        <w:t xml:space="preserve"> tests</w:t>
      </w:r>
      <w:r>
        <w:t>, assessing</w:t>
      </w:r>
      <w:r w:rsidRPr="00FD5240">
        <w:t xml:space="preserve"> </w:t>
      </w:r>
      <w:r>
        <w:t>aspects of expressive and receptive</w:t>
      </w:r>
      <w:r w:rsidRPr="00FD5240">
        <w:t xml:space="preserve"> grammar, narrative</w:t>
      </w:r>
      <w:r>
        <w:t>,</w:t>
      </w:r>
      <w:r w:rsidRPr="00FD5240">
        <w:t xml:space="preserve"> and vocabulary</w:t>
      </w:r>
      <w:r>
        <w:t xml:space="preserve">. </w:t>
      </w:r>
      <w:r w:rsidRPr="008D1E6C">
        <w:rPr>
          <w:color w:val="292526"/>
        </w:rPr>
        <w:t xml:space="preserve"> </w:t>
      </w:r>
      <w:r>
        <w:rPr>
          <w:color w:val="292526"/>
        </w:rPr>
        <w:t xml:space="preserve">Specifically, </w:t>
      </w:r>
      <w:r>
        <w:t>g</w:t>
      </w:r>
      <w:r w:rsidRPr="00FD5240">
        <w:t xml:space="preserve">rammatical comprehension </w:t>
      </w:r>
      <w:r>
        <w:t>was</w:t>
      </w:r>
      <w:r w:rsidRPr="00FD5240">
        <w:t xml:space="preserve"> assessed using the Test for Reception of Grammar</w:t>
      </w:r>
      <w:r>
        <w:t xml:space="preserve"> </w:t>
      </w:r>
      <w:r w:rsidRPr="00FD5240">
        <w:t xml:space="preserve">– </w:t>
      </w:r>
      <w:r>
        <w:t>2 or its electronic counterpart</w:t>
      </w:r>
      <w:r w:rsidRPr="00FD5240">
        <w:t xml:space="preserve"> </w:t>
      </w:r>
      <w:r w:rsidRPr="00FD5240">
        <w:fldChar w:fldCharType="begin"/>
      </w:r>
      <w:r w:rsidR="00ED5ABB">
        <w:instrText xml:space="preserve"> ADDIN ZOTERO_ITEM CSL_CITATION {"citationID":"eVj9oy58","properties":{"formattedCitation":"(Bishop, 2005)","plainCitation":"(Bishop, 2005)","dontUpdate":true,"noteIndex":0},"citationItems":[{"id":95,"uris":["http://zotero.org/users/5009496/items/Q7G3A7AD"],"itemData":{"id":95,"type":"book","edition":"2","event-place":"London, UK","publisher":"The Psychological Corporation.","publisher-place":"London, UK","title":"Test for Reception of Grammar, Version 2—Electronic (TROG–E).","author":[{"family":"Bishop","given":"Dorothy V. M."}],"issued":{"date-parts":[["2005"]]}}}],"schema":"https://github.com/citation-style-language/schema/raw/master/csl-citation.json"} </w:instrText>
      </w:r>
      <w:r w:rsidRPr="00FD5240">
        <w:fldChar w:fldCharType="separate"/>
      </w:r>
      <w:r w:rsidRPr="00FD5240">
        <w:rPr>
          <w:noProof/>
        </w:rPr>
        <w:t>(TROG-E, Bishop, 2005)</w:t>
      </w:r>
      <w:r w:rsidRPr="00FD5240">
        <w:fldChar w:fldCharType="end"/>
      </w:r>
      <w:r>
        <w:t xml:space="preserve">. </w:t>
      </w:r>
      <w:r w:rsidRPr="00FD5240">
        <w:t xml:space="preserve">Expressive grammar </w:t>
      </w:r>
      <w:r>
        <w:t>was</w:t>
      </w:r>
      <w:r w:rsidRPr="00FD5240">
        <w:t xml:space="preserve"> evaluated using the </w:t>
      </w:r>
      <w:r>
        <w:t xml:space="preserve">Recalling Sentences subtest of the </w:t>
      </w:r>
      <w:r w:rsidRPr="00FD5240">
        <w:t>Clinical Evaluation of Language Fundamentals – 4</w:t>
      </w:r>
      <w:r w:rsidRPr="00FD5240">
        <w:rPr>
          <w:vertAlign w:val="superscript"/>
        </w:rPr>
        <w:t>th</w:t>
      </w:r>
      <w:r w:rsidRPr="00FD5240">
        <w:t xml:space="preserve"> Edition </w:t>
      </w:r>
      <w:r w:rsidRPr="00FD5240">
        <w:fldChar w:fldCharType="begin"/>
      </w:r>
      <w:r w:rsidR="00ED5ABB">
        <w:instrText xml:space="preserve"> ADDIN ZOTERO_ITEM CSL_CITATION {"citationID":"q2C6O4Fv","properties":{"formattedCitation":"(Semel et al., 2004)","plainCitation":"(Semel et al., 2004)","dontUpdate":true,"noteIndex":0},"citationItems":[{"id":93,"uris":["http://zotero.org/users/5009496/items/L69BT2Q3"],"itemData":{"id":93,"type":"book","edition":"4","publisher":"PsychCorp.","title":"Clinical Evaluation of Language Fundamentals.","author":[{"family":"Semel","given":"E.M."},{"family":"Wiig","given":"E.H."},{"family":"Secord","given":"W."}],"issued":{"date-parts":[["2004"]]}}}],"schema":"https://github.com/citation-style-language/schema/raw/master/csl-citation.json"} </w:instrText>
      </w:r>
      <w:r w:rsidRPr="00FD5240">
        <w:fldChar w:fldCharType="separate"/>
      </w:r>
      <w:r w:rsidRPr="00FD5240">
        <w:rPr>
          <w:noProof/>
        </w:rPr>
        <w:t>(</w:t>
      </w:r>
      <w:r w:rsidRPr="00FD5240">
        <w:t xml:space="preserve">CELF-4; </w:t>
      </w:r>
      <w:r w:rsidRPr="00FD5240">
        <w:rPr>
          <w:noProof/>
        </w:rPr>
        <w:t>Semel et al., 2004)</w:t>
      </w:r>
      <w:r w:rsidRPr="00FD5240">
        <w:fldChar w:fldCharType="end"/>
      </w:r>
      <w:r>
        <w:t>. Children’s</w:t>
      </w:r>
      <w:r w:rsidRPr="00FD5240">
        <w:t xml:space="preserve"> narrative production and comprehension </w:t>
      </w:r>
      <w:r>
        <w:t>was</w:t>
      </w:r>
      <w:r w:rsidRPr="00FD5240">
        <w:t xml:space="preserve"> assessed using the Expression, Reception and Recall of Narrative Instrument </w:t>
      </w:r>
      <w:r w:rsidRPr="00FD5240">
        <w:fldChar w:fldCharType="begin"/>
      </w:r>
      <w:r w:rsidR="00ED5ABB">
        <w:instrText xml:space="preserve"> ADDIN ZOTERO_ITEM CSL_CITATION {"citationID":"2SXZWBv0","properties":{"formattedCitation":"(Bishop, 2004)","plainCitation":"(Bishop, 2004)","dontUpdate":true,"noteIndex":0},"citationItems":[{"id":35,"uris":["http://zotero.org/users/5009496/items/VI7KEUGI"],"itemData":{"id":35,"type":"book","publisher":"Harcourt assessment.","title":"Expression, Reception and Recall of Narrative Instrument: ERRNI.","author":[{"family":"Bishop","given":"D. V. M."}],"issued":{"date-parts":[["2004"]]}}}],"schema":"https://github.com/citation-style-language/schema/raw/master/csl-citation.json"} </w:instrText>
      </w:r>
      <w:r w:rsidRPr="00FD5240">
        <w:fldChar w:fldCharType="separate"/>
      </w:r>
      <w:r w:rsidRPr="00FD5240">
        <w:rPr>
          <w:noProof/>
        </w:rPr>
        <w:t>(ERNNI; Bishop, 2004)</w:t>
      </w:r>
      <w:r w:rsidRPr="00FD5240">
        <w:fldChar w:fldCharType="end"/>
      </w:r>
      <w:r w:rsidRPr="00FD5240">
        <w:t xml:space="preserve">. Receptive and expressive vocabulary </w:t>
      </w:r>
      <w:r>
        <w:t>were</w:t>
      </w:r>
      <w:r w:rsidRPr="00FD5240">
        <w:t xml:space="preserve"> assessed using the Receptive One-Word Picture Vocabulary Test – 4th Edition </w:t>
      </w:r>
      <w:r w:rsidRPr="00FD5240">
        <w:fldChar w:fldCharType="begin"/>
      </w:r>
      <w:r w:rsidR="00ED5ABB">
        <w:instrText xml:space="preserve"> ADDIN ZOTERO_ITEM CSL_CITATION {"citationID":"hIKlV0Jz","properties":{"formattedCitation":"(Martin and Brownell, 2011a)","plainCitation":"(Martin and Brownell, 2011a)","dontUpdate":true,"noteIndex":0},"citationItems":[{"id":92,"uris":["http://zotero.org/users/5009496/items/S4848AAR"],"itemData":{"id":92,"type":"book","edition":"4","publisher":"Academic Therapy Publications.","title":"Receptive One-Word Picture Vocabulary Test-4 (ROWPVT-4).","author":[{"family":"Martin","given":"N.A."},{"family":"Brownell","given":"R."}],"issued":{"literal":"2011b"}}}],"schema":"https://github.com/citation-style-language/schema/raw/master/csl-citation.json"} </w:instrText>
      </w:r>
      <w:r w:rsidRPr="00FD5240">
        <w:fldChar w:fldCharType="separate"/>
      </w:r>
      <w:r w:rsidRPr="00FD5240">
        <w:rPr>
          <w:noProof/>
        </w:rPr>
        <w:t>(</w:t>
      </w:r>
      <w:r w:rsidRPr="00FD5240">
        <w:t xml:space="preserve"> ROWPVT-4; </w:t>
      </w:r>
      <w:r w:rsidRPr="00FD5240">
        <w:rPr>
          <w:noProof/>
        </w:rPr>
        <w:t>Martin and Brownell, 2011</w:t>
      </w:r>
      <w:r w:rsidR="00D7171D">
        <w:rPr>
          <w:noProof/>
        </w:rPr>
        <w:t>b</w:t>
      </w:r>
      <w:r w:rsidRPr="00FD5240">
        <w:rPr>
          <w:noProof/>
        </w:rPr>
        <w:t>)</w:t>
      </w:r>
      <w:r w:rsidRPr="00FD5240">
        <w:fldChar w:fldCharType="end"/>
      </w:r>
      <w:r w:rsidRPr="00FD5240">
        <w:t xml:space="preserve"> and Expressive One-Word Picture Vocabulary Test – 4th Edition (EOWPVT-4;</w:t>
      </w:r>
      <w:r w:rsidRPr="00FD5240">
        <w:fldChar w:fldCharType="begin"/>
      </w:r>
      <w:r w:rsidR="00ED5ABB">
        <w:instrText xml:space="preserve"> ADDIN ZOTERO_ITEM CSL_CITATION {"citationID":"cndvT7P7","properties":{"formattedCitation":"(Martin and Brownell, 2011)","plainCitation":"(Martin and Brownell, 2011)","dontUpdate":true,"noteIndex":0},"citationItems":[{"id":36,"uris":["http://zotero.org/users/5009496/items/B88VPHDN"],"itemData":{"id":36,"type":"book","edition":"4","publisher":"Academic Therapy Publications.","title":"Expressive One-Word Picture Vocabulary Test-4 (EOWPVT-4).","author":[{"family":"Martin","given":"N.A."},{"family":"Brownell","given":"R."}],"issued":{"literal":"2011a"}}}],"schema":"https://github.com/citation-style-language/schema/raw/master/csl-citation.json"} </w:instrText>
      </w:r>
      <w:r w:rsidRPr="00FD5240">
        <w:fldChar w:fldCharType="separate"/>
      </w:r>
      <w:r w:rsidRPr="00FD5240">
        <w:rPr>
          <w:noProof/>
        </w:rPr>
        <w:t xml:space="preserve"> Martin and Brownell, 2011</w:t>
      </w:r>
      <w:r w:rsidR="00D7171D">
        <w:rPr>
          <w:noProof/>
        </w:rPr>
        <w:t>a</w:t>
      </w:r>
      <w:r w:rsidRPr="00FD5240">
        <w:rPr>
          <w:noProof/>
        </w:rPr>
        <w:t>)</w:t>
      </w:r>
      <w:r w:rsidRPr="00FD5240">
        <w:fldChar w:fldCharType="end"/>
      </w:r>
      <w:r w:rsidRPr="00FD5240">
        <w:t xml:space="preserve"> respectively. </w:t>
      </w:r>
      <w:r>
        <w:t xml:space="preserve">In addition to the language measures, children also completed the </w:t>
      </w:r>
      <w:r w:rsidRPr="00FD5240">
        <w:t xml:space="preserve">phonological decoding and sight word reading efficiency </w:t>
      </w:r>
      <w:r>
        <w:t xml:space="preserve">subtests of </w:t>
      </w:r>
      <w:r w:rsidRPr="00FD5240">
        <w:t xml:space="preserve">the Test Of Word Reading Efficiency </w:t>
      </w:r>
      <w:r w:rsidRPr="00FD5240">
        <w:fldChar w:fldCharType="begin"/>
      </w:r>
      <w:r w:rsidR="00ED5ABB">
        <w:instrText xml:space="preserve"> ADDIN ZOTERO_ITEM CSL_CITATION {"citationID":"6Ls93mkC","properties":{"formattedCitation":"(Torgesen et al., 1999)","plainCitation":"(Torgesen et al., 1999)","dontUpdate":true,"noteIndex":0},"citationItems":[{"id":94,"uris":["http://zotero.org/users/5009496/items/ILXGG9N8"],"itemData":{"id":94,"type":"book","event-place":"Austin, Texas","publisher":"Pro-ed.","publisher-place":"Austin, Texas","title":"TOWRE: Test of word reading efficiency.","author":[{"family":"Torgesen","given":"J.K."},{"family":"Rashotte","given":"C.E."},{"family":"Wagner","given":"R.K."}],"issued":{"date-parts":[["1999"]]}}}],"schema":"https://github.com/citation-style-language/schema/raw/master/csl-citation.json"} </w:instrText>
      </w:r>
      <w:r w:rsidRPr="00FD5240">
        <w:fldChar w:fldCharType="separate"/>
      </w:r>
      <w:r w:rsidRPr="00FD5240">
        <w:rPr>
          <w:noProof/>
        </w:rPr>
        <w:t>(TOWRE; Torgesen et al., 1999)</w:t>
      </w:r>
      <w:r w:rsidRPr="00FD5240">
        <w:fldChar w:fldCharType="end"/>
      </w:r>
      <w:r>
        <w:t xml:space="preserve">; </w:t>
      </w:r>
      <w:r w:rsidRPr="006170C2">
        <w:t>the block design, matrix reasoning, and coding subtests of the Wechsler Intelligence Scale for Children - 4</w:t>
      </w:r>
      <w:r w:rsidRPr="006170C2">
        <w:rPr>
          <w:vertAlign w:val="superscript"/>
        </w:rPr>
        <w:t xml:space="preserve">th </w:t>
      </w:r>
      <w:r w:rsidRPr="006170C2">
        <w:t xml:space="preserve">Edition </w:t>
      </w:r>
      <w:r w:rsidRPr="00FD5240">
        <w:fldChar w:fldCharType="begin"/>
      </w:r>
      <w:r w:rsidR="00ED5ABB">
        <w:instrText xml:space="preserve"> ADDIN ZOTERO_ITEM CSL_CITATION {"citationID":"V1R8POdd","properties":{"formattedCitation":"(Wechsler, 2004)","plainCitation":"(Wechsler, 2004)","dontUpdate":true,"noteIndex":0},"citationItems":[{"id":103,"uris":["http://zotero.org/users/5009496/items/72AMQ3RM"],"itemData":{"id":103,"type":"book","event-place":"Chicago","publisher":"Psychological Corporation.","publisher-place":"Chicago","title":"WISC-IV: Wechsler Intelligence Scale for Children: Technical and Interpretive Manual.","author":[{"family":"Wechsler","given":"D."}],"issued":{"date-parts":[["2004"]]}}}],"schema":"https://github.com/citation-style-language/schema/raw/master/csl-citation.json"} </w:instrText>
      </w:r>
      <w:r w:rsidRPr="00FD5240">
        <w:fldChar w:fldCharType="separate"/>
      </w:r>
      <w:r w:rsidRPr="00FD5240">
        <w:rPr>
          <w:noProof/>
        </w:rPr>
        <w:t>(</w:t>
      </w:r>
      <w:r w:rsidRPr="00FD5240">
        <w:t xml:space="preserve">WISC-IV; </w:t>
      </w:r>
      <w:r w:rsidRPr="00FD5240">
        <w:rPr>
          <w:noProof/>
        </w:rPr>
        <w:t>Wechsler, 2004)</w:t>
      </w:r>
      <w:r w:rsidRPr="00FD5240">
        <w:fldChar w:fldCharType="end"/>
      </w:r>
      <w:r>
        <w:t xml:space="preserve">, </w:t>
      </w:r>
      <w:r w:rsidRPr="006170C2">
        <w:t>the forward and backward digit span subtests</w:t>
      </w:r>
      <w:r>
        <w:t>, as well as the word lists subtest,</w:t>
      </w:r>
      <w:r w:rsidRPr="006170C2">
        <w:t xml:space="preserve"> from the Children’s Memory </w:t>
      </w:r>
      <w:r w:rsidRPr="006170C2">
        <w:lastRenderedPageBreak/>
        <w:t xml:space="preserve">Scale </w:t>
      </w:r>
      <w:r w:rsidRPr="00FD5240">
        <w:fldChar w:fldCharType="begin"/>
      </w:r>
      <w:r w:rsidR="00ED5ABB">
        <w:instrText xml:space="preserve"> ADDIN ZOTERO_ITEM CSL_CITATION {"citationID":"GF0Qx6zm","properties":{"formattedCitation":"(Cohen, 1997)","plainCitation":"(Cohen, 1997)","dontUpdate":true,"noteIndex":0},"citationItems":[{"id":91,"uris":["http://zotero.org/users/5009496/items/UUHHICBE"],"itemData":{"id":91,"type":"book","event-place":"San Antonio, Texas","publisher":"Psychological Corporation","publisher-place":"San Antonio, Texas","title":"Children's memory scale.","author":[{"family":"Cohen","given":"M."}],"issued":{"date-parts":[["1997"]]}}}],"schema":"https://github.com/citation-style-language/schema/raw/master/csl-citation.json"} </w:instrText>
      </w:r>
      <w:r w:rsidRPr="00FD5240">
        <w:fldChar w:fldCharType="separate"/>
      </w:r>
      <w:r w:rsidRPr="00FD5240">
        <w:rPr>
          <w:noProof/>
        </w:rPr>
        <w:t>(CMS; Cohen, 1997)</w:t>
      </w:r>
      <w:r w:rsidRPr="00FD5240">
        <w:fldChar w:fldCharType="end"/>
      </w:r>
      <w:r>
        <w:t xml:space="preserve">, a nonword repetition test </w:t>
      </w:r>
      <w:r>
        <w:fldChar w:fldCharType="begin"/>
      </w:r>
      <w:r w:rsidR="00ED5ABB">
        <w:instrText xml:space="preserve"> ADDIN ZOTERO_ITEM CSL_CITATION {"citationID":"tsYRrlmM","properties":{"formattedCitation":"(Norbury et al., 2016)","plainCitation":"(Norbury et al., 2016)","noteIndex":0},"citationItems":[{"id":38,"uris":["http://zotero.org/users/5009496/items/KM6CDMYD"],"itemData":{"id":38,"type":"article-journal","abstract":"Background Diagnosis of ‘specific’ language impairment traditionally required nonverbal IQ to be within normal limits, often resulting in restricted access to clinical services for children with lower NVIQ. Changes to DSM-5 criteria for language disorder removed this NVIQ requirement. This study sought to delineate the impact of varying NVIQ criteria on prevalence, clinical presentation and functional impact of language disorder in the first UK population study of language impairment at school entry. Methods A population-based survey design with sample weighting procedures was used to estimate population prevalence. We surveyed state-maintained reception classrooms (n = 161 or 61% of eligible schools) in Surrey, England. From a total population of 12,398 children (ages 4–5 years), 7,267 (59%) were screened. A stratified subsample (n = 529) received comprehensive assessment of language, NVIQ, social, emotional and behavioural problems, and academic attainment. Results The total population prevalence estimate of language disorder was 9.92% (95% CI 7.38, 13.20). The prevalence of language disorder of unknown origin was estimated to be 7.58% (95% CI 5.33, 10.66), while the prevalence of language impairment associated with intellectual disability and/or existing medical diagnosis was 2.34% (95% CI 1.40, 3.91). Children with language disorder displayed elevated symptoms of social, emotional and behavioural problems relative to peers, F(1, 466) = 7.88, p = .05, and 88% did not make expected academic progress. There were no differences between those with average and low-average NVIQ scores in severity of language deficit, social, emotional and behavioural problems, or educational attainment. In contrast, children with language impairments associated with known medical diagnosis and/or intellectual disability displayed more severe deficits on multiple measures. Conclusions At school entry, approximately two children in every class of 30 pupils will experience language disorder severe enough to hinder academic progress. Access to specialist clinical services should not depend on NVIQ.","container-title":"Journal of Child Psychology and Psychiatry","DOI":"10.1111/jcpp.12573","ISSN":"1469-7610","issue":"11","language":"en","page":"1247-1257","source":"Wiley Online Library","title":"The impact of nonverbal ability on prevalence and clinical presentation of language disorder: evidence from a population study","title-short":"The impact of nonverbal ability on prevalence and clinical presentation of language disorder","URL":"https://onlinelibrary.wiley.com/doi/abs/10.1111/jcpp.12573","volume":"57","author":[{"family":"Norbury","given":"Courtenay Frazier"},{"family":"Gooch","given":"Debbie"},{"family":"Wray","given":"Charlotte"},{"family":"Baird","given":"Gillian"},{"family":"Charman","given":"Tony"},{"family":"Simonoff","given":"Emily"},{"family":"Vamvakas","given":"George"},{"family":"Pickles","given":"Andrew"}],"accessed":{"date-parts":[["2018",6,29]]},"issued":{"date-parts":[["2016"]]}}}],"schema":"https://github.com/citation-style-language/schema/raw/master/csl-citation.json"} </w:instrText>
      </w:r>
      <w:r>
        <w:fldChar w:fldCharType="separate"/>
      </w:r>
      <w:r>
        <w:rPr>
          <w:noProof/>
        </w:rPr>
        <w:t>(Norbury et al., 2016)</w:t>
      </w:r>
      <w:r>
        <w:fldChar w:fldCharType="end"/>
      </w:r>
      <w:r>
        <w:t xml:space="preserve">, and </w:t>
      </w:r>
      <w:r w:rsidRPr="006170C2">
        <w:t xml:space="preserve">the oromotor sequences sub-test of the NEuroPSYchology (NEPSY) test battery </w:t>
      </w:r>
      <w:r w:rsidRPr="00FD5240">
        <w:fldChar w:fldCharType="begin"/>
      </w:r>
      <w:r w:rsidR="00ED5ABB">
        <w:instrText xml:space="preserve"> ADDIN ZOTERO_ITEM CSL_CITATION {"citationID":"7sClmHpU","properties":{"formattedCitation":"(Korkman et al., 1998)","plainCitation":"(Korkman et al., 1998)","noteIndex":0},"citationItems":[{"id":90,"uris":["http://zotero.org/users/5009496/items/DZLFMGFY"],"itemData":{"id":90,"type":"book","event-place":"San Antonio, Texas","publisher":"Psychological Corporation","publisher-place":"San Antonio, Texas","title":"NEPSY: Neuropsychological assessment of Children","author":[{"family":"Korkman","given":"M."},{"family":"Kirk","given":"U."},{"family":"Kemp","given":"S.L."}],"issued":{"date-parts":[["1998"]]}}}],"schema":"https://github.com/citation-style-language/schema/raw/master/csl-citation.json"} </w:instrText>
      </w:r>
      <w:r w:rsidRPr="00FD5240">
        <w:fldChar w:fldCharType="separate"/>
      </w:r>
      <w:r>
        <w:rPr>
          <w:noProof/>
        </w:rPr>
        <w:t>(Korkman et al., 1998)</w:t>
      </w:r>
      <w:r w:rsidRPr="00FD5240">
        <w:fldChar w:fldCharType="end"/>
      </w:r>
      <w:r>
        <w:t xml:space="preserve">. </w:t>
      </w:r>
    </w:p>
    <w:p w14:paraId="167190D5" w14:textId="77777777" w:rsidR="00425EB4" w:rsidRDefault="00425EB4" w:rsidP="00425EB4">
      <w:pPr>
        <w:spacing w:line="360" w:lineRule="auto"/>
        <w:jc w:val="both"/>
        <w:rPr>
          <w:color w:val="292526"/>
        </w:rPr>
      </w:pPr>
    </w:p>
    <w:p w14:paraId="1DCDEDA9" w14:textId="77777777" w:rsidR="00425EB4" w:rsidRDefault="00425EB4" w:rsidP="00425EB4">
      <w:pPr>
        <w:spacing w:line="360" w:lineRule="auto"/>
        <w:jc w:val="both"/>
        <w:outlineLvl w:val="0"/>
        <w:rPr>
          <w:b/>
          <w:sz w:val="26"/>
          <w:szCs w:val="26"/>
        </w:rPr>
      </w:pPr>
      <w:r w:rsidRPr="0041245B">
        <w:rPr>
          <w:b/>
          <w:sz w:val="26"/>
          <w:szCs w:val="26"/>
        </w:rPr>
        <w:t>Data pre-processing</w:t>
      </w:r>
    </w:p>
    <w:p w14:paraId="00231B4E" w14:textId="2266366E" w:rsidR="00425EB4" w:rsidRPr="00DC3CE1" w:rsidRDefault="00425EB4" w:rsidP="00425EB4">
      <w:pPr>
        <w:spacing w:line="360" w:lineRule="auto"/>
        <w:jc w:val="both"/>
        <w:rPr>
          <w:color w:val="292526"/>
        </w:rPr>
      </w:pPr>
      <w:r w:rsidRPr="0075367B">
        <w:rPr>
          <w:bCs/>
        </w:rPr>
        <w:t>Data were processed using the hMRI toolbox within SPM12</w:t>
      </w:r>
      <w:r>
        <w:rPr>
          <w:bCs/>
        </w:rPr>
        <w:t xml:space="preserve"> </w:t>
      </w:r>
      <w:r>
        <w:rPr>
          <w:bCs/>
        </w:rPr>
        <w:fldChar w:fldCharType="begin"/>
      </w:r>
      <w:r w:rsidR="00ED5ABB">
        <w:rPr>
          <w:bCs/>
        </w:rPr>
        <w:instrText xml:space="preserve"> ADDIN ZOTERO_ITEM CSL_CITATION {"citationID":"gJswZnUS","properties":{"formattedCitation":"(Balteau et al., 2018; Tabelow et al., 2019)","plainCitation":"(Balteau et al., 2018; Tabelow et al., 2019)","noteIndex":0},"citationItems":[{"id":300,"uris":["http://zotero.org/users/5009496/items/LLNEFIJD"],"itemData":{"id":300,"type":"article-journal","abstract":"Neuroscience and clinical researchers are increasingly interested in quantitative magnetic resonance imaging (qMRI) due to its sensitivity to micro-structural properties of brain tissue such as axon, myelin, iron and water concentration. We introduce the hMRI-toolbox, an easy-to-use tool openly available on GitHub, for qMRI data handling and processing, presented together with a tutorial and example dataset. This toolbox allows the estimation of high-quality multi-parameter qMRI maps (longitudinal and effective transverse relaxation rates R1 and R2, proton density PD and magnetisation transfer MT saturation) that can be used for accurate delineation of subcortical brain structures and calculation of standard and novel MRI biomarkers of tissue microstructure. Embedded in the Statistical Parametric Mapping (SPM) framework, it can be readily combined with existing SPM toolboxes for estimating diffusion MRI parameter maps, and it beneﬁts from the extensive range of established SPM tools for high-accuracy spatial registration and statistical inferences. The hMRI-toolbox is an efﬁcient, robust and simple framework for investigating qMRI data in neuroscience and clinical research.","language":"en","page":"37","source":"Zotero","title":"hMRI – A toolbox for using quantitative MRI in neuroscience and clinical research","author":[{"family":"Balteau","given":"Evelyne"},{"family":"Tabelow","given":"Karsten"},{"family":"Ashburner","given":"John"},{"family":"Callaghan","given":"Martina F"},{"family":"Draganski","given":"Bogdan"},{"family":"Helms","given":"Gunther"},{"family":"Kherif","given":"Ferath"},{"family":"Leutritz","given":"Tobias"},{"family":"Lutti","given":"Antoine"},{"family":"Phillips","given":"Christophe"},{"family":"Reimer","given":"Enrico"},{"family":"Ruthotto","given":"Lars"},{"family":"Seif","given":"Maryam"},{"family":"Weiskopf","given":"Nikolaus"},{"family":"Ziegler","given":"Gabriel"},{"family":"Mohammadi","given":"Siawoosh"}],"issued":{"date-parts":[["2018"]]}}},{"id":1360,"uris":["http://zotero.org/users/5009496/items/P4CBE74M"],"itemData":{"id":1360,"type":"article-journal","abstract":"Neuroscience and clinical researchers are increasingly interested in quantitative magnetic resonance imaging (qMRI) due to its sensitivity to micro-structural properties of brain tissue such as axon, myelin, iron and water concentration. We introduce the hMRI-toolbox, an open-source, easy-to-use tool available on GitHub, for qMRI data handling and processing, presented together with a tutorial and example dataset. This toolbox allows the estimation of high-quality multi-parameter qMRI maps (longitudinal and effective transverse relaxation rates R1 and R2</w:instrText>
      </w:r>
      <w:r w:rsidR="00ED5ABB">
        <w:rPr>
          <w:rFonts w:ascii="Cambria Math" w:hAnsi="Cambria Math" w:cs="Cambria Math"/>
          <w:bCs/>
        </w:rPr>
        <w:instrText>⋆</w:instrText>
      </w:r>
      <w:r w:rsidR="00ED5ABB">
        <w:rPr>
          <w:bCs/>
        </w:rPr>
        <w:instrText xml:space="preserve">, proton density PD and magnetisation transfer MT saturation) that can be used for quantitative parameter analysis and accurate delineation of subcortical brain structures. The qMRI maps generated by the toolbox are key input parameters for biophysical models designed to estimate tissue microstructure properties such as the MR g-ratio and to derive standard and novel MRI biomarkers. Thus, the current version of the toolbox is a first step towards in vivo histology using MRI (hMRI) and is being extended further in this direction. Embedded in the Statistical Parametric Mapping (SPM) framework, it benefits from the extensive range of established SPM tools for high-accuracy spatial registration and statistical inferences and can be readily combined with existing SPM toolboxes for estimating diffusion MRI parameter maps. From a user's perspective, the hMRI-toolbox is an efficient, robust and simple framework for investigating qMRI data in neuroscience and clinical research.","container-title":"NeuroImage","DOI":"10.1016/j.neuroimage.2019.01.029","ISSN":"1053-8119","journalAbbreviation":"NeuroImage","language":"en","page":"191-210","source":"ScienceDirect","title":"hMRI – A toolbox for quantitative MRI in neuroscience and clinical research","URL":"https://www.sciencedirect.com/science/article/pii/S1053811919300291","volume":"194","author":[{"family":"Tabelow","given":"Karsten"},{"family":"Balteau","given":"Evelyne"},{"family":"Ashburner","given":"John"},{"family":"Callaghan","given":"Martina F."},{"family":"Draganski","given":"Bogdan"},{"family":"Helms","given":"Gunther"},{"family":"Kherif","given":"Ferath"},{"family":"Leutritz","given":"Tobias"},{"family":"Lutti","given":"Antoine"},{"family":"Phillips","given":"Christophe"},{"family":"Reimer","given":"Enrico"},{"family":"Ruthotto","given":"Lars"},{"family":"Seif","given":"Maryam"},{"family":"Weiskopf","given":"Nikolaus"},{"family":"Ziegler","given":"Gabriel"},{"family":"Mohammadi","given":"Siawoosh"}],"accessed":{"date-parts":[["2021",9,14]]},"issued":{"date-parts":[["2019",7,1]]}}}],"schema":"https://github.com/citation-style-language/schema/raw/master/csl-citation.json"} </w:instrText>
      </w:r>
      <w:r>
        <w:rPr>
          <w:bCs/>
        </w:rPr>
        <w:fldChar w:fldCharType="separate"/>
      </w:r>
      <w:r w:rsidR="00B70034">
        <w:rPr>
          <w:bCs/>
          <w:noProof/>
        </w:rPr>
        <w:t>(Balteau et al., 2018; Tabelow et al., 2019)</w:t>
      </w:r>
      <w:r>
        <w:rPr>
          <w:bCs/>
        </w:rPr>
        <w:fldChar w:fldCharType="end"/>
      </w:r>
      <w:r w:rsidRPr="0075367B">
        <w:rPr>
          <w:bCs/>
        </w:rPr>
        <w:t xml:space="preserve">. The default toolbox settings </w:t>
      </w:r>
      <w:r w:rsidRPr="00DC3CE1">
        <w:rPr>
          <w:color w:val="292526"/>
        </w:rPr>
        <w:t>were used. This processing results in the MT saturation, R1 and R2* maps, which index different aspects of tissue microstructure. Briefly, R1 (1/T1) maps were estimated from the PD and T1 weighted images using the process described in Weiskopf et al</w:t>
      </w:r>
      <w:r w:rsidR="00B70034">
        <w:rPr>
          <w:color w:val="292526"/>
        </w:rPr>
        <w:t>.</w:t>
      </w:r>
      <w:r w:rsidRPr="00DC3CE1">
        <w:rPr>
          <w:color w:val="292526"/>
        </w:rPr>
        <w:t xml:space="preserve"> </w:t>
      </w:r>
      <w:r w:rsidR="00B70034">
        <w:rPr>
          <w:color w:val="292526"/>
        </w:rPr>
        <w:fldChar w:fldCharType="begin"/>
      </w:r>
      <w:r w:rsidR="00ED5ABB">
        <w:rPr>
          <w:color w:val="292526"/>
        </w:rPr>
        <w:instrText xml:space="preserve"> ADDIN ZOTERO_ITEM CSL_CITATION {"citationID":"qEqWDwn3","properties":{"formattedCitation":"(2013)","plainCitation":"(2013)","noteIndex":0},"citationItems":[{"id":304,"uris":["http://zotero.org/users/5009496/items/4KHBSMK2"],"itemData":{"id":304,"type":"article-journal","abstract":"Multi-center studies using magnetic resonance imaging facilitate studying small effect sizes, global population variance and rare diseases. The reliability and sensitivity of these multi-center studies crucially depend on the comparability of the data generated at different sites and time points. The level of inter-site comparability is still controversial for conventional anatomical T1-weighted MRI data. Quantitative multi-parameter mapping (MPM) was designed to provide MR parameter measures that are comparable across sites and time points, i.e., 1mm high-resolution maps of the longitudinal relaxation rate (R1=1/T1), effective proton density (PD*), magnetization transfer saturation (MT) and effective transverse relaxation rate (R2*=1/T2*). MPM was validated at 3T for use in multi-center studies by scanning five volunteers at three different sites. We determined the inter-site bias, inter-site and intra-site coefficient of variation (CoV) for typical morphometric measures (i.e., gray matter probability maps used in voxel-based morphometry) and the four quantitative parameters. The inter-site bias and CoV were smaller than 3.1% and 8%, respectively, except for the inter-site CoV of R2* (&amp;lt; 20%). The gray matter probability maps based on the MT parameter maps had a 14% higher inter-site reproducibility than maps based on conventional T1-weighted images. The low inter-site bias and variance in the parameters and derived gray matter probability maps confirm the high comparability of the quantitative maps across sites and time points. The reliability, short acquisition time, high resolution and the detailed insights into the brain microstructure provided by MPM makes it an efficient tool for multi-center imaging studies.","container-title":"Frontiers in Neuroscience","DOI":"10.3389/fnins.2013.00095","ISSN":"1662-453X","journalAbbreviation":"Front. Neurosci.","language":"English","source":"Frontiers","title":"Quantitative multi-parameter mapping of R1, PD*, MT, and R2* at 3T: a multi-center validation","title-short":"Quantitative multi-parameter mapping of R1, PD*, MT, and R2* at 3T","URL":"https://www.frontiersin.org/articles/10.3389/fnins.2013.00095/full","volume":"7","author":[{"family":"Weiskopf","given":"Nikolaus"},{"family":"Suckling","given":"John"},{"family":"Williams","given":"Guy"},{"family":"Correia","given":"Marta Morgado"},{"family":"Inkster","given":"Becky"},{"family":"Tait","given":"Roger"},{"family":"Ooi","given":"Cinly"},{"family":"Bullmore","given":"Edward T."},{"family":"Lutti","given":"Antoine"}],"accessed":{"date-parts":[["2018",12,13]]},"issued":{"date-parts":[["2013"]]}},"suppress-author":true}],"schema":"https://github.com/citation-style-language/schema/raw/master/csl-citation.json"} </w:instrText>
      </w:r>
      <w:r w:rsidR="00B70034">
        <w:rPr>
          <w:color w:val="292526"/>
        </w:rPr>
        <w:fldChar w:fldCharType="separate"/>
      </w:r>
      <w:r w:rsidR="00B70034">
        <w:rPr>
          <w:noProof/>
          <w:color w:val="292526"/>
        </w:rPr>
        <w:t>(2013)</w:t>
      </w:r>
      <w:r w:rsidR="00B70034">
        <w:rPr>
          <w:color w:val="292526"/>
        </w:rPr>
        <w:fldChar w:fldCharType="end"/>
      </w:r>
      <w:r w:rsidRPr="00DC3CE1">
        <w:rPr>
          <w:color w:val="292526"/>
        </w:rPr>
        <w:t>, extended by using correction for radio-frequency transmit field inhomogeneities and imperfect spoiling. Regression of the log signal from the signal decay over echoes across all three MPM contrasts was used to calculate a map of R2* (=1/T2*)</w:t>
      </w:r>
      <w:r w:rsidR="00B70034">
        <w:rPr>
          <w:color w:val="292526"/>
        </w:rPr>
        <w:t xml:space="preserve"> </w:t>
      </w:r>
      <w:r w:rsidR="00B70034">
        <w:rPr>
          <w:color w:val="292526"/>
        </w:rPr>
        <w:fldChar w:fldCharType="begin"/>
      </w:r>
      <w:r w:rsidR="00ED5ABB">
        <w:rPr>
          <w:color w:val="292526"/>
        </w:rPr>
        <w:instrText xml:space="preserve"> ADDIN ZOTERO_ITEM CSL_CITATION {"citationID":"IUxZxzTX","properties":{"formattedCitation":"(Weiskopf et al., 2013)","plainCitation":"(Weiskopf et al., 2013)","noteIndex":0},"citationItems":[{"id":304,"uris":["http://zotero.org/users/5009496/items/4KHBSMK2"],"itemData":{"id":304,"type":"article-journal","abstract":"Multi-center studies using magnetic resonance imaging facilitate studying small effect sizes, global population variance and rare diseases. The reliability and sensitivity of these multi-center studies crucially depend on the comparability of the data generated at different sites and time points. The level of inter-site comparability is still controversial for conventional anatomical T1-weighted MRI data. Quantitative multi-parameter mapping (MPM) was designed to provide MR parameter measures that are comparable across sites and time points, i.e., 1mm high-resolution maps of the longitudinal relaxation rate (R1=1/T1), effective proton density (PD*), magnetization transfer saturation (MT) and effective transverse relaxation rate (R2*=1/T2*). MPM was validated at 3T for use in multi-center studies by scanning five volunteers at three different sites. We determined the inter-site bias, inter-site and intra-site coefficient of variation (CoV) for typical morphometric measures (i.e., gray matter probability maps used in voxel-based morphometry) and the four quantitative parameters. The inter-site bias and CoV were smaller than 3.1% and 8%, respectively, except for the inter-site CoV of R2* (&amp;lt; 20%). The gray matter probability maps based on the MT parameter maps had a 14% higher inter-site reproducibility than maps based on conventional T1-weighted images. The low inter-site bias and variance in the parameters and derived gray matter probability maps confirm the high comparability of the quantitative maps across sites and time points. The reliability, short acquisition time, high resolution and the detailed insights into the brain microstructure provided by MPM makes it an efficient tool for multi-center imaging studies.","container-title":"Frontiers in Neuroscience","DOI":"10.3389/fnins.2013.00095","ISSN":"1662-453X","journalAbbreviation":"Front. Neurosci.","language":"English","source":"Frontiers","title":"Quantitative multi-parameter mapping of R1, PD*, MT, and R2* at 3T: a multi-center validation","title-short":"Quantitative multi-parameter mapping of R1, PD*, MT, and R2* at 3T","URL":"https://www.frontiersin.org/articles/10.3389/fnins.2013.00095/full","volume":"7","author":[{"family":"Weiskopf","given":"Nikolaus"},{"family":"Suckling","given":"John"},{"family":"Williams","given":"Guy"},{"family":"Correia","given":"Marta Morgado"},{"family":"Inkster","given":"Becky"},{"family":"Tait","given":"Roger"},{"family":"Ooi","given":"Cinly"},{"family":"Bullmore","given":"Edward T."},{"family":"Lutti","given":"Antoine"}],"accessed":{"date-parts":[["2018",12,13]]},"issued":{"date-parts":[["2013"]]}}}],"schema":"https://github.com/citation-style-language/schema/raw/master/csl-citation.json"} </w:instrText>
      </w:r>
      <w:r w:rsidR="00B70034">
        <w:rPr>
          <w:color w:val="292526"/>
        </w:rPr>
        <w:fldChar w:fldCharType="separate"/>
      </w:r>
      <w:r w:rsidR="00B70034">
        <w:rPr>
          <w:noProof/>
          <w:color w:val="292526"/>
        </w:rPr>
        <w:t>(Weiskopf et al., 2013)</w:t>
      </w:r>
      <w:r w:rsidR="00B70034">
        <w:rPr>
          <w:color w:val="292526"/>
        </w:rPr>
        <w:fldChar w:fldCharType="end"/>
      </w:r>
      <w:r w:rsidRPr="00DC3CE1">
        <w:rPr>
          <w:color w:val="292526"/>
        </w:rPr>
        <w:t xml:space="preserve">.  RF transmit field maps were calculated from the 3D EPI acquisition and corrected for off-resonance effects as described in (Lutti et al., 2012). The semi-quantitative MT saturation parameter </w:t>
      </w:r>
      <w:r>
        <w:rPr>
          <w:color w:val="292526"/>
        </w:rPr>
        <w:t xml:space="preserve">(MTsat) calculated </w:t>
      </w:r>
      <w:r w:rsidRPr="00DC3CE1">
        <w:rPr>
          <w:color w:val="292526"/>
        </w:rPr>
        <w:t>is relatively robust against differences in relaxation times and RF transmit and receive field inhomogeneities</w:t>
      </w:r>
      <w:r>
        <w:rPr>
          <w:color w:val="292526"/>
        </w:rPr>
        <w:t>, and small residual higher dependencies are further corrected for within the toolbox.</w:t>
      </w:r>
    </w:p>
    <w:p w14:paraId="5DDB2792" w14:textId="77777777" w:rsidR="00425EB4" w:rsidRPr="00DC3CE1" w:rsidRDefault="00425EB4" w:rsidP="00425EB4">
      <w:pPr>
        <w:spacing w:line="360" w:lineRule="auto"/>
        <w:jc w:val="both"/>
        <w:rPr>
          <w:color w:val="292526"/>
        </w:rPr>
      </w:pPr>
    </w:p>
    <w:p w14:paraId="3B89FAA3" w14:textId="35603B4B" w:rsidR="00425EB4" w:rsidRDefault="00425EB4" w:rsidP="00425EB4">
      <w:pPr>
        <w:spacing w:line="360" w:lineRule="auto"/>
        <w:jc w:val="both"/>
        <w:rPr>
          <w:bCs/>
        </w:rPr>
      </w:pPr>
      <w:r w:rsidRPr="00DC3CE1">
        <w:rPr>
          <w:color w:val="292526"/>
        </w:rPr>
        <w:t>Using quality assessment metrics obtained from the toolbox, we removed images where the SD</w:t>
      </w:r>
      <w:r>
        <w:rPr>
          <w:bCs/>
        </w:rPr>
        <w:t xml:space="preserve"> </w:t>
      </w:r>
      <w:r w:rsidRPr="0075367B">
        <w:rPr>
          <w:bCs/>
        </w:rPr>
        <w:t>R2* (</w:t>
      </w:r>
      <w:r>
        <w:rPr>
          <w:bCs/>
        </w:rPr>
        <w:t xml:space="preserve">a measure of </w:t>
      </w:r>
      <w:r w:rsidRPr="0075367B">
        <w:rPr>
          <w:bCs/>
        </w:rPr>
        <w:t>image degradation) was greater than 3</w:t>
      </w:r>
      <w:r>
        <w:rPr>
          <w:bCs/>
        </w:rPr>
        <w:t xml:space="preserve"> times the interquartile range</w:t>
      </w:r>
      <w:r w:rsidRPr="0075367B">
        <w:rPr>
          <w:bCs/>
        </w:rPr>
        <w:t xml:space="preserve"> </w:t>
      </w:r>
      <w:r>
        <w:rPr>
          <w:bCs/>
        </w:rPr>
        <w:t>(</w:t>
      </w:r>
      <w:r w:rsidRPr="0075367B">
        <w:rPr>
          <w:bCs/>
        </w:rPr>
        <w:t>IQR</w:t>
      </w:r>
      <w:r>
        <w:rPr>
          <w:bCs/>
        </w:rPr>
        <w:t>)</w:t>
      </w:r>
      <w:r w:rsidRPr="0075367B">
        <w:rPr>
          <w:bCs/>
        </w:rPr>
        <w:t xml:space="preserve"> from the group mean. </w:t>
      </w:r>
      <w:r>
        <w:rPr>
          <w:bCs/>
        </w:rPr>
        <w:t xml:space="preserve">Data from 9 children with DLD and 2 TD children were excluded on this basis. </w:t>
      </w:r>
      <w:r w:rsidRPr="0075367B">
        <w:rPr>
          <w:bCs/>
        </w:rPr>
        <w:t xml:space="preserve">We also </w:t>
      </w:r>
      <w:r>
        <w:rPr>
          <w:bCs/>
        </w:rPr>
        <w:t>removed</w:t>
      </w:r>
      <w:r w:rsidRPr="0075367B">
        <w:rPr>
          <w:bCs/>
        </w:rPr>
        <w:t xml:space="preserve"> scans where interscan movement </w:t>
      </w:r>
      <w:r>
        <w:rPr>
          <w:bCs/>
        </w:rPr>
        <w:t>exceeded</w:t>
      </w:r>
      <w:r w:rsidRPr="0075367B">
        <w:rPr>
          <w:bCs/>
        </w:rPr>
        <w:t xml:space="preserve"> 2mm. </w:t>
      </w:r>
      <w:r>
        <w:rPr>
          <w:bCs/>
        </w:rPr>
        <w:t xml:space="preserve">Data from a further 4 children with DLD, 5 TD children, and 1 child with HSL were excluded on this basis. We then conducted a visual inspection of the R1, MTsat, and R2* maps, and excluded data from a further 5 children with DLD, 4 children with HSL, and 9 TD children where image artifacts were observed. We retained data from 56 TD children, </w:t>
      </w:r>
      <w:r w:rsidR="00AE1763">
        <w:rPr>
          <w:bCs/>
        </w:rPr>
        <w:t xml:space="preserve">33 </w:t>
      </w:r>
      <w:r>
        <w:rPr>
          <w:bCs/>
        </w:rPr>
        <w:t xml:space="preserve">children with DLD, and </w:t>
      </w:r>
      <w:r w:rsidR="00AE1763">
        <w:rPr>
          <w:bCs/>
        </w:rPr>
        <w:t xml:space="preserve">20 </w:t>
      </w:r>
      <w:r>
        <w:rPr>
          <w:bCs/>
        </w:rPr>
        <w:t xml:space="preserve">children with HSL. </w:t>
      </w:r>
      <w:r w:rsidRPr="00AE1763">
        <w:rPr>
          <w:bCs/>
        </w:rPr>
        <w:t>This equates to data retention of 77.78% in the TD population, 6</w:t>
      </w:r>
      <w:r w:rsidR="00AE1763" w:rsidRPr="00AE1763">
        <w:rPr>
          <w:bCs/>
        </w:rPr>
        <w:t>4</w:t>
      </w:r>
      <w:r w:rsidRPr="00AE1763">
        <w:rPr>
          <w:bCs/>
        </w:rPr>
        <w:t>.</w:t>
      </w:r>
      <w:r w:rsidR="00AE1763" w:rsidRPr="00AE1763">
        <w:rPr>
          <w:bCs/>
        </w:rPr>
        <w:t>71</w:t>
      </w:r>
      <w:r w:rsidRPr="00AE1763">
        <w:rPr>
          <w:bCs/>
        </w:rPr>
        <w:t xml:space="preserve">% in the DLD population, and </w:t>
      </w:r>
      <w:r w:rsidR="00AE1763" w:rsidRPr="00AE1763">
        <w:rPr>
          <w:bCs/>
        </w:rPr>
        <w:t>80</w:t>
      </w:r>
      <w:r w:rsidRPr="00AE1763">
        <w:rPr>
          <w:bCs/>
        </w:rPr>
        <w:t>% in the HSL population.</w:t>
      </w:r>
    </w:p>
    <w:p w14:paraId="376104F9" w14:textId="77777777" w:rsidR="00425EB4" w:rsidRPr="0075367B" w:rsidRDefault="00425EB4" w:rsidP="00425EB4">
      <w:pPr>
        <w:spacing w:line="360" w:lineRule="auto"/>
        <w:jc w:val="both"/>
        <w:outlineLvl w:val="0"/>
        <w:rPr>
          <w:bCs/>
        </w:rPr>
      </w:pPr>
    </w:p>
    <w:p w14:paraId="064BB42C" w14:textId="33B55DF5" w:rsidR="00425EB4" w:rsidRPr="00874B6C" w:rsidRDefault="00425EB4" w:rsidP="00874B6C">
      <w:pPr>
        <w:spacing w:line="360" w:lineRule="auto"/>
        <w:jc w:val="both"/>
        <w:outlineLvl w:val="0"/>
        <w:rPr>
          <w:bCs/>
        </w:rPr>
      </w:pPr>
      <w:r w:rsidRPr="0075367B">
        <w:rPr>
          <w:bCs/>
        </w:rPr>
        <w:t>Using pipelines implemented in the hMRI toolbox, MT</w:t>
      </w:r>
      <w:r>
        <w:rPr>
          <w:bCs/>
        </w:rPr>
        <w:t>sat</w:t>
      </w:r>
      <w:r w:rsidRPr="0075367B">
        <w:rPr>
          <w:bCs/>
        </w:rPr>
        <w:t xml:space="preserve"> maps from each participant were </w:t>
      </w:r>
      <w:r>
        <w:rPr>
          <w:bCs/>
        </w:rPr>
        <w:t>further</w:t>
      </w:r>
      <w:r w:rsidRPr="0075367B">
        <w:rPr>
          <w:bCs/>
        </w:rPr>
        <w:t xml:space="preserve"> segmented into grey and white matter probability maps. These </w:t>
      </w:r>
      <w:r>
        <w:rPr>
          <w:bCs/>
        </w:rPr>
        <w:t>grey and white matter</w:t>
      </w:r>
      <w:r w:rsidRPr="0075367B">
        <w:rPr>
          <w:bCs/>
        </w:rPr>
        <w:t xml:space="preserve"> </w:t>
      </w:r>
      <w:r>
        <w:rPr>
          <w:bCs/>
        </w:rPr>
        <w:t>maps</w:t>
      </w:r>
      <w:r w:rsidRPr="0075367B">
        <w:rPr>
          <w:bCs/>
        </w:rPr>
        <w:t xml:space="preserve"> were used to create a DARTEL template. Each participants</w:t>
      </w:r>
      <w:r>
        <w:rPr>
          <w:bCs/>
        </w:rPr>
        <w:t>’</w:t>
      </w:r>
      <w:r w:rsidRPr="0075367B">
        <w:rPr>
          <w:bCs/>
        </w:rPr>
        <w:t xml:space="preserve"> MT</w:t>
      </w:r>
      <w:r>
        <w:rPr>
          <w:bCs/>
        </w:rPr>
        <w:t>sat</w:t>
      </w:r>
      <w:r w:rsidRPr="0075367B">
        <w:rPr>
          <w:bCs/>
        </w:rPr>
        <w:t>, R1 and R2* maps were registered to this DARTEL template and were then normalised to a standard MNI template. A tissue weighted smoothing kernel of 6</w:t>
      </w:r>
      <w:r>
        <w:rPr>
          <w:bCs/>
        </w:rPr>
        <w:t>-</w:t>
      </w:r>
      <w:r w:rsidRPr="0075367B">
        <w:rPr>
          <w:bCs/>
        </w:rPr>
        <w:t>mm full</w:t>
      </w:r>
      <w:r>
        <w:rPr>
          <w:bCs/>
        </w:rPr>
        <w:t>-</w:t>
      </w:r>
      <w:r w:rsidRPr="0075367B">
        <w:rPr>
          <w:bCs/>
        </w:rPr>
        <w:t>width</w:t>
      </w:r>
      <w:r>
        <w:rPr>
          <w:bCs/>
        </w:rPr>
        <w:t>-</w:t>
      </w:r>
      <w:r w:rsidRPr="0075367B">
        <w:rPr>
          <w:bCs/>
        </w:rPr>
        <w:t>at</w:t>
      </w:r>
      <w:r>
        <w:rPr>
          <w:bCs/>
        </w:rPr>
        <w:t>-</w:t>
      </w:r>
      <w:r w:rsidRPr="0075367B">
        <w:rPr>
          <w:bCs/>
        </w:rPr>
        <w:t>half</w:t>
      </w:r>
      <w:r>
        <w:rPr>
          <w:bCs/>
        </w:rPr>
        <w:t>-</w:t>
      </w:r>
      <w:r w:rsidRPr="0075367B">
        <w:rPr>
          <w:bCs/>
        </w:rPr>
        <w:t xml:space="preserve">maximum was </w:t>
      </w:r>
      <w:r w:rsidRPr="0075367B">
        <w:rPr>
          <w:bCs/>
        </w:rPr>
        <w:lastRenderedPageBreak/>
        <w:t>applied using the voxel-based quantification approach</w:t>
      </w:r>
      <w:r>
        <w:rPr>
          <w:bCs/>
        </w:rPr>
        <w:t xml:space="preserve"> </w:t>
      </w:r>
      <w:r>
        <w:rPr>
          <w:bCs/>
        </w:rPr>
        <w:fldChar w:fldCharType="begin"/>
      </w:r>
      <w:r w:rsidR="00ED5ABB">
        <w:rPr>
          <w:bCs/>
        </w:rPr>
        <w:instrText xml:space="preserve"> ADDIN ZOTERO_ITEM CSL_CITATION {"citationID":"8B0OMxEj","properties":{"formattedCitation":"(Draganski et al., 2011)","plainCitation":"(Draganski et al., 2011)","noteIndex":0},"citationItems":[{"id":1116,"uris":["http://zotero.org/users/5009496/items/CK63LRPW"],"itemData":{"id":1116,"type":"article-journal","abstract":"Normal ageing is associated with characteristic changes in brain microstructure. Although in vivo neuroimaging captures spatial and temporal patterns of age-related changes of anatomy at the macroscopic scale, our knowledge of the underlying (patho)physiological processes at cellular and molecular levels is still limited. The aim of this study is to explore brain tissue properties in normal ageing using quantitative magnetic resonance imaging (MRI) alongside conventional morphological assessment. Using a whole-brain approach in a cohort of 26 adults, aged 18–85years, we performed voxel-based morphometric (VBM) analysis and voxel-based quantification (VBQ) of diffusion tensor, magnetization transfer (MT), R1, and R2* relaxation parameters. We found age-related reductions in cortical and subcortical grey matter volume paralleled by changes in fractional anisotropy (FA), mean diffusivity (MD), MT and R2*. The latter were regionally specific depending on their differential sensitivity to microscopic tissue properties. VBQ of white matter revealed distinct anatomical patterns of age-related change in microstructure. Widespread and profound reduction in MT contrasted with local FA decreases paralleled by MD increases. R1 reductions and R2* increases were observed to a smaller extent in overlapping occipito-parietal white matter regions. We interpret our findings, based on current biophysical models, as a fingerprint of age-dependent brain atrophy and underlying microstructural changes in myelin, iron deposits and water. The VBQ approach we present allows for systematic unbiased exploration of the interaction between imaging parameters and extends current methods for detection of neurodegenerative processes in the brain. The demonstrated parameter-specific distribution patterns offer insights into age-related brain structure changes in vivo and provide essential baseline data for studying disease against a background of healthy ageing.","container-title":"NeuroImage","DOI":"10.1016/j.neuroimage.2011.01.052","ISSN":"1053-8119","issue":"4","journalAbbreviation":"NeuroImage","language":"en","page":"1423-1434","source":"ScienceDirect","title":"Regional specificity of MRI contrast parameter changes in normal ageing revealed by voxel-based quantification (VBQ)","URL":"http://www.sciencedirect.com/science/article/pii/S1053811911000887","volume":"55","author":[{"family":"Draganski","given":"B."},{"family":"Ashburner","given":"J."},{"family":"Hutton","given":"C."},{"family":"Kherif","given":"F."},{"family":"Frackowiak","given":"R. S. J."},{"family":"Helms","given":"G."},{"family":"Weiskopf","given":"N."}],"accessed":{"date-parts":[["2020",11,24]]},"issued":{"date-parts":[["2011",4,15]]}}}],"schema":"https://github.com/citation-style-language/schema/raw/master/csl-citation.json"} </w:instrText>
      </w:r>
      <w:r>
        <w:rPr>
          <w:bCs/>
        </w:rPr>
        <w:fldChar w:fldCharType="separate"/>
      </w:r>
      <w:r>
        <w:rPr>
          <w:bCs/>
          <w:noProof/>
        </w:rPr>
        <w:t>(Draganski et al., 2011)</w:t>
      </w:r>
      <w:r>
        <w:rPr>
          <w:bCs/>
        </w:rPr>
        <w:fldChar w:fldCharType="end"/>
      </w:r>
      <w:r w:rsidRPr="0075367B">
        <w:rPr>
          <w:bCs/>
        </w:rPr>
        <w:t>., which aims to preserve quantitative values</w:t>
      </w:r>
      <w:r>
        <w:rPr>
          <w:bCs/>
        </w:rPr>
        <w:t xml:space="preserve"> for interpretation. </w:t>
      </w:r>
    </w:p>
    <w:p w14:paraId="214BB289" w14:textId="77777777" w:rsidR="00425EB4" w:rsidRPr="0041245B" w:rsidRDefault="00425EB4" w:rsidP="00425EB4">
      <w:pPr>
        <w:spacing w:line="360" w:lineRule="auto"/>
        <w:jc w:val="both"/>
        <w:outlineLvl w:val="0"/>
        <w:rPr>
          <w:b/>
          <w:sz w:val="26"/>
          <w:szCs w:val="26"/>
        </w:rPr>
      </w:pPr>
      <w:r w:rsidRPr="0041245B">
        <w:rPr>
          <w:b/>
          <w:sz w:val="26"/>
          <w:szCs w:val="26"/>
        </w:rPr>
        <w:t>Data analyses</w:t>
      </w:r>
    </w:p>
    <w:p w14:paraId="700CEE3C" w14:textId="490256A4" w:rsidR="00425EB4" w:rsidRDefault="00425EB4" w:rsidP="00425EB4">
      <w:pPr>
        <w:spacing w:line="360" w:lineRule="auto"/>
        <w:jc w:val="both"/>
        <w:rPr>
          <w:color w:val="292526"/>
        </w:rPr>
      </w:pPr>
      <w:r>
        <w:rPr>
          <w:color w:val="292526"/>
        </w:rPr>
        <w:t xml:space="preserve">We analysed group differences in MTsat, R1 and R2* maps using FSL’s </w:t>
      </w:r>
      <w:r w:rsidRPr="004958F0">
        <w:rPr>
          <w:i/>
          <w:iCs/>
          <w:color w:val="292526"/>
        </w:rPr>
        <w:t>randomise</w:t>
      </w:r>
      <w:r>
        <w:rPr>
          <w:color w:val="292526"/>
        </w:rPr>
        <w:t xml:space="preserve"> tool using 5000 permutations. For assessing statistical differences across groups, we employed threshold-free cluster enhancement, setting p&lt;0.05 as our threshold. Data from ROIs of interest were extracted using </w:t>
      </w:r>
      <w:r w:rsidRPr="000411D1">
        <w:rPr>
          <w:i/>
          <w:iCs/>
          <w:color w:val="292526"/>
        </w:rPr>
        <w:t>fslstats</w:t>
      </w:r>
      <w:r>
        <w:rPr>
          <w:color w:val="292526"/>
        </w:rPr>
        <w:t xml:space="preserve">, and further analyses were carried out using R </w:t>
      </w:r>
      <w:r>
        <w:rPr>
          <w:color w:val="292526"/>
        </w:rPr>
        <w:fldChar w:fldCharType="begin"/>
      </w:r>
      <w:r w:rsidR="00ED5ABB">
        <w:rPr>
          <w:color w:val="292526"/>
        </w:rPr>
        <w:instrText xml:space="preserve"> ADDIN ZOTERO_ITEM CSL_CITATION {"citationID":"PxZEKia3","properties":{"formattedCitation":"(R Core Team, 2020)","plainCitation":"(R Core Team, 2020)","noteIndex":0},"citationItems":[{"id":974,"uris":["http://zotero.org/users/5009496/items/GWKQYYHE"],"itemData":{"id":974,"type":"report","event-place":"Vienna, Austria","publisher":"R Foundation for Statistical Computing","publisher-place":"Vienna, Austria","title":"R: A language and environment for statistical computing","URL":"https://www.R-project.org/.","author":[{"literal":"R Core Team"}],"issued":{"date-parts":[["2020"]]}}}],"schema":"https://github.com/citation-style-language/schema/raw/master/csl-citation.json"} </w:instrText>
      </w:r>
      <w:r>
        <w:rPr>
          <w:color w:val="292526"/>
        </w:rPr>
        <w:fldChar w:fldCharType="separate"/>
      </w:r>
      <w:r>
        <w:rPr>
          <w:noProof/>
          <w:color w:val="292526"/>
        </w:rPr>
        <w:t>(R Core Team, 2020)</w:t>
      </w:r>
      <w:r>
        <w:rPr>
          <w:color w:val="292526"/>
        </w:rPr>
        <w:fldChar w:fldCharType="end"/>
      </w:r>
      <w:r>
        <w:rPr>
          <w:color w:val="292526"/>
        </w:rPr>
        <w:t>.</w:t>
      </w:r>
    </w:p>
    <w:p w14:paraId="3B1C640A" w14:textId="77777777" w:rsidR="00425EB4" w:rsidRDefault="00425EB4" w:rsidP="00425EB4">
      <w:pPr>
        <w:spacing w:line="360" w:lineRule="auto"/>
        <w:jc w:val="both"/>
        <w:rPr>
          <w:color w:val="292526"/>
        </w:rPr>
      </w:pPr>
    </w:p>
    <w:p w14:paraId="4B36B15E" w14:textId="475F018C" w:rsidR="00425EB4" w:rsidRDefault="00425EB4" w:rsidP="00425EB4">
      <w:pPr>
        <w:spacing w:line="360" w:lineRule="auto"/>
        <w:jc w:val="both"/>
      </w:pPr>
      <w:r>
        <w:t xml:space="preserve">For the behavioural data, we constructed factor scores for use in continuous analyses to minimise the number of comparisons in statistical tests. These factors were based on analysis of the whole cohort of children who contributed behavioural data to our study and therefore includes data from children who did not complete the MPM scans and children in whom we excluded MPM data as describe above. </w:t>
      </w:r>
      <w:r w:rsidRPr="006170C2">
        <w:t>The measures</w:t>
      </w:r>
      <w:r>
        <w:t xml:space="preserve"> from the language and memory tests described above were</w:t>
      </w:r>
      <w:r w:rsidRPr="006170C2">
        <w:t xml:space="preserve"> entered into a</w:t>
      </w:r>
      <w:r>
        <w:t xml:space="preserve"> pre-registered</w:t>
      </w:r>
      <w:r w:rsidRPr="006170C2">
        <w:t xml:space="preserve"> factor analysis to identify the best weighted combination of measures to give a language factor score, and a memory factor score.</w:t>
      </w:r>
      <w:r>
        <w:t xml:space="preserve"> </w:t>
      </w:r>
      <w:r w:rsidRPr="006170C2">
        <w:t>The approach we adopt</w:t>
      </w:r>
      <w:r>
        <w:t>ed</w:t>
      </w:r>
      <w:r w:rsidRPr="006170C2">
        <w:t xml:space="preserve"> </w:t>
      </w:r>
      <w:r>
        <w:t>to factor analysis was</w:t>
      </w:r>
      <w:r w:rsidRPr="006170C2">
        <w:t xml:space="preserve"> E-CFA </w:t>
      </w:r>
      <w:r w:rsidRPr="00FD5240">
        <w:fldChar w:fldCharType="begin"/>
      </w:r>
      <w:r w:rsidR="00ED5ABB">
        <w:instrText xml:space="preserve"> ADDIN ZOTERO_ITEM CSL_CITATION {"citationID":"yOg7Wfvf","properties":{"formattedCitation":"(Brown, 2006)","plainCitation":"(Brown, 2006)","noteIndex":0},"citationItems":[{"id":82,"uris":["http://zotero.org/users/5009496/items/QBTR2YIK"],"itemData":{"id":82,"type":"book","event-place":"New York","publisher":"Guilford Press","publisher-place":"New York","title":"Confirmatory factor analysis for applied research.","author":[{"family":"Brown","given":"Timothy A."}],"issued":{"date-parts":[["2006"]]}}}],"schema":"https://github.com/citation-style-language/schema/raw/master/csl-citation.json"} </w:instrText>
      </w:r>
      <w:r w:rsidRPr="00FD5240">
        <w:fldChar w:fldCharType="separate"/>
      </w:r>
      <w:r>
        <w:rPr>
          <w:noProof/>
        </w:rPr>
        <w:t>(Brown, 2006)</w:t>
      </w:r>
      <w:r w:rsidRPr="00FD5240">
        <w:fldChar w:fldCharType="end"/>
      </w:r>
      <w:r w:rsidRPr="00FD5240">
        <w:t xml:space="preserve">, implemented in </w:t>
      </w:r>
      <w:r w:rsidRPr="000411D1">
        <w:rPr>
          <w:i/>
          <w:iCs/>
        </w:rPr>
        <w:t>lavaan</w:t>
      </w:r>
      <w:r w:rsidRPr="00FD5240">
        <w:t xml:space="preserve"> </w:t>
      </w:r>
      <w:r>
        <w:fldChar w:fldCharType="begin"/>
      </w:r>
      <w:r w:rsidR="00ED5ABB">
        <w:instrText xml:space="preserve"> ADDIN ZOTERO_ITEM CSL_CITATION {"citationID":"hdYaVwtA","properties":{"formattedCitation":"(Rosseel, 2012)","plainCitation":"(Rosseel, 2012)","noteIndex":0},"citationItems":[{"id":976,"uris":["http://zotero.org/users/5009496/items/YUFP3GSZ"],"itemData":{"id":976,"type":"article-journal","abstract":"In this document, we illustrate the use of lavaan by providing several examples. If you are new to lavaan, this is the ﬁrst document to read.","language":"en","page":"37","source":"Zotero","title":"lavaan: an R package for structural equation modeling and more Version 0.5-12 (BETA)","author":[{"family":"Rosseel","given":"Yves"}],"issued":{"date-parts":[["2012"]]}}}],"schema":"https://github.com/citation-style-language/schema/raw/master/csl-citation.json"} </w:instrText>
      </w:r>
      <w:r>
        <w:fldChar w:fldCharType="separate"/>
      </w:r>
      <w:r>
        <w:rPr>
          <w:noProof/>
        </w:rPr>
        <w:t>(Rosseel, 2012)</w:t>
      </w:r>
      <w:r>
        <w:fldChar w:fldCharType="end"/>
      </w:r>
      <w:r>
        <w:t xml:space="preserve"> </w:t>
      </w:r>
      <w:r w:rsidRPr="00FD5240">
        <w:t>in the R programming language</w:t>
      </w:r>
      <w:r>
        <w:t xml:space="preserve"> </w:t>
      </w:r>
      <w:r>
        <w:fldChar w:fldCharType="begin"/>
      </w:r>
      <w:r w:rsidR="00ED5ABB">
        <w:instrText xml:space="preserve"> ADDIN ZOTERO_ITEM CSL_CITATION {"citationID":"ZG4Nq6kG","properties":{"formattedCitation":"(R Core Team, 2020)","plainCitation":"(R Core Team, 2020)","noteIndex":0},"citationItems":[{"id":974,"uris":["http://zotero.org/users/5009496/items/GWKQYYHE"],"itemData":{"id":974,"type":"report","event-place":"Vienna, Austria","publisher":"R Foundation for Statistical Computing","publisher-place":"Vienna, Austria","title":"R: A language and environment for statistical computing","URL":"https://www.R-project.org/.","author":[{"literal":"R Core Team"}],"issued":{"date-parts":[["2020"]]}}}],"schema":"https://github.com/citation-style-language/schema/raw/master/csl-citation.json"} </w:instrText>
      </w:r>
      <w:r>
        <w:fldChar w:fldCharType="separate"/>
      </w:r>
      <w:r>
        <w:rPr>
          <w:noProof/>
        </w:rPr>
        <w:t>(R Core Team, 2020)</w:t>
      </w:r>
      <w:r>
        <w:fldChar w:fldCharType="end"/>
      </w:r>
      <w:r w:rsidRPr="00FD5240">
        <w:t>. E-CFA is a hybrid exploratory-confirmatory approach to factor analysis where a model is specified with an ‘anchor’ measure</w:t>
      </w:r>
      <w:r>
        <w:t xml:space="preserve"> or two anchor measures.</w:t>
      </w:r>
      <w:r w:rsidRPr="00FD5240">
        <w:t xml:space="preserve"> </w:t>
      </w:r>
      <w:r w:rsidRPr="00BF0DBD">
        <w:t>As anchor measures</w:t>
      </w:r>
      <w:r>
        <w:t>,</w:t>
      </w:r>
      <w:r w:rsidRPr="00BF0DBD">
        <w:t xml:space="preserve"> we use</w:t>
      </w:r>
      <w:r>
        <w:t>d</w:t>
      </w:r>
      <w:r w:rsidRPr="00BF0DBD">
        <w:t xml:space="preserve"> </w:t>
      </w:r>
      <w:r>
        <w:t>the list learning standard score from the CMS</w:t>
      </w:r>
      <w:r w:rsidRPr="00BF0DBD">
        <w:t xml:space="preserve"> for the memory factor, and </w:t>
      </w:r>
      <w:r>
        <w:t>expressive</w:t>
      </w:r>
      <w:r w:rsidRPr="00BF0DBD">
        <w:t xml:space="preserve"> vocabulary for the language factor</w:t>
      </w:r>
      <w:r w:rsidRPr="00FD5240">
        <w:t>.</w:t>
      </w:r>
      <w:r>
        <w:t xml:space="preserve"> We planned to compare this two-factor model to a single factor model accounting for language proficiency alone. However, our two preregistered models were not a good fit to the data. Consequently, as detailed in Krishnan et al. </w:t>
      </w:r>
      <w:r>
        <w:fldChar w:fldCharType="begin"/>
      </w:r>
      <w:r w:rsidR="00ED5ABB">
        <w:instrText xml:space="preserve"> ADDIN ZOTERO_ITEM CSL_CITATION {"citationID":"qNcO0t4W","properties":{"formattedCitation":"(2020)","plainCitation":"(2020)","noteIndex":0},"citationItems":[{"id":1136,"uris":["http://zotero.org/users/5009496/items/MG9HSFUF"],"itemData":{"id":1136,"type":"article-journal","abstract":"Developmental language disorder (DLD) is characterised by difficulties in learning one's native language for no apparent reason. These language difficulties occur in 7% of children and are known to limit future academic and social achievement. Our understanding of the brain abnormalities associated with DLD is limited. Here, we used a simple four-minute verb generation task (children saw a picture of an object and were instructed to say an action that goes with that object) to test children between the ages of 10-15 years (DLD N=50, typically developing N=67). We also tested 26 children with poor language ability who did not meet our criteria for DLD. Contrary to our registered predictions, we found that children with DLD did not have (i) reduced activity in language relevant regions such as the left inferior frontal cortex; (ii) dysfunctional striatal activity during overt production; or (iii) a reduction in left-lateralised activity in frontal cortex. Indeed, performance of this simple language task evoked activity in children with DLD in the same regions and to a similar level as in typically developing children. Consistent with previous reports, we found sub-threshold group differences in the left inferior frontal gyrus and caudate nuclei, but only when analysis was limited to a subsample of the DLD group (N=14) who had the poorest performance on the task. Additionally, we used a two-factor model to capture variation in all children studied (N=143) on a range of neuropsychological tests and found that these language and verbal memory factors correlated with activity in different brain regions. Our findings indicate a lack of support for some neurological models of atypical language learning, such as the procedural deficit hypothesis or the atypical lateralization hypothesis, at least when using simple language tasks that children can perform. These results also emphasise the importance of controlling for and monitoring task performance.","container-title":"NeuroImage","DOI":"10.1016/j.neuroimage.2020.117599","ISSN":"1053-8119","journalAbbreviation":"NeuroImage","language":"en","page":"117599","source":"ScienceDirect","title":"Functional organisation for verb generation in children with developmental language disorder","URL":"http://www.sciencedirect.com/science/article/pii/S1053811920310843","author":[{"family":"Krishnan","given":"Saloni"},{"family":"Asaridou","given":"Salomi S."},{"family":"Cler","given":"Gabriel J."},{"family":"Smith","given":"Harriet J."},{"family":"Willis","given":"Hannah E."},{"family":"Healy","given":"Máiréad P."},{"family":"Thompson","given":"Paul A."},{"family":"Bishop","given":"Dorothy V. M."},{"family":"Watkins","given":"Kate E."}],"accessed":{"date-parts":[["2020",12,7]]},"issued":{"date-parts":[["2020",12,4]]}},"suppress-author":true}],"schema":"https://github.com/citation-style-language/schema/raw/master/csl-citation.json"} </w:instrText>
      </w:r>
      <w:r>
        <w:fldChar w:fldCharType="separate"/>
      </w:r>
      <w:r>
        <w:rPr>
          <w:noProof/>
        </w:rPr>
        <w:t>(2020)</w:t>
      </w:r>
      <w:r>
        <w:fldChar w:fldCharType="end"/>
      </w:r>
      <w:r>
        <w:t xml:space="preserve">, we accounted for strong correlations between </w:t>
      </w:r>
      <w:r>
        <w:rPr>
          <w:bCs/>
        </w:rPr>
        <w:t>expressive and receptive vocabulary scores, as well as the two narrative production measures in modified models, and found the modified two-factor model to be a better fit to the data than the modified single-factor model. We consequently derived language and memory proficiency scores using this modified two-factor model.</w:t>
      </w:r>
    </w:p>
    <w:p w14:paraId="0A106ECB" w14:textId="77777777" w:rsidR="00425EB4" w:rsidRPr="007E63C3" w:rsidRDefault="00425EB4" w:rsidP="00A22539">
      <w:pPr>
        <w:spacing w:line="360" w:lineRule="auto"/>
        <w:jc w:val="both"/>
        <w:rPr>
          <w:color w:val="292526"/>
        </w:rPr>
      </w:pPr>
    </w:p>
    <w:p w14:paraId="1B7232E4" w14:textId="77777777" w:rsidR="008804AC" w:rsidRDefault="008804AC" w:rsidP="00A22539">
      <w:pPr>
        <w:spacing w:line="360" w:lineRule="auto"/>
        <w:jc w:val="both"/>
        <w:rPr>
          <w:b/>
          <w:bCs/>
          <w:color w:val="292526"/>
          <w:sz w:val="28"/>
          <w:szCs w:val="28"/>
        </w:rPr>
      </w:pPr>
    </w:p>
    <w:p w14:paraId="5B4A51CB" w14:textId="483F5B7E" w:rsidR="009A137B" w:rsidRDefault="009A137B" w:rsidP="009A137B">
      <w:pPr>
        <w:spacing w:line="360" w:lineRule="auto"/>
        <w:jc w:val="both"/>
        <w:rPr>
          <w:b/>
          <w:bCs/>
          <w:color w:val="292526"/>
          <w:sz w:val="28"/>
          <w:szCs w:val="28"/>
        </w:rPr>
      </w:pPr>
      <w:r>
        <w:rPr>
          <w:b/>
          <w:bCs/>
          <w:color w:val="292526"/>
          <w:sz w:val="28"/>
          <w:szCs w:val="28"/>
        </w:rPr>
        <w:t>Data availability</w:t>
      </w:r>
    </w:p>
    <w:p w14:paraId="63BB2CC8" w14:textId="082BAE21" w:rsidR="00513096" w:rsidRPr="002A0E72" w:rsidRDefault="00513096" w:rsidP="002A0E72">
      <w:pPr>
        <w:spacing w:line="360" w:lineRule="auto"/>
        <w:jc w:val="both"/>
      </w:pPr>
      <w:r w:rsidRPr="002A0E72">
        <w:t>The data that support the findings of this study are openly available on the OSF (</w:t>
      </w:r>
      <w:hyperlink r:id="rId12" w:history="1">
        <w:r w:rsidR="00204168" w:rsidRPr="002A0E72">
          <w:t>https://osf.io/d93gq/?view_only=c48c989c574a49cba6eba1c413f185bb</w:t>
        </w:r>
      </w:hyperlink>
      <w:r w:rsidRPr="002A0E72">
        <w:t>).</w:t>
      </w:r>
      <w:r w:rsidR="00204168" w:rsidRPr="002A0E72">
        <w:t xml:space="preserve"> Statistical maps can also be viewed on Neurovaul</w:t>
      </w:r>
      <w:r w:rsidR="002A0E72" w:rsidRPr="002A0E72">
        <w:t>t (</w:t>
      </w:r>
      <w:hyperlink r:id="rId13" w:history="1">
        <w:r w:rsidR="002A0E72" w:rsidRPr="002A0E72">
          <w:t>https://neurovault.org/collections/DUGBDBPH/</w:t>
        </w:r>
      </w:hyperlink>
      <w:r w:rsidR="002A0E72">
        <w:t>)</w:t>
      </w:r>
    </w:p>
    <w:p w14:paraId="6EAF6F36" w14:textId="77777777" w:rsidR="009A137B" w:rsidRDefault="009A137B" w:rsidP="00A22539">
      <w:pPr>
        <w:spacing w:line="360" w:lineRule="auto"/>
        <w:jc w:val="both"/>
        <w:rPr>
          <w:b/>
          <w:bCs/>
          <w:color w:val="292526"/>
          <w:sz w:val="28"/>
          <w:szCs w:val="28"/>
        </w:rPr>
      </w:pPr>
    </w:p>
    <w:p w14:paraId="73846832" w14:textId="48C08A57" w:rsidR="00FF7732" w:rsidRDefault="00FF7732" w:rsidP="00A22539">
      <w:pPr>
        <w:spacing w:line="360" w:lineRule="auto"/>
        <w:jc w:val="both"/>
        <w:rPr>
          <w:b/>
          <w:bCs/>
          <w:color w:val="292526"/>
          <w:sz w:val="28"/>
          <w:szCs w:val="28"/>
        </w:rPr>
      </w:pPr>
      <w:r>
        <w:rPr>
          <w:b/>
          <w:bCs/>
          <w:color w:val="292526"/>
          <w:sz w:val="28"/>
          <w:szCs w:val="28"/>
        </w:rPr>
        <w:t>Acknowledgements</w:t>
      </w:r>
    </w:p>
    <w:p w14:paraId="1D8802E6" w14:textId="4F435D39" w:rsidR="00FF7732" w:rsidRPr="0010420F" w:rsidRDefault="0010420F" w:rsidP="00A22539">
      <w:pPr>
        <w:spacing w:line="360" w:lineRule="auto"/>
        <w:jc w:val="both"/>
        <w:rPr>
          <w:color w:val="292526"/>
        </w:rPr>
      </w:pPr>
      <w:r w:rsidRPr="0010420F">
        <w:rPr>
          <w:color w:val="292526"/>
        </w:rPr>
        <w:t xml:space="preserve">We thank all of our participants and their families, without whom this work would not be possible. We would also like to acknowledge the </w:t>
      </w:r>
      <w:r w:rsidR="00CC1284">
        <w:rPr>
          <w:color w:val="292526"/>
        </w:rPr>
        <w:t>many</w:t>
      </w:r>
      <w:r w:rsidRPr="0010420F">
        <w:rPr>
          <w:color w:val="292526"/>
        </w:rPr>
        <w:t xml:space="preserve"> individuals and organisations that helped us with recruitment (</w:t>
      </w:r>
      <w:hyperlink r:id="rId14" w:history="1">
        <w:r w:rsidR="00062D56" w:rsidRPr="00773C03">
          <w:rPr>
            <w:rStyle w:val="Hyperlink"/>
          </w:rPr>
          <w:t>https://boldstudy.wordpress.com/acknowledgements/</w:t>
        </w:r>
      </w:hyperlink>
      <w:r w:rsidRPr="0010420F">
        <w:rPr>
          <w:color w:val="292526"/>
        </w:rPr>
        <w:t>)</w:t>
      </w:r>
      <w:r w:rsidR="00B4714B">
        <w:rPr>
          <w:color w:val="292526"/>
        </w:rPr>
        <w:t>. We especially thank</w:t>
      </w:r>
      <w:r w:rsidR="00062D56">
        <w:rPr>
          <w:color w:val="292526"/>
        </w:rPr>
        <w:t xml:space="preserve"> Professor Dorothy Bishop for her</w:t>
      </w:r>
      <w:r w:rsidR="00B4714B">
        <w:rPr>
          <w:color w:val="292526"/>
        </w:rPr>
        <w:t xml:space="preserve"> support,</w:t>
      </w:r>
      <w:r w:rsidR="00062D56">
        <w:rPr>
          <w:color w:val="292526"/>
        </w:rPr>
        <w:t xml:space="preserve"> insight</w:t>
      </w:r>
      <w:r w:rsidR="00B4714B">
        <w:rPr>
          <w:color w:val="292526"/>
        </w:rPr>
        <w:t>,</w:t>
      </w:r>
      <w:r w:rsidR="00062D56">
        <w:rPr>
          <w:color w:val="292526"/>
        </w:rPr>
        <w:t xml:space="preserve"> and discussions through</w:t>
      </w:r>
      <w:r w:rsidR="00B4714B">
        <w:rPr>
          <w:color w:val="292526"/>
        </w:rPr>
        <w:t>out</w:t>
      </w:r>
      <w:r w:rsidR="00062D56">
        <w:rPr>
          <w:color w:val="292526"/>
        </w:rPr>
        <w:t xml:space="preserve"> OxBOLD</w:t>
      </w:r>
      <w:r w:rsidRPr="0010420F">
        <w:rPr>
          <w:color w:val="292526"/>
        </w:rPr>
        <w:t xml:space="preserve">. We also thank members of </w:t>
      </w:r>
      <w:r w:rsidR="002906B4">
        <w:rPr>
          <w:color w:val="292526"/>
        </w:rPr>
        <w:t xml:space="preserve">the </w:t>
      </w:r>
      <w:r w:rsidRPr="0010420F">
        <w:rPr>
          <w:color w:val="292526"/>
        </w:rPr>
        <w:t>Wellcome Centre for Integrative Neuroimaging, especially the MRI team at the Oxford Centre for Human Brain Activity: Sebastian Rieger, Juliet Semple, Nicky Aikin</w:t>
      </w:r>
      <w:r w:rsidR="00EF61C2">
        <w:rPr>
          <w:color w:val="292526"/>
        </w:rPr>
        <w:t>,</w:t>
      </w:r>
      <w:r w:rsidRPr="0010420F">
        <w:rPr>
          <w:color w:val="292526"/>
        </w:rPr>
        <w:t xml:space="preserve"> Nicola Filippini</w:t>
      </w:r>
      <w:r w:rsidR="009F55D7">
        <w:rPr>
          <w:color w:val="292526"/>
        </w:rPr>
        <w:t>, Eniko Zsoldos,</w:t>
      </w:r>
      <w:r w:rsidR="00EF61C2">
        <w:rPr>
          <w:color w:val="292526"/>
        </w:rPr>
        <w:t xml:space="preserve"> and Emily Hinson</w:t>
      </w:r>
      <w:r w:rsidRPr="0010420F">
        <w:rPr>
          <w:color w:val="292526"/>
        </w:rPr>
        <w:t xml:space="preserve">. We are </w:t>
      </w:r>
      <w:r w:rsidR="00CC1284">
        <w:rPr>
          <w:color w:val="292526"/>
        </w:rPr>
        <w:t>grateful</w:t>
      </w:r>
      <w:r w:rsidRPr="0010420F">
        <w:rPr>
          <w:color w:val="292526"/>
        </w:rPr>
        <w:t xml:space="preserve"> to </w:t>
      </w:r>
      <w:r w:rsidR="00425F57">
        <w:rPr>
          <w:color w:val="292526"/>
        </w:rPr>
        <w:t xml:space="preserve">Professor Fred Dick, as well as </w:t>
      </w:r>
      <w:r w:rsidR="00CC1284" w:rsidRPr="0010420F">
        <w:rPr>
          <w:color w:val="292526"/>
        </w:rPr>
        <w:t xml:space="preserve">members of the </w:t>
      </w:r>
      <w:r w:rsidR="00D65CEF">
        <w:rPr>
          <w:color w:val="292526"/>
        </w:rPr>
        <w:t xml:space="preserve">Oxford </w:t>
      </w:r>
      <w:r w:rsidR="00CC1284" w:rsidRPr="0010420F">
        <w:rPr>
          <w:color w:val="292526"/>
        </w:rPr>
        <w:t>Speech and Brain Group</w:t>
      </w:r>
      <w:r w:rsidR="00425F57">
        <w:rPr>
          <w:color w:val="292526"/>
        </w:rPr>
        <w:t xml:space="preserve"> </w:t>
      </w:r>
      <w:r w:rsidR="00CC1284" w:rsidRPr="0010420F">
        <w:rPr>
          <w:color w:val="292526"/>
        </w:rPr>
        <w:t>for helpful discussions and support</w:t>
      </w:r>
      <w:r w:rsidR="00CC1284">
        <w:rPr>
          <w:color w:val="292526"/>
        </w:rPr>
        <w:t>.</w:t>
      </w:r>
      <w:r w:rsidR="0013116B">
        <w:rPr>
          <w:color w:val="292526"/>
        </w:rPr>
        <w:t xml:space="preserve"> </w:t>
      </w:r>
    </w:p>
    <w:p w14:paraId="0223DED8" w14:textId="77777777" w:rsidR="0010420F" w:rsidRDefault="0010420F" w:rsidP="00A22539">
      <w:pPr>
        <w:spacing w:line="360" w:lineRule="auto"/>
        <w:jc w:val="both"/>
        <w:rPr>
          <w:b/>
          <w:bCs/>
          <w:color w:val="292526"/>
          <w:sz w:val="28"/>
          <w:szCs w:val="28"/>
        </w:rPr>
      </w:pPr>
    </w:p>
    <w:p w14:paraId="1659ED1A" w14:textId="35725C12" w:rsidR="00FF7732" w:rsidRDefault="00FF7732" w:rsidP="00A22539">
      <w:pPr>
        <w:spacing w:line="360" w:lineRule="auto"/>
        <w:jc w:val="both"/>
        <w:rPr>
          <w:b/>
          <w:bCs/>
          <w:color w:val="292526"/>
          <w:sz w:val="28"/>
          <w:szCs w:val="28"/>
        </w:rPr>
      </w:pPr>
      <w:r>
        <w:rPr>
          <w:b/>
          <w:bCs/>
          <w:color w:val="292526"/>
          <w:sz w:val="28"/>
          <w:szCs w:val="28"/>
        </w:rPr>
        <w:t>Fundi</w:t>
      </w:r>
      <w:r w:rsidR="0010420F">
        <w:rPr>
          <w:b/>
          <w:bCs/>
          <w:color w:val="292526"/>
          <w:sz w:val="28"/>
          <w:szCs w:val="28"/>
        </w:rPr>
        <w:t>n</w:t>
      </w:r>
      <w:r>
        <w:rPr>
          <w:b/>
          <w:bCs/>
          <w:color w:val="292526"/>
          <w:sz w:val="28"/>
          <w:szCs w:val="28"/>
        </w:rPr>
        <w:t>g</w:t>
      </w:r>
    </w:p>
    <w:p w14:paraId="4B61276A" w14:textId="77777777" w:rsidR="0010420F" w:rsidRPr="0010420F" w:rsidRDefault="0010420F" w:rsidP="0010420F">
      <w:pPr>
        <w:spacing w:line="360" w:lineRule="auto"/>
        <w:jc w:val="both"/>
        <w:rPr>
          <w:color w:val="292526"/>
        </w:rPr>
      </w:pPr>
      <w:r w:rsidRPr="0010420F">
        <w:rPr>
          <w:color w:val="292526"/>
        </w:rPr>
        <w:t>The Oxford Brain Organisation in Language Development or OxBOLD study was funded by the Medical Research Council MR/P024149/1 and supported by the NIHR Oxford Health Biomedical Research Centre.  The Wellcome Centre for Integrative Neuroimaging is supported by core funding from the Wellcome Trust (203139/Z/16/Z).</w:t>
      </w:r>
    </w:p>
    <w:p w14:paraId="6D024CC8" w14:textId="0C4874CB" w:rsidR="00FF7732" w:rsidRDefault="00FF7732" w:rsidP="00A22539">
      <w:pPr>
        <w:spacing w:line="360" w:lineRule="auto"/>
        <w:jc w:val="both"/>
        <w:rPr>
          <w:b/>
          <w:bCs/>
          <w:color w:val="292526"/>
          <w:sz w:val="28"/>
          <w:szCs w:val="28"/>
        </w:rPr>
      </w:pPr>
    </w:p>
    <w:p w14:paraId="29B6DA08" w14:textId="77777777" w:rsidR="00E12B90" w:rsidRDefault="00E12B90" w:rsidP="00A22539">
      <w:pPr>
        <w:spacing w:line="360" w:lineRule="auto"/>
        <w:jc w:val="both"/>
        <w:rPr>
          <w:b/>
          <w:bCs/>
          <w:color w:val="292526"/>
          <w:sz w:val="28"/>
          <w:szCs w:val="28"/>
        </w:rPr>
      </w:pPr>
    </w:p>
    <w:p w14:paraId="52B54505" w14:textId="1B5F150A" w:rsidR="00FF7732" w:rsidRDefault="00FF7732" w:rsidP="00A22539">
      <w:pPr>
        <w:spacing w:line="360" w:lineRule="auto"/>
        <w:jc w:val="both"/>
        <w:rPr>
          <w:b/>
          <w:bCs/>
          <w:color w:val="292526"/>
          <w:sz w:val="28"/>
          <w:szCs w:val="28"/>
        </w:rPr>
      </w:pPr>
      <w:r>
        <w:rPr>
          <w:b/>
          <w:bCs/>
          <w:color w:val="292526"/>
          <w:sz w:val="28"/>
          <w:szCs w:val="28"/>
        </w:rPr>
        <w:t>Competing interests</w:t>
      </w:r>
    </w:p>
    <w:p w14:paraId="69132E57" w14:textId="64BEDFB9" w:rsidR="00FF7732" w:rsidRPr="00FF7732" w:rsidRDefault="00FF7732" w:rsidP="00A22539">
      <w:pPr>
        <w:spacing w:line="360" w:lineRule="auto"/>
        <w:jc w:val="both"/>
        <w:rPr>
          <w:color w:val="292526"/>
        </w:rPr>
      </w:pPr>
      <w:r w:rsidRPr="00FF7732">
        <w:rPr>
          <w:color w:val="292526"/>
        </w:rPr>
        <w:t>The authors report no competing interests.</w:t>
      </w:r>
    </w:p>
    <w:p w14:paraId="09999633" w14:textId="6423DBC5" w:rsidR="00FF7732" w:rsidRDefault="00FF7732" w:rsidP="00A22539">
      <w:pPr>
        <w:spacing w:line="360" w:lineRule="auto"/>
        <w:jc w:val="both"/>
        <w:rPr>
          <w:color w:val="292526"/>
          <w:sz w:val="28"/>
          <w:szCs w:val="28"/>
        </w:rPr>
      </w:pPr>
    </w:p>
    <w:p w14:paraId="4EB30C14" w14:textId="4175B3E9" w:rsidR="00FF7732" w:rsidRPr="00FF7732" w:rsidRDefault="00FF7732" w:rsidP="00A22539">
      <w:pPr>
        <w:spacing w:line="360" w:lineRule="auto"/>
        <w:jc w:val="both"/>
        <w:rPr>
          <w:b/>
          <w:bCs/>
          <w:color w:val="292526"/>
          <w:sz w:val="28"/>
          <w:szCs w:val="28"/>
        </w:rPr>
      </w:pPr>
      <w:r w:rsidRPr="00FF7732">
        <w:rPr>
          <w:b/>
          <w:bCs/>
          <w:color w:val="292526"/>
          <w:sz w:val="28"/>
          <w:szCs w:val="28"/>
        </w:rPr>
        <w:t>References</w:t>
      </w:r>
    </w:p>
    <w:p w14:paraId="575C0B0C" w14:textId="77777777" w:rsidR="00DA1F42" w:rsidRPr="00DA1F42" w:rsidRDefault="00F62758" w:rsidP="00DA1F42">
      <w:pPr>
        <w:pStyle w:val="Bibliography"/>
        <w:jc w:val="both"/>
        <w:rPr>
          <w:rFonts w:ascii="Times New Roman" w:hAnsi="Times New Roman" w:cs="Times New Roman"/>
        </w:rPr>
      </w:pPr>
      <w:r w:rsidRPr="00DA1F42">
        <w:rPr>
          <w:rFonts w:ascii="Times New Roman" w:hAnsi="Times New Roman" w:cs="Times New Roman"/>
          <w:color w:val="292526"/>
        </w:rPr>
        <w:fldChar w:fldCharType="begin"/>
      </w:r>
      <w:r w:rsidRPr="00DA1F42">
        <w:rPr>
          <w:rFonts w:ascii="Times New Roman" w:hAnsi="Times New Roman" w:cs="Times New Roman"/>
          <w:color w:val="292526"/>
        </w:rPr>
        <w:instrText xml:space="preserve"> ADDIN ZOTERO_BIBL {"uncited":[],"omitted":[],"custom":[]} CSL_BIBLIOGRAPHY </w:instrText>
      </w:r>
      <w:r w:rsidRPr="00DA1F42">
        <w:rPr>
          <w:rFonts w:ascii="Times New Roman" w:hAnsi="Times New Roman" w:cs="Times New Roman"/>
          <w:color w:val="292526"/>
        </w:rPr>
        <w:fldChar w:fldCharType="separate"/>
      </w:r>
      <w:r w:rsidR="00DA1F42" w:rsidRPr="00DA1F42">
        <w:rPr>
          <w:rFonts w:ascii="Times New Roman" w:hAnsi="Times New Roman" w:cs="Times New Roman"/>
        </w:rPr>
        <w:t xml:space="preserve">Alexander, G. E., DeLong, M. R., &amp; Strick, P. L. (1986). Parallel Organization of Functionally Segregated Circuits Linking Basal Ganglia and Cortex. </w:t>
      </w:r>
      <w:r w:rsidR="00DA1F42" w:rsidRPr="00DA1F42">
        <w:rPr>
          <w:rFonts w:ascii="Times New Roman" w:hAnsi="Times New Roman" w:cs="Times New Roman"/>
          <w:i/>
          <w:iCs/>
        </w:rPr>
        <w:t>Annual Review of Neuroscience</w:t>
      </w:r>
      <w:r w:rsidR="00DA1F42" w:rsidRPr="00DA1F42">
        <w:rPr>
          <w:rFonts w:ascii="Times New Roman" w:hAnsi="Times New Roman" w:cs="Times New Roman"/>
        </w:rPr>
        <w:t xml:space="preserve">, </w:t>
      </w:r>
      <w:r w:rsidR="00DA1F42" w:rsidRPr="00DA1F42">
        <w:rPr>
          <w:rFonts w:ascii="Times New Roman" w:hAnsi="Times New Roman" w:cs="Times New Roman"/>
          <w:i/>
          <w:iCs/>
        </w:rPr>
        <w:t>9</w:t>
      </w:r>
      <w:r w:rsidR="00DA1F42" w:rsidRPr="00DA1F42">
        <w:rPr>
          <w:rFonts w:ascii="Times New Roman" w:hAnsi="Times New Roman" w:cs="Times New Roman"/>
        </w:rPr>
        <w:t>(1), 357–381. https://doi.org/10.1146/annurev.ne.09.030186.002041</w:t>
      </w:r>
    </w:p>
    <w:p w14:paraId="0120BD68"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Allen, M., Glen, J. C., Müllensiefen, D., Schwarzkopf, D. S., Fardo, F., Frank, D., Callaghan, M. F., &amp; Rees, G. (2017). Metacognitive ability correlates with hippocampal and prefrontal microstructure. </w:t>
      </w:r>
      <w:r w:rsidRPr="00DA1F42">
        <w:rPr>
          <w:rFonts w:ascii="Times New Roman" w:hAnsi="Times New Roman" w:cs="Times New Roman"/>
          <w:i/>
          <w:iCs/>
        </w:rPr>
        <w:t>NeuroImage</w:t>
      </w:r>
      <w:r w:rsidRPr="00DA1F42">
        <w:rPr>
          <w:rFonts w:ascii="Times New Roman" w:hAnsi="Times New Roman" w:cs="Times New Roman"/>
        </w:rPr>
        <w:t xml:space="preserve">, </w:t>
      </w:r>
      <w:r w:rsidRPr="00DA1F42">
        <w:rPr>
          <w:rFonts w:ascii="Times New Roman" w:hAnsi="Times New Roman" w:cs="Times New Roman"/>
          <w:i/>
          <w:iCs/>
        </w:rPr>
        <w:t>149</w:t>
      </w:r>
      <w:r w:rsidRPr="00DA1F42">
        <w:rPr>
          <w:rFonts w:ascii="Times New Roman" w:hAnsi="Times New Roman" w:cs="Times New Roman"/>
        </w:rPr>
        <w:t>, 415–423. https://doi.org/10.1016/j.neuroimage.2017.02.008</w:t>
      </w:r>
    </w:p>
    <w:p w14:paraId="600EDD6D"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lastRenderedPageBreak/>
        <w:t xml:space="preserve">Argyropoulos, G. P. D., Watkins, K. E., Belton-Pagnamenta, E., Liégeois, F., Saleem, K. S., Mishkin, M., &amp; Vargha-Khadem, F. (2019). Neocerebellar Crus I Abnormalities Associated with a Speech and Language Disorder Due to a Mutation in FOXP2. </w:t>
      </w:r>
      <w:r w:rsidRPr="00DA1F42">
        <w:rPr>
          <w:rFonts w:ascii="Times New Roman" w:hAnsi="Times New Roman" w:cs="Times New Roman"/>
          <w:i/>
          <w:iCs/>
        </w:rPr>
        <w:t>The Cerebellum</w:t>
      </w:r>
      <w:r w:rsidRPr="00DA1F42">
        <w:rPr>
          <w:rFonts w:ascii="Times New Roman" w:hAnsi="Times New Roman" w:cs="Times New Roman"/>
        </w:rPr>
        <w:t xml:space="preserve">, </w:t>
      </w:r>
      <w:r w:rsidRPr="00DA1F42">
        <w:rPr>
          <w:rFonts w:ascii="Times New Roman" w:hAnsi="Times New Roman" w:cs="Times New Roman"/>
          <w:i/>
          <w:iCs/>
        </w:rPr>
        <w:t>18</w:t>
      </w:r>
      <w:r w:rsidRPr="00DA1F42">
        <w:rPr>
          <w:rFonts w:ascii="Times New Roman" w:hAnsi="Times New Roman" w:cs="Times New Roman"/>
        </w:rPr>
        <w:t>(3), 309–319. https://doi.org/10.1007/s12311-018-0989-3</w:t>
      </w:r>
    </w:p>
    <w:p w14:paraId="3551839A"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Asaridou, S. S., Demir-Lira, Ö. E., Goldin-Meadow, S., Levine, S. C., &amp; Small, S. L. (2020). Language development and brain reorganization in a child born without the left hemisphere. </w:t>
      </w:r>
      <w:r w:rsidRPr="00DA1F42">
        <w:rPr>
          <w:rFonts w:ascii="Times New Roman" w:hAnsi="Times New Roman" w:cs="Times New Roman"/>
          <w:i/>
          <w:iCs/>
        </w:rPr>
        <w:t>Cortex</w:t>
      </w:r>
      <w:r w:rsidRPr="00DA1F42">
        <w:rPr>
          <w:rFonts w:ascii="Times New Roman" w:hAnsi="Times New Roman" w:cs="Times New Roman"/>
        </w:rPr>
        <w:t xml:space="preserve">, </w:t>
      </w:r>
      <w:r w:rsidRPr="00DA1F42">
        <w:rPr>
          <w:rFonts w:ascii="Times New Roman" w:hAnsi="Times New Roman" w:cs="Times New Roman"/>
          <w:i/>
          <w:iCs/>
        </w:rPr>
        <w:t>127</w:t>
      </w:r>
      <w:r w:rsidRPr="00DA1F42">
        <w:rPr>
          <w:rFonts w:ascii="Times New Roman" w:hAnsi="Times New Roman" w:cs="Times New Roman"/>
        </w:rPr>
        <w:t>, 290–312. https://doi.org/10.1016/j.cortex.2020.02.006</w:t>
      </w:r>
    </w:p>
    <w:p w14:paraId="13328A8F"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Ayyash, D., Malik-Moraleda, S., Gallée, J., Affourtit, J., Hoffman, M., Mineroff, Z., Jouravlev, O., &amp; Fedorenko, E. (2021). </w:t>
      </w:r>
      <w:r w:rsidRPr="00DA1F42">
        <w:rPr>
          <w:rFonts w:ascii="Times New Roman" w:hAnsi="Times New Roman" w:cs="Times New Roman"/>
          <w:i/>
          <w:iCs/>
        </w:rPr>
        <w:t>The universal language network: A cross-linguistic investigation spanning 45 languages and 11 language families</w:t>
      </w:r>
      <w:r w:rsidRPr="00DA1F42">
        <w:rPr>
          <w:rFonts w:ascii="Times New Roman" w:hAnsi="Times New Roman" w:cs="Times New Roman"/>
        </w:rPr>
        <w:t xml:space="preserve"> [Preprint]. Neuroscience. https://doi.org/10.1101/2021.07.28.454040</w:t>
      </w:r>
    </w:p>
    <w:p w14:paraId="14FA3ABC"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Badcock, N. A., Bishop, D. V. M., Hardiman, M. J., Barry, J. G., &amp; Watkins, K. E. (2012). Co-localisation of abnormal brain structure and function in specific language impairment. </w:t>
      </w:r>
      <w:r w:rsidRPr="00DA1F42">
        <w:rPr>
          <w:rFonts w:ascii="Times New Roman" w:hAnsi="Times New Roman" w:cs="Times New Roman"/>
          <w:i/>
          <w:iCs/>
        </w:rPr>
        <w:t>Brain and Language</w:t>
      </w:r>
      <w:r w:rsidRPr="00DA1F42">
        <w:rPr>
          <w:rFonts w:ascii="Times New Roman" w:hAnsi="Times New Roman" w:cs="Times New Roman"/>
        </w:rPr>
        <w:t xml:space="preserve">, </w:t>
      </w:r>
      <w:r w:rsidRPr="00DA1F42">
        <w:rPr>
          <w:rFonts w:ascii="Times New Roman" w:hAnsi="Times New Roman" w:cs="Times New Roman"/>
          <w:i/>
          <w:iCs/>
        </w:rPr>
        <w:t>120</w:t>
      </w:r>
      <w:r w:rsidRPr="00DA1F42">
        <w:rPr>
          <w:rFonts w:ascii="Times New Roman" w:hAnsi="Times New Roman" w:cs="Times New Roman"/>
        </w:rPr>
        <w:t>(3), 310–320. https://doi.org/10.1016/j.bandl.2011.10.006</w:t>
      </w:r>
    </w:p>
    <w:p w14:paraId="5EAC0D45"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Balteau, E., Tabelow, K., Ashburner, J., Callaghan, M. F., Draganski, B., Helms, G., Kherif, F., Leutritz, T., Lutti, A., Phillips, C., Reimer, E., Ruthotto, L., Seif, M., Weiskopf, N., Ziegler, G., &amp; Mohammadi, S. (2018). </w:t>
      </w:r>
      <w:r w:rsidRPr="00DA1F42">
        <w:rPr>
          <w:rFonts w:ascii="Times New Roman" w:hAnsi="Times New Roman" w:cs="Times New Roman"/>
          <w:i/>
          <w:iCs/>
        </w:rPr>
        <w:t>HMRI – A toolbox for using quantitative MRI in neuroscience and clinical research</w:t>
      </w:r>
      <w:r w:rsidRPr="00DA1F42">
        <w:rPr>
          <w:rFonts w:ascii="Times New Roman" w:hAnsi="Times New Roman" w:cs="Times New Roman"/>
        </w:rPr>
        <w:t>. 37.</w:t>
      </w:r>
    </w:p>
    <w:p w14:paraId="0985FB25"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Bates, E., &amp; Dick, F. (2002). Language, gesture, and the developing brain. </w:t>
      </w:r>
      <w:r w:rsidRPr="00DA1F42">
        <w:rPr>
          <w:rFonts w:ascii="Times New Roman" w:hAnsi="Times New Roman" w:cs="Times New Roman"/>
          <w:i/>
          <w:iCs/>
        </w:rPr>
        <w:t>Developmental Psychobiology</w:t>
      </w:r>
      <w:r w:rsidRPr="00DA1F42">
        <w:rPr>
          <w:rFonts w:ascii="Times New Roman" w:hAnsi="Times New Roman" w:cs="Times New Roman"/>
        </w:rPr>
        <w:t xml:space="preserve">, </w:t>
      </w:r>
      <w:r w:rsidRPr="00DA1F42">
        <w:rPr>
          <w:rFonts w:ascii="Times New Roman" w:hAnsi="Times New Roman" w:cs="Times New Roman"/>
          <w:i/>
          <w:iCs/>
        </w:rPr>
        <w:t>40</w:t>
      </w:r>
      <w:r w:rsidRPr="00DA1F42">
        <w:rPr>
          <w:rFonts w:ascii="Times New Roman" w:hAnsi="Times New Roman" w:cs="Times New Roman"/>
        </w:rPr>
        <w:t>(3), 293–310. https://doi.org/10.1002/dev.10034</w:t>
      </w:r>
    </w:p>
    <w:p w14:paraId="74005D35"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Belton, E., Salmond, C. H., Watkins, K. E., Vargha‐Khadem, F., &amp; Gadian, D. G. (2003). Bilateral brain abnormalities associated with dominantly inherited verbal and orofacial dyspraxia. </w:t>
      </w:r>
      <w:r w:rsidRPr="00DA1F42">
        <w:rPr>
          <w:rFonts w:ascii="Times New Roman" w:hAnsi="Times New Roman" w:cs="Times New Roman"/>
          <w:i/>
          <w:iCs/>
        </w:rPr>
        <w:t>Human Brain Mapping</w:t>
      </w:r>
      <w:r w:rsidRPr="00DA1F42">
        <w:rPr>
          <w:rFonts w:ascii="Times New Roman" w:hAnsi="Times New Roman" w:cs="Times New Roman"/>
        </w:rPr>
        <w:t xml:space="preserve">, </w:t>
      </w:r>
      <w:r w:rsidRPr="00DA1F42">
        <w:rPr>
          <w:rFonts w:ascii="Times New Roman" w:hAnsi="Times New Roman" w:cs="Times New Roman"/>
          <w:i/>
          <w:iCs/>
        </w:rPr>
        <w:t>18</w:t>
      </w:r>
      <w:r w:rsidRPr="00DA1F42">
        <w:rPr>
          <w:rFonts w:ascii="Times New Roman" w:hAnsi="Times New Roman" w:cs="Times New Roman"/>
        </w:rPr>
        <w:t>(3), 194–200. https://doi.org/10.1002/hbm.10093</w:t>
      </w:r>
    </w:p>
    <w:p w14:paraId="4D049EE2"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Bishop, D. V. M. (2004). </w:t>
      </w:r>
      <w:r w:rsidRPr="00DA1F42">
        <w:rPr>
          <w:rFonts w:ascii="Times New Roman" w:hAnsi="Times New Roman" w:cs="Times New Roman"/>
          <w:i/>
          <w:iCs/>
        </w:rPr>
        <w:t>Expression, Reception and Recall of Narrative Instrument: ERRNI.</w:t>
      </w:r>
      <w:r w:rsidRPr="00DA1F42">
        <w:rPr>
          <w:rFonts w:ascii="Times New Roman" w:hAnsi="Times New Roman" w:cs="Times New Roman"/>
        </w:rPr>
        <w:t xml:space="preserve"> Harcourt assessment.</w:t>
      </w:r>
    </w:p>
    <w:p w14:paraId="45501BD8"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lastRenderedPageBreak/>
        <w:t xml:space="preserve">Bishop, D. V. M. (2005). </w:t>
      </w:r>
      <w:r w:rsidRPr="00DA1F42">
        <w:rPr>
          <w:rFonts w:ascii="Times New Roman" w:hAnsi="Times New Roman" w:cs="Times New Roman"/>
          <w:i/>
          <w:iCs/>
        </w:rPr>
        <w:t>Test for Reception of Grammar, Version 2—Electronic (TROG–E).</w:t>
      </w:r>
      <w:r w:rsidRPr="00DA1F42">
        <w:rPr>
          <w:rFonts w:ascii="Times New Roman" w:hAnsi="Times New Roman" w:cs="Times New Roman"/>
        </w:rPr>
        <w:t xml:space="preserve"> (2nd ed.). The Psychological Corporation.</w:t>
      </w:r>
    </w:p>
    <w:p w14:paraId="2D48FBD8"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Bishop, D. V. M., &amp; Hsu, H. J. (2015). The declarative system in children with specific language impairment: A comparison of meaningful and meaningless auditory-visual paired associate learning. </w:t>
      </w:r>
      <w:r w:rsidRPr="00DA1F42">
        <w:rPr>
          <w:rFonts w:ascii="Times New Roman" w:hAnsi="Times New Roman" w:cs="Times New Roman"/>
          <w:i/>
          <w:iCs/>
        </w:rPr>
        <w:t>BMC Psychology</w:t>
      </w:r>
      <w:r w:rsidRPr="00DA1F42">
        <w:rPr>
          <w:rFonts w:ascii="Times New Roman" w:hAnsi="Times New Roman" w:cs="Times New Roman"/>
        </w:rPr>
        <w:t xml:space="preserve">, </w:t>
      </w:r>
      <w:r w:rsidRPr="00DA1F42">
        <w:rPr>
          <w:rFonts w:ascii="Times New Roman" w:hAnsi="Times New Roman" w:cs="Times New Roman"/>
          <w:i/>
          <w:iCs/>
        </w:rPr>
        <w:t>3</w:t>
      </w:r>
      <w:r w:rsidRPr="00DA1F42">
        <w:rPr>
          <w:rFonts w:ascii="Times New Roman" w:hAnsi="Times New Roman" w:cs="Times New Roman"/>
        </w:rPr>
        <w:t>(1), 3. https://doi.org/10.1186/s40359-015-0062-7</w:t>
      </w:r>
    </w:p>
    <w:p w14:paraId="63F26728"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Bishop, D. V. M., Snowling, M. J., Thompson, P. A., Greenhalgh, T., &amp; and the CATALISE-2 consortium. (2017). Phase 2 of CATALISE: A multinational and multidisciplinary Delphi consensus study of problems with language development: Terminology. </w:t>
      </w:r>
      <w:r w:rsidRPr="00DA1F42">
        <w:rPr>
          <w:rFonts w:ascii="Times New Roman" w:hAnsi="Times New Roman" w:cs="Times New Roman"/>
          <w:i/>
          <w:iCs/>
        </w:rPr>
        <w:t>Journal of Child Psychology and Psychiatry</w:t>
      </w:r>
      <w:r w:rsidRPr="00DA1F42">
        <w:rPr>
          <w:rFonts w:ascii="Times New Roman" w:hAnsi="Times New Roman" w:cs="Times New Roman"/>
        </w:rPr>
        <w:t xml:space="preserve">, </w:t>
      </w:r>
      <w:r w:rsidRPr="00DA1F42">
        <w:rPr>
          <w:rFonts w:ascii="Times New Roman" w:hAnsi="Times New Roman" w:cs="Times New Roman"/>
          <w:i/>
          <w:iCs/>
        </w:rPr>
        <w:t>58</w:t>
      </w:r>
      <w:r w:rsidRPr="00DA1F42">
        <w:rPr>
          <w:rFonts w:ascii="Times New Roman" w:hAnsi="Times New Roman" w:cs="Times New Roman"/>
        </w:rPr>
        <w:t>(10), 1068–1080. https://doi.org/10.1111/jcpp.12721</w:t>
      </w:r>
    </w:p>
    <w:p w14:paraId="656C53A1"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Bishop, D. V. M., Snowling, M. J., Thompson, P. A., Greenhalgh, T., &amp; CATALISE consortium. (2016). CATALISE: A Multinational and Multidisciplinary Delphi Consensus Study. Identifying Language Impairments in Children. </w:t>
      </w:r>
      <w:r w:rsidRPr="00DA1F42">
        <w:rPr>
          <w:rFonts w:ascii="Times New Roman" w:hAnsi="Times New Roman" w:cs="Times New Roman"/>
          <w:i/>
          <w:iCs/>
        </w:rPr>
        <w:t>PLOS ONE</w:t>
      </w:r>
      <w:r w:rsidRPr="00DA1F42">
        <w:rPr>
          <w:rFonts w:ascii="Times New Roman" w:hAnsi="Times New Roman" w:cs="Times New Roman"/>
        </w:rPr>
        <w:t xml:space="preserve">, </w:t>
      </w:r>
      <w:r w:rsidRPr="00DA1F42">
        <w:rPr>
          <w:rFonts w:ascii="Times New Roman" w:hAnsi="Times New Roman" w:cs="Times New Roman"/>
          <w:i/>
          <w:iCs/>
        </w:rPr>
        <w:t>11</w:t>
      </w:r>
      <w:r w:rsidRPr="00DA1F42">
        <w:rPr>
          <w:rFonts w:ascii="Times New Roman" w:hAnsi="Times New Roman" w:cs="Times New Roman"/>
        </w:rPr>
        <w:t>(7), e0158753. https://doi.org/10.1371/journal.pone.0158753</w:t>
      </w:r>
    </w:p>
    <w:p w14:paraId="07D12920"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Bouchard, K. E., Mesgarani, N., Johnson, K., &amp; Chang, E. F. (2013). Functional organization of human sensorimotor cortex for speech articulation. </w:t>
      </w:r>
      <w:r w:rsidRPr="00DA1F42">
        <w:rPr>
          <w:rFonts w:ascii="Times New Roman" w:hAnsi="Times New Roman" w:cs="Times New Roman"/>
          <w:i/>
          <w:iCs/>
        </w:rPr>
        <w:t>Nature</w:t>
      </w:r>
      <w:r w:rsidRPr="00DA1F42">
        <w:rPr>
          <w:rFonts w:ascii="Times New Roman" w:hAnsi="Times New Roman" w:cs="Times New Roman"/>
        </w:rPr>
        <w:t xml:space="preserve">, </w:t>
      </w:r>
      <w:r w:rsidRPr="00DA1F42">
        <w:rPr>
          <w:rFonts w:ascii="Times New Roman" w:hAnsi="Times New Roman" w:cs="Times New Roman"/>
          <w:i/>
          <w:iCs/>
        </w:rPr>
        <w:t>495</w:t>
      </w:r>
      <w:r w:rsidRPr="00DA1F42">
        <w:rPr>
          <w:rFonts w:ascii="Times New Roman" w:hAnsi="Times New Roman" w:cs="Times New Roman"/>
        </w:rPr>
        <w:t>(7441), 327–332. https://doi.org/10.1038/nature11911</w:t>
      </w:r>
    </w:p>
    <w:p w14:paraId="7E2357BC"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Brown, T. A. (2006). </w:t>
      </w:r>
      <w:r w:rsidRPr="00DA1F42">
        <w:rPr>
          <w:rFonts w:ascii="Times New Roman" w:hAnsi="Times New Roman" w:cs="Times New Roman"/>
          <w:i/>
          <w:iCs/>
        </w:rPr>
        <w:t>Confirmatory factor analysis for applied research.</w:t>
      </w:r>
      <w:r w:rsidRPr="00DA1F42">
        <w:rPr>
          <w:rFonts w:ascii="Times New Roman" w:hAnsi="Times New Roman" w:cs="Times New Roman"/>
        </w:rPr>
        <w:t xml:space="preserve"> Guilford Press.</w:t>
      </w:r>
    </w:p>
    <w:p w14:paraId="2CE9C075"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Callaghan, M. F., Freund, P., Draganski, B., Anderson, E., Cappelletti, M., Chowdhury, R., Diedrichsen, J., FitzGerald, T. H. B., Smittenaar, P., Helms, G., Lutti, A., &amp; Weiskopf, N. (2014). Widespread age-related differences in the human brain microstructure revealed by quantitative magnetic resonance imaging. </w:t>
      </w:r>
      <w:r w:rsidRPr="00DA1F42">
        <w:rPr>
          <w:rFonts w:ascii="Times New Roman" w:hAnsi="Times New Roman" w:cs="Times New Roman"/>
          <w:i/>
          <w:iCs/>
        </w:rPr>
        <w:t>Neurobiology of Aging</w:t>
      </w:r>
      <w:r w:rsidRPr="00DA1F42">
        <w:rPr>
          <w:rFonts w:ascii="Times New Roman" w:hAnsi="Times New Roman" w:cs="Times New Roman"/>
        </w:rPr>
        <w:t xml:space="preserve">, </w:t>
      </w:r>
      <w:r w:rsidRPr="00DA1F42">
        <w:rPr>
          <w:rFonts w:ascii="Times New Roman" w:hAnsi="Times New Roman" w:cs="Times New Roman"/>
          <w:i/>
          <w:iCs/>
        </w:rPr>
        <w:t>35</w:t>
      </w:r>
      <w:r w:rsidRPr="00DA1F42">
        <w:rPr>
          <w:rFonts w:ascii="Times New Roman" w:hAnsi="Times New Roman" w:cs="Times New Roman"/>
        </w:rPr>
        <w:t>(8), 1862–1872. https://doi.org/10.1016/j.neurobiolaging.2014.02.008</w:t>
      </w:r>
    </w:p>
    <w:p w14:paraId="1E891768"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lastRenderedPageBreak/>
        <w:t xml:space="preserve">Carey, D., Caprini, F., Allen, M., Lutti, A., Weiskopf, N., Rees, G., Callaghan, M. F., &amp; Dick, F. (2018). Quantitative MRI provides markers of intra-, inter-regional, and age-related differences in young adult cortical microstructure. </w:t>
      </w:r>
      <w:r w:rsidRPr="00DA1F42">
        <w:rPr>
          <w:rFonts w:ascii="Times New Roman" w:hAnsi="Times New Roman" w:cs="Times New Roman"/>
          <w:i/>
          <w:iCs/>
        </w:rPr>
        <w:t>NeuroImage</w:t>
      </w:r>
      <w:r w:rsidRPr="00DA1F42">
        <w:rPr>
          <w:rFonts w:ascii="Times New Roman" w:hAnsi="Times New Roman" w:cs="Times New Roman"/>
        </w:rPr>
        <w:t xml:space="preserve">, </w:t>
      </w:r>
      <w:r w:rsidRPr="00DA1F42">
        <w:rPr>
          <w:rFonts w:ascii="Times New Roman" w:hAnsi="Times New Roman" w:cs="Times New Roman"/>
          <w:i/>
          <w:iCs/>
        </w:rPr>
        <w:t>182</w:t>
      </w:r>
      <w:r w:rsidRPr="00DA1F42">
        <w:rPr>
          <w:rFonts w:ascii="Times New Roman" w:hAnsi="Times New Roman" w:cs="Times New Roman"/>
        </w:rPr>
        <w:t>, 429–440. https://doi.org/10.1016/j.neuroimage.2017.11.066</w:t>
      </w:r>
    </w:p>
    <w:p w14:paraId="0C53AE87"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Carey, D., Krishnan, S., Callaghan, M. F., Sereno, M. I., &amp; Dick, F. (2017). Functional and Quantitative MRI Mapping of Somatomotor Representations of Human Supralaryngeal Vocal Tract. </w:t>
      </w:r>
      <w:r w:rsidRPr="00DA1F42">
        <w:rPr>
          <w:rFonts w:ascii="Times New Roman" w:hAnsi="Times New Roman" w:cs="Times New Roman"/>
          <w:i/>
          <w:iCs/>
        </w:rPr>
        <w:t>Cerebral Cortex</w:t>
      </w:r>
      <w:r w:rsidRPr="00DA1F42">
        <w:rPr>
          <w:rFonts w:ascii="Times New Roman" w:hAnsi="Times New Roman" w:cs="Times New Roman"/>
        </w:rPr>
        <w:t xml:space="preserve">, </w:t>
      </w:r>
      <w:r w:rsidRPr="00DA1F42">
        <w:rPr>
          <w:rFonts w:ascii="Times New Roman" w:hAnsi="Times New Roman" w:cs="Times New Roman"/>
          <w:i/>
          <w:iCs/>
        </w:rPr>
        <w:t>27</w:t>
      </w:r>
      <w:r w:rsidRPr="00DA1F42">
        <w:rPr>
          <w:rFonts w:ascii="Times New Roman" w:hAnsi="Times New Roman" w:cs="Times New Roman"/>
        </w:rPr>
        <w:t>(1), 265–278. https://doi.org/10.1093/cercor/bhw393</w:t>
      </w:r>
    </w:p>
    <w:p w14:paraId="015B17EF"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Choi, E. Y., Yeo, B. T. T., &amp; Buckner, R. L. (2012). The organization of the human striatum estimated by intrinsic functional connectivity. </w:t>
      </w:r>
      <w:r w:rsidRPr="00DA1F42">
        <w:rPr>
          <w:rFonts w:ascii="Times New Roman" w:hAnsi="Times New Roman" w:cs="Times New Roman"/>
          <w:i/>
          <w:iCs/>
        </w:rPr>
        <w:t>Journal of Neurophysiology</w:t>
      </w:r>
      <w:r w:rsidRPr="00DA1F42">
        <w:rPr>
          <w:rFonts w:ascii="Times New Roman" w:hAnsi="Times New Roman" w:cs="Times New Roman"/>
        </w:rPr>
        <w:t xml:space="preserve">, </w:t>
      </w:r>
      <w:r w:rsidRPr="00DA1F42">
        <w:rPr>
          <w:rFonts w:ascii="Times New Roman" w:hAnsi="Times New Roman" w:cs="Times New Roman"/>
          <w:i/>
          <w:iCs/>
        </w:rPr>
        <w:t>108</w:t>
      </w:r>
      <w:r w:rsidRPr="00DA1F42">
        <w:rPr>
          <w:rFonts w:ascii="Times New Roman" w:hAnsi="Times New Roman" w:cs="Times New Roman"/>
        </w:rPr>
        <w:t>(8), 2242–2263. https://doi.org/10.1152/jn.00270.2012</w:t>
      </w:r>
    </w:p>
    <w:p w14:paraId="1EB1E9B8"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Clark, I. A., Callaghan, M. F., Weiskopf, N., &amp; Maguire, E. A. (2020). Hippocampal grey matter tissue microstructure does not explain individual differences in hippocampal-dependent task performance. </w:t>
      </w:r>
      <w:r w:rsidRPr="00DA1F42">
        <w:rPr>
          <w:rFonts w:ascii="Times New Roman" w:hAnsi="Times New Roman" w:cs="Times New Roman"/>
          <w:i/>
          <w:iCs/>
        </w:rPr>
        <w:t>BioRxiv</w:t>
      </w:r>
      <w:r w:rsidRPr="00DA1F42">
        <w:rPr>
          <w:rFonts w:ascii="Times New Roman" w:hAnsi="Times New Roman" w:cs="Times New Roman"/>
        </w:rPr>
        <w:t>, 2020.08.18.255992. https://doi.org/10.1101/2020.08.18.255992</w:t>
      </w:r>
    </w:p>
    <w:p w14:paraId="2A5FECAC"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Cler, G., Krishnan, S., Papp, D., Wiltshire, C., Chesters, J., &amp; Watkins, K. E. (2021). </w:t>
      </w:r>
      <w:r w:rsidRPr="00DA1F42">
        <w:rPr>
          <w:rFonts w:ascii="Times New Roman" w:hAnsi="Times New Roman" w:cs="Times New Roman"/>
          <w:i/>
          <w:iCs/>
        </w:rPr>
        <w:t>Elevated iron concentration in putamen and cortical speech motor network in developmental stuttering</w:t>
      </w:r>
      <w:r w:rsidRPr="00DA1F42">
        <w:rPr>
          <w:rFonts w:ascii="Times New Roman" w:hAnsi="Times New Roman" w:cs="Times New Roman"/>
        </w:rPr>
        <w:t>. OSF Preprints. https://doi.org/10.31219/osf.io/ypq8s</w:t>
      </w:r>
    </w:p>
    <w:p w14:paraId="3D0743A3"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Cohen, M. (1997). </w:t>
      </w:r>
      <w:r w:rsidRPr="00DA1F42">
        <w:rPr>
          <w:rFonts w:ascii="Times New Roman" w:hAnsi="Times New Roman" w:cs="Times New Roman"/>
          <w:i/>
          <w:iCs/>
        </w:rPr>
        <w:t>Children’s memory scale.</w:t>
      </w:r>
      <w:r w:rsidRPr="00DA1F42">
        <w:rPr>
          <w:rFonts w:ascii="Times New Roman" w:hAnsi="Times New Roman" w:cs="Times New Roman"/>
        </w:rPr>
        <w:t xml:space="preserve"> Psychological Corporation.</w:t>
      </w:r>
    </w:p>
    <w:p w14:paraId="5ABA8870"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Conti-Ramsden, G., Durkin, K., Toseeb, U., Botting, N., &amp; Pickles, A. (2018). Education and employment outcomes of young adults with a history of developmental language disorder. </w:t>
      </w:r>
      <w:r w:rsidRPr="00DA1F42">
        <w:rPr>
          <w:rFonts w:ascii="Times New Roman" w:hAnsi="Times New Roman" w:cs="Times New Roman"/>
          <w:i/>
          <w:iCs/>
        </w:rPr>
        <w:t>International Journal of Language &amp; Communication Disorders</w:t>
      </w:r>
      <w:r w:rsidRPr="00DA1F42">
        <w:rPr>
          <w:rFonts w:ascii="Times New Roman" w:hAnsi="Times New Roman" w:cs="Times New Roman"/>
        </w:rPr>
        <w:t xml:space="preserve">, </w:t>
      </w:r>
      <w:r w:rsidRPr="00DA1F42">
        <w:rPr>
          <w:rFonts w:ascii="Times New Roman" w:hAnsi="Times New Roman" w:cs="Times New Roman"/>
          <w:i/>
          <w:iCs/>
        </w:rPr>
        <w:t>53</w:t>
      </w:r>
      <w:r w:rsidRPr="00DA1F42">
        <w:rPr>
          <w:rFonts w:ascii="Times New Roman" w:hAnsi="Times New Roman" w:cs="Times New Roman"/>
        </w:rPr>
        <w:t>(2), 237–255. https://doi.org/10.1111/1460-6984.12338</w:t>
      </w:r>
    </w:p>
    <w:p w14:paraId="4111061B"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Dick, F., Taylor Tierney, A., Lutti, A., Josephs, O., Sereno, M. I., &amp; Weiskopf, N. (2012). In Vivo Functional and Myeloarchitectonic Mapping of Human Primary Auditory Areas. </w:t>
      </w:r>
      <w:r w:rsidRPr="00DA1F42">
        <w:rPr>
          <w:rFonts w:ascii="Times New Roman" w:hAnsi="Times New Roman" w:cs="Times New Roman"/>
          <w:i/>
          <w:iCs/>
        </w:rPr>
        <w:lastRenderedPageBreak/>
        <w:t>Journal of Neuroscience</w:t>
      </w:r>
      <w:r w:rsidRPr="00DA1F42">
        <w:rPr>
          <w:rFonts w:ascii="Times New Roman" w:hAnsi="Times New Roman" w:cs="Times New Roman"/>
        </w:rPr>
        <w:t xml:space="preserve">, </w:t>
      </w:r>
      <w:r w:rsidRPr="00DA1F42">
        <w:rPr>
          <w:rFonts w:ascii="Times New Roman" w:hAnsi="Times New Roman" w:cs="Times New Roman"/>
          <w:i/>
          <w:iCs/>
        </w:rPr>
        <w:t>32</w:t>
      </w:r>
      <w:r w:rsidRPr="00DA1F42">
        <w:rPr>
          <w:rFonts w:ascii="Times New Roman" w:hAnsi="Times New Roman" w:cs="Times New Roman"/>
        </w:rPr>
        <w:t>(46), 16095–16105. https://doi.org/10.1523/JNEUROSCI.1712-12.2012</w:t>
      </w:r>
    </w:p>
    <w:p w14:paraId="45241658"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Draganski, B., Ashburner, J., Hutton, C., Kherif, F., Frackowiak, R. S. J., Helms, G., &amp; Weiskopf, N. (2011). Regional specificity of MRI contrast parameter changes in normal ageing revealed by voxel-based quantification (VBQ). </w:t>
      </w:r>
      <w:r w:rsidRPr="00DA1F42">
        <w:rPr>
          <w:rFonts w:ascii="Times New Roman" w:hAnsi="Times New Roman" w:cs="Times New Roman"/>
          <w:i/>
          <w:iCs/>
        </w:rPr>
        <w:t>NeuroImage</w:t>
      </w:r>
      <w:r w:rsidRPr="00DA1F42">
        <w:rPr>
          <w:rFonts w:ascii="Times New Roman" w:hAnsi="Times New Roman" w:cs="Times New Roman"/>
        </w:rPr>
        <w:t xml:space="preserve">, </w:t>
      </w:r>
      <w:r w:rsidRPr="00DA1F42">
        <w:rPr>
          <w:rFonts w:ascii="Times New Roman" w:hAnsi="Times New Roman" w:cs="Times New Roman"/>
          <w:i/>
          <w:iCs/>
        </w:rPr>
        <w:t>55</w:t>
      </w:r>
      <w:r w:rsidRPr="00DA1F42">
        <w:rPr>
          <w:rFonts w:ascii="Times New Roman" w:hAnsi="Times New Roman" w:cs="Times New Roman"/>
        </w:rPr>
        <w:t>(4), 1423–1434. https://doi.org/10.1016/j.neuroimage.2011.01.052</w:t>
      </w:r>
    </w:p>
    <w:p w14:paraId="147A1453"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Dronkers, N. (1996). A new brain region for coordinating speech articulation. </w:t>
      </w:r>
      <w:r w:rsidRPr="00DA1F42">
        <w:rPr>
          <w:rFonts w:ascii="Times New Roman" w:hAnsi="Times New Roman" w:cs="Times New Roman"/>
          <w:i/>
          <w:iCs/>
        </w:rPr>
        <w:t>Nature</w:t>
      </w:r>
      <w:r w:rsidRPr="00DA1F42">
        <w:rPr>
          <w:rFonts w:ascii="Times New Roman" w:hAnsi="Times New Roman" w:cs="Times New Roman"/>
        </w:rPr>
        <w:t xml:space="preserve">, </w:t>
      </w:r>
      <w:r w:rsidRPr="00DA1F42">
        <w:rPr>
          <w:rFonts w:ascii="Times New Roman" w:hAnsi="Times New Roman" w:cs="Times New Roman"/>
          <w:i/>
          <w:iCs/>
        </w:rPr>
        <w:t>384</w:t>
      </w:r>
      <w:r w:rsidRPr="00DA1F42">
        <w:rPr>
          <w:rFonts w:ascii="Times New Roman" w:hAnsi="Times New Roman" w:cs="Times New Roman"/>
        </w:rPr>
        <w:t>, 159–161.</w:t>
      </w:r>
    </w:p>
    <w:p w14:paraId="2A6A6C46"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Earle, F. S., &amp; Ullman, M. T. (2021). Deficits of Learning in Procedural Memory and Consolidation in Declarative Memory in Adults With Developmental Language Disorder. </w:t>
      </w:r>
      <w:r w:rsidRPr="00DA1F42">
        <w:rPr>
          <w:rFonts w:ascii="Times New Roman" w:hAnsi="Times New Roman" w:cs="Times New Roman"/>
          <w:i/>
          <w:iCs/>
        </w:rPr>
        <w:t>Journal of Speech, Language, and Hearing Research</w:t>
      </w:r>
      <w:r w:rsidRPr="00DA1F42">
        <w:rPr>
          <w:rFonts w:ascii="Times New Roman" w:hAnsi="Times New Roman" w:cs="Times New Roman"/>
        </w:rPr>
        <w:t xml:space="preserve">, </w:t>
      </w:r>
      <w:r w:rsidRPr="00DA1F42">
        <w:rPr>
          <w:rFonts w:ascii="Times New Roman" w:hAnsi="Times New Roman" w:cs="Times New Roman"/>
          <w:i/>
          <w:iCs/>
        </w:rPr>
        <w:t>64</w:t>
      </w:r>
      <w:r w:rsidRPr="00DA1F42">
        <w:rPr>
          <w:rFonts w:ascii="Times New Roman" w:hAnsi="Times New Roman" w:cs="Times New Roman"/>
        </w:rPr>
        <w:t>(2), 531–541. https://doi.org/10.1044/2020_JSLHR-20-00292</w:t>
      </w:r>
    </w:p>
    <w:p w14:paraId="4FC89524"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Edwards, L. J., Kirilina, E., Mohammadi, S., &amp; Weiskopf, N. (2018). Microstructural imaging of human neocortex in vivo. </w:t>
      </w:r>
      <w:r w:rsidRPr="00DA1F42">
        <w:rPr>
          <w:rFonts w:ascii="Times New Roman" w:hAnsi="Times New Roman" w:cs="Times New Roman"/>
          <w:i/>
          <w:iCs/>
        </w:rPr>
        <w:t>NeuroImage</w:t>
      </w:r>
      <w:r w:rsidRPr="00DA1F42">
        <w:rPr>
          <w:rFonts w:ascii="Times New Roman" w:hAnsi="Times New Roman" w:cs="Times New Roman"/>
        </w:rPr>
        <w:t xml:space="preserve">, </w:t>
      </w:r>
      <w:r w:rsidRPr="00DA1F42">
        <w:rPr>
          <w:rFonts w:ascii="Times New Roman" w:hAnsi="Times New Roman" w:cs="Times New Roman"/>
          <w:i/>
          <w:iCs/>
        </w:rPr>
        <w:t>182</w:t>
      </w:r>
      <w:r w:rsidRPr="00DA1F42">
        <w:rPr>
          <w:rFonts w:ascii="Times New Roman" w:hAnsi="Times New Roman" w:cs="Times New Roman"/>
        </w:rPr>
        <w:t>, 184–206. https://doi.org/10.1016/j.neuroimage.2018.02.055</w:t>
      </w:r>
    </w:p>
    <w:p w14:paraId="5D0E6C81"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Eising, E., Mirza-Schreiber, N., de Zeeuw, E. L., Wang, C. A., Truong, D. T., Allegrini, A. G., Shapland, C. Y., Zhu, G., Wigg, K. G., Gerritse, M., Molz, B., Alagöz, G., Gialluisi, A., Abbondanza, F., Rimfeld, K., van Donkelaar, M., Liao, Z., Jansen, P. R., Andlauer, T. F. M., … Fisher, S. E. (2021). </w:t>
      </w:r>
      <w:r w:rsidRPr="00DA1F42">
        <w:rPr>
          <w:rFonts w:ascii="Times New Roman" w:hAnsi="Times New Roman" w:cs="Times New Roman"/>
          <w:i/>
          <w:iCs/>
        </w:rPr>
        <w:t>Genome-wide association analyses of individual differences in quantitatively assessed reading- and language-related skills in up to 34,000 people</w:t>
      </w:r>
      <w:r w:rsidRPr="00DA1F42">
        <w:rPr>
          <w:rFonts w:ascii="Times New Roman" w:hAnsi="Times New Roman" w:cs="Times New Roman"/>
        </w:rPr>
        <w:t xml:space="preserve"> [Preprint]. Genomics. https://doi.org/10.1101/2021.11.04.466897</w:t>
      </w:r>
    </w:p>
    <w:p w14:paraId="0D657652"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Fedorenko, E., Behr, M. K., &amp; Kanwisher, N. (2011). Functional specificity for high-level linguistic processing in the human brain. </w:t>
      </w:r>
      <w:r w:rsidRPr="00DA1F42">
        <w:rPr>
          <w:rFonts w:ascii="Times New Roman" w:hAnsi="Times New Roman" w:cs="Times New Roman"/>
          <w:i/>
          <w:iCs/>
        </w:rPr>
        <w:t>Proceedings of the National Academy of Sciences</w:t>
      </w:r>
      <w:r w:rsidRPr="00DA1F42">
        <w:rPr>
          <w:rFonts w:ascii="Times New Roman" w:hAnsi="Times New Roman" w:cs="Times New Roman"/>
        </w:rPr>
        <w:t xml:space="preserve">, </w:t>
      </w:r>
      <w:r w:rsidRPr="00DA1F42">
        <w:rPr>
          <w:rFonts w:ascii="Times New Roman" w:hAnsi="Times New Roman" w:cs="Times New Roman"/>
          <w:i/>
          <w:iCs/>
        </w:rPr>
        <w:t>108</w:t>
      </w:r>
      <w:r w:rsidRPr="00DA1F42">
        <w:rPr>
          <w:rFonts w:ascii="Times New Roman" w:hAnsi="Times New Roman" w:cs="Times New Roman"/>
        </w:rPr>
        <w:t>(39), 16428–16433. https://doi.org/10.1073/pnas.1112937108</w:t>
      </w:r>
    </w:p>
    <w:p w14:paraId="0878D905"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lastRenderedPageBreak/>
        <w:t xml:space="preserve">Freund, P., Weiskopf, N., Ashburner, J., Wolf, K., Sutter, R., Altmann, D. R., Friston, K., Thompson, A., &amp; Curt, A. (2013). MRI investigation of the sensorimotor cortex and the corticospinal tract after acute spinal cord injury: A prospective longitudinal study. </w:t>
      </w:r>
      <w:r w:rsidRPr="00DA1F42">
        <w:rPr>
          <w:rFonts w:ascii="Times New Roman" w:hAnsi="Times New Roman" w:cs="Times New Roman"/>
          <w:i/>
          <w:iCs/>
        </w:rPr>
        <w:t>The Lancet Neurology</w:t>
      </w:r>
      <w:r w:rsidRPr="00DA1F42">
        <w:rPr>
          <w:rFonts w:ascii="Times New Roman" w:hAnsi="Times New Roman" w:cs="Times New Roman"/>
        </w:rPr>
        <w:t xml:space="preserve">, </w:t>
      </w:r>
      <w:r w:rsidRPr="00DA1F42">
        <w:rPr>
          <w:rFonts w:ascii="Times New Roman" w:hAnsi="Times New Roman" w:cs="Times New Roman"/>
          <w:i/>
          <w:iCs/>
        </w:rPr>
        <w:t>12</w:t>
      </w:r>
      <w:r w:rsidRPr="00DA1F42">
        <w:rPr>
          <w:rFonts w:ascii="Times New Roman" w:hAnsi="Times New Roman" w:cs="Times New Roman"/>
        </w:rPr>
        <w:t>(9), 873–881. https://doi.org/10.1016/S1474-4422(13)70146-7</w:t>
      </w:r>
    </w:p>
    <w:p w14:paraId="1F2A5542"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Gauger, L. M., Lombardino, L. J., &amp; Leonard, C. M. (1997). Brain morphology in children with specific language impairment. </w:t>
      </w:r>
      <w:r w:rsidRPr="00DA1F42">
        <w:rPr>
          <w:rFonts w:ascii="Times New Roman" w:hAnsi="Times New Roman" w:cs="Times New Roman"/>
          <w:i/>
          <w:iCs/>
        </w:rPr>
        <w:t>Journal of Speech, Language, and Hearing Research; Rockville</w:t>
      </w:r>
      <w:r w:rsidRPr="00DA1F42">
        <w:rPr>
          <w:rFonts w:ascii="Times New Roman" w:hAnsi="Times New Roman" w:cs="Times New Roman"/>
        </w:rPr>
        <w:t xml:space="preserve">, </w:t>
      </w:r>
      <w:r w:rsidRPr="00DA1F42">
        <w:rPr>
          <w:rFonts w:ascii="Times New Roman" w:hAnsi="Times New Roman" w:cs="Times New Roman"/>
          <w:i/>
          <w:iCs/>
        </w:rPr>
        <w:t>40</w:t>
      </w:r>
      <w:r w:rsidRPr="00DA1F42">
        <w:rPr>
          <w:rFonts w:ascii="Times New Roman" w:hAnsi="Times New Roman" w:cs="Times New Roman"/>
        </w:rPr>
        <w:t>(6), 1272–1284. https://search.proquest.com/docview/232349104/abstract/BD6AB18BF9924CCBPQ/1</w:t>
      </w:r>
    </w:p>
    <w:p w14:paraId="3615808C"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Girbau-Massana, D., Garcia-Marti, G., Marti-Bonmati, L., &amp; Schwartz, R. G. (2014). Gray–white matter and cerebrospinal fluid volume differences in children with Specific Language Impairment and/or Reading Disability. </w:t>
      </w:r>
      <w:r w:rsidRPr="00DA1F42">
        <w:rPr>
          <w:rFonts w:ascii="Times New Roman" w:hAnsi="Times New Roman" w:cs="Times New Roman"/>
          <w:i/>
          <w:iCs/>
        </w:rPr>
        <w:t>Neuropsychologia</w:t>
      </w:r>
      <w:r w:rsidRPr="00DA1F42">
        <w:rPr>
          <w:rFonts w:ascii="Times New Roman" w:hAnsi="Times New Roman" w:cs="Times New Roman"/>
        </w:rPr>
        <w:t xml:space="preserve">, </w:t>
      </w:r>
      <w:r w:rsidRPr="00DA1F42">
        <w:rPr>
          <w:rFonts w:ascii="Times New Roman" w:hAnsi="Times New Roman" w:cs="Times New Roman"/>
          <w:i/>
          <w:iCs/>
        </w:rPr>
        <w:t>56</w:t>
      </w:r>
      <w:r w:rsidRPr="00DA1F42">
        <w:rPr>
          <w:rFonts w:ascii="Times New Roman" w:hAnsi="Times New Roman" w:cs="Times New Roman"/>
        </w:rPr>
        <w:t>, 90–100. https://doi.org/10.1016/j.neuropsychologia.2014.01.004</w:t>
      </w:r>
    </w:p>
    <w:p w14:paraId="71F13DD8"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Glasser, M. F., &amp; Essen, D. C. V. (2011). Mapping Human Cortical Areas In Vivo Based on Myelin Content as Revealed by T1- and T2-Weighted MRI. </w:t>
      </w:r>
      <w:r w:rsidRPr="00DA1F42">
        <w:rPr>
          <w:rFonts w:ascii="Times New Roman" w:hAnsi="Times New Roman" w:cs="Times New Roman"/>
          <w:i/>
          <w:iCs/>
        </w:rPr>
        <w:t>Journal of Neuroscience</w:t>
      </w:r>
      <w:r w:rsidRPr="00DA1F42">
        <w:rPr>
          <w:rFonts w:ascii="Times New Roman" w:hAnsi="Times New Roman" w:cs="Times New Roman"/>
        </w:rPr>
        <w:t xml:space="preserve">, </w:t>
      </w:r>
      <w:r w:rsidRPr="00DA1F42">
        <w:rPr>
          <w:rFonts w:ascii="Times New Roman" w:hAnsi="Times New Roman" w:cs="Times New Roman"/>
          <w:i/>
          <w:iCs/>
        </w:rPr>
        <w:t>31</w:t>
      </w:r>
      <w:r w:rsidRPr="00DA1F42">
        <w:rPr>
          <w:rFonts w:ascii="Times New Roman" w:hAnsi="Times New Roman" w:cs="Times New Roman"/>
        </w:rPr>
        <w:t>(32), 11597–11616. https://doi.org/10.1523/JNEUROSCI.2180-11.2011</w:t>
      </w:r>
    </w:p>
    <w:p w14:paraId="4EDE7025"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Graybiel, A. M., &amp; Grafton, S. T. (2015). The Striatum: Where Skills and Habits Meet. </w:t>
      </w:r>
      <w:r w:rsidRPr="00DA1F42">
        <w:rPr>
          <w:rFonts w:ascii="Times New Roman" w:hAnsi="Times New Roman" w:cs="Times New Roman"/>
          <w:i/>
          <w:iCs/>
        </w:rPr>
        <w:t>Cold Spring Harbor Perspectives in Biology</w:t>
      </w:r>
      <w:r w:rsidRPr="00DA1F42">
        <w:rPr>
          <w:rFonts w:ascii="Times New Roman" w:hAnsi="Times New Roman" w:cs="Times New Roman"/>
        </w:rPr>
        <w:t xml:space="preserve">, </w:t>
      </w:r>
      <w:r w:rsidRPr="00DA1F42">
        <w:rPr>
          <w:rFonts w:ascii="Times New Roman" w:hAnsi="Times New Roman" w:cs="Times New Roman"/>
          <w:i/>
          <w:iCs/>
        </w:rPr>
        <w:t>7</w:t>
      </w:r>
      <w:r w:rsidRPr="00DA1F42">
        <w:rPr>
          <w:rFonts w:ascii="Times New Roman" w:hAnsi="Times New Roman" w:cs="Times New Roman"/>
        </w:rPr>
        <w:t>(8), a021691. https://doi.org/10.1101/cshperspect.a021691</w:t>
      </w:r>
    </w:p>
    <w:p w14:paraId="46810BD7"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Halliday, L. F., Tuomainen, O., &amp; Rosen, S. (2017). Auditory processing deficits are sometimes necessary and sometimes sufficient for language difficulties in children: Evidence from mild to moderate sensorineural hearing loss. </w:t>
      </w:r>
      <w:r w:rsidRPr="00DA1F42">
        <w:rPr>
          <w:rFonts w:ascii="Times New Roman" w:hAnsi="Times New Roman" w:cs="Times New Roman"/>
          <w:i/>
          <w:iCs/>
        </w:rPr>
        <w:t>Cognition</w:t>
      </w:r>
      <w:r w:rsidRPr="00DA1F42">
        <w:rPr>
          <w:rFonts w:ascii="Times New Roman" w:hAnsi="Times New Roman" w:cs="Times New Roman"/>
        </w:rPr>
        <w:t xml:space="preserve">, </w:t>
      </w:r>
      <w:r w:rsidRPr="00DA1F42">
        <w:rPr>
          <w:rFonts w:ascii="Times New Roman" w:hAnsi="Times New Roman" w:cs="Times New Roman"/>
          <w:i/>
          <w:iCs/>
        </w:rPr>
        <w:t>166</w:t>
      </w:r>
      <w:r w:rsidRPr="00DA1F42">
        <w:rPr>
          <w:rFonts w:ascii="Times New Roman" w:hAnsi="Times New Roman" w:cs="Times New Roman"/>
        </w:rPr>
        <w:t>, 139–151. https://doi.org/10.1016/j.cognition.2017.04.014</w:t>
      </w:r>
    </w:p>
    <w:p w14:paraId="5FB00D1F"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lastRenderedPageBreak/>
        <w:t xml:space="preserve">Herbert, M. R., Ziegler, D. A., Makris, N., Bakardjiev, A., Hodgson, J., Adrien, K. T., Kennedy, D. N., Filipek, P. A., &amp; Caviness, V. S. (2003). Larger brain and white matter volumes in children with developmental language disorder. </w:t>
      </w:r>
      <w:r w:rsidRPr="00DA1F42">
        <w:rPr>
          <w:rFonts w:ascii="Times New Roman" w:hAnsi="Times New Roman" w:cs="Times New Roman"/>
          <w:i/>
          <w:iCs/>
        </w:rPr>
        <w:t>Developmental Science</w:t>
      </w:r>
      <w:r w:rsidRPr="00DA1F42">
        <w:rPr>
          <w:rFonts w:ascii="Times New Roman" w:hAnsi="Times New Roman" w:cs="Times New Roman"/>
        </w:rPr>
        <w:t xml:space="preserve">, </w:t>
      </w:r>
      <w:r w:rsidRPr="00DA1F42">
        <w:rPr>
          <w:rFonts w:ascii="Times New Roman" w:hAnsi="Times New Roman" w:cs="Times New Roman"/>
          <w:i/>
          <w:iCs/>
        </w:rPr>
        <w:t>6</w:t>
      </w:r>
      <w:r w:rsidRPr="00DA1F42">
        <w:rPr>
          <w:rFonts w:ascii="Times New Roman" w:hAnsi="Times New Roman" w:cs="Times New Roman"/>
        </w:rPr>
        <w:t>(4), F11–F22. https://doi.org/10.1111/1467-7687.00291</w:t>
      </w:r>
    </w:p>
    <w:p w14:paraId="7FF44C2E"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Hickok, G., &amp; Poeppel, D. (2007). The cortical organization of speech processing. </w:t>
      </w:r>
      <w:r w:rsidRPr="00DA1F42">
        <w:rPr>
          <w:rFonts w:ascii="Times New Roman" w:hAnsi="Times New Roman" w:cs="Times New Roman"/>
          <w:i/>
          <w:iCs/>
        </w:rPr>
        <w:t>Nature Reviews Neuroscience</w:t>
      </w:r>
      <w:r w:rsidRPr="00DA1F42">
        <w:rPr>
          <w:rFonts w:ascii="Times New Roman" w:hAnsi="Times New Roman" w:cs="Times New Roman"/>
        </w:rPr>
        <w:t xml:space="preserve">, </w:t>
      </w:r>
      <w:r w:rsidRPr="00DA1F42">
        <w:rPr>
          <w:rFonts w:ascii="Times New Roman" w:hAnsi="Times New Roman" w:cs="Times New Roman"/>
          <w:i/>
          <w:iCs/>
        </w:rPr>
        <w:t>8</w:t>
      </w:r>
      <w:r w:rsidRPr="00DA1F42">
        <w:rPr>
          <w:rFonts w:ascii="Times New Roman" w:hAnsi="Times New Roman" w:cs="Times New Roman"/>
        </w:rPr>
        <w:t>(5), 393–402. https://doi.org/10.1038/nrn2113</w:t>
      </w:r>
    </w:p>
    <w:p w14:paraId="5A1B6C75"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Hill, E. L. (2001). Non-specific nature of specific language impairment: A review of the literature with regard to concomitant motor impairments. </w:t>
      </w:r>
      <w:r w:rsidRPr="00DA1F42">
        <w:rPr>
          <w:rFonts w:ascii="Times New Roman" w:hAnsi="Times New Roman" w:cs="Times New Roman"/>
          <w:i/>
          <w:iCs/>
        </w:rPr>
        <w:t>International Journal of Language &amp; Communication Disorders</w:t>
      </w:r>
      <w:r w:rsidRPr="00DA1F42">
        <w:rPr>
          <w:rFonts w:ascii="Times New Roman" w:hAnsi="Times New Roman" w:cs="Times New Roman"/>
        </w:rPr>
        <w:t xml:space="preserve">, </w:t>
      </w:r>
      <w:r w:rsidRPr="00DA1F42">
        <w:rPr>
          <w:rFonts w:ascii="Times New Roman" w:hAnsi="Times New Roman" w:cs="Times New Roman"/>
          <w:i/>
          <w:iCs/>
        </w:rPr>
        <w:t>36</w:t>
      </w:r>
      <w:r w:rsidRPr="00DA1F42">
        <w:rPr>
          <w:rFonts w:ascii="Times New Roman" w:hAnsi="Times New Roman" w:cs="Times New Roman"/>
        </w:rPr>
        <w:t>(2), 149–171. https://doi.org/10.1080/13682820010019874</w:t>
      </w:r>
    </w:p>
    <w:p w14:paraId="691CA622"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Hsu, H. J., &amp; Bishop, D. V. M. (2014). Sequence-specific procedural learning deficits in children with specific language impairment. </w:t>
      </w:r>
      <w:r w:rsidRPr="00DA1F42">
        <w:rPr>
          <w:rFonts w:ascii="Times New Roman" w:hAnsi="Times New Roman" w:cs="Times New Roman"/>
          <w:i/>
          <w:iCs/>
        </w:rPr>
        <w:t>Developmental Science</w:t>
      </w:r>
      <w:r w:rsidRPr="00DA1F42">
        <w:rPr>
          <w:rFonts w:ascii="Times New Roman" w:hAnsi="Times New Roman" w:cs="Times New Roman"/>
        </w:rPr>
        <w:t xml:space="preserve">, </w:t>
      </w:r>
      <w:r w:rsidRPr="00DA1F42">
        <w:rPr>
          <w:rFonts w:ascii="Times New Roman" w:hAnsi="Times New Roman" w:cs="Times New Roman"/>
          <w:i/>
          <w:iCs/>
        </w:rPr>
        <w:t>17</w:t>
      </w:r>
      <w:r w:rsidRPr="00DA1F42">
        <w:rPr>
          <w:rFonts w:ascii="Times New Roman" w:hAnsi="Times New Roman" w:cs="Times New Roman"/>
        </w:rPr>
        <w:t>(3), 352–365. https://doi.org/10.1111/desc.12125</w:t>
      </w:r>
    </w:p>
    <w:p w14:paraId="0B1E5A32"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Huttenlocher, P. R. (1979). Synaptic density in human frontal cortex—Developmental changes and effects of aging. </w:t>
      </w:r>
      <w:r w:rsidRPr="00DA1F42">
        <w:rPr>
          <w:rFonts w:ascii="Times New Roman" w:hAnsi="Times New Roman" w:cs="Times New Roman"/>
          <w:i/>
          <w:iCs/>
        </w:rPr>
        <w:t>Brain Research</w:t>
      </w:r>
      <w:r w:rsidRPr="00DA1F42">
        <w:rPr>
          <w:rFonts w:ascii="Times New Roman" w:hAnsi="Times New Roman" w:cs="Times New Roman"/>
        </w:rPr>
        <w:t xml:space="preserve">, </w:t>
      </w:r>
      <w:r w:rsidRPr="00DA1F42">
        <w:rPr>
          <w:rFonts w:ascii="Times New Roman" w:hAnsi="Times New Roman" w:cs="Times New Roman"/>
          <w:i/>
          <w:iCs/>
        </w:rPr>
        <w:t>163</w:t>
      </w:r>
      <w:r w:rsidRPr="00DA1F42">
        <w:rPr>
          <w:rFonts w:ascii="Times New Roman" w:hAnsi="Times New Roman" w:cs="Times New Roman"/>
        </w:rPr>
        <w:t>(2), 195–205. https://doi.org/10.1016/0006-8993(79)90349-4</w:t>
      </w:r>
    </w:p>
    <w:p w14:paraId="2676DC99"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Jackson, E., Leit,  ão S., Claessen, M., &amp; Boyes, M. (2020). Working, Declarative, and Procedural Memory in Children With Developmental Language Disorder. </w:t>
      </w:r>
      <w:r w:rsidRPr="00DA1F42">
        <w:rPr>
          <w:rFonts w:ascii="Times New Roman" w:hAnsi="Times New Roman" w:cs="Times New Roman"/>
          <w:i/>
          <w:iCs/>
        </w:rPr>
        <w:t>Journal of Speech, Language, and Hearing Research</w:t>
      </w:r>
      <w:r w:rsidRPr="00DA1F42">
        <w:rPr>
          <w:rFonts w:ascii="Times New Roman" w:hAnsi="Times New Roman" w:cs="Times New Roman"/>
        </w:rPr>
        <w:t xml:space="preserve">, </w:t>
      </w:r>
      <w:r w:rsidRPr="00DA1F42">
        <w:rPr>
          <w:rFonts w:ascii="Times New Roman" w:hAnsi="Times New Roman" w:cs="Times New Roman"/>
          <w:i/>
          <w:iCs/>
        </w:rPr>
        <w:t>63</w:t>
      </w:r>
      <w:r w:rsidRPr="00DA1F42">
        <w:rPr>
          <w:rFonts w:ascii="Times New Roman" w:hAnsi="Times New Roman" w:cs="Times New Roman"/>
        </w:rPr>
        <w:t>(12), 4162–4178. https://doi.org/10.1044/2020_JSLHR-20-00135</w:t>
      </w:r>
    </w:p>
    <w:p w14:paraId="38F9A868"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Jancke, L., Siegenthaler, T., Preis, S., &amp; Steinmetz, H. (2007). Decreased white-matter density in a left-sided fronto-temporal network in children with developmental language disorder: Evidence for anatomical anomalies in a motor-language network. </w:t>
      </w:r>
      <w:r w:rsidRPr="00DA1F42">
        <w:rPr>
          <w:rFonts w:ascii="Times New Roman" w:hAnsi="Times New Roman" w:cs="Times New Roman"/>
          <w:i/>
          <w:iCs/>
        </w:rPr>
        <w:t>Brain and Language</w:t>
      </w:r>
      <w:r w:rsidRPr="00DA1F42">
        <w:rPr>
          <w:rFonts w:ascii="Times New Roman" w:hAnsi="Times New Roman" w:cs="Times New Roman"/>
        </w:rPr>
        <w:t xml:space="preserve">, </w:t>
      </w:r>
      <w:r w:rsidRPr="00DA1F42">
        <w:rPr>
          <w:rFonts w:ascii="Times New Roman" w:hAnsi="Times New Roman" w:cs="Times New Roman"/>
          <w:i/>
          <w:iCs/>
        </w:rPr>
        <w:t>102</w:t>
      </w:r>
      <w:r w:rsidRPr="00DA1F42">
        <w:rPr>
          <w:rFonts w:ascii="Times New Roman" w:hAnsi="Times New Roman" w:cs="Times New Roman"/>
        </w:rPr>
        <w:t>(1), 91–98. https://doi.org/10.1016/j.bandl.2006.08.003</w:t>
      </w:r>
    </w:p>
    <w:p w14:paraId="5CBE7AEA"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lastRenderedPageBreak/>
        <w:t xml:space="preserve">Jarbo, K., &amp; Verstynen, T. D. (2015). Converging Structural and Functional Connectivity of Orbitofrontal, Dorsolateral Prefrontal, and Posterior Parietal Cortex in the Human Striatum. </w:t>
      </w:r>
      <w:r w:rsidRPr="00DA1F42">
        <w:rPr>
          <w:rFonts w:ascii="Times New Roman" w:hAnsi="Times New Roman" w:cs="Times New Roman"/>
          <w:i/>
          <w:iCs/>
        </w:rPr>
        <w:t>The Journal of Neuroscience</w:t>
      </w:r>
      <w:r w:rsidRPr="00DA1F42">
        <w:rPr>
          <w:rFonts w:ascii="Times New Roman" w:hAnsi="Times New Roman" w:cs="Times New Roman"/>
        </w:rPr>
        <w:t xml:space="preserve">, </w:t>
      </w:r>
      <w:r w:rsidRPr="00DA1F42">
        <w:rPr>
          <w:rFonts w:ascii="Times New Roman" w:hAnsi="Times New Roman" w:cs="Times New Roman"/>
          <w:i/>
          <w:iCs/>
        </w:rPr>
        <w:t>35</w:t>
      </w:r>
      <w:r w:rsidRPr="00DA1F42">
        <w:rPr>
          <w:rFonts w:ascii="Times New Roman" w:hAnsi="Times New Roman" w:cs="Times New Roman"/>
        </w:rPr>
        <w:t>(9), 3865–3878. https://doi.org/10.1523/JNEUROSCI.2636-14.2015</w:t>
      </w:r>
    </w:p>
    <w:p w14:paraId="127E5ABF"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Jernigan, T. L., Hesselink, J. R., Sowell, E., &amp; Tallal, P. A. (1991). Cerebral structure on magnetic resonance imaging in language- and learning-impaired children. </w:t>
      </w:r>
      <w:r w:rsidRPr="00DA1F42">
        <w:rPr>
          <w:rFonts w:ascii="Times New Roman" w:hAnsi="Times New Roman" w:cs="Times New Roman"/>
          <w:i/>
          <w:iCs/>
        </w:rPr>
        <w:t>Archives of Neurology</w:t>
      </w:r>
      <w:r w:rsidRPr="00DA1F42">
        <w:rPr>
          <w:rFonts w:ascii="Times New Roman" w:hAnsi="Times New Roman" w:cs="Times New Roman"/>
        </w:rPr>
        <w:t xml:space="preserve">, </w:t>
      </w:r>
      <w:r w:rsidRPr="00DA1F42">
        <w:rPr>
          <w:rFonts w:ascii="Times New Roman" w:hAnsi="Times New Roman" w:cs="Times New Roman"/>
          <w:i/>
          <w:iCs/>
        </w:rPr>
        <w:t>48</w:t>
      </w:r>
      <w:r w:rsidRPr="00DA1F42">
        <w:rPr>
          <w:rFonts w:ascii="Times New Roman" w:hAnsi="Times New Roman" w:cs="Times New Roman"/>
        </w:rPr>
        <w:t>(5), 539–545.</w:t>
      </w:r>
    </w:p>
    <w:p w14:paraId="146C0EE8"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Kail, R. (1994). A Method for Studying the Generalized Slowing Hypothesis in Children With Specific Language Impairment. </w:t>
      </w:r>
      <w:r w:rsidRPr="00DA1F42">
        <w:rPr>
          <w:rFonts w:ascii="Times New Roman" w:hAnsi="Times New Roman" w:cs="Times New Roman"/>
          <w:i/>
          <w:iCs/>
        </w:rPr>
        <w:t>Journal of Speech, Language, and Hearing Research</w:t>
      </w:r>
      <w:r w:rsidRPr="00DA1F42">
        <w:rPr>
          <w:rFonts w:ascii="Times New Roman" w:hAnsi="Times New Roman" w:cs="Times New Roman"/>
        </w:rPr>
        <w:t xml:space="preserve">, </w:t>
      </w:r>
      <w:r w:rsidRPr="00DA1F42">
        <w:rPr>
          <w:rFonts w:ascii="Times New Roman" w:hAnsi="Times New Roman" w:cs="Times New Roman"/>
          <w:i/>
          <w:iCs/>
        </w:rPr>
        <w:t>37</w:t>
      </w:r>
      <w:r w:rsidRPr="00DA1F42">
        <w:rPr>
          <w:rFonts w:ascii="Times New Roman" w:hAnsi="Times New Roman" w:cs="Times New Roman"/>
        </w:rPr>
        <w:t>(2), 418–421. https://doi.org/10.1044/jshr.3702.418</w:t>
      </w:r>
    </w:p>
    <w:p w14:paraId="108492A1"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Korkman, M., Kirk, U., &amp; Kemp, S. L. (1998). </w:t>
      </w:r>
      <w:r w:rsidRPr="00DA1F42">
        <w:rPr>
          <w:rFonts w:ascii="Times New Roman" w:hAnsi="Times New Roman" w:cs="Times New Roman"/>
          <w:i/>
          <w:iCs/>
        </w:rPr>
        <w:t>NEPSY: Neuropsychological assessment of Children</w:t>
      </w:r>
      <w:r w:rsidRPr="00DA1F42">
        <w:rPr>
          <w:rFonts w:ascii="Times New Roman" w:hAnsi="Times New Roman" w:cs="Times New Roman"/>
        </w:rPr>
        <w:t>. Psychological Corporation.</w:t>
      </w:r>
    </w:p>
    <w:p w14:paraId="48F9F4BE"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Krishnan, S., Asaridou, S. S., Cler, G. J., Smith, H. J., Willis, H. E., Healy, M. P., Thompson, P. A., Bishop, D. V. M., &amp; Watkins, K. E. (2020). Functional organisation for verb generation in children with developmental language disorder. </w:t>
      </w:r>
      <w:r w:rsidRPr="00DA1F42">
        <w:rPr>
          <w:rFonts w:ascii="Times New Roman" w:hAnsi="Times New Roman" w:cs="Times New Roman"/>
          <w:i/>
          <w:iCs/>
        </w:rPr>
        <w:t>NeuroImage</w:t>
      </w:r>
      <w:r w:rsidRPr="00DA1F42">
        <w:rPr>
          <w:rFonts w:ascii="Times New Roman" w:hAnsi="Times New Roman" w:cs="Times New Roman"/>
        </w:rPr>
        <w:t>, 117599. https://doi.org/10.1016/j.neuroimage.2020.117599</w:t>
      </w:r>
    </w:p>
    <w:p w14:paraId="382EF717"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Krishnan, S., Watkins, K. E., &amp; Bishop, D. V. M. (2016). Neurobiological Basis of Language Learning Difficulties. </w:t>
      </w:r>
      <w:r w:rsidRPr="00DA1F42">
        <w:rPr>
          <w:rFonts w:ascii="Times New Roman" w:hAnsi="Times New Roman" w:cs="Times New Roman"/>
          <w:i/>
          <w:iCs/>
        </w:rPr>
        <w:t>Trends in Cognitive Sciences</w:t>
      </w:r>
      <w:r w:rsidRPr="00DA1F42">
        <w:rPr>
          <w:rFonts w:ascii="Times New Roman" w:hAnsi="Times New Roman" w:cs="Times New Roman"/>
        </w:rPr>
        <w:t xml:space="preserve">, </w:t>
      </w:r>
      <w:r w:rsidRPr="00DA1F42">
        <w:rPr>
          <w:rFonts w:ascii="Times New Roman" w:hAnsi="Times New Roman" w:cs="Times New Roman"/>
          <w:i/>
          <w:iCs/>
        </w:rPr>
        <w:t>20</w:t>
      </w:r>
      <w:r w:rsidRPr="00DA1F42">
        <w:rPr>
          <w:rFonts w:ascii="Times New Roman" w:hAnsi="Times New Roman" w:cs="Times New Roman"/>
        </w:rPr>
        <w:t>(9), 701–714. https://doi.org/10.1016/j.tics.2016.06.012</w:t>
      </w:r>
    </w:p>
    <w:p w14:paraId="7CC9ED91"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Kurth, F., Luders, E., Pigdon, L., Conti-Ramsden, G., Reilly, S., &amp; Morgan, A. T. (2018). Altered gray matter volumes in language-associated regions in children with developmental language disorder and speech sound disorder. </w:t>
      </w:r>
      <w:r w:rsidRPr="00DA1F42">
        <w:rPr>
          <w:rFonts w:ascii="Times New Roman" w:hAnsi="Times New Roman" w:cs="Times New Roman"/>
          <w:i/>
          <w:iCs/>
        </w:rPr>
        <w:t>Developmental Psychobiology</w:t>
      </w:r>
      <w:r w:rsidRPr="00DA1F42">
        <w:rPr>
          <w:rFonts w:ascii="Times New Roman" w:hAnsi="Times New Roman" w:cs="Times New Roman"/>
        </w:rPr>
        <w:t xml:space="preserve">, </w:t>
      </w:r>
      <w:r w:rsidRPr="00DA1F42">
        <w:rPr>
          <w:rFonts w:ascii="Times New Roman" w:hAnsi="Times New Roman" w:cs="Times New Roman"/>
          <w:i/>
          <w:iCs/>
        </w:rPr>
        <w:t>60</w:t>
      </w:r>
      <w:r w:rsidRPr="00DA1F42">
        <w:rPr>
          <w:rFonts w:ascii="Times New Roman" w:hAnsi="Times New Roman" w:cs="Times New Roman"/>
        </w:rPr>
        <w:t>(7), 814–824. https://doi.org/10.1002/dev.21762</w:t>
      </w:r>
    </w:p>
    <w:p w14:paraId="69ABC710"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Kwon, D., Pfefferbaum, A., Sullivan, E. V., &amp; Pohl, K. M. (2020). Regional growth trajectories of cortical myelination in adolescents and young adults: Longitudinal validation and </w:t>
      </w:r>
      <w:r w:rsidRPr="00DA1F42">
        <w:rPr>
          <w:rFonts w:ascii="Times New Roman" w:hAnsi="Times New Roman" w:cs="Times New Roman"/>
        </w:rPr>
        <w:lastRenderedPageBreak/>
        <w:t xml:space="preserve">functional correlates. </w:t>
      </w:r>
      <w:r w:rsidRPr="00DA1F42">
        <w:rPr>
          <w:rFonts w:ascii="Times New Roman" w:hAnsi="Times New Roman" w:cs="Times New Roman"/>
          <w:i/>
          <w:iCs/>
        </w:rPr>
        <w:t>Brain Imaging and Behavior</w:t>
      </w:r>
      <w:r w:rsidRPr="00DA1F42">
        <w:rPr>
          <w:rFonts w:ascii="Times New Roman" w:hAnsi="Times New Roman" w:cs="Times New Roman"/>
        </w:rPr>
        <w:t xml:space="preserve">, </w:t>
      </w:r>
      <w:r w:rsidRPr="00DA1F42">
        <w:rPr>
          <w:rFonts w:ascii="Times New Roman" w:hAnsi="Times New Roman" w:cs="Times New Roman"/>
          <w:i/>
          <w:iCs/>
        </w:rPr>
        <w:t>14</w:t>
      </w:r>
      <w:r w:rsidRPr="00DA1F42">
        <w:rPr>
          <w:rFonts w:ascii="Times New Roman" w:hAnsi="Times New Roman" w:cs="Times New Roman"/>
        </w:rPr>
        <w:t>(1), 242–266. https://doi.org/10.1007/s11682-018-9980-3</w:t>
      </w:r>
    </w:p>
    <w:p w14:paraId="7E00A685"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Lai, C. S. L. (2003). FOXP2 expression during brain development coincides with adult sites of pathology in a severe speech and language disorder. </w:t>
      </w:r>
      <w:r w:rsidRPr="00DA1F42">
        <w:rPr>
          <w:rFonts w:ascii="Times New Roman" w:hAnsi="Times New Roman" w:cs="Times New Roman"/>
          <w:i/>
          <w:iCs/>
        </w:rPr>
        <w:t>Brain</w:t>
      </w:r>
      <w:r w:rsidRPr="00DA1F42">
        <w:rPr>
          <w:rFonts w:ascii="Times New Roman" w:hAnsi="Times New Roman" w:cs="Times New Roman"/>
        </w:rPr>
        <w:t xml:space="preserve">, </w:t>
      </w:r>
      <w:r w:rsidRPr="00DA1F42">
        <w:rPr>
          <w:rFonts w:ascii="Times New Roman" w:hAnsi="Times New Roman" w:cs="Times New Roman"/>
          <w:i/>
          <w:iCs/>
        </w:rPr>
        <w:t>126</w:t>
      </w:r>
      <w:r w:rsidRPr="00DA1F42">
        <w:rPr>
          <w:rFonts w:ascii="Times New Roman" w:hAnsi="Times New Roman" w:cs="Times New Roman"/>
        </w:rPr>
        <w:t>(11), 2455–2462. https://doi.org/10.1093/brain/awg247</w:t>
      </w:r>
    </w:p>
    <w:p w14:paraId="7A014A3A"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Lancaster, H. S., &amp; Camarata, S. (2019). Reconceptualizing developmental language disorder as a spectrum disorder: Issues and evidence. </w:t>
      </w:r>
      <w:r w:rsidRPr="00DA1F42">
        <w:rPr>
          <w:rFonts w:ascii="Times New Roman" w:hAnsi="Times New Roman" w:cs="Times New Roman"/>
          <w:i/>
          <w:iCs/>
        </w:rPr>
        <w:t>International Journal of Language &amp; Communication Disorders</w:t>
      </w:r>
      <w:r w:rsidRPr="00DA1F42">
        <w:rPr>
          <w:rFonts w:ascii="Times New Roman" w:hAnsi="Times New Roman" w:cs="Times New Roman"/>
        </w:rPr>
        <w:t xml:space="preserve">, </w:t>
      </w:r>
      <w:r w:rsidRPr="00DA1F42">
        <w:rPr>
          <w:rFonts w:ascii="Times New Roman" w:hAnsi="Times New Roman" w:cs="Times New Roman"/>
          <w:i/>
          <w:iCs/>
        </w:rPr>
        <w:t>54</w:t>
      </w:r>
      <w:r w:rsidRPr="00DA1F42">
        <w:rPr>
          <w:rFonts w:ascii="Times New Roman" w:hAnsi="Times New Roman" w:cs="Times New Roman"/>
        </w:rPr>
        <w:t>(1), 79–94. https://doi.org/10.1111/1460-6984.12433</w:t>
      </w:r>
    </w:p>
    <w:p w14:paraId="1E899479"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Langkammer, C., Krebs, N., Goessler, W., Scheurer, E., Ebner, F., Yen, K., Fazekas, F., &amp; Ropele, S. (2010). Quantitative MR Imaging of Brain Iron: A Postmortem Validation Study. </w:t>
      </w:r>
      <w:r w:rsidRPr="00DA1F42">
        <w:rPr>
          <w:rFonts w:ascii="Times New Roman" w:hAnsi="Times New Roman" w:cs="Times New Roman"/>
          <w:i/>
          <w:iCs/>
        </w:rPr>
        <w:t>Radiology</w:t>
      </w:r>
      <w:r w:rsidRPr="00DA1F42">
        <w:rPr>
          <w:rFonts w:ascii="Times New Roman" w:hAnsi="Times New Roman" w:cs="Times New Roman"/>
        </w:rPr>
        <w:t xml:space="preserve">, </w:t>
      </w:r>
      <w:r w:rsidRPr="00DA1F42">
        <w:rPr>
          <w:rFonts w:ascii="Times New Roman" w:hAnsi="Times New Roman" w:cs="Times New Roman"/>
          <w:i/>
          <w:iCs/>
        </w:rPr>
        <w:t>257</w:t>
      </w:r>
      <w:r w:rsidRPr="00DA1F42">
        <w:rPr>
          <w:rFonts w:ascii="Times New Roman" w:hAnsi="Times New Roman" w:cs="Times New Roman"/>
        </w:rPr>
        <w:t>(2), 455–462. https://doi.org/10.1148/radiol.10100495</w:t>
      </w:r>
    </w:p>
    <w:p w14:paraId="1F11B41C"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Lee, J. C., Dick, A. S., &amp; Tomblin, J. B. (2020). Altered brain structures in the dorsal and ventral language pathways in individuals with and without developmental language disorder (DLD). </w:t>
      </w:r>
      <w:r w:rsidRPr="00DA1F42">
        <w:rPr>
          <w:rFonts w:ascii="Times New Roman" w:hAnsi="Times New Roman" w:cs="Times New Roman"/>
          <w:i/>
          <w:iCs/>
        </w:rPr>
        <w:t>Brain Imaging and Behavior</w:t>
      </w:r>
      <w:r w:rsidRPr="00DA1F42">
        <w:rPr>
          <w:rFonts w:ascii="Times New Roman" w:hAnsi="Times New Roman" w:cs="Times New Roman"/>
        </w:rPr>
        <w:t>. https://doi.org/10.1007/s11682-019-00209-1</w:t>
      </w:r>
    </w:p>
    <w:p w14:paraId="05375AF6"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Lee, J. C., Nopoulos, P. C., &amp; Bruce Tomblin, J. (2013). Abnormal subcortical components of the corticostriatal system in young adults with DLI: A combined structural MRI and DTI study. </w:t>
      </w:r>
      <w:r w:rsidRPr="00DA1F42">
        <w:rPr>
          <w:rFonts w:ascii="Times New Roman" w:hAnsi="Times New Roman" w:cs="Times New Roman"/>
          <w:i/>
          <w:iCs/>
        </w:rPr>
        <w:t>Neuropsychologia</w:t>
      </w:r>
      <w:r w:rsidRPr="00DA1F42">
        <w:rPr>
          <w:rFonts w:ascii="Times New Roman" w:hAnsi="Times New Roman" w:cs="Times New Roman"/>
        </w:rPr>
        <w:t xml:space="preserve">, </w:t>
      </w:r>
      <w:r w:rsidRPr="00DA1F42">
        <w:rPr>
          <w:rFonts w:ascii="Times New Roman" w:hAnsi="Times New Roman" w:cs="Times New Roman"/>
          <w:i/>
          <w:iCs/>
        </w:rPr>
        <w:t>51</w:t>
      </w:r>
      <w:r w:rsidRPr="00DA1F42">
        <w:rPr>
          <w:rFonts w:ascii="Times New Roman" w:hAnsi="Times New Roman" w:cs="Times New Roman"/>
        </w:rPr>
        <w:t>(11), 2154–2161. https://doi.org/10.1016/j.neuropsychologia.2013.07.011</w:t>
      </w:r>
    </w:p>
    <w:p w14:paraId="37A9391A"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Lehéricy, S., Ducros, M., Van De Moortele, P.-F., Francois, C., Thivard, L., Poupon, C., Swindale, N., Ugurbil, K., &amp; Kim, D.-S. (2004). Diffusion tensor fiber tracking shows distinct corticostriatal circuits in humans: DTI Corticostriatal Fibers. </w:t>
      </w:r>
      <w:r w:rsidRPr="00DA1F42">
        <w:rPr>
          <w:rFonts w:ascii="Times New Roman" w:hAnsi="Times New Roman" w:cs="Times New Roman"/>
          <w:i/>
          <w:iCs/>
        </w:rPr>
        <w:t>Annals of Neurology</w:t>
      </w:r>
      <w:r w:rsidRPr="00DA1F42">
        <w:rPr>
          <w:rFonts w:ascii="Times New Roman" w:hAnsi="Times New Roman" w:cs="Times New Roman"/>
        </w:rPr>
        <w:t xml:space="preserve">, </w:t>
      </w:r>
      <w:r w:rsidRPr="00DA1F42">
        <w:rPr>
          <w:rFonts w:ascii="Times New Roman" w:hAnsi="Times New Roman" w:cs="Times New Roman"/>
          <w:i/>
          <w:iCs/>
        </w:rPr>
        <w:t>55</w:t>
      </w:r>
      <w:r w:rsidRPr="00DA1F42">
        <w:rPr>
          <w:rFonts w:ascii="Times New Roman" w:hAnsi="Times New Roman" w:cs="Times New Roman"/>
        </w:rPr>
        <w:t>(4), 522–529. https://doi.org/10.1002/ana.20030</w:t>
      </w:r>
    </w:p>
    <w:p w14:paraId="72007AF3"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Leutritz, T., Seif, M., Helms, G., Samson, R. S., Curt, A., Freund, P., &amp; Weiskopf, N. (2020). Multiparameter mapping of relaxation ( </w:t>
      </w:r>
      <w:r w:rsidRPr="00DA1F42">
        <w:rPr>
          <w:rFonts w:ascii="Times New Roman" w:hAnsi="Times New Roman" w:cs="Times New Roman"/>
          <w:smallCaps/>
        </w:rPr>
        <w:t>R1</w:t>
      </w:r>
      <w:r w:rsidRPr="00DA1F42">
        <w:rPr>
          <w:rFonts w:ascii="Times New Roman" w:hAnsi="Times New Roman" w:cs="Times New Roman"/>
        </w:rPr>
        <w:t xml:space="preserve"> , </w:t>
      </w:r>
      <w:r w:rsidRPr="00DA1F42">
        <w:rPr>
          <w:rFonts w:ascii="Times New Roman" w:hAnsi="Times New Roman" w:cs="Times New Roman"/>
          <w:smallCaps/>
        </w:rPr>
        <w:t>R2</w:t>
      </w:r>
      <w:r w:rsidRPr="00DA1F42">
        <w:rPr>
          <w:rFonts w:ascii="Times New Roman" w:hAnsi="Times New Roman" w:cs="Times New Roman"/>
        </w:rPr>
        <w:t xml:space="preserve"> *), proton density and magnetization </w:t>
      </w:r>
      <w:r w:rsidRPr="00DA1F42">
        <w:rPr>
          <w:rFonts w:ascii="Times New Roman" w:hAnsi="Times New Roman" w:cs="Times New Roman"/>
        </w:rPr>
        <w:lastRenderedPageBreak/>
        <w:t xml:space="preserve">transfer saturation at </w:t>
      </w:r>
      <w:r w:rsidRPr="00DA1F42">
        <w:rPr>
          <w:rFonts w:ascii="Times New Roman" w:hAnsi="Times New Roman" w:cs="Times New Roman"/>
          <w:smallCaps/>
        </w:rPr>
        <w:t>3 T</w:t>
      </w:r>
      <w:r w:rsidRPr="00DA1F42">
        <w:rPr>
          <w:rFonts w:ascii="Times New Roman" w:hAnsi="Times New Roman" w:cs="Times New Roman"/>
        </w:rPr>
        <w:t xml:space="preserve">: A multicenter dual‐vendor reproducibility and repeatability study. </w:t>
      </w:r>
      <w:r w:rsidRPr="00DA1F42">
        <w:rPr>
          <w:rFonts w:ascii="Times New Roman" w:hAnsi="Times New Roman" w:cs="Times New Roman"/>
          <w:i/>
          <w:iCs/>
        </w:rPr>
        <w:t>Human Brain Mapping</w:t>
      </w:r>
      <w:r w:rsidRPr="00DA1F42">
        <w:rPr>
          <w:rFonts w:ascii="Times New Roman" w:hAnsi="Times New Roman" w:cs="Times New Roman"/>
        </w:rPr>
        <w:t xml:space="preserve">, </w:t>
      </w:r>
      <w:r w:rsidRPr="00DA1F42">
        <w:rPr>
          <w:rFonts w:ascii="Times New Roman" w:hAnsi="Times New Roman" w:cs="Times New Roman"/>
          <w:i/>
          <w:iCs/>
        </w:rPr>
        <w:t>41</w:t>
      </w:r>
      <w:r w:rsidRPr="00DA1F42">
        <w:rPr>
          <w:rFonts w:ascii="Times New Roman" w:hAnsi="Times New Roman" w:cs="Times New Roman"/>
        </w:rPr>
        <w:t>(15), 4232–4247. https://doi.org/10.1002/hbm.25122</w:t>
      </w:r>
    </w:p>
    <w:p w14:paraId="1779BAAF"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Lima, C. F., Krishnan, S., &amp; Scott, S. K. (2016). Roles of Supplementary Motor Areas in Auditory Processing and Auditory Imagery. </w:t>
      </w:r>
      <w:r w:rsidRPr="00DA1F42">
        <w:rPr>
          <w:rFonts w:ascii="Times New Roman" w:hAnsi="Times New Roman" w:cs="Times New Roman"/>
          <w:i/>
          <w:iCs/>
        </w:rPr>
        <w:t>Trends in Neurosciences</w:t>
      </w:r>
      <w:r w:rsidRPr="00DA1F42">
        <w:rPr>
          <w:rFonts w:ascii="Times New Roman" w:hAnsi="Times New Roman" w:cs="Times New Roman"/>
        </w:rPr>
        <w:t xml:space="preserve">, </w:t>
      </w:r>
      <w:r w:rsidRPr="00DA1F42">
        <w:rPr>
          <w:rFonts w:ascii="Times New Roman" w:hAnsi="Times New Roman" w:cs="Times New Roman"/>
          <w:i/>
          <w:iCs/>
        </w:rPr>
        <w:t>39</w:t>
      </w:r>
      <w:r w:rsidRPr="00DA1F42">
        <w:rPr>
          <w:rFonts w:ascii="Times New Roman" w:hAnsi="Times New Roman" w:cs="Times New Roman"/>
        </w:rPr>
        <w:t>(8), 527–542. https://doi.org/10.1016/j.tins.2016.06.003</w:t>
      </w:r>
    </w:p>
    <w:p w14:paraId="33FB8F89"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Lorio, S., Kherif, F., Ruef, A., Melie‐Garcia, L., Frackowiak, R., Ashburner, J., Helms, G., Lutti, A., &amp; Draganski, B. (2016). Neurobiological origin of spurious brain morphological changes: A quantitative MRI study. </w:t>
      </w:r>
      <w:r w:rsidRPr="00DA1F42">
        <w:rPr>
          <w:rFonts w:ascii="Times New Roman" w:hAnsi="Times New Roman" w:cs="Times New Roman"/>
          <w:i/>
          <w:iCs/>
        </w:rPr>
        <w:t>Human Brain Mapping</w:t>
      </w:r>
      <w:r w:rsidRPr="00DA1F42">
        <w:rPr>
          <w:rFonts w:ascii="Times New Roman" w:hAnsi="Times New Roman" w:cs="Times New Roman"/>
        </w:rPr>
        <w:t xml:space="preserve">, </w:t>
      </w:r>
      <w:r w:rsidRPr="00DA1F42">
        <w:rPr>
          <w:rFonts w:ascii="Times New Roman" w:hAnsi="Times New Roman" w:cs="Times New Roman"/>
          <w:i/>
          <w:iCs/>
        </w:rPr>
        <w:t>37</w:t>
      </w:r>
      <w:r w:rsidRPr="00DA1F42">
        <w:rPr>
          <w:rFonts w:ascii="Times New Roman" w:hAnsi="Times New Roman" w:cs="Times New Roman"/>
        </w:rPr>
        <w:t>(5), 1801–1815. https://doi.org/10.1002/hbm.23137</w:t>
      </w:r>
    </w:p>
    <w:p w14:paraId="54BE4AF1"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Lorio, S., Lutti, A., Kherif, F., Ruef, A., Dukart, J., Chowdhury, R., Frackowiak, R. S., Ashburner, J., Helms, G., Weiskopf, N., &amp; Draganski, B. (2014). Disentangling in vivo the effects of iron content and atrophy on the ageing human brain. </w:t>
      </w:r>
      <w:r w:rsidRPr="00DA1F42">
        <w:rPr>
          <w:rFonts w:ascii="Times New Roman" w:hAnsi="Times New Roman" w:cs="Times New Roman"/>
          <w:i/>
          <w:iCs/>
        </w:rPr>
        <w:t>NeuroImage</w:t>
      </w:r>
      <w:r w:rsidRPr="00DA1F42">
        <w:rPr>
          <w:rFonts w:ascii="Times New Roman" w:hAnsi="Times New Roman" w:cs="Times New Roman"/>
        </w:rPr>
        <w:t xml:space="preserve">, </w:t>
      </w:r>
      <w:r w:rsidRPr="00DA1F42">
        <w:rPr>
          <w:rFonts w:ascii="Times New Roman" w:hAnsi="Times New Roman" w:cs="Times New Roman"/>
          <w:i/>
          <w:iCs/>
        </w:rPr>
        <w:t>103</w:t>
      </w:r>
      <w:r w:rsidRPr="00DA1F42">
        <w:rPr>
          <w:rFonts w:ascii="Times New Roman" w:hAnsi="Times New Roman" w:cs="Times New Roman"/>
        </w:rPr>
        <w:t>, 280–289. https://doi.org/10.1016/j.neuroimage.2014.09.044</w:t>
      </w:r>
    </w:p>
    <w:p w14:paraId="234DE707"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Lozano, R., Vino, A., Lozano, C., Fisher, S. E., &amp; Deriziotis, P. (2015). A de novo FOXP1 variant in a patient with autism, intellectual disability and severe speech and language impairment. </w:t>
      </w:r>
      <w:r w:rsidRPr="00DA1F42">
        <w:rPr>
          <w:rFonts w:ascii="Times New Roman" w:hAnsi="Times New Roman" w:cs="Times New Roman"/>
          <w:i/>
          <w:iCs/>
        </w:rPr>
        <w:t>European Journal of Human Genetics</w:t>
      </w:r>
      <w:r w:rsidRPr="00DA1F42">
        <w:rPr>
          <w:rFonts w:ascii="Times New Roman" w:hAnsi="Times New Roman" w:cs="Times New Roman"/>
        </w:rPr>
        <w:t xml:space="preserve">, </w:t>
      </w:r>
      <w:r w:rsidRPr="00DA1F42">
        <w:rPr>
          <w:rFonts w:ascii="Times New Roman" w:hAnsi="Times New Roman" w:cs="Times New Roman"/>
          <w:i/>
          <w:iCs/>
        </w:rPr>
        <w:t>23</w:t>
      </w:r>
      <w:r w:rsidRPr="00DA1F42">
        <w:rPr>
          <w:rFonts w:ascii="Times New Roman" w:hAnsi="Times New Roman" w:cs="Times New Roman"/>
        </w:rPr>
        <w:t>(12), 1702–1707. https://doi.org/10.1038/ejhg.2015.66</w:t>
      </w:r>
    </w:p>
    <w:p w14:paraId="7EA4CB76"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Lum, J. A. G., Conti-Ramsden, G., Morgan, A. T., &amp; Ullman, M. T. (2014). Procedural learning deficits in specific language impairment (SLI): A meta-analysis of serial reaction time task performance. </w:t>
      </w:r>
      <w:r w:rsidRPr="00DA1F42">
        <w:rPr>
          <w:rFonts w:ascii="Times New Roman" w:hAnsi="Times New Roman" w:cs="Times New Roman"/>
          <w:i/>
          <w:iCs/>
        </w:rPr>
        <w:t>Cortex</w:t>
      </w:r>
      <w:r w:rsidRPr="00DA1F42">
        <w:rPr>
          <w:rFonts w:ascii="Times New Roman" w:hAnsi="Times New Roman" w:cs="Times New Roman"/>
        </w:rPr>
        <w:t xml:space="preserve">, </w:t>
      </w:r>
      <w:r w:rsidRPr="00DA1F42">
        <w:rPr>
          <w:rFonts w:ascii="Times New Roman" w:hAnsi="Times New Roman" w:cs="Times New Roman"/>
          <w:i/>
          <w:iCs/>
        </w:rPr>
        <w:t>51</w:t>
      </w:r>
      <w:r w:rsidRPr="00DA1F42">
        <w:rPr>
          <w:rFonts w:ascii="Times New Roman" w:hAnsi="Times New Roman" w:cs="Times New Roman"/>
        </w:rPr>
        <w:t>, 1–10. https://doi.org/10.1016/j.cortex.2013.10.011</w:t>
      </w:r>
    </w:p>
    <w:p w14:paraId="131E587E"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Lutti, A., Dick, F., Sereno, M. I., &amp; Weiskopf, N. (2014). Using high-resolution quantitative mapping of R1 as an index of cortical myelination. </w:t>
      </w:r>
      <w:r w:rsidRPr="00DA1F42">
        <w:rPr>
          <w:rFonts w:ascii="Times New Roman" w:hAnsi="Times New Roman" w:cs="Times New Roman"/>
          <w:i/>
          <w:iCs/>
        </w:rPr>
        <w:t>NeuroImage</w:t>
      </w:r>
      <w:r w:rsidRPr="00DA1F42">
        <w:rPr>
          <w:rFonts w:ascii="Times New Roman" w:hAnsi="Times New Roman" w:cs="Times New Roman"/>
        </w:rPr>
        <w:t xml:space="preserve">, </w:t>
      </w:r>
      <w:r w:rsidRPr="00DA1F42">
        <w:rPr>
          <w:rFonts w:ascii="Times New Roman" w:hAnsi="Times New Roman" w:cs="Times New Roman"/>
          <w:i/>
          <w:iCs/>
        </w:rPr>
        <w:t>93</w:t>
      </w:r>
      <w:r w:rsidRPr="00DA1F42">
        <w:rPr>
          <w:rFonts w:ascii="Times New Roman" w:hAnsi="Times New Roman" w:cs="Times New Roman"/>
        </w:rPr>
        <w:t>, 176–188. https://doi.org/10.1016/j.neuroimage.2013.06.005</w:t>
      </w:r>
    </w:p>
    <w:p w14:paraId="0E359F89"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lastRenderedPageBreak/>
        <w:t xml:space="preserve">Manara, R., Ponticorvo, S., Tartaglione, I., Femina, G., Elefante, A., Russo, C., Carafa, P. A., Cirillo, M., Casale, M., Ciancio, A., Di Concilio, R., De Michele, E., Weiskopf, N., Di Salle, F., Perrotta, S., &amp; Esposito, F. (2019). Brain iron content in systemic iron overload: A beta-thalassemia quantitative MRI study. </w:t>
      </w:r>
      <w:r w:rsidRPr="00DA1F42">
        <w:rPr>
          <w:rFonts w:ascii="Times New Roman" w:hAnsi="Times New Roman" w:cs="Times New Roman"/>
          <w:i/>
          <w:iCs/>
        </w:rPr>
        <w:t>NeuroImage: Clinical</w:t>
      </w:r>
      <w:r w:rsidRPr="00DA1F42">
        <w:rPr>
          <w:rFonts w:ascii="Times New Roman" w:hAnsi="Times New Roman" w:cs="Times New Roman"/>
        </w:rPr>
        <w:t xml:space="preserve">, </w:t>
      </w:r>
      <w:r w:rsidRPr="00DA1F42">
        <w:rPr>
          <w:rFonts w:ascii="Times New Roman" w:hAnsi="Times New Roman" w:cs="Times New Roman"/>
          <w:i/>
          <w:iCs/>
        </w:rPr>
        <w:t>24</w:t>
      </w:r>
      <w:r w:rsidRPr="00DA1F42">
        <w:rPr>
          <w:rFonts w:ascii="Times New Roman" w:hAnsi="Times New Roman" w:cs="Times New Roman"/>
        </w:rPr>
        <w:t>, 102058. https://doi.org/10.1016/j.nicl.2019.102058</w:t>
      </w:r>
    </w:p>
    <w:p w14:paraId="3A36025E"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Martin, N. A., &amp; Brownell, R. (2011a). </w:t>
      </w:r>
      <w:r w:rsidRPr="00DA1F42">
        <w:rPr>
          <w:rFonts w:ascii="Times New Roman" w:hAnsi="Times New Roman" w:cs="Times New Roman"/>
          <w:i/>
          <w:iCs/>
        </w:rPr>
        <w:t>Expressive One-Word Picture Vocabulary Test-4 (EOWPVT-4).</w:t>
      </w:r>
      <w:r w:rsidRPr="00DA1F42">
        <w:rPr>
          <w:rFonts w:ascii="Times New Roman" w:hAnsi="Times New Roman" w:cs="Times New Roman"/>
        </w:rPr>
        <w:t xml:space="preserve"> (4th ed.). Academic Therapy Publications.</w:t>
      </w:r>
    </w:p>
    <w:p w14:paraId="4505A172"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Martin, N. A., &amp; Brownell, R. (2011b). </w:t>
      </w:r>
      <w:r w:rsidRPr="00DA1F42">
        <w:rPr>
          <w:rFonts w:ascii="Times New Roman" w:hAnsi="Times New Roman" w:cs="Times New Roman"/>
          <w:i/>
          <w:iCs/>
        </w:rPr>
        <w:t>Receptive One-Word Picture Vocabulary Test-4 (ROWPVT-4).</w:t>
      </w:r>
      <w:r w:rsidRPr="00DA1F42">
        <w:rPr>
          <w:rFonts w:ascii="Times New Roman" w:hAnsi="Times New Roman" w:cs="Times New Roman"/>
        </w:rPr>
        <w:t xml:space="preserve"> (4th ed.). Academic Therapy Publications.</w:t>
      </w:r>
    </w:p>
    <w:p w14:paraId="040F6F54"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Mayes, A. K., Reilly, S., &amp; Morgan, A. T. (2015). Neural correlates of childhood language disorder: A systematic review. </w:t>
      </w:r>
      <w:r w:rsidRPr="00DA1F42">
        <w:rPr>
          <w:rFonts w:ascii="Times New Roman" w:hAnsi="Times New Roman" w:cs="Times New Roman"/>
          <w:i/>
          <w:iCs/>
        </w:rPr>
        <w:t>Developmental Medicine &amp; Child Neurology</w:t>
      </w:r>
      <w:r w:rsidRPr="00DA1F42">
        <w:rPr>
          <w:rFonts w:ascii="Times New Roman" w:hAnsi="Times New Roman" w:cs="Times New Roman"/>
        </w:rPr>
        <w:t xml:space="preserve">, </w:t>
      </w:r>
      <w:r w:rsidRPr="00DA1F42">
        <w:rPr>
          <w:rFonts w:ascii="Times New Roman" w:hAnsi="Times New Roman" w:cs="Times New Roman"/>
          <w:i/>
          <w:iCs/>
        </w:rPr>
        <w:t>57</w:t>
      </w:r>
      <w:r w:rsidRPr="00DA1F42">
        <w:rPr>
          <w:rFonts w:ascii="Times New Roman" w:hAnsi="Times New Roman" w:cs="Times New Roman"/>
        </w:rPr>
        <w:t>(8), 706–717. https://doi.org/10.1111/dmcn.12714</w:t>
      </w:r>
    </w:p>
    <w:p w14:paraId="5F2EA5FB"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McArthur, G. M., &amp; Bishop, D. V. M. (2004). Which People with Specific Language Impairment have Auditory Processing Deficits? </w:t>
      </w:r>
      <w:r w:rsidRPr="00DA1F42">
        <w:rPr>
          <w:rFonts w:ascii="Times New Roman" w:hAnsi="Times New Roman" w:cs="Times New Roman"/>
          <w:i/>
          <w:iCs/>
        </w:rPr>
        <w:t>Cognitive Neuropsychology</w:t>
      </w:r>
      <w:r w:rsidRPr="00DA1F42">
        <w:rPr>
          <w:rFonts w:ascii="Times New Roman" w:hAnsi="Times New Roman" w:cs="Times New Roman"/>
        </w:rPr>
        <w:t xml:space="preserve">, </w:t>
      </w:r>
      <w:r w:rsidRPr="00DA1F42">
        <w:rPr>
          <w:rFonts w:ascii="Times New Roman" w:hAnsi="Times New Roman" w:cs="Times New Roman"/>
          <w:i/>
          <w:iCs/>
        </w:rPr>
        <w:t>21</w:t>
      </w:r>
      <w:r w:rsidRPr="00DA1F42">
        <w:rPr>
          <w:rFonts w:ascii="Times New Roman" w:hAnsi="Times New Roman" w:cs="Times New Roman"/>
        </w:rPr>
        <w:t>(1), 79–94. https://doi.org/10.1080/02643290342000087</w:t>
      </w:r>
    </w:p>
    <w:p w14:paraId="1BA27E6E"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McGregor, K. K., Gordon, K., Eden, N., Arbisi, -Kelm Tim, &amp; Oleson, J. (2017). Encoding Deficits Impede Word Learning and Memory in Adults With Developmental Language Disorders. </w:t>
      </w:r>
      <w:r w:rsidRPr="00DA1F42">
        <w:rPr>
          <w:rFonts w:ascii="Times New Roman" w:hAnsi="Times New Roman" w:cs="Times New Roman"/>
          <w:i/>
          <w:iCs/>
        </w:rPr>
        <w:t>Journal of Speech, Language, and Hearing Research</w:t>
      </w:r>
      <w:r w:rsidRPr="00DA1F42">
        <w:rPr>
          <w:rFonts w:ascii="Times New Roman" w:hAnsi="Times New Roman" w:cs="Times New Roman"/>
        </w:rPr>
        <w:t xml:space="preserve">, </w:t>
      </w:r>
      <w:r w:rsidRPr="00DA1F42">
        <w:rPr>
          <w:rFonts w:ascii="Times New Roman" w:hAnsi="Times New Roman" w:cs="Times New Roman"/>
          <w:i/>
          <w:iCs/>
        </w:rPr>
        <w:t>60</w:t>
      </w:r>
      <w:r w:rsidRPr="00DA1F42">
        <w:rPr>
          <w:rFonts w:ascii="Times New Roman" w:hAnsi="Times New Roman" w:cs="Times New Roman"/>
        </w:rPr>
        <w:t>(10), 2891–2905. https://doi.org/10.1044/2017_JSLHR-L-17-0031</w:t>
      </w:r>
    </w:p>
    <w:p w14:paraId="43D8F92F"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McMurray, B., Samelson, V. M., Lee, S. H., &amp; Bruce Tomblin, J. (2010). Individual differences in online spoken word recognition: Implications for SLI. </w:t>
      </w:r>
      <w:r w:rsidRPr="00DA1F42">
        <w:rPr>
          <w:rFonts w:ascii="Times New Roman" w:hAnsi="Times New Roman" w:cs="Times New Roman"/>
          <w:i/>
          <w:iCs/>
        </w:rPr>
        <w:t>Cognitive Psychology</w:t>
      </w:r>
      <w:r w:rsidRPr="00DA1F42">
        <w:rPr>
          <w:rFonts w:ascii="Times New Roman" w:hAnsi="Times New Roman" w:cs="Times New Roman"/>
        </w:rPr>
        <w:t xml:space="preserve">, </w:t>
      </w:r>
      <w:r w:rsidRPr="00DA1F42">
        <w:rPr>
          <w:rFonts w:ascii="Times New Roman" w:hAnsi="Times New Roman" w:cs="Times New Roman"/>
          <w:i/>
          <w:iCs/>
        </w:rPr>
        <w:t>60</w:t>
      </w:r>
      <w:r w:rsidRPr="00DA1F42">
        <w:rPr>
          <w:rFonts w:ascii="Times New Roman" w:hAnsi="Times New Roman" w:cs="Times New Roman"/>
        </w:rPr>
        <w:t>(1), 1–39. https://doi.org/10.1016/j.cogpsych.2009.06.003</w:t>
      </w:r>
    </w:p>
    <w:p w14:paraId="75DC54E4"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Miller, C. A., Kail, R., Leonard, L. B., &amp; Tomblin, J. B. (2001). Speed of Processing in Children With Specific Language Impairment. </w:t>
      </w:r>
      <w:r w:rsidRPr="00DA1F42">
        <w:rPr>
          <w:rFonts w:ascii="Times New Roman" w:hAnsi="Times New Roman" w:cs="Times New Roman"/>
          <w:i/>
          <w:iCs/>
        </w:rPr>
        <w:t>Journal of Speech, Language, and Hearing Research</w:t>
      </w:r>
      <w:r w:rsidRPr="00DA1F42">
        <w:rPr>
          <w:rFonts w:ascii="Times New Roman" w:hAnsi="Times New Roman" w:cs="Times New Roman"/>
        </w:rPr>
        <w:t xml:space="preserve">, </w:t>
      </w:r>
      <w:r w:rsidRPr="00DA1F42">
        <w:rPr>
          <w:rFonts w:ascii="Times New Roman" w:hAnsi="Times New Roman" w:cs="Times New Roman"/>
          <w:i/>
          <w:iCs/>
        </w:rPr>
        <w:t>44</w:t>
      </w:r>
      <w:r w:rsidRPr="00DA1F42">
        <w:rPr>
          <w:rFonts w:ascii="Times New Roman" w:hAnsi="Times New Roman" w:cs="Times New Roman"/>
        </w:rPr>
        <w:t>(2), 416–433. https://doi.org/10.1044/1092-4388(2001/034)</w:t>
      </w:r>
    </w:p>
    <w:p w14:paraId="20B1A059"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lastRenderedPageBreak/>
        <w:t xml:space="preserve">Mountford, H. S., Braden, R., Newbury, D. F., &amp; Morgan, A. T. (2022). The Genetic and Molecular Basis of Developmental Language Disorder: A Review. </w:t>
      </w:r>
      <w:r w:rsidRPr="00DA1F42">
        <w:rPr>
          <w:rFonts w:ascii="Times New Roman" w:hAnsi="Times New Roman" w:cs="Times New Roman"/>
          <w:i/>
          <w:iCs/>
        </w:rPr>
        <w:t>Children</w:t>
      </w:r>
      <w:r w:rsidRPr="00DA1F42">
        <w:rPr>
          <w:rFonts w:ascii="Times New Roman" w:hAnsi="Times New Roman" w:cs="Times New Roman"/>
        </w:rPr>
        <w:t xml:space="preserve">, </w:t>
      </w:r>
      <w:r w:rsidRPr="00DA1F42">
        <w:rPr>
          <w:rFonts w:ascii="Times New Roman" w:hAnsi="Times New Roman" w:cs="Times New Roman"/>
          <w:i/>
          <w:iCs/>
        </w:rPr>
        <w:t>9</w:t>
      </w:r>
      <w:r w:rsidRPr="00DA1F42">
        <w:rPr>
          <w:rFonts w:ascii="Times New Roman" w:hAnsi="Times New Roman" w:cs="Times New Roman"/>
        </w:rPr>
        <w:t>(5), 586. https://doi.org/10.3390/children9050586</w:t>
      </w:r>
    </w:p>
    <w:p w14:paraId="59613100"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Nation, K. (2014). Lexical learning and lexical processing in children with developmental language impairments. </w:t>
      </w:r>
      <w:r w:rsidRPr="00DA1F42">
        <w:rPr>
          <w:rFonts w:ascii="Times New Roman" w:hAnsi="Times New Roman" w:cs="Times New Roman"/>
          <w:i/>
          <w:iCs/>
        </w:rPr>
        <w:t>Philosophical Transactions of the Royal Society of London B: Biological Sciences</w:t>
      </w:r>
      <w:r w:rsidRPr="00DA1F42">
        <w:rPr>
          <w:rFonts w:ascii="Times New Roman" w:hAnsi="Times New Roman" w:cs="Times New Roman"/>
        </w:rPr>
        <w:t xml:space="preserve">, </w:t>
      </w:r>
      <w:r w:rsidRPr="00DA1F42">
        <w:rPr>
          <w:rFonts w:ascii="Times New Roman" w:hAnsi="Times New Roman" w:cs="Times New Roman"/>
          <w:i/>
          <w:iCs/>
        </w:rPr>
        <w:t>369</w:t>
      </w:r>
      <w:r w:rsidRPr="00DA1F42">
        <w:rPr>
          <w:rFonts w:ascii="Times New Roman" w:hAnsi="Times New Roman" w:cs="Times New Roman"/>
        </w:rPr>
        <w:t>(1634), 20120387. https://doi.org/10.1098/rstb.2012.0387</w:t>
      </w:r>
    </w:p>
    <w:p w14:paraId="00A1AF76"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Natu, V. S., Gomez, J., Barnett, M., Jeska, B., Kirilina, E., Jaeger, C., Zhen, Z., Cox, S., Weiner, K. S., Weiskopf, N., &amp; Grill-Spector, K. (2019). Apparent thinning of human visual cortex during childhood is associated with myelination. </w:t>
      </w:r>
      <w:r w:rsidRPr="00DA1F42">
        <w:rPr>
          <w:rFonts w:ascii="Times New Roman" w:hAnsi="Times New Roman" w:cs="Times New Roman"/>
          <w:i/>
          <w:iCs/>
        </w:rPr>
        <w:t>Proceedings of the National Academy of Sciences</w:t>
      </w:r>
      <w:r w:rsidRPr="00DA1F42">
        <w:rPr>
          <w:rFonts w:ascii="Times New Roman" w:hAnsi="Times New Roman" w:cs="Times New Roman"/>
        </w:rPr>
        <w:t xml:space="preserve">, </w:t>
      </w:r>
      <w:r w:rsidRPr="00DA1F42">
        <w:rPr>
          <w:rFonts w:ascii="Times New Roman" w:hAnsi="Times New Roman" w:cs="Times New Roman"/>
          <w:i/>
          <w:iCs/>
        </w:rPr>
        <w:t>116</w:t>
      </w:r>
      <w:r w:rsidRPr="00DA1F42">
        <w:rPr>
          <w:rFonts w:ascii="Times New Roman" w:hAnsi="Times New Roman" w:cs="Times New Roman"/>
        </w:rPr>
        <w:t>(41), 20750–20759. https://doi.org/10.1073/pnas.1904931116</w:t>
      </w:r>
    </w:p>
    <w:p w14:paraId="55D4E8E7"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Newbury, D. F., Winchester, L., Addis, L., Paracchini, S., Buckingham, L.-L., Clark, A., Cohen, W., Cowie, H., Dworzynski, K., Everitt, A., Goodyer, I. M., Hennessy, E., Kindley, A. D., Miller, L. L., Nasir, J., O’Hare, A., Shaw, D., Simkin, Z., Simonoff, E., … Monaco, A. P. (2009). CMIP and ATP2C2 Modulate Phonological Short-Term Memory in Language Impairment. </w:t>
      </w:r>
      <w:r w:rsidRPr="00DA1F42">
        <w:rPr>
          <w:rFonts w:ascii="Times New Roman" w:hAnsi="Times New Roman" w:cs="Times New Roman"/>
          <w:i/>
          <w:iCs/>
        </w:rPr>
        <w:t>The American Journal of Human Genetics</w:t>
      </w:r>
      <w:r w:rsidRPr="00DA1F42">
        <w:rPr>
          <w:rFonts w:ascii="Times New Roman" w:hAnsi="Times New Roman" w:cs="Times New Roman"/>
        </w:rPr>
        <w:t xml:space="preserve">, </w:t>
      </w:r>
      <w:r w:rsidRPr="00DA1F42">
        <w:rPr>
          <w:rFonts w:ascii="Times New Roman" w:hAnsi="Times New Roman" w:cs="Times New Roman"/>
          <w:i/>
          <w:iCs/>
        </w:rPr>
        <w:t>85</w:t>
      </w:r>
      <w:r w:rsidRPr="00DA1F42">
        <w:rPr>
          <w:rFonts w:ascii="Times New Roman" w:hAnsi="Times New Roman" w:cs="Times New Roman"/>
        </w:rPr>
        <w:t>(2), 264–272. https://doi.org/10.1016/j.ajhg.2009.07.004</w:t>
      </w:r>
    </w:p>
    <w:p w14:paraId="63F7D81C"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Newport, E. L., Landau, B., Seydell-Greenwald, A., Turkeltaub, P. E., Chambers, C. E., Dromerick, A. W., Carpenter, J., Berl, M. M., &amp; Gaillard, W. D. (2017). Revisiting Lenneberg’s Hypotheses About Early Developmental Plasticity: Language Organization After Left-Hemisphere Perinatal Stroke. </w:t>
      </w:r>
      <w:r w:rsidRPr="00DA1F42">
        <w:rPr>
          <w:rFonts w:ascii="Times New Roman" w:hAnsi="Times New Roman" w:cs="Times New Roman"/>
          <w:i/>
          <w:iCs/>
        </w:rPr>
        <w:t>Biolinguistics</w:t>
      </w:r>
      <w:r w:rsidRPr="00DA1F42">
        <w:rPr>
          <w:rFonts w:ascii="Times New Roman" w:hAnsi="Times New Roman" w:cs="Times New Roman"/>
        </w:rPr>
        <w:t xml:space="preserve">, </w:t>
      </w:r>
      <w:r w:rsidRPr="00DA1F42">
        <w:rPr>
          <w:rFonts w:ascii="Times New Roman" w:hAnsi="Times New Roman" w:cs="Times New Roman"/>
          <w:i/>
          <w:iCs/>
        </w:rPr>
        <w:t>11</w:t>
      </w:r>
      <w:r w:rsidRPr="00DA1F42">
        <w:rPr>
          <w:rFonts w:ascii="Times New Roman" w:hAnsi="Times New Roman" w:cs="Times New Roman"/>
        </w:rPr>
        <w:t>, 407–422. https://www.ncbi.nlm.nih.gov/pmc/articles/PMC6291004/</w:t>
      </w:r>
    </w:p>
    <w:p w14:paraId="362A8895"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Nieuwenhuys, R. (2013). The myeloarchitectonic studies on the human cerebral cortex of the Vogt–Vogt school, and their significance for the interpretation of functional neuroimaging data. </w:t>
      </w:r>
      <w:r w:rsidRPr="00DA1F42">
        <w:rPr>
          <w:rFonts w:ascii="Times New Roman" w:hAnsi="Times New Roman" w:cs="Times New Roman"/>
          <w:i/>
          <w:iCs/>
        </w:rPr>
        <w:t>Brain Structure and Function</w:t>
      </w:r>
      <w:r w:rsidRPr="00DA1F42">
        <w:rPr>
          <w:rFonts w:ascii="Times New Roman" w:hAnsi="Times New Roman" w:cs="Times New Roman"/>
        </w:rPr>
        <w:t xml:space="preserve">, </w:t>
      </w:r>
      <w:r w:rsidRPr="00DA1F42">
        <w:rPr>
          <w:rFonts w:ascii="Times New Roman" w:hAnsi="Times New Roman" w:cs="Times New Roman"/>
          <w:i/>
          <w:iCs/>
        </w:rPr>
        <w:t>218</w:t>
      </w:r>
      <w:r w:rsidRPr="00DA1F42">
        <w:rPr>
          <w:rFonts w:ascii="Times New Roman" w:hAnsi="Times New Roman" w:cs="Times New Roman"/>
        </w:rPr>
        <w:t>(2), 303–352. https://doi.org/10.1007/s00429-012-0460-z</w:t>
      </w:r>
    </w:p>
    <w:p w14:paraId="18C690E0"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Norbury, C. F., Gooch, D., Wray, C., Baird, G., Charman, T., Simonoff, E., Vamvakas, G., &amp; Pickles, A. (2016). The impact of nonverbal ability on prevalence and clinical presentation of language disorder: Evidence from a population study. </w:t>
      </w:r>
      <w:r w:rsidRPr="00DA1F42">
        <w:rPr>
          <w:rFonts w:ascii="Times New Roman" w:hAnsi="Times New Roman" w:cs="Times New Roman"/>
          <w:i/>
          <w:iCs/>
        </w:rPr>
        <w:t>Journal of Child Psychology and Psychiatry</w:t>
      </w:r>
      <w:r w:rsidRPr="00DA1F42">
        <w:rPr>
          <w:rFonts w:ascii="Times New Roman" w:hAnsi="Times New Roman" w:cs="Times New Roman"/>
        </w:rPr>
        <w:t xml:space="preserve">, </w:t>
      </w:r>
      <w:r w:rsidRPr="00DA1F42">
        <w:rPr>
          <w:rFonts w:ascii="Times New Roman" w:hAnsi="Times New Roman" w:cs="Times New Roman"/>
          <w:i/>
          <w:iCs/>
        </w:rPr>
        <w:t>57</w:t>
      </w:r>
      <w:r w:rsidRPr="00DA1F42">
        <w:rPr>
          <w:rFonts w:ascii="Times New Roman" w:hAnsi="Times New Roman" w:cs="Times New Roman"/>
        </w:rPr>
        <w:t>(11), 1247–1257. https://doi.org/10.1111/jcpp.12573</w:t>
      </w:r>
    </w:p>
    <w:p w14:paraId="14B0A590"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NSPN Consortium, Ziegler, G., Hauser, T. U., Moutoussis, M., Bullmore, E. T., Goodyer, I. M., Fonagy, P., Jones, P. B., Lindenberger, U., &amp; Dolan, R. J. (2019). Compulsivity and impulsivity traits linked to attenuated developmental frontostriatal myelination trajectories. </w:t>
      </w:r>
      <w:r w:rsidRPr="00DA1F42">
        <w:rPr>
          <w:rFonts w:ascii="Times New Roman" w:hAnsi="Times New Roman" w:cs="Times New Roman"/>
          <w:i/>
          <w:iCs/>
        </w:rPr>
        <w:t>Nature Neuroscience</w:t>
      </w:r>
      <w:r w:rsidRPr="00DA1F42">
        <w:rPr>
          <w:rFonts w:ascii="Times New Roman" w:hAnsi="Times New Roman" w:cs="Times New Roman"/>
        </w:rPr>
        <w:t xml:space="preserve">, </w:t>
      </w:r>
      <w:r w:rsidRPr="00DA1F42">
        <w:rPr>
          <w:rFonts w:ascii="Times New Roman" w:hAnsi="Times New Roman" w:cs="Times New Roman"/>
          <w:i/>
          <w:iCs/>
        </w:rPr>
        <w:t>22</w:t>
      </w:r>
      <w:r w:rsidRPr="00DA1F42">
        <w:rPr>
          <w:rFonts w:ascii="Times New Roman" w:hAnsi="Times New Roman" w:cs="Times New Roman"/>
        </w:rPr>
        <w:t>(6), 992–999. https://doi.org/10.1038/s41593-019-0394-3</w:t>
      </w:r>
    </w:p>
    <w:p w14:paraId="57CC4407"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Orpella, J., Mas-Herrero, E., Ripollés, P., Marco-Pallarés, J., &amp; Diego-Balaguer, R. de. (2021). Language statistical learning responds to reinforcement learning principles rooted in the striatum. </w:t>
      </w:r>
      <w:r w:rsidRPr="00DA1F42">
        <w:rPr>
          <w:rFonts w:ascii="Times New Roman" w:hAnsi="Times New Roman" w:cs="Times New Roman"/>
          <w:i/>
          <w:iCs/>
        </w:rPr>
        <w:t>PLOS Biology</w:t>
      </w:r>
      <w:r w:rsidRPr="00DA1F42">
        <w:rPr>
          <w:rFonts w:ascii="Times New Roman" w:hAnsi="Times New Roman" w:cs="Times New Roman"/>
        </w:rPr>
        <w:t xml:space="preserve">, </w:t>
      </w:r>
      <w:r w:rsidRPr="00DA1F42">
        <w:rPr>
          <w:rFonts w:ascii="Times New Roman" w:hAnsi="Times New Roman" w:cs="Times New Roman"/>
          <w:i/>
          <w:iCs/>
        </w:rPr>
        <w:t>19</w:t>
      </w:r>
      <w:r w:rsidRPr="00DA1F42">
        <w:rPr>
          <w:rFonts w:ascii="Times New Roman" w:hAnsi="Times New Roman" w:cs="Times New Roman"/>
        </w:rPr>
        <w:t>(9), e3001119. https://doi.org/10.1371/journal.pbio.3001119</w:t>
      </w:r>
    </w:p>
    <w:p w14:paraId="525A9BA8"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Paquola, C., Bethlehem, R. A., Seidlitz, J., Wagstyl, K., Romero-Garcia, R., Whitaker, K. J., Vos de Wael, R., Williams, G. B., NSPN Consortium, Vértes, P. E., Margulies, D. S., Bernhardt, B., &amp; Bullmore, E. T. (2019). Shifts in myeloarchitecture characterise adolescent development of cortical gradients. </w:t>
      </w:r>
      <w:r w:rsidRPr="00DA1F42">
        <w:rPr>
          <w:rFonts w:ascii="Times New Roman" w:hAnsi="Times New Roman" w:cs="Times New Roman"/>
          <w:i/>
          <w:iCs/>
        </w:rPr>
        <w:t>ELife</w:t>
      </w:r>
      <w:r w:rsidRPr="00DA1F42">
        <w:rPr>
          <w:rFonts w:ascii="Times New Roman" w:hAnsi="Times New Roman" w:cs="Times New Roman"/>
        </w:rPr>
        <w:t xml:space="preserve">, </w:t>
      </w:r>
      <w:r w:rsidRPr="00DA1F42">
        <w:rPr>
          <w:rFonts w:ascii="Times New Roman" w:hAnsi="Times New Roman" w:cs="Times New Roman"/>
          <w:i/>
          <w:iCs/>
        </w:rPr>
        <w:t>8</w:t>
      </w:r>
      <w:r w:rsidRPr="00DA1F42">
        <w:rPr>
          <w:rFonts w:ascii="Times New Roman" w:hAnsi="Times New Roman" w:cs="Times New Roman"/>
        </w:rPr>
        <w:t>, e50482. https://doi.org/10.7554/eLife.50482</w:t>
      </w:r>
    </w:p>
    <w:p w14:paraId="79125112"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Parker, A. J., Krishnan, S., Thompson, P. A., Watkins, K. E., &amp; Bishop, D. (2021). Impact of stimulus variability on understanding of reversible sentences in children with Developmental Language Disorder: Learning vs generalisation. Stage 1 Registered Report. </w:t>
      </w:r>
      <w:r w:rsidRPr="00DA1F42">
        <w:rPr>
          <w:rFonts w:ascii="Times New Roman" w:hAnsi="Times New Roman" w:cs="Times New Roman"/>
          <w:i/>
          <w:iCs/>
        </w:rPr>
        <w:t>Language Development Research</w:t>
      </w:r>
      <w:r w:rsidRPr="00DA1F42">
        <w:rPr>
          <w:rFonts w:ascii="Times New Roman" w:hAnsi="Times New Roman" w:cs="Times New Roman"/>
        </w:rPr>
        <w:t>. https://doi.org/10.17605/OSF.IO/V3EBF</w:t>
      </w:r>
    </w:p>
    <w:p w14:paraId="4EBD25F6"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Paulesu, E., Danelli, L., &amp; Berlingeri, M. (2014). Reading the dyslexic brain: Multiple dysfunctional routes revealed by a new meta-analysis of PET and fMRI activation studies. </w:t>
      </w:r>
      <w:r w:rsidRPr="00DA1F42">
        <w:rPr>
          <w:rFonts w:ascii="Times New Roman" w:hAnsi="Times New Roman" w:cs="Times New Roman"/>
          <w:i/>
          <w:iCs/>
        </w:rPr>
        <w:t>Frontiers in Human Neuroscience</w:t>
      </w:r>
      <w:r w:rsidRPr="00DA1F42">
        <w:rPr>
          <w:rFonts w:ascii="Times New Roman" w:hAnsi="Times New Roman" w:cs="Times New Roman"/>
        </w:rPr>
        <w:t xml:space="preserve">, </w:t>
      </w:r>
      <w:r w:rsidRPr="00DA1F42">
        <w:rPr>
          <w:rFonts w:ascii="Times New Roman" w:hAnsi="Times New Roman" w:cs="Times New Roman"/>
          <w:i/>
          <w:iCs/>
        </w:rPr>
        <w:t>8</w:t>
      </w:r>
      <w:r w:rsidRPr="00DA1F42">
        <w:rPr>
          <w:rFonts w:ascii="Times New Roman" w:hAnsi="Times New Roman" w:cs="Times New Roman"/>
        </w:rPr>
        <w:t>. https://www.frontiersin.org/article/10.3389/fnhum.2014.00830</w:t>
      </w:r>
    </w:p>
    <w:p w14:paraId="4966231C"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Paus, T. (2005). Mapping brain maturation and cognitive development during adolescence. </w:t>
      </w:r>
      <w:r w:rsidRPr="00DA1F42">
        <w:rPr>
          <w:rFonts w:ascii="Times New Roman" w:hAnsi="Times New Roman" w:cs="Times New Roman"/>
          <w:i/>
          <w:iCs/>
        </w:rPr>
        <w:t>Trends in Cognitive Sciences</w:t>
      </w:r>
      <w:r w:rsidRPr="00DA1F42">
        <w:rPr>
          <w:rFonts w:ascii="Times New Roman" w:hAnsi="Times New Roman" w:cs="Times New Roman"/>
        </w:rPr>
        <w:t xml:space="preserve">, </w:t>
      </w:r>
      <w:r w:rsidRPr="00DA1F42">
        <w:rPr>
          <w:rFonts w:ascii="Times New Roman" w:hAnsi="Times New Roman" w:cs="Times New Roman"/>
          <w:i/>
          <w:iCs/>
        </w:rPr>
        <w:t>9</w:t>
      </w:r>
      <w:r w:rsidRPr="00DA1F42">
        <w:rPr>
          <w:rFonts w:ascii="Times New Roman" w:hAnsi="Times New Roman" w:cs="Times New Roman"/>
        </w:rPr>
        <w:t>(2), 60–68. https://doi.org/10.1016/j.tics.2004.12.008</w:t>
      </w:r>
    </w:p>
    <w:p w14:paraId="6E5DD3B8"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Pigdon, L., Willmott, C., Reilly, S., Conti-Ramsden, G., Gaser, C., Connelly, A., &amp; Morgan, A. T. (2019). Grey matter volume in developmental speech and language disorder. </w:t>
      </w:r>
      <w:r w:rsidRPr="00DA1F42">
        <w:rPr>
          <w:rFonts w:ascii="Times New Roman" w:hAnsi="Times New Roman" w:cs="Times New Roman"/>
          <w:i/>
          <w:iCs/>
        </w:rPr>
        <w:t>Brain Structure &amp; Function</w:t>
      </w:r>
      <w:r w:rsidRPr="00DA1F42">
        <w:rPr>
          <w:rFonts w:ascii="Times New Roman" w:hAnsi="Times New Roman" w:cs="Times New Roman"/>
        </w:rPr>
        <w:t xml:space="preserve">, </w:t>
      </w:r>
      <w:r w:rsidRPr="00DA1F42">
        <w:rPr>
          <w:rFonts w:ascii="Times New Roman" w:hAnsi="Times New Roman" w:cs="Times New Roman"/>
          <w:i/>
          <w:iCs/>
        </w:rPr>
        <w:t>224</w:t>
      </w:r>
      <w:r w:rsidRPr="00DA1F42">
        <w:rPr>
          <w:rFonts w:ascii="Times New Roman" w:hAnsi="Times New Roman" w:cs="Times New Roman"/>
        </w:rPr>
        <w:t>(9), 3387–3398. https://doi.org/10.1007/s00429-019-01978-7</w:t>
      </w:r>
    </w:p>
    <w:p w14:paraId="20901EED"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Plante, E. (1991). MRI findings in boys with specific language impairment. </w:t>
      </w:r>
      <w:r w:rsidRPr="00DA1F42">
        <w:rPr>
          <w:rFonts w:ascii="Times New Roman" w:hAnsi="Times New Roman" w:cs="Times New Roman"/>
          <w:i/>
          <w:iCs/>
        </w:rPr>
        <w:t>Brain and Language</w:t>
      </w:r>
      <w:r w:rsidRPr="00DA1F42">
        <w:rPr>
          <w:rFonts w:ascii="Times New Roman" w:hAnsi="Times New Roman" w:cs="Times New Roman"/>
        </w:rPr>
        <w:t xml:space="preserve">, </w:t>
      </w:r>
      <w:r w:rsidRPr="00DA1F42">
        <w:rPr>
          <w:rFonts w:ascii="Times New Roman" w:hAnsi="Times New Roman" w:cs="Times New Roman"/>
          <w:i/>
          <w:iCs/>
        </w:rPr>
        <w:t>41</w:t>
      </w:r>
      <w:r w:rsidRPr="00DA1F42">
        <w:rPr>
          <w:rFonts w:ascii="Times New Roman" w:hAnsi="Times New Roman" w:cs="Times New Roman"/>
        </w:rPr>
        <w:t>(1), 52–66. https://doi.org/10.1016/0093-934X(91)90110-M</w:t>
      </w:r>
    </w:p>
    <w:p w14:paraId="53FF1EEC"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Preis, S., JÄncke, L., Schittler, P., Huang, Y., &amp; Steinmetz, H. (1998). Normal intrasylvian anatomical asymmetry in children with developmental language disorder. </w:t>
      </w:r>
      <w:r w:rsidRPr="00DA1F42">
        <w:rPr>
          <w:rFonts w:ascii="Times New Roman" w:hAnsi="Times New Roman" w:cs="Times New Roman"/>
          <w:i/>
          <w:iCs/>
        </w:rPr>
        <w:t>Neuropsychologia</w:t>
      </w:r>
      <w:r w:rsidRPr="00DA1F42">
        <w:rPr>
          <w:rFonts w:ascii="Times New Roman" w:hAnsi="Times New Roman" w:cs="Times New Roman"/>
        </w:rPr>
        <w:t xml:space="preserve">, </w:t>
      </w:r>
      <w:r w:rsidRPr="00DA1F42">
        <w:rPr>
          <w:rFonts w:ascii="Times New Roman" w:hAnsi="Times New Roman" w:cs="Times New Roman"/>
          <w:i/>
          <w:iCs/>
        </w:rPr>
        <w:t>36</w:t>
      </w:r>
      <w:r w:rsidRPr="00DA1F42">
        <w:rPr>
          <w:rFonts w:ascii="Times New Roman" w:hAnsi="Times New Roman" w:cs="Times New Roman"/>
        </w:rPr>
        <w:t>(9), 849–855. https://doi.org/10.1016/S0028-3932(98)00033-5</w:t>
      </w:r>
    </w:p>
    <w:p w14:paraId="7D521FBE"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Price, C. J. (2012). A review and synthesis of the first 20years of PET and fMRI studies of heard speech, spoken language and reading. </w:t>
      </w:r>
      <w:r w:rsidRPr="00DA1F42">
        <w:rPr>
          <w:rFonts w:ascii="Times New Roman" w:hAnsi="Times New Roman" w:cs="Times New Roman"/>
          <w:i/>
          <w:iCs/>
        </w:rPr>
        <w:t>NeuroImage</w:t>
      </w:r>
      <w:r w:rsidRPr="00DA1F42">
        <w:rPr>
          <w:rFonts w:ascii="Times New Roman" w:hAnsi="Times New Roman" w:cs="Times New Roman"/>
        </w:rPr>
        <w:t xml:space="preserve">, </w:t>
      </w:r>
      <w:r w:rsidRPr="00DA1F42">
        <w:rPr>
          <w:rFonts w:ascii="Times New Roman" w:hAnsi="Times New Roman" w:cs="Times New Roman"/>
          <w:i/>
          <w:iCs/>
        </w:rPr>
        <w:t>62</w:t>
      </w:r>
      <w:r w:rsidRPr="00DA1F42">
        <w:rPr>
          <w:rFonts w:ascii="Times New Roman" w:hAnsi="Times New Roman" w:cs="Times New Roman"/>
        </w:rPr>
        <w:t>(2), 816–847. https://doi.org/10.1016/j.neuroimage.2012.04.062</w:t>
      </w:r>
    </w:p>
    <w:p w14:paraId="5298BE53"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R Core Team. (2020). </w:t>
      </w:r>
      <w:r w:rsidRPr="00DA1F42">
        <w:rPr>
          <w:rFonts w:ascii="Times New Roman" w:hAnsi="Times New Roman" w:cs="Times New Roman"/>
          <w:i/>
          <w:iCs/>
        </w:rPr>
        <w:t>R: A language and environment for statistical computing</w:t>
      </w:r>
      <w:r w:rsidRPr="00DA1F42">
        <w:rPr>
          <w:rFonts w:ascii="Times New Roman" w:hAnsi="Times New Roman" w:cs="Times New Roman"/>
        </w:rPr>
        <w:t>. R Foundation for Statistical Computing. https://www.R-project.org/.</w:t>
      </w:r>
    </w:p>
    <w:p w14:paraId="48CA4B32"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Rauschecker, A. M., Pringle, A., &amp; Watkins, K. E. (2008). Changes in neural activity associated with learning to articulate novel auditory pseudowords by covert repetition. </w:t>
      </w:r>
      <w:r w:rsidRPr="00DA1F42">
        <w:rPr>
          <w:rFonts w:ascii="Times New Roman" w:hAnsi="Times New Roman" w:cs="Times New Roman"/>
          <w:i/>
          <w:iCs/>
        </w:rPr>
        <w:t>Human Brain Mapping</w:t>
      </w:r>
      <w:r w:rsidRPr="00DA1F42">
        <w:rPr>
          <w:rFonts w:ascii="Times New Roman" w:hAnsi="Times New Roman" w:cs="Times New Roman"/>
        </w:rPr>
        <w:t xml:space="preserve">, </w:t>
      </w:r>
      <w:r w:rsidRPr="00DA1F42">
        <w:rPr>
          <w:rFonts w:ascii="Times New Roman" w:hAnsi="Times New Roman" w:cs="Times New Roman"/>
          <w:i/>
          <w:iCs/>
        </w:rPr>
        <w:t>29</w:t>
      </w:r>
      <w:r w:rsidRPr="00DA1F42">
        <w:rPr>
          <w:rFonts w:ascii="Times New Roman" w:hAnsi="Times New Roman" w:cs="Times New Roman"/>
        </w:rPr>
        <w:t>(11), 1231–1242. https://doi.org/10.1002/hbm.20460</w:t>
      </w:r>
    </w:p>
    <w:p w14:paraId="13B39D3A"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Rauschecker, J. P., &amp; Scott, S. K. (2009). Maps and streams in the auditory cortex: Nonhuman primates illuminate human speech processing. </w:t>
      </w:r>
      <w:r w:rsidRPr="00DA1F42">
        <w:rPr>
          <w:rFonts w:ascii="Times New Roman" w:hAnsi="Times New Roman" w:cs="Times New Roman"/>
          <w:i/>
          <w:iCs/>
        </w:rPr>
        <w:t>Nature Neuroscience</w:t>
      </w:r>
      <w:r w:rsidRPr="00DA1F42">
        <w:rPr>
          <w:rFonts w:ascii="Times New Roman" w:hAnsi="Times New Roman" w:cs="Times New Roman"/>
        </w:rPr>
        <w:t xml:space="preserve">, </w:t>
      </w:r>
      <w:r w:rsidRPr="00DA1F42">
        <w:rPr>
          <w:rFonts w:ascii="Times New Roman" w:hAnsi="Times New Roman" w:cs="Times New Roman"/>
          <w:i/>
          <w:iCs/>
        </w:rPr>
        <w:t>12</w:t>
      </w:r>
      <w:r w:rsidRPr="00DA1F42">
        <w:rPr>
          <w:rFonts w:ascii="Times New Roman" w:hAnsi="Times New Roman" w:cs="Times New Roman"/>
        </w:rPr>
        <w:t>(6), 718–724. https://doi.org/10.1038/nn.2331</w:t>
      </w:r>
    </w:p>
    <w:p w14:paraId="6CA3684C"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Richlan, F. (2012). Developmental dyslexia: Dysfunction of a left hemisphere reading network. </w:t>
      </w:r>
      <w:r w:rsidRPr="00DA1F42">
        <w:rPr>
          <w:rFonts w:ascii="Times New Roman" w:hAnsi="Times New Roman" w:cs="Times New Roman"/>
          <w:i/>
          <w:iCs/>
        </w:rPr>
        <w:t>Frontiers in Human Neuroscience</w:t>
      </w:r>
      <w:r w:rsidRPr="00DA1F42">
        <w:rPr>
          <w:rFonts w:ascii="Times New Roman" w:hAnsi="Times New Roman" w:cs="Times New Roman"/>
        </w:rPr>
        <w:t xml:space="preserve">, </w:t>
      </w:r>
      <w:r w:rsidRPr="00DA1F42">
        <w:rPr>
          <w:rFonts w:ascii="Times New Roman" w:hAnsi="Times New Roman" w:cs="Times New Roman"/>
          <w:i/>
          <w:iCs/>
        </w:rPr>
        <w:t>6</w:t>
      </w:r>
      <w:r w:rsidRPr="00DA1F42">
        <w:rPr>
          <w:rFonts w:ascii="Times New Roman" w:hAnsi="Times New Roman" w:cs="Times New Roman"/>
        </w:rPr>
        <w:t>. https://www.frontiersin.org/article/10.3389/fnhum.2012.00120</w:t>
      </w:r>
    </w:p>
    <w:p w14:paraId="53E52E95"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Rosseel, Y. (2012). </w:t>
      </w:r>
      <w:r w:rsidRPr="00DA1F42">
        <w:rPr>
          <w:rFonts w:ascii="Times New Roman" w:hAnsi="Times New Roman" w:cs="Times New Roman"/>
          <w:i/>
          <w:iCs/>
        </w:rPr>
        <w:t>lavaan: An R package for structural equation modeling and more Version 0.5-12 (BETA)</w:t>
      </w:r>
      <w:r w:rsidRPr="00DA1F42">
        <w:rPr>
          <w:rFonts w:ascii="Times New Roman" w:hAnsi="Times New Roman" w:cs="Times New Roman"/>
        </w:rPr>
        <w:t>. 37.</w:t>
      </w:r>
    </w:p>
    <w:p w14:paraId="1A38F774"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Sanjeevan, T., &amp; Mainela-Arnold, E. (2019). Characterizing the Motor Skills in Children with Specific Language Impairment. </w:t>
      </w:r>
      <w:r w:rsidRPr="00DA1F42">
        <w:rPr>
          <w:rFonts w:ascii="Times New Roman" w:hAnsi="Times New Roman" w:cs="Times New Roman"/>
          <w:i/>
          <w:iCs/>
        </w:rPr>
        <w:t>Folia Phoniatrica et Logopaedica</w:t>
      </w:r>
      <w:r w:rsidRPr="00DA1F42">
        <w:rPr>
          <w:rFonts w:ascii="Times New Roman" w:hAnsi="Times New Roman" w:cs="Times New Roman"/>
        </w:rPr>
        <w:t xml:space="preserve">, </w:t>
      </w:r>
      <w:r w:rsidRPr="00DA1F42">
        <w:rPr>
          <w:rFonts w:ascii="Times New Roman" w:hAnsi="Times New Roman" w:cs="Times New Roman"/>
          <w:i/>
          <w:iCs/>
        </w:rPr>
        <w:t>71</w:t>
      </w:r>
      <w:r w:rsidRPr="00DA1F42">
        <w:rPr>
          <w:rFonts w:ascii="Times New Roman" w:hAnsi="Times New Roman" w:cs="Times New Roman"/>
        </w:rPr>
        <w:t>(1), 42–55. https://doi.org/10.1159/000493262</w:t>
      </w:r>
    </w:p>
    <w:p w14:paraId="1679D125"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Schmierer, K., Scaravilli, F., Altmann, D. R., Barker, G. J., &amp; Miller, D. H. (2004). Magnetization transfer ratio and myelin in postmortem multiple sclerosis brain. </w:t>
      </w:r>
      <w:r w:rsidRPr="00DA1F42">
        <w:rPr>
          <w:rFonts w:ascii="Times New Roman" w:hAnsi="Times New Roman" w:cs="Times New Roman"/>
          <w:i/>
          <w:iCs/>
        </w:rPr>
        <w:t>Annals of Neurology</w:t>
      </w:r>
      <w:r w:rsidRPr="00DA1F42">
        <w:rPr>
          <w:rFonts w:ascii="Times New Roman" w:hAnsi="Times New Roman" w:cs="Times New Roman"/>
        </w:rPr>
        <w:t xml:space="preserve">, </w:t>
      </w:r>
      <w:r w:rsidRPr="00DA1F42">
        <w:rPr>
          <w:rFonts w:ascii="Times New Roman" w:hAnsi="Times New Roman" w:cs="Times New Roman"/>
          <w:i/>
          <w:iCs/>
        </w:rPr>
        <w:t>56</w:t>
      </w:r>
      <w:r w:rsidRPr="00DA1F42">
        <w:rPr>
          <w:rFonts w:ascii="Times New Roman" w:hAnsi="Times New Roman" w:cs="Times New Roman"/>
        </w:rPr>
        <w:t>(3), 407–415. https://doi.org/10.1002/ana.20202</w:t>
      </w:r>
    </w:p>
    <w:p w14:paraId="5A592E2A"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Semel, E. M., Wiig, E. H., &amp; Secord, W. (2004). </w:t>
      </w:r>
      <w:r w:rsidRPr="00DA1F42">
        <w:rPr>
          <w:rFonts w:ascii="Times New Roman" w:hAnsi="Times New Roman" w:cs="Times New Roman"/>
          <w:i/>
          <w:iCs/>
        </w:rPr>
        <w:t>Clinical Evaluation of Language Fundamentals.</w:t>
      </w:r>
      <w:r w:rsidRPr="00DA1F42">
        <w:rPr>
          <w:rFonts w:ascii="Times New Roman" w:hAnsi="Times New Roman" w:cs="Times New Roman"/>
        </w:rPr>
        <w:t xml:space="preserve"> (4th ed.). PsychCorp.</w:t>
      </w:r>
    </w:p>
    <w:p w14:paraId="2A4CE42A"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Sereno, M. I., Lutti, A., Weiskopf, N., &amp; Dick, F. (2013). Mapping the Human Cortical Surface by Combining Quantitative T1 with Retinotopy†. </w:t>
      </w:r>
      <w:r w:rsidRPr="00DA1F42">
        <w:rPr>
          <w:rFonts w:ascii="Times New Roman" w:hAnsi="Times New Roman" w:cs="Times New Roman"/>
          <w:i/>
          <w:iCs/>
        </w:rPr>
        <w:t>Cerebral Cortex</w:t>
      </w:r>
      <w:r w:rsidRPr="00DA1F42">
        <w:rPr>
          <w:rFonts w:ascii="Times New Roman" w:hAnsi="Times New Roman" w:cs="Times New Roman"/>
        </w:rPr>
        <w:t xml:space="preserve">, </w:t>
      </w:r>
      <w:r w:rsidRPr="00DA1F42">
        <w:rPr>
          <w:rFonts w:ascii="Times New Roman" w:hAnsi="Times New Roman" w:cs="Times New Roman"/>
          <w:i/>
          <w:iCs/>
        </w:rPr>
        <w:t>23</w:t>
      </w:r>
      <w:r w:rsidRPr="00DA1F42">
        <w:rPr>
          <w:rFonts w:ascii="Times New Roman" w:hAnsi="Times New Roman" w:cs="Times New Roman"/>
        </w:rPr>
        <w:t>(9), 2261–2268. https://doi.org/10.1093/cercor/bhs213</w:t>
      </w:r>
    </w:p>
    <w:p w14:paraId="62D9F01B"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Shafee, R., Buckner, R. L., &amp; Fischl, B. (2015). Gray matter myelination of 1555 human brains using partial volume corrected MRI images. </w:t>
      </w:r>
      <w:r w:rsidRPr="00DA1F42">
        <w:rPr>
          <w:rFonts w:ascii="Times New Roman" w:hAnsi="Times New Roman" w:cs="Times New Roman"/>
          <w:i/>
          <w:iCs/>
        </w:rPr>
        <w:t>NeuroImage</w:t>
      </w:r>
      <w:r w:rsidRPr="00DA1F42">
        <w:rPr>
          <w:rFonts w:ascii="Times New Roman" w:hAnsi="Times New Roman" w:cs="Times New Roman"/>
        </w:rPr>
        <w:t xml:space="preserve">, </w:t>
      </w:r>
      <w:r w:rsidRPr="00DA1F42">
        <w:rPr>
          <w:rFonts w:ascii="Times New Roman" w:hAnsi="Times New Roman" w:cs="Times New Roman"/>
          <w:i/>
          <w:iCs/>
        </w:rPr>
        <w:t>105</w:t>
      </w:r>
      <w:r w:rsidRPr="00DA1F42">
        <w:rPr>
          <w:rFonts w:ascii="Times New Roman" w:hAnsi="Times New Roman" w:cs="Times New Roman"/>
        </w:rPr>
        <w:t>, 473–485. https://doi.org/10.1016/j.neuroimage.2014.10.054</w:t>
      </w:r>
    </w:p>
    <w:p w14:paraId="5DDD1545"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Simmonds, A. J., Leech, R., Iverson, P., &amp; Wise, R. J. S. (2014). The response of the anterior striatum during adult human vocal learning. </w:t>
      </w:r>
      <w:r w:rsidRPr="00DA1F42">
        <w:rPr>
          <w:rFonts w:ascii="Times New Roman" w:hAnsi="Times New Roman" w:cs="Times New Roman"/>
          <w:i/>
          <w:iCs/>
        </w:rPr>
        <w:t>Journal of Neurophysiology</w:t>
      </w:r>
      <w:r w:rsidRPr="00DA1F42">
        <w:rPr>
          <w:rFonts w:ascii="Times New Roman" w:hAnsi="Times New Roman" w:cs="Times New Roman"/>
        </w:rPr>
        <w:t xml:space="preserve">, </w:t>
      </w:r>
      <w:r w:rsidRPr="00DA1F42">
        <w:rPr>
          <w:rFonts w:ascii="Times New Roman" w:hAnsi="Times New Roman" w:cs="Times New Roman"/>
          <w:i/>
          <w:iCs/>
        </w:rPr>
        <w:t>112</w:t>
      </w:r>
      <w:r w:rsidRPr="00DA1F42">
        <w:rPr>
          <w:rFonts w:ascii="Times New Roman" w:hAnsi="Times New Roman" w:cs="Times New Roman"/>
        </w:rPr>
        <w:t>(4), 792–801. https://doi.org/10.1152/jn.00901.2013</w:t>
      </w:r>
    </w:p>
    <w:p w14:paraId="0585F3A1"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Siugzdaite, R., Bathelt, J., Holmes, J., &amp; Astle, D. E. (2020). Transdiagnostic Brain Mapping in Developmental Disorders. </w:t>
      </w:r>
      <w:r w:rsidRPr="00DA1F42">
        <w:rPr>
          <w:rFonts w:ascii="Times New Roman" w:hAnsi="Times New Roman" w:cs="Times New Roman"/>
          <w:i/>
          <w:iCs/>
        </w:rPr>
        <w:t>Current Biology</w:t>
      </w:r>
      <w:r w:rsidRPr="00DA1F42">
        <w:rPr>
          <w:rFonts w:ascii="Times New Roman" w:hAnsi="Times New Roman" w:cs="Times New Roman"/>
        </w:rPr>
        <w:t xml:space="preserve">, </w:t>
      </w:r>
      <w:r w:rsidRPr="00DA1F42">
        <w:rPr>
          <w:rFonts w:ascii="Times New Roman" w:hAnsi="Times New Roman" w:cs="Times New Roman"/>
          <w:i/>
          <w:iCs/>
        </w:rPr>
        <w:t>30</w:t>
      </w:r>
      <w:r w:rsidRPr="00DA1F42">
        <w:rPr>
          <w:rFonts w:ascii="Times New Roman" w:hAnsi="Times New Roman" w:cs="Times New Roman"/>
        </w:rPr>
        <w:t>(7), 1245-1257.e4. https://doi.org/10.1016/j.cub.2020.01.078</w:t>
      </w:r>
    </w:p>
    <w:p w14:paraId="7EE008C1"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Skipper, J. I., Aliko, S., Brown, S., Jo, Y. J., Lo, S., Molimpakis, E., &amp; Lametti, D. R. (2020). </w:t>
      </w:r>
      <w:r w:rsidRPr="00DA1F42">
        <w:rPr>
          <w:rFonts w:ascii="Times New Roman" w:hAnsi="Times New Roman" w:cs="Times New Roman"/>
          <w:i/>
          <w:iCs/>
        </w:rPr>
        <w:t>Reorganization of the neurobiology of language after sentence overlearning</w:t>
      </w:r>
      <w:r w:rsidRPr="00DA1F42">
        <w:rPr>
          <w:rFonts w:ascii="Times New Roman" w:hAnsi="Times New Roman" w:cs="Times New Roman"/>
        </w:rPr>
        <w:t xml:space="preserve"> [Preprint]. Neuroscience. https://doi.org/10.1101/2020.09.11.293167</w:t>
      </w:r>
    </w:p>
    <w:p w14:paraId="73BCC6D3"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Soriano‐Mas, C., Pujol, J., Ortiz, H., Deus, J., López‐Sala, A., &amp; Sans, A. (2009). Age-related brain structural alterations in children with specific language impairment. </w:t>
      </w:r>
      <w:r w:rsidRPr="00DA1F42">
        <w:rPr>
          <w:rFonts w:ascii="Times New Roman" w:hAnsi="Times New Roman" w:cs="Times New Roman"/>
          <w:i/>
          <w:iCs/>
        </w:rPr>
        <w:t>Human Brain Mapping</w:t>
      </w:r>
      <w:r w:rsidRPr="00DA1F42">
        <w:rPr>
          <w:rFonts w:ascii="Times New Roman" w:hAnsi="Times New Roman" w:cs="Times New Roman"/>
        </w:rPr>
        <w:t xml:space="preserve">, </w:t>
      </w:r>
      <w:r w:rsidRPr="00DA1F42">
        <w:rPr>
          <w:rFonts w:ascii="Times New Roman" w:hAnsi="Times New Roman" w:cs="Times New Roman"/>
          <w:i/>
          <w:iCs/>
        </w:rPr>
        <w:t>30</w:t>
      </w:r>
      <w:r w:rsidRPr="00DA1F42">
        <w:rPr>
          <w:rFonts w:ascii="Times New Roman" w:hAnsi="Times New Roman" w:cs="Times New Roman"/>
        </w:rPr>
        <w:t>(5), 1626–1636. https://doi.org/10.1002/hbm.20620</w:t>
      </w:r>
    </w:p>
    <w:p w14:paraId="2C249074"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Steiger, T. K., Weiskopf, N., &amp; Bunzeck, N. (2016). Iron Level and Myelin Content in the Ventral Striatum Predict Memory Performance in the Aging Brain. </w:t>
      </w:r>
      <w:r w:rsidRPr="00DA1F42">
        <w:rPr>
          <w:rFonts w:ascii="Times New Roman" w:hAnsi="Times New Roman" w:cs="Times New Roman"/>
          <w:i/>
          <w:iCs/>
        </w:rPr>
        <w:t>Journal of Neuroscience</w:t>
      </w:r>
      <w:r w:rsidRPr="00DA1F42">
        <w:rPr>
          <w:rFonts w:ascii="Times New Roman" w:hAnsi="Times New Roman" w:cs="Times New Roman"/>
        </w:rPr>
        <w:t xml:space="preserve">, </w:t>
      </w:r>
      <w:r w:rsidRPr="00DA1F42">
        <w:rPr>
          <w:rFonts w:ascii="Times New Roman" w:hAnsi="Times New Roman" w:cs="Times New Roman"/>
          <w:i/>
          <w:iCs/>
        </w:rPr>
        <w:t>36</w:t>
      </w:r>
      <w:r w:rsidRPr="00DA1F42">
        <w:rPr>
          <w:rFonts w:ascii="Times New Roman" w:hAnsi="Times New Roman" w:cs="Times New Roman"/>
        </w:rPr>
        <w:t>(12), 3552–3558. https://doi.org/10.1523/JNEUROSCI.3617-15.2016</w:t>
      </w:r>
    </w:p>
    <w:p w14:paraId="11C6791A"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Tabelow, K., Balteau, E., Ashburner, J., Callaghan, M. F., Draganski, B., Helms, G., Kherif, F., Leutritz, T., Lutti, A., Phillips, C., Reimer, E., Ruthotto, L., Seif, M., Weiskopf, N., Ziegler, G., &amp; Mohammadi, S. (2019). HMRI – A toolbox for quantitative MRI in neuroscience and clinical research. </w:t>
      </w:r>
      <w:r w:rsidRPr="00DA1F42">
        <w:rPr>
          <w:rFonts w:ascii="Times New Roman" w:hAnsi="Times New Roman" w:cs="Times New Roman"/>
          <w:i/>
          <w:iCs/>
        </w:rPr>
        <w:t>NeuroImage</w:t>
      </w:r>
      <w:r w:rsidRPr="00DA1F42">
        <w:rPr>
          <w:rFonts w:ascii="Times New Roman" w:hAnsi="Times New Roman" w:cs="Times New Roman"/>
        </w:rPr>
        <w:t xml:space="preserve">, </w:t>
      </w:r>
      <w:r w:rsidRPr="00DA1F42">
        <w:rPr>
          <w:rFonts w:ascii="Times New Roman" w:hAnsi="Times New Roman" w:cs="Times New Roman"/>
          <w:i/>
          <w:iCs/>
        </w:rPr>
        <w:t>194</w:t>
      </w:r>
      <w:r w:rsidRPr="00DA1F42">
        <w:rPr>
          <w:rFonts w:ascii="Times New Roman" w:hAnsi="Times New Roman" w:cs="Times New Roman"/>
        </w:rPr>
        <w:t>, 191–210. https://doi.org/10.1016/j.neuroimage.2019.01.029</w:t>
      </w:r>
    </w:p>
    <w:p w14:paraId="06208E73"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Thal, D. J., Marchman, V., Stiles, J., Aram, D., Trauner, D., Nass, R., &amp; Bates, E. (1991). Early lexical development in children with focal brain injury. </w:t>
      </w:r>
      <w:r w:rsidRPr="00DA1F42">
        <w:rPr>
          <w:rFonts w:ascii="Times New Roman" w:hAnsi="Times New Roman" w:cs="Times New Roman"/>
          <w:i/>
          <w:iCs/>
        </w:rPr>
        <w:t>Brain and Language</w:t>
      </w:r>
      <w:r w:rsidRPr="00DA1F42">
        <w:rPr>
          <w:rFonts w:ascii="Times New Roman" w:hAnsi="Times New Roman" w:cs="Times New Roman"/>
        </w:rPr>
        <w:t xml:space="preserve">, </w:t>
      </w:r>
      <w:r w:rsidRPr="00DA1F42">
        <w:rPr>
          <w:rFonts w:ascii="Times New Roman" w:hAnsi="Times New Roman" w:cs="Times New Roman"/>
          <w:i/>
          <w:iCs/>
        </w:rPr>
        <w:t>40</w:t>
      </w:r>
      <w:r w:rsidRPr="00DA1F42">
        <w:rPr>
          <w:rFonts w:ascii="Times New Roman" w:hAnsi="Times New Roman" w:cs="Times New Roman"/>
        </w:rPr>
        <w:t>(4), 491–527. https://doi.org/10.1016/0093-934X(91)90145-Q</w:t>
      </w:r>
    </w:p>
    <w:p w14:paraId="2A058781"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Tomblin, B. (2011). Co-morbidity of autism and SLI: Kinds, kin and complexity. </w:t>
      </w:r>
      <w:r w:rsidRPr="00DA1F42">
        <w:rPr>
          <w:rFonts w:ascii="Times New Roman" w:hAnsi="Times New Roman" w:cs="Times New Roman"/>
          <w:i/>
          <w:iCs/>
        </w:rPr>
        <w:t>International Journal of Language &amp; Communication Disorders</w:t>
      </w:r>
      <w:r w:rsidRPr="00DA1F42">
        <w:rPr>
          <w:rFonts w:ascii="Times New Roman" w:hAnsi="Times New Roman" w:cs="Times New Roman"/>
        </w:rPr>
        <w:t xml:space="preserve">, </w:t>
      </w:r>
      <w:r w:rsidRPr="00DA1F42">
        <w:rPr>
          <w:rFonts w:ascii="Times New Roman" w:hAnsi="Times New Roman" w:cs="Times New Roman"/>
          <w:i/>
          <w:iCs/>
        </w:rPr>
        <w:t>46</w:t>
      </w:r>
      <w:r w:rsidRPr="00DA1F42">
        <w:rPr>
          <w:rFonts w:ascii="Times New Roman" w:hAnsi="Times New Roman" w:cs="Times New Roman"/>
        </w:rPr>
        <w:t>(2), 127–137. https://doi.org/10.1111/j.1460-6984.2011.00017.x</w:t>
      </w:r>
    </w:p>
    <w:p w14:paraId="312C1C68"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Tomblin, B., &amp; Zhang, X. (1999). Language Patterns and Etiology in Children with Specific Language Impairment. In </w:t>
      </w:r>
      <w:r w:rsidRPr="00DA1F42">
        <w:rPr>
          <w:rFonts w:ascii="Times New Roman" w:hAnsi="Times New Roman" w:cs="Times New Roman"/>
          <w:i/>
          <w:iCs/>
        </w:rPr>
        <w:t>Neurodevelopmental disorders</w:t>
      </w:r>
      <w:r w:rsidRPr="00DA1F42">
        <w:rPr>
          <w:rFonts w:ascii="Times New Roman" w:hAnsi="Times New Roman" w:cs="Times New Roman"/>
        </w:rPr>
        <w:t xml:space="preserve"> (p. 361). MIT Press.</w:t>
      </w:r>
    </w:p>
    <w:p w14:paraId="044A92A2"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Torgesen, J. K., Rashotte, C. E., &amp; Wagner, R. K. (1999). </w:t>
      </w:r>
      <w:r w:rsidRPr="00DA1F42">
        <w:rPr>
          <w:rFonts w:ascii="Times New Roman" w:hAnsi="Times New Roman" w:cs="Times New Roman"/>
          <w:i/>
          <w:iCs/>
        </w:rPr>
        <w:t>TOWRE: Test of word reading efficiency.</w:t>
      </w:r>
      <w:r w:rsidRPr="00DA1F42">
        <w:rPr>
          <w:rFonts w:ascii="Times New Roman" w:hAnsi="Times New Roman" w:cs="Times New Roman"/>
        </w:rPr>
        <w:t xml:space="preserve"> Pro-ed.</w:t>
      </w:r>
    </w:p>
    <w:p w14:paraId="3BE803F4"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Ullman, M. T., Earle, F. S., Walenski, M., &amp; Janacsek, K. (2020). The Neurocognition of Developmental Disorders of Language. </w:t>
      </w:r>
      <w:r w:rsidRPr="00DA1F42">
        <w:rPr>
          <w:rFonts w:ascii="Times New Roman" w:hAnsi="Times New Roman" w:cs="Times New Roman"/>
          <w:i/>
          <w:iCs/>
        </w:rPr>
        <w:t>Annual Review of Psychology</w:t>
      </w:r>
      <w:r w:rsidRPr="00DA1F42">
        <w:rPr>
          <w:rFonts w:ascii="Times New Roman" w:hAnsi="Times New Roman" w:cs="Times New Roman"/>
        </w:rPr>
        <w:t xml:space="preserve">, </w:t>
      </w:r>
      <w:r w:rsidRPr="00DA1F42">
        <w:rPr>
          <w:rFonts w:ascii="Times New Roman" w:hAnsi="Times New Roman" w:cs="Times New Roman"/>
          <w:i/>
          <w:iCs/>
        </w:rPr>
        <w:t>71</w:t>
      </w:r>
      <w:r w:rsidRPr="00DA1F42">
        <w:rPr>
          <w:rFonts w:ascii="Times New Roman" w:hAnsi="Times New Roman" w:cs="Times New Roman"/>
        </w:rPr>
        <w:t>(1), 389–417. https://doi.org/10.1146/annurev-psych-122216-011555</w:t>
      </w:r>
    </w:p>
    <w:p w14:paraId="4EEC7CD5"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Ullman, M. T., &amp; Pierpont, E. I. (2005). Specific Language Impairment is not Specific to Language: The Procedural Deficit Hypothesis. </w:t>
      </w:r>
      <w:r w:rsidRPr="00DA1F42">
        <w:rPr>
          <w:rFonts w:ascii="Times New Roman" w:hAnsi="Times New Roman" w:cs="Times New Roman"/>
          <w:i/>
          <w:iCs/>
        </w:rPr>
        <w:t>Cortex</w:t>
      </w:r>
      <w:r w:rsidRPr="00DA1F42">
        <w:rPr>
          <w:rFonts w:ascii="Times New Roman" w:hAnsi="Times New Roman" w:cs="Times New Roman"/>
        </w:rPr>
        <w:t xml:space="preserve">, </w:t>
      </w:r>
      <w:r w:rsidRPr="00DA1F42">
        <w:rPr>
          <w:rFonts w:ascii="Times New Roman" w:hAnsi="Times New Roman" w:cs="Times New Roman"/>
          <w:i/>
          <w:iCs/>
        </w:rPr>
        <w:t>41</w:t>
      </w:r>
      <w:r w:rsidRPr="00DA1F42">
        <w:rPr>
          <w:rFonts w:ascii="Times New Roman" w:hAnsi="Times New Roman" w:cs="Times New Roman"/>
        </w:rPr>
        <w:t>(3), 399–433. https://doi.org/10.1016/S0010-9452(08)70276-4</w:t>
      </w:r>
    </w:p>
    <w:p w14:paraId="617DE55F"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Vargha-Khadem, F., O’Gorman, A. M., &amp; Watters, G. V. (1985). Aphasia and handedness in relation to hemispheric side, age at injury and severity of cerebral lesion during childhood. </w:t>
      </w:r>
      <w:r w:rsidRPr="00DA1F42">
        <w:rPr>
          <w:rFonts w:ascii="Times New Roman" w:hAnsi="Times New Roman" w:cs="Times New Roman"/>
          <w:i/>
          <w:iCs/>
        </w:rPr>
        <w:t>Brain</w:t>
      </w:r>
      <w:r w:rsidRPr="00DA1F42">
        <w:rPr>
          <w:rFonts w:ascii="Times New Roman" w:hAnsi="Times New Roman" w:cs="Times New Roman"/>
        </w:rPr>
        <w:t xml:space="preserve">, </w:t>
      </w:r>
      <w:r w:rsidRPr="00DA1F42">
        <w:rPr>
          <w:rFonts w:ascii="Times New Roman" w:hAnsi="Times New Roman" w:cs="Times New Roman"/>
          <w:i/>
          <w:iCs/>
        </w:rPr>
        <w:t>108</w:t>
      </w:r>
      <w:r w:rsidRPr="00DA1F42">
        <w:rPr>
          <w:rFonts w:ascii="Times New Roman" w:hAnsi="Times New Roman" w:cs="Times New Roman"/>
        </w:rPr>
        <w:t>(3), 677–696. https://doi.org/10.1093/brain/108.3.677</w:t>
      </w:r>
    </w:p>
    <w:p w14:paraId="35D5603A"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Vernes, S. C., Newbury, D. F., Abrahams, B. S., Winchester, L., Nicod, J., Groszer, M., Alarcón, M., Oliver, P. L., Davies, K. E., Geschwind, D. H., Monaco, A. P., &amp; Fisher, S. E. (2008). A Functional Genetic Link between Distinct Developmental Language Disorders. </w:t>
      </w:r>
      <w:r w:rsidRPr="00DA1F42">
        <w:rPr>
          <w:rFonts w:ascii="Times New Roman" w:hAnsi="Times New Roman" w:cs="Times New Roman"/>
          <w:i/>
          <w:iCs/>
        </w:rPr>
        <w:t>New England Journal of Medicine</w:t>
      </w:r>
      <w:r w:rsidRPr="00DA1F42">
        <w:rPr>
          <w:rFonts w:ascii="Times New Roman" w:hAnsi="Times New Roman" w:cs="Times New Roman"/>
        </w:rPr>
        <w:t xml:space="preserve">, </w:t>
      </w:r>
      <w:r w:rsidRPr="00DA1F42">
        <w:rPr>
          <w:rFonts w:ascii="Times New Roman" w:hAnsi="Times New Roman" w:cs="Times New Roman"/>
          <w:i/>
          <w:iCs/>
        </w:rPr>
        <w:t>359</w:t>
      </w:r>
      <w:r w:rsidRPr="00DA1F42">
        <w:rPr>
          <w:rFonts w:ascii="Times New Roman" w:hAnsi="Times New Roman" w:cs="Times New Roman"/>
        </w:rPr>
        <w:t>(22), 2337–2345. https://doi.org/10.1056/NEJMoa0802828</w:t>
      </w:r>
    </w:p>
    <w:p w14:paraId="55D96E6E"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Watkins, K. E., Dronkers, N. F., &amp; Vargha‐Khadem, F. (2002). Behavioural analysis of an inherited speech and language disorder: Comparison with acquired aphasia. </w:t>
      </w:r>
      <w:r w:rsidRPr="00DA1F42">
        <w:rPr>
          <w:rFonts w:ascii="Times New Roman" w:hAnsi="Times New Roman" w:cs="Times New Roman"/>
          <w:i/>
          <w:iCs/>
        </w:rPr>
        <w:t>Brain</w:t>
      </w:r>
      <w:r w:rsidRPr="00DA1F42">
        <w:rPr>
          <w:rFonts w:ascii="Times New Roman" w:hAnsi="Times New Roman" w:cs="Times New Roman"/>
        </w:rPr>
        <w:t xml:space="preserve">, </w:t>
      </w:r>
      <w:r w:rsidRPr="00DA1F42">
        <w:rPr>
          <w:rFonts w:ascii="Times New Roman" w:hAnsi="Times New Roman" w:cs="Times New Roman"/>
          <w:i/>
          <w:iCs/>
        </w:rPr>
        <w:t>125</w:t>
      </w:r>
      <w:r w:rsidRPr="00DA1F42">
        <w:rPr>
          <w:rFonts w:ascii="Times New Roman" w:hAnsi="Times New Roman" w:cs="Times New Roman"/>
        </w:rPr>
        <w:t>(3), 452–464. https://doi.org/10.1093/brain/awf058</w:t>
      </w:r>
    </w:p>
    <w:p w14:paraId="116E583E"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Watkins, K. E., Vargha‐Khadem, F., Ashburner, J., Passingham, R. E., Connelly, A., Friston, K. J., Frackowiak, R. S. J., Mishkin, M., &amp; Gadian, D. G. (2002). MRI analysis of an inherited speech and language disorder: Structural brain abnormalities. </w:t>
      </w:r>
      <w:r w:rsidRPr="00DA1F42">
        <w:rPr>
          <w:rFonts w:ascii="Times New Roman" w:hAnsi="Times New Roman" w:cs="Times New Roman"/>
          <w:i/>
          <w:iCs/>
        </w:rPr>
        <w:t>Brain</w:t>
      </w:r>
      <w:r w:rsidRPr="00DA1F42">
        <w:rPr>
          <w:rFonts w:ascii="Times New Roman" w:hAnsi="Times New Roman" w:cs="Times New Roman"/>
        </w:rPr>
        <w:t xml:space="preserve">, </w:t>
      </w:r>
      <w:r w:rsidRPr="00DA1F42">
        <w:rPr>
          <w:rFonts w:ascii="Times New Roman" w:hAnsi="Times New Roman" w:cs="Times New Roman"/>
          <w:i/>
          <w:iCs/>
        </w:rPr>
        <w:t>125</w:t>
      </w:r>
      <w:r w:rsidRPr="00DA1F42">
        <w:rPr>
          <w:rFonts w:ascii="Times New Roman" w:hAnsi="Times New Roman" w:cs="Times New Roman"/>
        </w:rPr>
        <w:t>(3), 465–478. https://doi.org/10.1093/brain/awf057</w:t>
      </w:r>
    </w:p>
    <w:p w14:paraId="513BF3AD"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Wechsler, D. (2004). </w:t>
      </w:r>
      <w:r w:rsidRPr="00DA1F42">
        <w:rPr>
          <w:rFonts w:ascii="Times New Roman" w:hAnsi="Times New Roman" w:cs="Times New Roman"/>
          <w:i/>
          <w:iCs/>
        </w:rPr>
        <w:t>WISC-IV: Wechsler Intelligence Scale for Children: Technical and Interpretive Manual.</w:t>
      </w:r>
      <w:r w:rsidRPr="00DA1F42">
        <w:rPr>
          <w:rFonts w:ascii="Times New Roman" w:hAnsi="Times New Roman" w:cs="Times New Roman"/>
        </w:rPr>
        <w:t xml:space="preserve"> Psychological Corporation.</w:t>
      </w:r>
    </w:p>
    <w:p w14:paraId="040013AF"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Weiskopf, N., Edwards, L. J., Helms, G., Mohammadi, S., &amp; Kirilina, E. (2021). Quantitative magnetic resonance imaging of brain anatomy and in vivo histology. </w:t>
      </w:r>
      <w:r w:rsidRPr="00DA1F42">
        <w:rPr>
          <w:rFonts w:ascii="Times New Roman" w:hAnsi="Times New Roman" w:cs="Times New Roman"/>
          <w:i/>
          <w:iCs/>
        </w:rPr>
        <w:t>Nature Reviews Physics</w:t>
      </w:r>
      <w:r w:rsidRPr="00DA1F42">
        <w:rPr>
          <w:rFonts w:ascii="Times New Roman" w:hAnsi="Times New Roman" w:cs="Times New Roman"/>
        </w:rPr>
        <w:t>, 1–19. https://doi.org/10.1038/s42254-021-00326-1</w:t>
      </w:r>
    </w:p>
    <w:p w14:paraId="11FFE044"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Weiskopf, N., Suckling, J., Williams, G., Correia, M. M., Inkster, B., Tait, R., Ooi, C., Bullmore, E. T., &amp; Lutti, A. (2013). Quantitative multi-parameter mapping of R1, PD*, MT, and R2* at 3T: A multi-center validation. </w:t>
      </w:r>
      <w:r w:rsidRPr="00DA1F42">
        <w:rPr>
          <w:rFonts w:ascii="Times New Roman" w:hAnsi="Times New Roman" w:cs="Times New Roman"/>
          <w:i/>
          <w:iCs/>
        </w:rPr>
        <w:t>Frontiers in Neuroscience</w:t>
      </w:r>
      <w:r w:rsidRPr="00DA1F42">
        <w:rPr>
          <w:rFonts w:ascii="Times New Roman" w:hAnsi="Times New Roman" w:cs="Times New Roman"/>
        </w:rPr>
        <w:t xml:space="preserve">, </w:t>
      </w:r>
      <w:r w:rsidRPr="00DA1F42">
        <w:rPr>
          <w:rFonts w:ascii="Times New Roman" w:hAnsi="Times New Roman" w:cs="Times New Roman"/>
          <w:i/>
          <w:iCs/>
        </w:rPr>
        <w:t>7</w:t>
      </w:r>
      <w:r w:rsidRPr="00DA1F42">
        <w:rPr>
          <w:rFonts w:ascii="Times New Roman" w:hAnsi="Times New Roman" w:cs="Times New Roman"/>
        </w:rPr>
        <w:t>. https://doi.org/10.3389/fnins.2013.00095</w:t>
      </w:r>
    </w:p>
    <w:p w14:paraId="204B5351"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West, G., Melby-Lervåg, M., &amp; Hulme, C. (2021). Is a procedural learning deficit a causal risk factor for developmental language disorder or dyslexia? A meta-analytic review. </w:t>
      </w:r>
      <w:r w:rsidRPr="00DA1F42">
        <w:rPr>
          <w:rFonts w:ascii="Times New Roman" w:hAnsi="Times New Roman" w:cs="Times New Roman"/>
          <w:i/>
          <w:iCs/>
        </w:rPr>
        <w:t>Developmental Psychology</w:t>
      </w:r>
      <w:r w:rsidRPr="00DA1F42">
        <w:rPr>
          <w:rFonts w:ascii="Times New Roman" w:hAnsi="Times New Roman" w:cs="Times New Roman"/>
        </w:rPr>
        <w:t xml:space="preserve">, </w:t>
      </w:r>
      <w:r w:rsidRPr="00DA1F42">
        <w:rPr>
          <w:rFonts w:ascii="Times New Roman" w:hAnsi="Times New Roman" w:cs="Times New Roman"/>
          <w:i/>
          <w:iCs/>
        </w:rPr>
        <w:t>57</w:t>
      </w:r>
      <w:r w:rsidRPr="00DA1F42">
        <w:rPr>
          <w:rFonts w:ascii="Times New Roman" w:hAnsi="Times New Roman" w:cs="Times New Roman"/>
        </w:rPr>
        <w:t>(5), 749–770. https://doi.org/10.1037/dev0001172</w:t>
      </w:r>
    </w:p>
    <w:p w14:paraId="04C81043"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West, G., Vadillo, M. A., Shanks, D. R., &amp; Hulme, C. (2018). The procedural learning deficit hypothesis of language learning disorders: We see some problems. </w:t>
      </w:r>
      <w:r w:rsidRPr="00DA1F42">
        <w:rPr>
          <w:rFonts w:ascii="Times New Roman" w:hAnsi="Times New Roman" w:cs="Times New Roman"/>
          <w:i/>
          <w:iCs/>
        </w:rPr>
        <w:t>Developmental Science</w:t>
      </w:r>
      <w:r w:rsidRPr="00DA1F42">
        <w:rPr>
          <w:rFonts w:ascii="Times New Roman" w:hAnsi="Times New Roman" w:cs="Times New Roman"/>
        </w:rPr>
        <w:t xml:space="preserve">, </w:t>
      </w:r>
      <w:r w:rsidRPr="00DA1F42">
        <w:rPr>
          <w:rFonts w:ascii="Times New Roman" w:hAnsi="Times New Roman" w:cs="Times New Roman"/>
          <w:i/>
          <w:iCs/>
        </w:rPr>
        <w:t>21</w:t>
      </w:r>
      <w:r w:rsidRPr="00DA1F42">
        <w:rPr>
          <w:rFonts w:ascii="Times New Roman" w:hAnsi="Times New Roman" w:cs="Times New Roman"/>
        </w:rPr>
        <w:t>(2), e12552. https://doi.org/10.1111/desc.12552</w:t>
      </w:r>
    </w:p>
    <w:p w14:paraId="0A2498E9"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Whitaker, K. J., Vértes, P. E., Romero-Garcia, R., Váša, F., Moutoussis, M., Prabhu, G., Weiskopf, N., Callaghan, M. F., Wagstyl, K., Rittman, T., Tait, R., Ooi, C., Suckling, J., Inkster, B., Fonagy, P., Dolan, R. J., Jones, P. B., Goodyer, I. M., the NSPN Consortium, &amp; Bullmore, E. T. (2016). Adolescence is associated with genomically patterned consolidation of the hubs of the human brain connectome. </w:t>
      </w:r>
      <w:r w:rsidRPr="00DA1F42">
        <w:rPr>
          <w:rFonts w:ascii="Times New Roman" w:hAnsi="Times New Roman" w:cs="Times New Roman"/>
          <w:i/>
          <w:iCs/>
        </w:rPr>
        <w:t>Proceedings of the National Academy of Sciences</w:t>
      </w:r>
      <w:r w:rsidRPr="00DA1F42">
        <w:rPr>
          <w:rFonts w:ascii="Times New Roman" w:hAnsi="Times New Roman" w:cs="Times New Roman"/>
        </w:rPr>
        <w:t xml:space="preserve">, </w:t>
      </w:r>
      <w:r w:rsidRPr="00DA1F42">
        <w:rPr>
          <w:rFonts w:ascii="Times New Roman" w:hAnsi="Times New Roman" w:cs="Times New Roman"/>
          <w:i/>
          <w:iCs/>
        </w:rPr>
        <w:t>113</w:t>
      </w:r>
      <w:r w:rsidRPr="00DA1F42">
        <w:rPr>
          <w:rFonts w:ascii="Times New Roman" w:hAnsi="Times New Roman" w:cs="Times New Roman"/>
        </w:rPr>
        <w:t>(32), 9105–9110. https://doi.org/10.1073/pnas.1601745113</w:t>
      </w:r>
    </w:p>
    <w:p w14:paraId="390AC975" w14:textId="77777777" w:rsidR="00DA1F42" w:rsidRP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Wise, R., Greene, J., Büchel, C., &amp; Scott, S. (1999). Brain regions involved in articulation. </w:t>
      </w:r>
      <w:r w:rsidRPr="00DA1F42">
        <w:rPr>
          <w:rFonts w:ascii="Times New Roman" w:hAnsi="Times New Roman" w:cs="Times New Roman"/>
          <w:i/>
          <w:iCs/>
        </w:rPr>
        <w:t>The Lancet</w:t>
      </w:r>
      <w:r w:rsidRPr="00DA1F42">
        <w:rPr>
          <w:rFonts w:ascii="Times New Roman" w:hAnsi="Times New Roman" w:cs="Times New Roman"/>
        </w:rPr>
        <w:t xml:space="preserve">, </w:t>
      </w:r>
      <w:r w:rsidRPr="00DA1F42">
        <w:rPr>
          <w:rFonts w:ascii="Times New Roman" w:hAnsi="Times New Roman" w:cs="Times New Roman"/>
          <w:i/>
          <w:iCs/>
        </w:rPr>
        <w:t>353</w:t>
      </w:r>
      <w:r w:rsidRPr="00DA1F42">
        <w:rPr>
          <w:rFonts w:ascii="Times New Roman" w:hAnsi="Times New Roman" w:cs="Times New Roman"/>
        </w:rPr>
        <w:t>(9158), 1057–1061. https://doi.org/10.1016/S0140-6736(98)07491-1</w:t>
      </w:r>
    </w:p>
    <w:p w14:paraId="6DDF6ACA" w14:textId="5A872E06" w:rsidR="00DA1F42" w:rsidRDefault="00DA1F42" w:rsidP="00DA1F42">
      <w:pPr>
        <w:pStyle w:val="Bibliography"/>
        <w:jc w:val="both"/>
        <w:rPr>
          <w:rFonts w:ascii="Times New Roman" w:hAnsi="Times New Roman" w:cs="Times New Roman"/>
        </w:rPr>
      </w:pPr>
      <w:r w:rsidRPr="00DA1F42">
        <w:rPr>
          <w:rFonts w:ascii="Times New Roman" w:hAnsi="Times New Roman" w:cs="Times New Roman"/>
        </w:rPr>
        <w:t xml:space="preserve">Yin, H. H., &amp; Knowlton, B. J. (2006). The role of the basal ganglia in habit formation. </w:t>
      </w:r>
      <w:r w:rsidRPr="00DA1F42">
        <w:rPr>
          <w:rFonts w:ascii="Times New Roman" w:hAnsi="Times New Roman" w:cs="Times New Roman"/>
          <w:i/>
          <w:iCs/>
        </w:rPr>
        <w:t>Nature Reviews Neuroscience</w:t>
      </w:r>
      <w:r w:rsidRPr="00DA1F42">
        <w:rPr>
          <w:rFonts w:ascii="Times New Roman" w:hAnsi="Times New Roman" w:cs="Times New Roman"/>
        </w:rPr>
        <w:t xml:space="preserve">, </w:t>
      </w:r>
      <w:r w:rsidRPr="00DA1F42">
        <w:rPr>
          <w:rFonts w:ascii="Times New Roman" w:hAnsi="Times New Roman" w:cs="Times New Roman"/>
          <w:i/>
          <w:iCs/>
        </w:rPr>
        <w:t>7</w:t>
      </w:r>
      <w:r w:rsidRPr="00DA1F42">
        <w:rPr>
          <w:rFonts w:ascii="Times New Roman" w:hAnsi="Times New Roman" w:cs="Times New Roman"/>
        </w:rPr>
        <w:t>(6), 464–476. https://doi.org/10.1038/nrn1919</w:t>
      </w:r>
    </w:p>
    <w:p w14:paraId="0EFD76D9" w14:textId="2CC50E11" w:rsidR="00C11B29" w:rsidRDefault="00C11B29">
      <w:pPr>
        <w:rPr>
          <w:lang w:eastAsia="en-US"/>
        </w:rPr>
      </w:pPr>
      <w:r>
        <w:rPr>
          <w:lang w:eastAsia="en-US"/>
        </w:rPr>
        <w:br w:type="page"/>
      </w:r>
    </w:p>
    <w:p w14:paraId="3F2A0B1D" w14:textId="1961FD53" w:rsidR="002A0BC3" w:rsidRPr="00C02623" w:rsidRDefault="00F62758" w:rsidP="00DA1F42">
      <w:pPr>
        <w:pStyle w:val="Bibliography"/>
        <w:spacing w:line="360" w:lineRule="auto"/>
        <w:jc w:val="both"/>
        <w:rPr>
          <w:rFonts w:ascii="Times New Roman" w:hAnsi="Times New Roman" w:cs="Times New Roman"/>
          <w:b/>
          <w:color w:val="292526"/>
        </w:rPr>
      </w:pPr>
      <w:r w:rsidRPr="00DA1F42">
        <w:rPr>
          <w:rFonts w:ascii="Times New Roman" w:hAnsi="Times New Roman" w:cs="Times New Roman"/>
          <w:color w:val="292526"/>
        </w:rPr>
        <w:fldChar w:fldCharType="end"/>
      </w:r>
      <w:r w:rsidR="00C11B29" w:rsidRPr="00C02623">
        <w:rPr>
          <w:rFonts w:ascii="Times New Roman" w:hAnsi="Times New Roman" w:cs="Times New Roman"/>
          <w:b/>
          <w:color w:val="292526"/>
        </w:rPr>
        <w:t>Figure legends</w:t>
      </w:r>
    </w:p>
    <w:p w14:paraId="00194165" w14:textId="77777777" w:rsidR="00394443" w:rsidRDefault="00394443" w:rsidP="00F16391">
      <w:pPr>
        <w:rPr>
          <w:b/>
          <w:bCs/>
          <w:i/>
          <w:iCs/>
          <w:color w:val="292526"/>
        </w:rPr>
      </w:pPr>
    </w:p>
    <w:p w14:paraId="43CF93A0" w14:textId="4218CEEB" w:rsidR="00A326C9" w:rsidRDefault="00F16391" w:rsidP="00F16391">
      <w:pPr>
        <w:rPr>
          <w:b/>
          <w:bCs/>
          <w:i/>
          <w:iCs/>
          <w:color w:val="292526"/>
        </w:rPr>
      </w:pPr>
      <w:r w:rsidRPr="00A326C9">
        <w:rPr>
          <w:b/>
          <w:bCs/>
          <w:color w:val="292526"/>
        </w:rPr>
        <w:t xml:space="preserve">Figure </w:t>
      </w:r>
      <w:r w:rsidR="00A326C9">
        <w:rPr>
          <w:b/>
          <w:bCs/>
          <w:color w:val="292526"/>
        </w:rPr>
        <w:t>1</w:t>
      </w:r>
      <w:r w:rsidRPr="00A326C9">
        <w:rPr>
          <w:b/>
          <w:bCs/>
          <w:color w:val="292526"/>
        </w:rPr>
        <w:t>.</w:t>
      </w:r>
      <w:r>
        <w:rPr>
          <w:b/>
          <w:bCs/>
          <w:i/>
          <w:iCs/>
          <w:color w:val="292526"/>
        </w:rPr>
        <w:t xml:space="preserve"> </w:t>
      </w:r>
    </w:p>
    <w:p w14:paraId="461BCA66" w14:textId="05EBD824" w:rsidR="00F16391" w:rsidRDefault="00F16391" w:rsidP="00F16391">
      <w:pPr>
        <w:rPr>
          <w:i/>
          <w:iCs/>
          <w:color w:val="292526"/>
        </w:rPr>
      </w:pPr>
      <w:r w:rsidRPr="00451B91">
        <w:rPr>
          <w:b/>
          <w:bCs/>
          <w:i/>
          <w:iCs/>
          <w:color w:val="292526"/>
        </w:rPr>
        <w:t>Brain areas showing reduced MTsat in DLD</w:t>
      </w:r>
      <w:r>
        <w:rPr>
          <w:b/>
          <w:bCs/>
          <w:color w:val="292526"/>
        </w:rPr>
        <w:t xml:space="preserve"> </w:t>
      </w:r>
      <w:r w:rsidRPr="00594A3C">
        <w:rPr>
          <w:i/>
          <w:iCs/>
          <w:color w:val="292526"/>
        </w:rPr>
        <w:t>Coloured maps resampled and overlaid on the fsaverage surface (reconstructed using the HCP workbench) show TD &gt; DLD differences in MTsat values (whole-brain corrected threshold p&lt;.05). Axial slices</w:t>
      </w:r>
      <w:r>
        <w:rPr>
          <w:i/>
          <w:iCs/>
          <w:color w:val="292526"/>
        </w:rPr>
        <w:t xml:space="preserve"> (coloured maps are overlaid on an average MTsat image from all participants)</w:t>
      </w:r>
      <w:r w:rsidRPr="00594A3C">
        <w:rPr>
          <w:i/>
          <w:iCs/>
          <w:color w:val="292526"/>
        </w:rPr>
        <w:t xml:space="preserve"> reveal additional group differences subcortically in the caudate nuclei.  The inset shows a boxplot of MTsat values drawn from the cluster in the caudate nuclei by group, with this cluster split into right and left using a hemispheric mask (orange – DLD, green – TD).</w:t>
      </w:r>
    </w:p>
    <w:p w14:paraId="30FCAC8A" w14:textId="68740219" w:rsidR="00C02623" w:rsidRDefault="00C02623" w:rsidP="00F16391">
      <w:pPr>
        <w:rPr>
          <w:i/>
          <w:iCs/>
          <w:color w:val="292526"/>
        </w:rPr>
      </w:pPr>
    </w:p>
    <w:p w14:paraId="1ABED7E3" w14:textId="044DA38E" w:rsidR="00A326C9" w:rsidRDefault="00C02623" w:rsidP="00C02623">
      <w:pPr>
        <w:rPr>
          <w:b/>
          <w:bCs/>
          <w:i/>
          <w:iCs/>
          <w:color w:val="292526"/>
        </w:rPr>
      </w:pPr>
      <w:r w:rsidRPr="00A326C9">
        <w:rPr>
          <w:b/>
          <w:bCs/>
          <w:color w:val="292526"/>
        </w:rPr>
        <w:t xml:space="preserve">Figure </w:t>
      </w:r>
      <w:r w:rsidR="00A326C9">
        <w:rPr>
          <w:b/>
          <w:bCs/>
          <w:color w:val="292526"/>
        </w:rPr>
        <w:t>2</w:t>
      </w:r>
      <w:r w:rsidRPr="00A326C9">
        <w:rPr>
          <w:b/>
          <w:bCs/>
          <w:color w:val="292526"/>
        </w:rPr>
        <w:t>.</w:t>
      </w:r>
      <w:r w:rsidRPr="00451B91">
        <w:rPr>
          <w:b/>
          <w:bCs/>
          <w:i/>
          <w:iCs/>
          <w:color w:val="292526"/>
        </w:rPr>
        <w:t xml:space="preserve"> </w:t>
      </w:r>
    </w:p>
    <w:p w14:paraId="0EC1291D" w14:textId="0D5F43F5" w:rsidR="00C02623" w:rsidRDefault="00C02623" w:rsidP="00C02623">
      <w:pPr>
        <w:rPr>
          <w:i/>
          <w:iCs/>
          <w:color w:val="292526"/>
        </w:rPr>
      </w:pPr>
      <w:r w:rsidRPr="00451B91">
        <w:rPr>
          <w:b/>
          <w:bCs/>
          <w:i/>
          <w:iCs/>
          <w:color w:val="292526"/>
        </w:rPr>
        <w:t>Brain areas showing reduced R1 in DLD</w:t>
      </w:r>
      <w:r w:rsidRPr="00594A3C">
        <w:rPr>
          <w:b/>
          <w:bCs/>
          <w:i/>
          <w:iCs/>
          <w:color w:val="292526"/>
        </w:rPr>
        <w:t xml:space="preserve"> </w:t>
      </w:r>
      <w:r w:rsidRPr="00594A3C">
        <w:rPr>
          <w:i/>
          <w:iCs/>
          <w:color w:val="292526"/>
        </w:rPr>
        <w:t>Coloured maps resampled and overlaid on the fsaverage surface (reconstructed using the HCP workbench) show TD &gt; DLD differences in R1 maps (whole brain corrected threshold p&lt;.05). Axial slices (</w:t>
      </w:r>
      <w:r>
        <w:rPr>
          <w:i/>
          <w:iCs/>
          <w:color w:val="292526"/>
        </w:rPr>
        <w:t>coloured maps are overlaid on an average MTsat image from all participants</w:t>
      </w:r>
      <w:r w:rsidRPr="00594A3C">
        <w:rPr>
          <w:i/>
          <w:iCs/>
          <w:color w:val="292526"/>
        </w:rPr>
        <w:t xml:space="preserve">) reveal additional subcortical group differences in the striatum and thalamus bilaterally.  </w:t>
      </w:r>
    </w:p>
    <w:p w14:paraId="1DEFF5DE" w14:textId="19B7F7B4" w:rsidR="00C02623" w:rsidRDefault="00C02623" w:rsidP="00C02623">
      <w:pPr>
        <w:rPr>
          <w:b/>
          <w:bCs/>
          <w:i/>
          <w:iCs/>
          <w:color w:val="292526"/>
        </w:rPr>
      </w:pPr>
    </w:p>
    <w:p w14:paraId="3874F2C2" w14:textId="4F06F7BA" w:rsidR="00A326C9" w:rsidRDefault="00C02623" w:rsidP="00C02623">
      <w:pPr>
        <w:rPr>
          <w:b/>
          <w:bCs/>
          <w:i/>
          <w:iCs/>
          <w:color w:val="292526"/>
        </w:rPr>
      </w:pPr>
      <w:r w:rsidRPr="00A326C9">
        <w:rPr>
          <w:b/>
          <w:bCs/>
          <w:color w:val="292526"/>
        </w:rPr>
        <w:t xml:space="preserve">Figure </w:t>
      </w:r>
      <w:r w:rsidR="00A326C9">
        <w:rPr>
          <w:b/>
          <w:bCs/>
          <w:color w:val="292526"/>
        </w:rPr>
        <w:t>3</w:t>
      </w:r>
      <w:r w:rsidRPr="00A326C9">
        <w:rPr>
          <w:b/>
          <w:bCs/>
          <w:color w:val="292526"/>
        </w:rPr>
        <w:t>.</w:t>
      </w:r>
      <w:r w:rsidRPr="00451B91">
        <w:rPr>
          <w:b/>
          <w:bCs/>
          <w:i/>
          <w:iCs/>
          <w:color w:val="292526"/>
        </w:rPr>
        <w:t xml:space="preserve"> </w:t>
      </w:r>
    </w:p>
    <w:p w14:paraId="29D9EB14" w14:textId="266CD6B0" w:rsidR="00C02623" w:rsidRPr="008B1177" w:rsidRDefault="00C02623" w:rsidP="00C02623">
      <w:pPr>
        <w:rPr>
          <w:b/>
          <w:bCs/>
          <w:color w:val="292526"/>
        </w:rPr>
      </w:pPr>
      <w:r w:rsidRPr="00451B91">
        <w:rPr>
          <w:b/>
          <w:bCs/>
          <w:i/>
          <w:iCs/>
          <w:color w:val="292526"/>
        </w:rPr>
        <w:t>Brain areas showing conjoint differences in MTsat and R1 in DLD</w:t>
      </w:r>
      <w:r>
        <w:rPr>
          <w:b/>
          <w:bCs/>
          <w:color w:val="292526"/>
        </w:rPr>
        <w:t xml:space="preserve"> </w:t>
      </w:r>
      <w:r w:rsidRPr="00594A3C">
        <w:rPr>
          <w:i/>
          <w:iCs/>
          <w:color w:val="292526"/>
        </w:rPr>
        <w:t>Coloured maps resampled and overlaid on the fsaverage surface (reconstructed using the HCP workbench) show convergence of TD &gt; DLD differences in MTsat and R1 maps</w:t>
      </w:r>
      <w:r w:rsidRPr="00594A3C">
        <w:rPr>
          <w:b/>
          <w:bCs/>
          <w:i/>
          <w:iCs/>
          <w:color w:val="292526"/>
        </w:rPr>
        <w:t xml:space="preserve"> </w:t>
      </w:r>
      <w:r w:rsidRPr="00594A3C">
        <w:rPr>
          <w:i/>
          <w:iCs/>
          <w:color w:val="292526"/>
        </w:rPr>
        <w:t>thresholded at p&lt;0.05. Axial slices (</w:t>
      </w:r>
      <w:r>
        <w:rPr>
          <w:i/>
          <w:iCs/>
          <w:color w:val="292526"/>
        </w:rPr>
        <w:t>coloured maps are overlaid on an average MTsat image from all participants</w:t>
      </w:r>
      <w:r w:rsidRPr="00594A3C">
        <w:rPr>
          <w:i/>
          <w:iCs/>
          <w:color w:val="292526"/>
        </w:rPr>
        <w:t>) reveal the differences subcortically in the dorsal striatum in particular.</w:t>
      </w:r>
    </w:p>
    <w:p w14:paraId="7A06064E" w14:textId="542CE535" w:rsidR="00F16391" w:rsidRDefault="00F16391" w:rsidP="00F16391">
      <w:pPr>
        <w:rPr>
          <w:lang w:eastAsia="en-US"/>
        </w:rPr>
      </w:pPr>
    </w:p>
    <w:p w14:paraId="61A6CD49" w14:textId="00DCD30A" w:rsidR="00A326C9" w:rsidRDefault="00F16391" w:rsidP="00A326C9">
      <w:pPr>
        <w:spacing w:line="276" w:lineRule="auto"/>
        <w:jc w:val="both"/>
        <w:rPr>
          <w:b/>
          <w:bCs/>
          <w:color w:val="292526"/>
        </w:rPr>
      </w:pPr>
      <w:r w:rsidRPr="00A326C9">
        <w:rPr>
          <w:b/>
          <w:bCs/>
          <w:color w:val="292526"/>
        </w:rPr>
        <w:t xml:space="preserve">Figure </w:t>
      </w:r>
      <w:r w:rsidR="00A326C9">
        <w:rPr>
          <w:b/>
          <w:bCs/>
          <w:color w:val="292526"/>
        </w:rPr>
        <w:t>4</w:t>
      </w:r>
      <w:r w:rsidRPr="00A326C9">
        <w:rPr>
          <w:b/>
          <w:bCs/>
          <w:color w:val="292526"/>
        </w:rPr>
        <w:t xml:space="preserve">. </w:t>
      </w:r>
    </w:p>
    <w:p w14:paraId="1ECBF97F" w14:textId="0FD10B2F" w:rsidR="00F16391" w:rsidRPr="00A326C9" w:rsidRDefault="00F16391" w:rsidP="00A326C9">
      <w:pPr>
        <w:spacing w:line="276" w:lineRule="auto"/>
        <w:jc w:val="both"/>
        <w:rPr>
          <w:b/>
          <w:bCs/>
          <w:color w:val="292526"/>
        </w:rPr>
      </w:pPr>
      <w:r w:rsidRPr="00950657">
        <w:rPr>
          <w:b/>
          <w:i/>
          <w:iCs/>
          <w:color w:val="292526"/>
        </w:rPr>
        <w:t>Correlation between language proficiency and MTsat values in the left caudate nucleus</w:t>
      </w:r>
    </w:p>
    <w:p w14:paraId="4AD90165" w14:textId="02176287" w:rsidR="00C11B29" w:rsidRDefault="00C11B29" w:rsidP="00C11B29">
      <w:pPr>
        <w:rPr>
          <w:lang w:eastAsia="en-US"/>
        </w:rPr>
      </w:pPr>
    </w:p>
    <w:p w14:paraId="562B788F" w14:textId="0F82752D" w:rsidR="00C11B29" w:rsidRDefault="00F16391" w:rsidP="00C11B29">
      <w:pPr>
        <w:rPr>
          <w:b/>
          <w:lang w:eastAsia="en-US"/>
        </w:rPr>
      </w:pPr>
      <w:r w:rsidRPr="00C02623">
        <w:rPr>
          <w:b/>
          <w:lang w:eastAsia="en-US"/>
        </w:rPr>
        <w:t>Figure supplement legends</w:t>
      </w:r>
    </w:p>
    <w:p w14:paraId="7C41C1FB" w14:textId="01BBBEF6" w:rsidR="00A326C9" w:rsidRDefault="00A326C9" w:rsidP="00A326C9">
      <w:pPr>
        <w:rPr>
          <w:i/>
          <w:iCs/>
          <w:color w:val="292526"/>
        </w:rPr>
      </w:pPr>
    </w:p>
    <w:p w14:paraId="1A9991C0" w14:textId="7EA93216" w:rsidR="00A326C9" w:rsidRDefault="00A326C9" w:rsidP="00A326C9">
      <w:pPr>
        <w:rPr>
          <w:b/>
          <w:lang w:eastAsia="en-US"/>
        </w:rPr>
      </w:pPr>
      <w:r>
        <w:rPr>
          <w:b/>
          <w:lang w:eastAsia="en-US"/>
        </w:rPr>
        <w:t xml:space="preserve">Figure 1 – figure supplement </w:t>
      </w:r>
      <w:r w:rsidR="00687347">
        <w:rPr>
          <w:b/>
          <w:lang w:eastAsia="en-US"/>
        </w:rPr>
        <w:t>1</w:t>
      </w:r>
    </w:p>
    <w:p w14:paraId="516181CD" w14:textId="24BD66C6" w:rsidR="00A326C9" w:rsidRPr="00A326C9" w:rsidRDefault="00A326C9" w:rsidP="00A326C9">
      <w:pPr>
        <w:rPr>
          <w:b/>
          <w:i/>
          <w:iCs/>
          <w:lang w:eastAsia="en-US"/>
        </w:rPr>
      </w:pPr>
      <w:r w:rsidRPr="00A326C9">
        <w:rPr>
          <w:i/>
          <w:iCs/>
          <w:color w:val="292526"/>
        </w:rPr>
        <w:t>Relationship between MTsat values in the caudate nucleus by age and total intracranial volume (TIV) in TD children and those with DLD</w:t>
      </w:r>
    </w:p>
    <w:p w14:paraId="6A8DFDE8" w14:textId="77777777" w:rsidR="00A326C9" w:rsidRDefault="00A326C9" w:rsidP="00C11B29">
      <w:pPr>
        <w:rPr>
          <w:b/>
          <w:lang w:eastAsia="en-US"/>
        </w:rPr>
      </w:pPr>
    </w:p>
    <w:p w14:paraId="2E643B05" w14:textId="04E4FB1B" w:rsidR="00A326C9" w:rsidRDefault="00A326C9" w:rsidP="00A326C9">
      <w:pPr>
        <w:rPr>
          <w:b/>
          <w:lang w:eastAsia="en-US"/>
        </w:rPr>
      </w:pPr>
      <w:r>
        <w:rPr>
          <w:b/>
          <w:lang w:eastAsia="en-US"/>
        </w:rPr>
        <w:t xml:space="preserve">Figure 1 – figure supplement </w:t>
      </w:r>
      <w:r w:rsidR="00687347">
        <w:rPr>
          <w:b/>
          <w:lang w:eastAsia="en-US"/>
        </w:rPr>
        <w:t>2</w:t>
      </w:r>
    </w:p>
    <w:p w14:paraId="6DA94FF4" w14:textId="5F81F327" w:rsidR="00A326C9" w:rsidRPr="00A326C9" w:rsidRDefault="00A326C9" w:rsidP="00A326C9">
      <w:pPr>
        <w:rPr>
          <w:i/>
          <w:iCs/>
          <w:color w:val="292526"/>
        </w:rPr>
      </w:pPr>
      <w:r w:rsidRPr="00A326C9">
        <w:rPr>
          <w:i/>
          <w:iCs/>
          <w:color w:val="292526"/>
        </w:rPr>
        <w:t xml:space="preserve">Whole brain TD &gt; DLD differences </w:t>
      </w:r>
      <w:r>
        <w:rPr>
          <w:i/>
          <w:iCs/>
          <w:color w:val="292526"/>
        </w:rPr>
        <w:t xml:space="preserve">(thresholded at p&lt;0.05) </w:t>
      </w:r>
      <w:r w:rsidRPr="00A326C9">
        <w:rPr>
          <w:i/>
          <w:iCs/>
          <w:color w:val="292526"/>
        </w:rPr>
        <w:t>when excluding children with nonverbal IQs &lt; 85 in MTsat values</w:t>
      </w:r>
    </w:p>
    <w:p w14:paraId="231D4D90" w14:textId="363548E2" w:rsidR="00A326C9" w:rsidRDefault="00A326C9" w:rsidP="00A326C9">
      <w:pPr>
        <w:rPr>
          <w:color w:val="292526"/>
        </w:rPr>
      </w:pPr>
    </w:p>
    <w:p w14:paraId="04E439AC" w14:textId="24E9C7AC" w:rsidR="00A326C9" w:rsidRDefault="00A326C9" w:rsidP="00A326C9">
      <w:pPr>
        <w:rPr>
          <w:b/>
          <w:lang w:eastAsia="en-US"/>
        </w:rPr>
      </w:pPr>
      <w:r>
        <w:rPr>
          <w:b/>
          <w:lang w:eastAsia="en-US"/>
        </w:rPr>
        <w:t>Figure 2 – figure supplement 1</w:t>
      </w:r>
    </w:p>
    <w:p w14:paraId="3CA88A0C" w14:textId="11AC57CA" w:rsidR="00A326C9" w:rsidRPr="002F1DB6" w:rsidRDefault="00A326C9" w:rsidP="00C11B29">
      <w:pPr>
        <w:rPr>
          <w:b/>
          <w:i/>
          <w:iCs/>
          <w:lang w:eastAsia="en-US"/>
        </w:rPr>
      </w:pPr>
      <w:r w:rsidRPr="00A326C9">
        <w:rPr>
          <w:i/>
          <w:iCs/>
          <w:color w:val="292526"/>
        </w:rPr>
        <w:t xml:space="preserve">Whole brain TD &gt; DLD differences </w:t>
      </w:r>
      <w:r>
        <w:rPr>
          <w:i/>
          <w:iCs/>
          <w:color w:val="292526"/>
        </w:rPr>
        <w:t xml:space="preserve">(thresholded at p&lt;0.05) </w:t>
      </w:r>
      <w:r w:rsidRPr="00A326C9">
        <w:rPr>
          <w:i/>
          <w:iCs/>
          <w:color w:val="292526"/>
        </w:rPr>
        <w:t>when excluding children with nonverbal IQs &lt; 85 in R1 values</w:t>
      </w:r>
    </w:p>
    <w:p w14:paraId="1342E134" w14:textId="206B8A37" w:rsidR="00C02623" w:rsidRDefault="00C02623" w:rsidP="00C11B29">
      <w:pPr>
        <w:rPr>
          <w:b/>
          <w:lang w:eastAsia="en-US"/>
        </w:rPr>
      </w:pPr>
    </w:p>
    <w:p w14:paraId="5D6C7A31" w14:textId="519F8703" w:rsidR="00687347" w:rsidRDefault="00687347" w:rsidP="00687347">
      <w:pPr>
        <w:rPr>
          <w:b/>
          <w:bCs/>
          <w:i/>
          <w:iCs/>
          <w:color w:val="292526"/>
        </w:rPr>
      </w:pPr>
      <w:r>
        <w:rPr>
          <w:b/>
          <w:lang w:eastAsia="en-US"/>
        </w:rPr>
        <w:t>Figure 3 – figure supplement 1</w:t>
      </w:r>
      <w:r>
        <w:rPr>
          <w:b/>
          <w:bCs/>
          <w:i/>
          <w:iCs/>
          <w:color w:val="292526"/>
        </w:rPr>
        <w:t xml:space="preserve">. </w:t>
      </w:r>
    </w:p>
    <w:p w14:paraId="25988AD6" w14:textId="77777777" w:rsidR="00687347" w:rsidRDefault="00687347" w:rsidP="00687347">
      <w:pPr>
        <w:rPr>
          <w:i/>
          <w:iCs/>
          <w:color w:val="292526"/>
        </w:rPr>
      </w:pPr>
      <w:r w:rsidRPr="00950657">
        <w:rPr>
          <w:b/>
          <w:bCs/>
          <w:i/>
          <w:iCs/>
          <w:color w:val="292526"/>
        </w:rPr>
        <w:t>Average MTsat, R1, and R2* values in TD and DLD groups</w:t>
      </w:r>
      <w:r>
        <w:rPr>
          <w:bCs/>
          <w:i/>
          <w:iCs/>
          <w:color w:val="292526"/>
        </w:rPr>
        <w:t xml:space="preserve"> are shown using a coloured heat map</w:t>
      </w:r>
      <w:r w:rsidRPr="009F7F18">
        <w:rPr>
          <w:bCs/>
          <w:i/>
          <w:iCs/>
          <w:color w:val="292526"/>
        </w:rPr>
        <w:t xml:space="preserve"> (hotter colours show higher values). Maps are overlaid on the </w:t>
      </w:r>
      <w:r w:rsidRPr="009F7F18">
        <w:rPr>
          <w:i/>
          <w:iCs/>
          <w:color w:val="292526"/>
        </w:rPr>
        <w:t>fsaverage surface reconstructed using the HCP workbench.</w:t>
      </w:r>
    </w:p>
    <w:p w14:paraId="3987B225" w14:textId="77777777" w:rsidR="00687347" w:rsidRDefault="00687347" w:rsidP="00C11B29">
      <w:pPr>
        <w:rPr>
          <w:b/>
          <w:lang w:eastAsia="en-US"/>
        </w:rPr>
      </w:pPr>
    </w:p>
    <w:p w14:paraId="59ACC4A8" w14:textId="6EF61830" w:rsidR="00C02623" w:rsidRDefault="00C02623" w:rsidP="00C11B29">
      <w:pPr>
        <w:rPr>
          <w:b/>
          <w:lang w:eastAsia="en-US"/>
        </w:rPr>
      </w:pPr>
      <w:r>
        <w:rPr>
          <w:b/>
          <w:lang w:eastAsia="en-US"/>
        </w:rPr>
        <w:t>Figure 4 – figure supplement 1</w:t>
      </w:r>
    </w:p>
    <w:p w14:paraId="43580BAC" w14:textId="1F546525" w:rsidR="002F1DB6" w:rsidRPr="00C02623" w:rsidRDefault="002F1DB6" w:rsidP="00C11B29">
      <w:pPr>
        <w:rPr>
          <w:b/>
          <w:lang w:eastAsia="en-US"/>
        </w:rPr>
      </w:pPr>
      <w:r w:rsidRPr="00CC64F8">
        <w:rPr>
          <w:i/>
          <w:iCs/>
          <w:color w:val="292526"/>
        </w:rPr>
        <w:t>Whole brain correlation of MPM values with Language Proficiency</w:t>
      </w:r>
      <w:r>
        <w:rPr>
          <w:i/>
          <w:iCs/>
          <w:color w:val="292526"/>
        </w:rPr>
        <w:t xml:space="preserve"> (thresholded at p&lt;0.05)</w:t>
      </w:r>
    </w:p>
    <w:p w14:paraId="26E55C90" w14:textId="481CB6C9" w:rsidR="00F16391" w:rsidRDefault="00F16391" w:rsidP="00C11B29">
      <w:pPr>
        <w:rPr>
          <w:lang w:eastAsia="en-US"/>
        </w:rPr>
      </w:pPr>
    </w:p>
    <w:p w14:paraId="109D18E3" w14:textId="22C6BE8D" w:rsidR="00F16391" w:rsidRDefault="00F16391" w:rsidP="00C11B29">
      <w:pPr>
        <w:rPr>
          <w:b/>
          <w:lang w:eastAsia="en-US"/>
        </w:rPr>
      </w:pPr>
      <w:r w:rsidRPr="00C02623">
        <w:rPr>
          <w:b/>
          <w:lang w:eastAsia="en-US"/>
        </w:rPr>
        <w:t xml:space="preserve">Supplemental </w:t>
      </w:r>
      <w:r w:rsidR="005B3239">
        <w:rPr>
          <w:b/>
          <w:lang w:eastAsia="en-US"/>
        </w:rPr>
        <w:t>file</w:t>
      </w:r>
      <w:r w:rsidRPr="00C02623">
        <w:rPr>
          <w:b/>
          <w:lang w:eastAsia="en-US"/>
        </w:rPr>
        <w:t xml:space="preserve"> legends</w:t>
      </w:r>
    </w:p>
    <w:p w14:paraId="4AE73ED3" w14:textId="52D2E7AA" w:rsidR="00F16391" w:rsidRDefault="00F16391" w:rsidP="00C11B29">
      <w:pPr>
        <w:rPr>
          <w:lang w:eastAsia="en-US"/>
        </w:rPr>
      </w:pPr>
    </w:p>
    <w:p w14:paraId="208F6AE5" w14:textId="42A128E3" w:rsidR="00C02623" w:rsidRPr="00C02623" w:rsidRDefault="00C02623" w:rsidP="00C02623">
      <w:r w:rsidRPr="009F31B0">
        <w:rPr>
          <w:b/>
          <w:bCs/>
          <w:i/>
          <w:iCs/>
        </w:rPr>
        <w:t xml:space="preserve">Supplementary </w:t>
      </w:r>
      <w:r>
        <w:rPr>
          <w:b/>
          <w:bCs/>
          <w:i/>
          <w:iCs/>
          <w:color w:val="292526"/>
        </w:rPr>
        <w:t>file 1a</w:t>
      </w:r>
      <w:r w:rsidRPr="009F31B0">
        <w:rPr>
          <w:b/>
          <w:bCs/>
          <w:i/>
          <w:iCs/>
          <w:color w:val="292526"/>
        </w:rPr>
        <w:t>.</w:t>
      </w:r>
      <w:r w:rsidRPr="00275B4C">
        <w:rPr>
          <w:i/>
          <w:iCs/>
          <w:color w:val="292526"/>
        </w:rPr>
        <w:t xml:space="preserve"> </w:t>
      </w:r>
      <w:r w:rsidRPr="00DB0C28">
        <w:rPr>
          <w:color w:val="292526"/>
        </w:rPr>
        <w:t xml:space="preserve">TD &gt; DLD differences in MTsat maps. Nonparametric randomisation analysis with threshold-free cluster enhancement was used to compare groups.  A </w:t>
      </w:r>
      <w:r>
        <w:rPr>
          <w:color w:val="292526"/>
        </w:rPr>
        <w:t xml:space="preserve">whole brain corrected </w:t>
      </w:r>
      <w:r w:rsidRPr="00DB0C28">
        <w:rPr>
          <w:color w:val="292526"/>
        </w:rPr>
        <w:t>threshold of p&lt;.05 was used.</w:t>
      </w:r>
    </w:p>
    <w:p w14:paraId="7EC8D31E" w14:textId="77777777" w:rsidR="00C02623" w:rsidRDefault="00C02623" w:rsidP="00C02623">
      <w:pPr>
        <w:rPr>
          <w:b/>
          <w:bCs/>
          <w:i/>
          <w:iCs/>
          <w:color w:val="292526"/>
        </w:rPr>
      </w:pPr>
    </w:p>
    <w:p w14:paraId="410DBC84" w14:textId="39048E03" w:rsidR="00C02623" w:rsidRPr="00DB0C28" w:rsidRDefault="00C02623" w:rsidP="00C02623">
      <w:pPr>
        <w:rPr>
          <w:color w:val="292526"/>
        </w:rPr>
      </w:pPr>
      <w:r>
        <w:rPr>
          <w:b/>
          <w:bCs/>
          <w:i/>
          <w:iCs/>
          <w:color w:val="292526"/>
        </w:rPr>
        <w:t>Supplementary file</w:t>
      </w:r>
      <w:r w:rsidRPr="00275B4C">
        <w:rPr>
          <w:b/>
          <w:bCs/>
          <w:i/>
          <w:iCs/>
          <w:color w:val="292526"/>
        </w:rPr>
        <w:t xml:space="preserve"> </w:t>
      </w:r>
      <w:r>
        <w:rPr>
          <w:b/>
          <w:bCs/>
          <w:i/>
          <w:iCs/>
          <w:color w:val="292526"/>
        </w:rPr>
        <w:t>1b</w:t>
      </w:r>
      <w:r w:rsidRPr="00275B4C">
        <w:rPr>
          <w:i/>
          <w:iCs/>
          <w:color w:val="292526"/>
        </w:rPr>
        <w:t xml:space="preserve">. </w:t>
      </w:r>
      <w:r w:rsidRPr="00DB0C28">
        <w:rPr>
          <w:color w:val="292526"/>
        </w:rPr>
        <w:t>TD &gt; DLD conjoint differences in R1 and MTsat</w:t>
      </w:r>
    </w:p>
    <w:p w14:paraId="6421DB57" w14:textId="01E8784B" w:rsidR="00C02623" w:rsidRDefault="00C02623" w:rsidP="00C11B29">
      <w:pPr>
        <w:rPr>
          <w:lang w:eastAsia="en-US"/>
        </w:rPr>
      </w:pPr>
    </w:p>
    <w:p w14:paraId="1483633A" w14:textId="77777777" w:rsidR="00C02623" w:rsidRPr="00D10CDB" w:rsidRDefault="00C02623" w:rsidP="00C02623">
      <w:r w:rsidRPr="00FA15CC">
        <w:rPr>
          <w:b/>
          <w:bCs/>
          <w:i/>
          <w:iCs/>
          <w:color w:val="292526"/>
        </w:rPr>
        <w:t xml:space="preserve">Supplementary </w:t>
      </w:r>
      <w:r>
        <w:rPr>
          <w:b/>
          <w:bCs/>
          <w:i/>
          <w:iCs/>
          <w:color w:val="292526"/>
        </w:rPr>
        <w:t>file</w:t>
      </w:r>
      <w:r w:rsidRPr="00FA15CC">
        <w:rPr>
          <w:b/>
          <w:bCs/>
          <w:i/>
          <w:iCs/>
          <w:color w:val="292526"/>
        </w:rPr>
        <w:t xml:space="preserve"> </w:t>
      </w:r>
      <w:r>
        <w:rPr>
          <w:b/>
          <w:bCs/>
          <w:i/>
          <w:iCs/>
          <w:color w:val="292526"/>
        </w:rPr>
        <w:t>1c</w:t>
      </w:r>
      <w:r w:rsidRPr="00FA15CC">
        <w:rPr>
          <w:b/>
          <w:bCs/>
          <w:i/>
          <w:iCs/>
          <w:color w:val="292526"/>
        </w:rPr>
        <w:t>.</w:t>
      </w:r>
      <w:r>
        <w:rPr>
          <w:b/>
          <w:bCs/>
          <w:color w:val="292526"/>
        </w:rPr>
        <w:t xml:space="preserve"> </w:t>
      </w:r>
      <w:r w:rsidRPr="00FA15CC">
        <w:rPr>
          <w:color w:val="292526"/>
        </w:rPr>
        <w:t>Differences in age and language scores between the selected and excluded children who were typically-developing (TD) or had developmental language disorder (DLD)</w:t>
      </w:r>
    </w:p>
    <w:p w14:paraId="4E5B86FF" w14:textId="4BB28B0B" w:rsidR="00C02623" w:rsidRPr="00C11B29" w:rsidRDefault="00C02623" w:rsidP="00C11B29">
      <w:pPr>
        <w:rPr>
          <w:lang w:eastAsia="en-US"/>
        </w:rPr>
      </w:pPr>
    </w:p>
    <w:sectPr w:rsidR="00C02623" w:rsidRPr="00C11B29" w:rsidSect="00273449">
      <w:footerReference w:type="even" r:id="rId15"/>
      <w:footerReference w:type="defaul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0FE0F" w14:textId="77777777" w:rsidR="009E3D4B" w:rsidRDefault="009E3D4B" w:rsidP="007332A3">
      <w:r>
        <w:separator/>
      </w:r>
    </w:p>
  </w:endnote>
  <w:endnote w:type="continuationSeparator" w:id="0">
    <w:p w14:paraId="614F8462" w14:textId="77777777" w:rsidR="009E3D4B" w:rsidRDefault="009E3D4B" w:rsidP="00733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06615176"/>
      <w:docPartObj>
        <w:docPartGallery w:val="Page Numbers (Bottom of Page)"/>
        <w:docPartUnique/>
      </w:docPartObj>
    </w:sdtPr>
    <w:sdtEndPr>
      <w:rPr>
        <w:rStyle w:val="PageNumber"/>
      </w:rPr>
    </w:sdtEndPr>
    <w:sdtContent>
      <w:p w14:paraId="1549518C" w14:textId="3FDD3D81" w:rsidR="00394443" w:rsidRDefault="00394443" w:rsidP="003944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ED0E46" w14:textId="77777777" w:rsidR="00394443" w:rsidRDefault="00394443" w:rsidP="00A711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9952430"/>
      <w:docPartObj>
        <w:docPartGallery w:val="Page Numbers (Bottom of Page)"/>
        <w:docPartUnique/>
      </w:docPartObj>
    </w:sdtPr>
    <w:sdtEndPr>
      <w:rPr>
        <w:rStyle w:val="PageNumber"/>
      </w:rPr>
    </w:sdtEndPr>
    <w:sdtContent>
      <w:p w14:paraId="65D193C5" w14:textId="0075D3DB" w:rsidR="00394443" w:rsidRDefault="00394443" w:rsidP="003944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B44540" w14:textId="77777777" w:rsidR="00394443" w:rsidRDefault="00394443" w:rsidP="00A711A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A2100" w14:textId="77777777" w:rsidR="009E3D4B" w:rsidRDefault="009E3D4B" w:rsidP="007332A3">
      <w:r>
        <w:separator/>
      </w:r>
    </w:p>
  </w:footnote>
  <w:footnote w:type="continuationSeparator" w:id="0">
    <w:p w14:paraId="3A9B6120" w14:textId="77777777" w:rsidR="009E3D4B" w:rsidRDefault="009E3D4B" w:rsidP="007332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324A8"/>
    <w:multiLevelType w:val="multilevel"/>
    <w:tmpl w:val="E55A5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2993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0D9"/>
    <w:rsid w:val="00000515"/>
    <w:rsid w:val="000077DD"/>
    <w:rsid w:val="00010C9D"/>
    <w:rsid w:val="00020376"/>
    <w:rsid w:val="0002104C"/>
    <w:rsid w:val="000210F1"/>
    <w:rsid w:val="00023C39"/>
    <w:rsid w:val="000244EE"/>
    <w:rsid w:val="000270B4"/>
    <w:rsid w:val="00030A25"/>
    <w:rsid w:val="00032BC4"/>
    <w:rsid w:val="00035FB3"/>
    <w:rsid w:val="000364D2"/>
    <w:rsid w:val="00036FF6"/>
    <w:rsid w:val="000411D1"/>
    <w:rsid w:val="00043D16"/>
    <w:rsid w:val="0004676F"/>
    <w:rsid w:val="00050984"/>
    <w:rsid w:val="00050C43"/>
    <w:rsid w:val="0005142C"/>
    <w:rsid w:val="000525A9"/>
    <w:rsid w:val="0005357C"/>
    <w:rsid w:val="000607AD"/>
    <w:rsid w:val="0006197C"/>
    <w:rsid w:val="00062D56"/>
    <w:rsid w:val="00072D94"/>
    <w:rsid w:val="00073812"/>
    <w:rsid w:val="00081A0A"/>
    <w:rsid w:val="00082205"/>
    <w:rsid w:val="00086A49"/>
    <w:rsid w:val="00090BFD"/>
    <w:rsid w:val="00093CB5"/>
    <w:rsid w:val="000943F7"/>
    <w:rsid w:val="000952EB"/>
    <w:rsid w:val="00095CF6"/>
    <w:rsid w:val="000A0A36"/>
    <w:rsid w:val="000A1776"/>
    <w:rsid w:val="000A3CE3"/>
    <w:rsid w:val="000A4C51"/>
    <w:rsid w:val="000B0664"/>
    <w:rsid w:val="000B57B9"/>
    <w:rsid w:val="000C203E"/>
    <w:rsid w:val="000C3BC7"/>
    <w:rsid w:val="000D2A4B"/>
    <w:rsid w:val="000D2C0C"/>
    <w:rsid w:val="000D6D30"/>
    <w:rsid w:val="000E1426"/>
    <w:rsid w:val="000E2176"/>
    <w:rsid w:val="000E2592"/>
    <w:rsid w:val="000E3C3F"/>
    <w:rsid w:val="000E5B29"/>
    <w:rsid w:val="000E66C4"/>
    <w:rsid w:val="000F44B0"/>
    <w:rsid w:val="000F5E5F"/>
    <w:rsid w:val="00101B4F"/>
    <w:rsid w:val="00102518"/>
    <w:rsid w:val="0010411B"/>
    <w:rsid w:val="0010420F"/>
    <w:rsid w:val="001050DE"/>
    <w:rsid w:val="0010616B"/>
    <w:rsid w:val="0010780B"/>
    <w:rsid w:val="001115A5"/>
    <w:rsid w:val="00112345"/>
    <w:rsid w:val="001145ED"/>
    <w:rsid w:val="00114FEA"/>
    <w:rsid w:val="0012297A"/>
    <w:rsid w:val="001240D9"/>
    <w:rsid w:val="0012770A"/>
    <w:rsid w:val="001278D5"/>
    <w:rsid w:val="00130565"/>
    <w:rsid w:val="0013116B"/>
    <w:rsid w:val="00132FAC"/>
    <w:rsid w:val="00140776"/>
    <w:rsid w:val="00141117"/>
    <w:rsid w:val="00141591"/>
    <w:rsid w:val="0014541C"/>
    <w:rsid w:val="00145FD2"/>
    <w:rsid w:val="00146C9A"/>
    <w:rsid w:val="00150ECD"/>
    <w:rsid w:val="001512C9"/>
    <w:rsid w:val="001627F2"/>
    <w:rsid w:val="00164B8A"/>
    <w:rsid w:val="00164EEE"/>
    <w:rsid w:val="00165943"/>
    <w:rsid w:val="00165C95"/>
    <w:rsid w:val="00173878"/>
    <w:rsid w:val="0017650E"/>
    <w:rsid w:val="00177695"/>
    <w:rsid w:val="00181A5D"/>
    <w:rsid w:val="00182B38"/>
    <w:rsid w:val="00184561"/>
    <w:rsid w:val="00184E66"/>
    <w:rsid w:val="00185155"/>
    <w:rsid w:val="00185A82"/>
    <w:rsid w:val="00191720"/>
    <w:rsid w:val="001925BC"/>
    <w:rsid w:val="001A18FE"/>
    <w:rsid w:val="001C32B6"/>
    <w:rsid w:val="001C5E6D"/>
    <w:rsid w:val="001C5F05"/>
    <w:rsid w:val="001D3223"/>
    <w:rsid w:val="001D5526"/>
    <w:rsid w:val="001E319F"/>
    <w:rsid w:val="001E5507"/>
    <w:rsid w:val="001E78AB"/>
    <w:rsid w:val="001E7C0E"/>
    <w:rsid w:val="001F0210"/>
    <w:rsid w:val="001F09D0"/>
    <w:rsid w:val="001F2A5B"/>
    <w:rsid w:val="001F2B74"/>
    <w:rsid w:val="00204168"/>
    <w:rsid w:val="00207B75"/>
    <w:rsid w:val="00214CE2"/>
    <w:rsid w:val="002169D1"/>
    <w:rsid w:val="002201C5"/>
    <w:rsid w:val="00224373"/>
    <w:rsid w:val="00230017"/>
    <w:rsid w:val="00233A68"/>
    <w:rsid w:val="00244561"/>
    <w:rsid w:val="0024544F"/>
    <w:rsid w:val="00245FE2"/>
    <w:rsid w:val="002462BF"/>
    <w:rsid w:val="00254164"/>
    <w:rsid w:val="00254604"/>
    <w:rsid w:val="002546F7"/>
    <w:rsid w:val="00255354"/>
    <w:rsid w:val="002611EE"/>
    <w:rsid w:val="002647E9"/>
    <w:rsid w:val="00265586"/>
    <w:rsid w:val="00270278"/>
    <w:rsid w:val="00273449"/>
    <w:rsid w:val="00274B46"/>
    <w:rsid w:val="00275B4C"/>
    <w:rsid w:val="00281C70"/>
    <w:rsid w:val="002906B4"/>
    <w:rsid w:val="00290AFD"/>
    <w:rsid w:val="00297D0C"/>
    <w:rsid w:val="002A0BC3"/>
    <w:rsid w:val="002A0E72"/>
    <w:rsid w:val="002A2729"/>
    <w:rsid w:val="002A3D6E"/>
    <w:rsid w:val="002A433B"/>
    <w:rsid w:val="002B1CD8"/>
    <w:rsid w:val="002B58E5"/>
    <w:rsid w:val="002B6620"/>
    <w:rsid w:val="002B6EE3"/>
    <w:rsid w:val="002C34DB"/>
    <w:rsid w:val="002C4687"/>
    <w:rsid w:val="002C702F"/>
    <w:rsid w:val="002D15A2"/>
    <w:rsid w:val="002D7414"/>
    <w:rsid w:val="002E0B9D"/>
    <w:rsid w:val="002E2D52"/>
    <w:rsid w:val="002E3DA8"/>
    <w:rsid w:val="002E5994"/>
    <w:rsid w:val="002E6368"/>
    <w:rsid w:val="002F1DB6"/>
    <w:rsid w:val="002F2A12"/>
    <w:rsid w:val="002F3583"/>
    <w:rsid w:val="002F540D"/>
    <w:rsid w:val="0030248A"/>
    <w:rsid w:val="00306718"/>
    <w:rsid w:val="0031270B"/>
    <w:rsid w:val="00314C5D"/>
    <w:rsid w:val="00315FF2"/>
    <w:rsid w:val="00317884"/>
    <w:rsid w:val="0031788F"/>
    <w:rsid w:val="00323781"/>
    <w:rsid w:val="003242FC"/>
    <w:rsid w:val="00324B72"/>
    <w:rsid w:val="00324FC1"/>
    <w:rsid w:val="00326A4D"/>
    <w:rsid w:val="00326D76"/>
    <w:rsid w:val="00330A40"/>
    <w:rsid w:val="00330E65"/>
    <w:rsid w:val="003314CE"/>
    <w:rsid w:val="00331FEA"/>
    <w:rsid w:val="0033218D"/>
    <w:rsid w:val="00334B2B"/>
    <w:rsid w:val="00343A58"/>
    <w:rsid w:val="00346CC4"/>
    <w:rsid w:val="00350062"/>
    <w:rsid w:val="00350F3B"/>
    <w:rsid w:val="00351F5E"/>
    <w:rsid w:val="003556AC"/>
    <w:rsid w:val="00356D41"/>
    <w:rsid w:val="003638B6"/>
    <w:rsid w:val="00363E34"/>
    <w:rsid w:val="00363E54"/>
    <w:rsid w:val="003654AC"/>
    <w:rsid w:val="003675FC"/>
    <w:rsid w:val="0037287E"/>
    <w:rsid w:val="00372AA0"/>
    <w:rsid w:val="0037479E"/>
    <w:rsid w:val="003806CB"/>
    <w:rsid w:val="00386083"/>
    <w:rsid w:val="003863B2"/>
    <w:rsid w:val="003874BE"/>
    <w:rsid w:val="00394443"/>
    <w:rsid w:val="00394E9C"/>
    <w:rsid w:val="003A1911"/>
    <w:rsid w:val="003A513A"/>
    <w:rsid w:val="003A5FB2"/>
    <w:rsid w:val="003A6670"/>
    <w:rsid w:val="003B21FC"/>
    <w:rsid w:val="003B756C"/>
    <w:rsid w:val="003C2199"/>
    <w:rsid w:val="003C3AE2"/>
    <w:rsid w:val="003C685D"/>
    <w:rsid w:val="003C74B0"/>
    <w:rsid w:val="003D43EA"/>
    <w:rsid w:val="003D62F8"/>
    <w:rsid w:val="003E0A2E"/>
    <w:rsid w:val="003E7C3C"/>
    <w:rsid w:val="003F03D1"/>
    <w:rsid w:val="003F3EEB"/>
    <w:rsid w:val="003F752B"/>
    <w:rsid w:val="00401EDE"/>
    <w:rsid w:val="004023B7"/>
    <w:rsid w:val="0041245B"/>
    <w:rsid w:val="00415D70"/>
    <w:rsid w:val="00417E15"/>
    <w:rsid w:val="00420F38"/>
    <w:rsid w:val="00425EB4"/>
    <w:rsid w:val="00425F57"/>
    <w:rsid w:val="00436D05"/>
    <w:rsid w:val="00441F14"/>
    <w:rsid w:val="00446543"/>
    <w:rsid w:val="00451B91"/>
    <w:rsid w:val="00452C42"/>
    <w:rsid w:val="00452FA3"/>
    <w:rsid w:val="00463E87"/>
    <w:rsid w:val="00466DA3"/>
    <w:rsid w:val="00467787"/>
    <w:rsid w:val="00475ABB"/>
    <w:rsid w:val="004803CC"/>
    <w:rsid w:val="004814B1"/>
    <w:rsid w:val="00482792"/>
    <w:rsid w:val="00491DCB"/>
    <w:rsid w:val="004958F0"/>
    <w:rsid w:val="004962F4"/>
    <w:rsid w:val="00496A94"/>
    <w:rsid w:val="004A295E"/>
    <w:rsid w:val="004A2AEA"/>
    <w:rsid w:val="004A3ADD"/>
    <w:rsid w:val="004A4C83"/>
    <w:rsid w:val="004A5338"/>
    <w:rsid w:val="004B02CE"/>
    <w:rsid w:val="004B092F"/>
    <w:rsid w:val="004B3CBC"/>
    <w:rsid w:val="004B5968"/>
    <w:rsid w:val="004C1B56"/>
    <w:rsid w:val="004C3447"/>
    <w:rsid w:val="004E02FB"/>
    <w:rsid w:val="004E5DF8"/>
    <w:rsid w:val="004F0B7A"/>
    <w:rsid w:val="004F4B37"/>
    <w:rsid w:val="004F67D6"/>
    <w:rsid w:val="005031BB"/>
    <w:rsid w:val="00504792"/>
    <w:rsid w:val="005053AC"/>
    <w:rsid w:val="00505C66"/>
    <w:rsid w:val="00507937"/>
    <w:rsid w:val="00510835"/>
    <w:rsid w:val="00513096"/>
    <w:rsid w:val="0051382D"/>
    <w:rsid w:val="00517A92"/>
    <w:rsid w:val="00517B11"/>
    <w:rsid w:val="0052040B"/>
    <w:rsid w:val="00530E59"/>
    <w:rsid w:val="005322B1"/>
    <w:rsid w:val="005328E6"/>
    <w:rsid w:val="0054081B"/>
    <w:rsid w:val="00540F23"/>
    <w:rsid w:val="00541F44"/>
    <w:rsid w:val="0054392D"/>
    <w:rsid w:val="005446D5"/>
    <w:rsid w:val="00545270"/>
    <w:rsid w:val="00545E66"/>
    <w:rsid w:val="005462D8"/>
    <w:rsid w:val="00547750"/>
    <w:rsid w:val="0055136C"/>
    <w:rsid w:val="00552038"/>
    <w:rsid w:val="00552F09"/>
    <w:rsid w:val="005536FD"/>
    <w:rsid w:val="00554712"/>
    <w:rsid w:val="0055495D"/>
    <w:rsid w:val="00554F21"/>
    <w:rsid w:val="005557EB"/>
    <w:rsid w:val="005566D5"/>
    <w:rsid w:val="005606EA"/>
    <w:rsid w:val="00561056"/>
    <w:rsid w:val="00561066"/>
    <w:rsid w:val="00561193"/>
    <w:rsid w:val="00561744"/>
    <w:rsid w:val="00562CE6"/>
    <w:rsid w:val="005630BD"/>
    <w:rsid w:val="00563FB1"/>
    <w:rsid w:val="00567E15"/>
    <w:rsid w:val="005709AF"/>
    <w:rsid w:val="00576F56"/>
    <w:rsid w:val="00580440"/>
    <w:rsid w:val="005813C2"/>
    <w:rsid w:val="0059032E"/>
    <w:rsid w:val="005916B5"/>
    <w:rsid w:val="00591B83"/>
    <w:rsid w:val="00593A5E"/>
    <w:rsid w:val="00594A3C"/>
    <w:rsid w:val="005950A7"/>
    <w:rsid w:val="0059540D"/>
    <w:rsid w:val="005A6873"/>
    <w:rsid w:val="005A68B9"/>
    <w:rsid w:val="005A70A6"/>
    <w:rsid w:val="005B0CD6"/>
    <w:rsid w:val="005B1CE0"/>
    <w:rsid w:val="005B1FA1"/>
    <w:rsid w:val="005B3239"/>
    <w:rsid w:val="005B4B79"/>
    <w:rsid w:val="005B4DDD"/>
    <w:rsid w:val="005C078F"/>
    <w:rsid w:val="005C149E"/>
    <w:rsid w:val="005C5918"/>
    <w:rsid w:val="005D0196"/>
    <w:rsid w:val="005D37BC"/>
    <w:rsid w:val="005D49BB"/>
    <w:rsid w:val="005D6C50"/>
    <w:rsid w:val="005D6E49"/>
    <w:rsid w:val="005F23B5"/>
    <w:rsid w:val="005F2C35"/>
    <w:rsid w:val="005F744A"/>
    <w:rsid w:val="0060019D"/>
    <w:rsid w:val="006107CE"/>
    <w:rsid w:val="00611AD1"/>
    <w:rsid w:val="00616F4B"/>
    <w:rsid w:val="006267E5"/>
    <w:rsid w:val="00626F31"/>
    <w:rsid w:val="00632FEF"/>
    <w:rsid w:val="00636C78"/>
    <w:rsid w:val="00640892"/>
    <w:rsid w:val="00650366"/>
    <w:rsid w:val="006601CC"/>
    <w:rsid w:val="00663349"/>
    <w:rsid w:val="00664EAF"/>
    <w:rsid w:val="00670BA5"/>
    <w:rsid w:val="006734A2"/>
    <w:rsid w:val="0067587D"/>
    <w:rsid w:val="00683A9B"/>
    <w:rsid w:val="006841A4"/>
    <w:rsid w:val="00687347"/>
    <w:rsid w:val="00687511"/>
    <w:rsid w:val="0069099B"/>
    <w:rsid w:val="006911B3"/>
    <w:rsid w:val="00691CA0"/>
    <w:rsid w:val="00697309"/>
    <w:rsid w:val="006A2618"/>
    <w:rsid w:val="006A26F6"/>
    <w:rsid w:val="006A61D9"/>
    <w:rsid w:val="006A69B5"/>
    <w:rsid w:val="006B22C5"/>
    <w:rsid w:val="006B2C77"/>
    <w:rsid w:val="006B389D"/>
    <w:rsid w:val="006B52B3"/>
    <w:rsid w:val="006C1E7C"/>
    <w:rsid w:val="006C485A"/>
    <w:rsid w:val="006C582F"/>
    <w:rsid w:val="006C672B"/>
    <w:rsid w:val="006D052C"/>
    <w:rsid w:val="006D320C"/>
    <w:rsid w:val="006D7AB4"/>
    <w:rsid w:val="006F0D06"/>
    <w:rsid w:val="006F3B71"/>
    <w:rsid w:val="006F49B6"/>
    <w:rsid w:val="007003C2"/>
    <w:rsid w:val="0070191A"/>
    <w:rsid w:val="00715653"/>
    <w:rsid w:val="00715887"/>
    <w:rsid w:val="00716570"/>
    <w:rsid w:val="00717B78"/>
    <w:rsid w:val="00724A4D"/>
    <w:rsid w:val="007261C6"/>
    <w:rsid w:val="00727066"/>
    <w:rsid w:val="00730FC5"/>
    <w:rsid w:val="007325D8"/>
    <w:rsid w:val="007332A3"/>
    <w:rsid w:val="00744DA6"/>
    <w:rsid w:val="007450C5"/>
    <w:rsid w:val="00746B21"/>
    <w:rsid w:val="00751E93"/>
    <w:rsid w:val="0075367B"/>
    <w:rsid w:val="00754805"/>
    <w:rsid w:val="0075551B"/>
    <w:rsid w:val="00756BC5"/>
    <w:rsid w:val="00760549"/>
    <w:rsid w:val="007624DF"/>
    <w:rsid w:val="00763000"/>
    <w:rsid w:val="007636B2"/>
    <w:rsid w:val="00766724"/>
    <w:rsid w:val="00770456"/>
    <w:rsid w:val="007717D1"/>
    <w:rsid w:val="00773C95"/>
    <w:rsid w:val="00786D86"/>
    <w:rsid w:val="007877C3"/>
    <w:rsid w:val="00790298"/>
    <w:rsid w:val="007A08CE"/>
    <w:rsid w:val="007B044E"/>
    <w:rsid w:val="007B07B6"/>
    <w:rsid w:val="007B3008"/>
    <w:rsid w:val="007B7A85"/>
    <w:rsid w:val="007C267D"/>
    <w:rsid w:val="007D18DA"/>
    <w:rsid w:val="007D1AA6"/>
    <w:rsid w:val="007D63E8"/>
    <w:rsid w:val="007E22C4"/>
    <w:rsid w:val="007E63C3"/>
    <w:rsid w:val="007F035A"/>
    <w:rsid w:val="007F4841"/>
    <w:rsid w:val="007F5262"/>
    <w:rsid w:val="007F7CAB"/>
    <w:rsid w:val="00801221"/>
    <w:rsid w:val="00802E41"/>
    <w:rsid w:val="00803D02"/>
    <w:rsid w:val="0080468E"/>
    <w:rsid w:val="00806782"/>
    <w:rsid w:val="00811343"/>
    <w:rsid w:val="00814F7E"/>
    <w:rsid w:val="00816E14"/>
    <w:rsid w:val="00817F78"/>
    <w:rsid w:val="00821EEE"/>
    <w:rsid w:val="0082528B"/>
    <w:rsid w:val="008333F0"/>
    <w:rsid w:val="00841EAC"/>
    <w:rsid w:val="008507F5"/>
    <w:rsid w:val="008547B4"/>
    <w:rsid w:val="008574BE"/>
    <w:rsid w:val="0086490F"/>
    <w:rsid w:val="00866C41"/>
    <w:rsid w:val="00867350"/>
    <w:rsid w:val="008725C1"/>
    <w:rsid w:val="00874B6C"/>
    <w:rsid w:val="008778BD"/>
    <w:rsid w:val="00880339"/>
    <w:rsid w:val="008804AC"/>
    <w:rsid w:val="00882DEA"/>
    <w:rsid w:val="00892A1E"/>
    <w:rsid w:val="00894393"/>
    <w:rsid w:val="0089625E"/>
    <w:rsid w:val="008971AD"/>
    <w:rsid w:val="008A4724"/>
    <w:rsid w:val="008A57C8"/>
    <w:rsid w:val="008A5EA2"/>
    <w:rsid w:val="008A7463"/>
    <w:rsid w:val="008B1177"/>
    <w:rsid w:val="008B224B"/>
    <w:rsid w:val="008B31EB"/>
    <w:rsid w:val="008B61D4"/>
    <w:rsid w:val="008B7A6E"/>
    <w:rsid w:val="008C185A"/>
    <w:rsid w:val="008C26F1"/>
    <w:rsid w:val="008C4625"/>
    <w:rsid w:val="008D1E6C"/>
    <w:rsid w:val="008D360D"/>
    <w:rsid w:val="008D3BA5"/>
    <w:rsid w:val="008D4A71"/>
    <w:rsid w:val="008D6ADF"/>
    <w:rsid w:val="008F759D"/>
    <w:rsid w:val="00901B4B"/>
    <w:rsid w:val="009024C5"/>
    <w:rsid w:val="00904FE7"/>
    <w:rsid w:val="00906BA4"/>
    <w:rsid w:val="00912C98"/>
    <w:rsid w:val="009243D2"/>
    <w:rsid w:val="00932795"/>
    <w:rsid w:val="00941B7E"/>
    <w:rsid w:val="00950657"/>
    <w:rsid w:val="00950F6C"/>
    <w:rsid w:val="0095290C"/>
    <w:rsid w:val="00952925"/>
    <w:rsid w:val="00955577"/>
    <w:rsid w:val="009618D4"/>
    <w:rsid w:val="009633B9"/>
    <w:rsid w:val="00965DD0"/>
    <w:rsid w:val="00966995"/>
    <w:rsid w:val="00972CEA"/>
    <w:rsid w:val="00975A35"/>
    <w:rsid w:val="009810BD"/>
    <w:rsid w:val="0098402B"/>
    <w:rsid w:val="00986980"/>
    <w:rsid w:val="00993B00"/>
    <w:rsid w:val="00995C1F"/>
    <w:rsid w:val="00996B20"/>
    <w:rsid w:val="009A137B"/>
    <w:rsid w:val="009A7044"/>
    <w:rsid w:val="009A78CF"/>
    <w:rsid w:val="009B26AF"/>
    <w:rsid w:val="009B2847"/>
    <w:rsid w:val="009B5776"/>
    <w:rsid w:val="009B5CB9"/>
    <w:rsid w:val="009B6C8D"/>
    <w:rsid w:val="009C14C4"/>
    <w:rsid w:val="009C2742"/>
    <w:rsid w:val="009C2B1E"/>
    <w:rsid w:val="009D1B9D"/>
    <w:rsid w:val="009D278C"/>
    <w:rsid w:val="009D421B"/>
    <w:rsid w:val="009D5A28"/>
    <w:rsid w:val="009E36F9"/>
    <w:rsid w:val="009E3D4B"/>
    <w:rsid w:val="009E5866"/>
    <w:rsid w:val="009E7FA3"/>
    <w:rsid w:val="009F55D7"/>
    <w:rsid w:val="009F5ABA"/>
    <w:rsid w:val="009F7455"/>
    <w:rsid w:val="009F7F18"/>
    <w:rsid w:val="00A00622"/>
    <w:rsid w:val="00A02485"/>
    <w:rsid w:val="00A11A1F"/>
    <w:rsid w:val="00A14205"/>
    <w:rsid w:val="00A21A51"/>
    <w:rsid w:val="00A22539"/>
    <w:rsid w:val="00A23911"/>
    <w:rsid w:val="00A25696"/>
    <w:rsid w:val="00A25922"/>
    <w:rsid w:val="00A25BDA"/>
    <w:rsid w:val="00A304D2"/>
    <w:rsid w:val="00A326C9"/>
    <w:rsid w:val="00A4135F"/>
    <w:rsid w:val="00A413B8"/>
    <w:rsid w:val="00A415AF"/>
    <w:rsid w:val="00A43EA4"/>
    <w:rsid w:val="00A57753"/>
    <w:rsid w:val="00A6090F"/>
    <w:rsid w:val="00A6350E"/>
    <w:rsid w:val="00A648E0"/>
    <w:rsid w:val="00A7075D"/>
    <w:rsid w:val="00A711A5"/>
    <w:rsid w:val="00A72090"/>
    <w:rsid w:val="00A73C92"/>
    <w:rsid w:val="00A831E7"/>
    <w:rsid w:val="00A86562"/>
    <w:rsid w:val="00A86A5D"/>
    <w:rsid w:val="00A87444"/>
    <w:rsid w:val="00A95FD5"/>
    <w:rsid w:val="00A977D5"/>
    <w:rsid w:val="00A9781A"/>
    <w:rsid w:val="00AA1F93"/>
    <w:rsid w:val="00AA58DB"/>
    <w:rsid w:val="00AA7E78"/>
    <w:rsid w:val="00AB6F35"/>
    <w:rsid w:val="00AC1176"/>
    <w:rsid w:val="00AC12F4"/>
    <w:rsid w:val="00AC199C"/>
    <w:rsid w:val="00AC56A4"/>
    <w:rsid w:val="00AD2C10"/>
    <w:rsid w:val="00AE0B91"/>
    <w:rsid w:val="00AE1763"/>
    <w:rsid w:val="00AE1977"/>
    <w:rsid w:val="00AE1A51"/>
    <w:rsid w:val="00AE3056"/>
    <w:rsid w:val="00AE5A31"/>
    <w:rsid w:val="00AF0E36"/>
    <w:rsid w:val="00AF1331"/>
    <w:rsid w:val="00AF1499"/>
    <w:rsid w:val="00AF1A9F"/>
    <w:rsid w:val="00AF3C10"/>
    <w:rsid w:val="00AF3E2F"/>
    <w:rsid w:val="00AF41A0"/>
    <w:rsid w:val="00AF65E5"/>
    <w:rsid w:val="00B00191"/>
    <w:rsid w:val="00B02C8A"/>
    <w:rsid w:val="00B03B76"/>
    <w:rsid w:val="00B04E3C"/>
    <w:rsid w:val="00B14BA0"/>
    <w:rsid w:val="00B14C8E"/>
    <w:rsid w:val="00B152F3"/>
    <w:rsid w:val="00B16C7B"/>
    <w:rsid w:val="00B23DB3"/>
    <w:rsid w:val="00B34804"/>
    <w:rsid w:val="00B34858"/>
    <w:rsid w:val="00B37079"/>
    <w:rsid w:val="00B459D7"/>
    <w:rsid w:val="00B46F19"/>
    <w:rsid w:val="00B4714B"/>
    <w:rsid w:val="00B51FA0"/>
    <w:rsid w:val="00B56331"/>
    <w:rsid w:val="00B60E0F"/>
    <w:rsid w:val="00B62AFD"/>
    <w:rsid w:val="00B64874"/>
    <w:rsid w:val="00B70034"/>
    <w:rsid w:val="00B72513"/>
    <w:rsid w:val="00B72807"/>
    <w:rsid w:val="00B76341"/>
    <w:rsid w:val="00B77EEB"/>
    <w:rsid w:val="00B83C20"/>
    <w:rsid w:val="00B84FF1"/>
    <w:rsid w:val="00B857FA"/>
    <w:rsid w:val="00B876D2"/>
    <w:rsid w:val="00B878E7"/>
    <w:rsid w:val="00B92F15"/>
    <w:rsid w:val="00B97136"/>
    <w:rsid w:val="00BA2B0B"/>
    <w:rsid w:val="00BA3036"/>
    <w:rsid w:val="00BA4E09"/>
    <w:rsid w:val="00BA5F61"/>
    <w:rsid w:val="00BA6659"/>
    <w:rsid w:val="00BB52BE"/>
    <w:rsid w:val="00BB5B43"/>
    <w:rsid w:val="00BB63F9"/>
    <w:rsid w:val="00BC0061"/>
    <w:rsid w:val="00BC2563"/>
    <w:rsid w:val="00BC6120"/>
    <w:rsid w:val="00BC6E74"/>
    <w:rsid w:val="00BD2FF3"/>
    <w:rsid w:val="00BD36D3"/>
    <w:rsid w:val="00BD4658"/>
    <w:rsid w:val="00BD58C0"/>
    <w:rsid w:val="00BD6195"/>
    <w:rsid w:val="00BD640C"/>
    <w:rsid w:val="00BD7DD2"/>
    <w:rsid w:val="00BE0D66"/>
    <w:rsid w:val="00BE32A1"/>
    <w:rsid w:val="00BE69AE"/>
    <w:rsid w:val="00BE7FB4"/>
    <w:rsid w:val="00BF3B9B"/>
    <w:rsid w:val="00BF70B1"/>
    <w:rsid w:val="00BF7140"/>
    <w:rsid w:val="00BF78FF"/>
    <w:rsid w:val="00C01434"/>
    <w:rsid w:val="00C01E33"/>
    <w:rsid w:val="00C02623"/>
    <w:rsid w:val="00C02E5C"/>
    <w:rsid w:val="00C02ED8"/>
    <w:rsid w:val="00C03A3C"/>
    <w:rsid w:val="00C04DE5"/>
    <w:rsid w:val="00C07DDE"/>
    <w:rsid w:val="00C11B29"/>
    <w:rsid w:val="00C15622"/>
    <w:rsid w:val="00C158D6"/>
    <w:rsid w:val="00C20379"/>
    <w:rsid w:val="00C2322A"/>
    <w:rsid w:val="00C23750"/>
    <w:rsid w:val="00C24664"/>
    <w:rsid w:val="00C25C93"/>
    <w:rsid w:val="00C26C39"/>
    <w:rsid w:val="00C36615"/>
    <w:rsid w:val="00C418EA"/>
    <w:rsid w:val="00C42360"/>
    <w:rsid w:val="00C4352B"/>
    <w:rsid w:val="00C47C7D"/>
    <w:rsid w:val="00C603DE"/>
    <w:rsid w:val="00C61B41"/>
    <w:rsid w:val="00C647C4"/>
    <w:rsid w:val="00C70E26"/>
    <w:rsid w:val="00C72879"/>
    <w:rsid w:val="00C74C3D"/>
    <w:rsid w:val="00C77483"/>
    <w:rsid w:val="00C842AC"/>
    <w:rsid w:val="00C85F34"/>
    <w:rsid w:val="00C86909"/>
    <w:rsid w:val="00C86D87"/>
    <w:rsid w:val="00C94714"/>
    <w:rsid w:val="00C9490C"/>
    <w:rsid w:val="00C97441"/>
    <w:rsid w:val="00CA07FE"/>
    <w:rsid w:val="00CA2470"/>
    <w:rsid w:val="00CA2803"/>
    <w:rsid w:val="00CA2975"/>
    <w:rsid w:val="00CA2DBB"/>
    <w:rsid w:val="00CB0E9E"/>
    <w:rsid w:val="00CB360F"/>
    <w:rsid w:val="00CC1284"/>
    <w:rsid w:val="00CC3E01"/>
    <w:rsid w:val="00CC54CB"/>
    <w:rsid w:val="00CD310F"/>
    <w:rsid w:val="00CD386C"/>
    <w:rsid w:val="00CD41E4"/>
    <w:rsid w:val="00CD46FE"/>
    <w:rsid w:val="00CE187B"/>
    <w:rsid w:val="00CE5BC9"/>
    <w:rsid w:val="00CF0B17"/>
    <w:rsid w:val="00CF1272"/>
    <w:rsid w:val="00CF2187"/>
    <w:rsid w:val="00CF633A"/>
    <w:rsid w:val="00D00C18"/>
    <w:rsid w:val="00D13D46"/>
    <w:rsid w:val="00D169CA"/>
    <w:rsid w:val="00D21765"/>
    <w:rsid w:val="00D2295B"/>
    <w:rsid w:val="00D23673"/>
    <w:rsid w:val="00D23795"/>
    <w:rsid w:val="00D3111D"/>
    <w:rsid w:val="00D33EB6"/>
    <w:rsid w:val="00D346D2"/>
    <w:rsid w:val="00D35B3C"/>
    <w:rsid w:val="00D50A23"/>
    <w:rsid w:val="00D51929"/>
    <w:rsid w:val="00D521DA"/>
    <w:rsid w:val="00D525C6"/>
    <w:rsid w:val="00D63B35"/>
    <w:rsid w:val="00D655B3"/>
    <w:rsid w:val="00D65CEF"/>
    <w:rsid w:val="00D66924"/>
    <w:rsid w:val="00D7171D"/>
    <w:rsid w:val="00D73444"/>
    <w:rsid w:val="00D8056E"/>
    <w:rsid w:val="00D81FF1"/>
    <w:rsid w:val="00D8253A"/>
    <w:rsid w:val="00D8284B"/>
    <w:rsid w:val="00D8594A"/>
    <w:rsid w:val="00D95861"/>
    <w:rsid w:val="00DA1B4D"/>
    <w:rsid w:val="00DA1F42"/>
    <w:rsid w:val="00DA4AFE"/>
    <w:rsid w:val="00DA555F"/>
    <w:rsid w:val="00DA7127"/>
    <w:rsid w:val="00DC0056"/>
    <w:rsid w:val="00DC0DED"/>
    <w:rsid w:val="00DC3C86"/>
    <w:rsid w:val="00DC3CE1"/>
    <w:rsid w:val="00DD069C"/>
    <w:rsid w:val="00DD0AD2"/>
    <w:rsid w:val="00DD12F4"/>
    <w:rsid w:val="00DD2C22"/>
    <w:rsid w:val="00DE4FE8"/>
    <w:rsid w:val="00DE5A37"/>
    <w:rsid w:val="00DF1001"/>
    <w:rsid w:val="00DF61BF"/>
    <w:rsid w:val="00E01714"/>
    <w:rsid w:val="00E01DB9"/>
    <w:rsid w:val="00E01E09"/>
    <w:rsid w:val="00E055C1"/>
    <w:rsid w:val="00E12B90"/>
    <w:rsid w:val="00E15662"/>
    <w:rsid w:val="00E16AA3"/>
    <w:rsid w:val="00E175CA"/>
    <w:rsid w:val="00E2196C"/>
    <w:rsid w:val="00E21F13"/>
    <w:rsid w:val="00E24AA9"/>
    <w:rsid w:val="00E266FC"/>
    <w:rsid w:val="00E27C90"/>
    <w:rsid w:val="00E302D8"/>
    <w:rsid w:val="00E31C73"/>
    <w:rsid w:val="00E33BE0"/>
    <w:rsid w:val="00E351CC"/>
    <w:rsid w:val="00E47489"/>
    <w:rsid w:val="00E51910"/>
    <w:rsid w:val="00E54EAB"/>
    <w:rsid w:val="00E5535F"/>
    <w:rsid w:val="00E5631C"/>
    <w:rsid w:val="00E63709"/>
    <w:rsid w:val="00E65EAD"/>
    <w:rsid w:val="00E7538E"/>
    <w:rsid w:val="00E772A0"/>
    <w:rsid w:val="00E77C7E"/>
    <w:rsid w:val="00E77FDE"/>
    <w:rsid w:val="00E80C44"/>
    <w:rsid w:val="00E81761"/>
    <w:rsid w:val="00E84DCA"/>
    <w:rsid w:val="00E8543E"/>
    <w:rsid w:val="00E85942"/>
    <w:rsid w:val="00E85A62"/>
    <w:rsid w:val="00E86976"/>
    <w:rsid w:val="00E87DE9"/>
    <w:rsid w:val="00E932A0"/>
    <w:rsid w:val="00EA13CC"/>
    <w:rsid w:val="00EA1CC8"/>
    <w:rsid w:val="00EA20DE"/>
    <w:rsid w:val="00EA2443"/>
    <w:rsid w:val="00EA2C12"/>
    <w:rsid w:val="00EA30B5"/>
    <w:rsid w:val="00EA7FB9"/>
    <w:rsid w:val="00EB29E4"/>
    <w:rsid w:val="00EB7217"/>
    <w:rsid w:val="00EC1736"/>
    <w:rsid w:val="00ED4F4B"/>
    <w:rsid w:val="00ED5ABB"/>
    <w:rsid w:val="00ED76E5"/>
    <w:rsid w:val="00EE37C6"/>
    <w:rsid w:val="00EE6492"/>
    <w:rsid w:val="00EF20C5"/>
    <w:rsid w:val="00EF20E1"/>
    <w:rsid w:val="00EF59B8"/>
    <w:rsid w:val="00EF61C2"/>
    <w:rsid w:val="00F07576"/>
    <w:rsid w:val="00F16391"/>
    <w:rsid w:val="00F1649D"/>
    <w:rsid w:val="00F17361"/>
    <w:rsid w:val="00F21D0E"/>
    <w:rsid w:val="00F27B6A"/>
    <w:rsid w:val="00F3474A"/>
    <w:rsid w:val="00F374C5"/>
    <w:rsid w:val="00F400F2"/>
    <w:rsid w:val="00F45750"/>
    <w:rsid w:val="00F47CF8"/>
    <w:rsid w:val="00F501B0"/>
    <w:rsid w:val="00F50D63"/>
    <w:rsid w:val="00F54343"/>
    <w:rsid w:val="00F54F8D"/>
    <w:rsid w:val="00F62758"/>
    <w:rsid w:val="00F64AFA"/>
    <w:rsid w:val="00F657CF"/>
    <w:rsid w:val="00F670D4"/>
    <w:rsid w:val="00F7193A"/>
    <w:rsid w:val="00F8071B"/>
    <w:rsid w:val="00F80F95"/>
    <w:rsid w:val="00F821CE"/>
    <w:rsid w:val="00F8238B"/>
    <w:rsid w:val="00F8393C"/>
    <w:rsid w:val="00F848F7"/>
    <w:rsid w:val="00F8696B"/>
    <w:rsid w:val="00F92A48"/>
    <w:rsid w:val="00F92E7A"/>
    <w:rsid w:val="00F949C2"/>
    <w:rsid w:val="00F95ADD"/>
    <w:rsid w:val="00FA59AC"/>
    <w:rsid w:val="00FB4DCE"/>
    <w:rsid w:val="00FC49CF"/>
    <w:rsid w:val="00FC6CEF"/>
    <w:rsid w:val="00FD2084"/>
    <w:rsid w:val="00FD6303"/>
    <w:rsid w:val="00FE048C"/>
    <w:rsid w:val="00FE132A"/>
    <w:rsid w:val="00FE2B5C"/>
    <w:rsid w:val="00FE6F1A"/>
    <w:rsid w:val="00FE7A32"/>
    <w:rsid w:val="00FF2F7F"/>
    <w:rsid w:val="00FF4B8D"/>
    <w:rsid w:val="00FF773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47F7253F"/>
  <w15:docId w15:val="{D129DCA9-3F7D-9F4C-806C-D03D24DEF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2CE"/>
    <w:rPr>
      <w:rFonts w:ascii="Times New Roman" w:eastAsia="Times New Roman" w:hAnsi="Times New Roman" w:cs="Times New Roman"/>
      <w:lang w:eastAsia="en-GB"/>
    </w:rPr>
  </w:style>
  <w:style w:type="paragraph" w:styleId="Heading3">
    <w:name w:val="heading 3"/>
    <w:basedOn w:val="Normal"/>
    <w:link w:val="Heading3Char"/>
    <w:uiPriority w:val="9"/>
    <w:qFormat/>
    <w:rsid w:val="00425EB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36615"/>
    <w:pPr>
      <w:spacing w:before="100" w:beforeAutospacing="1" w:after="100" w:afterAutospacing="1"/>
    </w:pPr>
  </w:style>
  <w:style w:type="paragraph" w:styleId="Bibliography">
    <w:name w:val="Bibliography"/>
    <w:basedOn w:val="Normal"/>
    <w:next w:val="Normal"/>
    <w:uiPriority w:val="37"/>
    <w:unhideWhenUsed/>
    <w:rsid w:val="00530E59"/>
    <w:pPr>
      <w:spacing w:line="480" w:lineRule="auto"/>
      <w:ind w:left="720" w:hanging="720"/>
    </w:pPr>
    <w:rPr>
      <w:rFonts w:asciiTheme="minorHAnsi" w:eastAsiaTheme="minorHAnsi" w:hAnsiTheme="minorHAnsi" w:cstheme="minorBidi"/>
      <w:lang w:eastAsia="en-US"/>
    </w:rPr>
  </w:style>
  <w:style w:type="character" w:customStyle="1" w:styleId="apple-converted-space">
    <w:name w:val="apple-converted-space"/>
    <w:basedOn w:val="DefaultParagraphFont"/>
    <w:rsid w:val="0075367B"/>
  </w:style>
  <w:style w:type="paragraph" w:styleId="Header">
    <w:name w:val="header"/>
    <w:basedOn w:val="Normal"/>
    <w:link w:val="HeaderChar"/>
    <w:uiPriority w:val="99"/>
    <w:unhideWhenUsed/>
    <w:rsid w:val="007332A3"/>
    <w:pPr>
      <w:tabs>
        <w:tab w:val="center" w:pos="4513"/>
        <w:tab w:val="right" w:pos="9026"/>
      </w:tabs>
    </w:pPr>
  </w:style>
  <w:style w:type="character" w:customStyle="1" w:styleId="HeaderChar">
    <w:name w:val="Header Char"/>
    <w:basedOn w:val="DefaultParagraphFont"/>
    <w:link w:val="Header"/>
    <w:uiPriority w:val="99"/>
    <w:rsid w:val="007332A3"/>
    <w:rPr>
      <w:rFonts w:ascii="Times New Roman" w:eastAsia="Times New Roman" w:hAnsi="Times New Roman" w:cs="Times New Roman"/>
      <w:lang w:eastAsia="en-GB"/>
    </w:rPr>
  </w:style>
  <w:style w:type="paragraph" w:styleId="Footer">
    <w:name w:val="footer"/>
    <w:basedOn w:val="Normal"/>
    <w:link w:val="FooterChar"/>
    <w:uiPriority w:val="99"/>
    <w:unhideWhenUsed/>
    <w:rsid w:val="007332A3"/>
    <w:pPr>
      <w:tabs>
        <w:tab w:val="center" w:pos="4513"/>
        <w:tab w:val="right" w:pos="9026"/>
      </w:tabs>
    </w:pPr>
  </w:style>
  <w:style w:type="character" w:customStyle="1" w:styleId="FooterChar">
    <w:name w:val="Footer Char"/>
    <w:basedOn w:val="DefaultParagraphFont"/>
    <w:link w:val="Footer"/>
    <w:uiPriority w:val="99"/>
    <w:rsid w:val="007332A3"/>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5322B1"/>
    <w:rPr>
      <w:sz w:val="16"/>
      <w:szCs w:val="16"/>
    </w:rPr>
  </w:style>
  <w:style w:type="paragraph" w:styleId="CommentText">
    <w:name w:val="annotation text"/>
    <w:basedOn w:val="Normal"/>
    <w:link w:val="CommentTextChar"/>
    <w:uiPriority w:val="99"/>
    <w:semiHidden/>
    <w:unhideWhenUsed/>
    <w:rsid w:val="005322B1"/>
    <w:rPr>
      <w:sz w:val="20"/>
      <w:szCs w:val="20"/>
    </w:rPr>
  </w:style>
  <w:style w:type="character" w:customStyle="1" w:styleId="CommentTextChar">
    <w:name w:val="Comment Text Char"/>
    <w:basedOn w:val="DefaultParagraphFont"/>
    <w:link w:val="CommentText"/>
    <w:uiPriority w:val="99"/>
    <w:semiHidden/>
    <w:rsid w:val="005322B1"/>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5322B1"/>
    <w:rPr>
      <w:b/>
      <w:bCs/>
    </w:rPr>
  </w:style>
  <w:style w:type="character" w:customStyle="1" w:styleId="CommentSubjectChar">
    <w:name w:val="Comment Subject Char"/>
    <w:basedOn w:val="CommentTextChar"/>
    <w:link w:val="CommentSubject"/>
    <w:uiPriority w:val="99"/>
    <w:semiHidden/>
    <w:rsid w:val="005322B1"/>
    <w:rPr>
      <w:rFonts w:ascii="Times New Roman" w:eastAsia="Times New Roman" w:hAnsi="Times New Roman" w:cs="Times New Roman"/>
      <w:b/>
      <w:bCs/>
      <w:sz w:val="20"/>
      <w:szCs w:val="20"/>
      <w:lang w:eastAsia="en-GB"/>
    </w:rPr>
  </w:style>
  <w:style w:type="paragraph" w:styleId="Revision">
    <w:name w:val="Revision"/>
    <w:hidden/>
    <w:uiPriority w:val="99"/>
    <w:semiHidden/>
    <w:rsid w:val="002C702F"/>
    <w:rPr>
      <w:rFonts w:ascii="Times New Roman" w:eastAsia="Times New Roman" w:hAnsi="Times New Roman" w:cs="Times New Roman"/>
      <w:lang w:eastAsia="en-GB"/>
    </w:rPr>
  </w:style>
  <w:style w:type="character" w:customStyle="1" w:styleId="identifier">
    <w:name w:val="identifier"/>
    <w:basedOn w:val="DefaultParagraphFont"/>
    <w:rsid w:val="00B34858"/>
  </w:style>
  <w:style w:type="character" w:customStyle="1" w:styleId="id-label">
    <w:name w:val="id-label"/>
    <w:basedOn w:val="DefaultParagraphFont"/>
    <w:rsid w:val="00B34858"/>
  </w:style>
  <w:style w:type="character" w:styleId="Hyperlink">
    <w:name w:val="Hyperlink"/>
    <w:basedOn w:val="DefaultParagraphFont"/>
    <w:uiPriority w:val="99"/>
    <w:unhideWhenUsed/>
    <w:rsid w:val="00B34858"/>
    <w:rPr>
      <w:color w:val="0000FF"/>
      <w:u w:val="single"/>
    </w:rPr>
  </w:style>
  <w:style w:type="paragraph" w:styleId="ListParagraph">
    <w:name w:val="List Paragraph"/>
    <w:basedOn w:val="Normal"/>
    <w:uiPriority w:val="34"/>
    <w:qFormat/>
    <w:rsid w:val="00B34858"/>
    <w:pPr>
      <w:ind w:left="720"/>
      <w:contextualSpacing/>
    </w:pPr>
  </w:style>
  <w:style w:type="character" w:styleId="FollowedHyperlink">
    <w:name w:val="FollowedHyperlink"/>
    <w:basedOn w:val="DefaultParagraphFont"/>
    <w:uiPriority w:val="99"/>
    <w:semiHidden/>
    <w:unhideWhenUsed/>
    <w:rsid w:val="000077DD"/>
    <w:rPr>
      <w:color w:val="954F72" w:themeColor="followedHyperlink"/>
      <w:u w:val="single"/>
    </w:rPr>
  </w:style>
  <w:style w:type="character" w:styleId="UnresolvedMention">
    <w:name w:val="Unresolved Mention"/>
    <w:basedOn w:val="DefaultParagraphFont"/>
    <w:uiPriority w:val="99"/>
    <w:semiHidden/>
    <w:unhideWhenUsed/>
    <w:rsid w:val="00D81FF1"/>
    <w:rPr>
      <w:color w:val="605E5C"/>
      <w:shd w:val="clear" w:color="auto" w:fill="E1DFDD"/>
    </w:rPr>
  </w:style>
  <w:style w:type="table" w:styleId="TableGrid">
    <w:name w:val="Table Grid"/>
    <w:basedOn w:val="TableNormal"/>
    <w:uiPriority w:val="39"/>
    <w:rsid w:val="002A0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25EB4"/>
    <w:rPr>
      <w:rFonts w:ascii="Times New Roman" w:eastAsia="Times New Roman" w:hAnsi="Times New Roman" w:cs="Times New Roman"/>
      <w:b/>
      <w:bCs/>
      <w:sz w:val="27"/>
      <w:szCs w:val="27"/>
      <w:lang w:eastAsia="en-GB"/>
    </w:rPr>
  </w:style>
  <w:style w:type="character" w:styleId="Emphasis">
    <w:name w:val="Emphasis"/>
    <w:basedOn w:val="DefaultParagraphFont"/>
    <w:uiPriority w:val="20"/>
    <w:qFormat/>
    <w:rsid w:val="00496A94"/>
    <w:rPr>
      <w:i/>
      <w:iCs/>
    </w:rPr>
  </w:style>
  <w:style w:type="paragraph" w:styleId="BalloonText">
    <w:name w:val="Balloon Text"/>
    <w:basedOn w:val="Normal"/>
    <w:link w:val="BalloonTextChar"/>
    <w:uiPriority w:val="99"/>
    <w:semiHidden/>
    <w:unhideWhenUsed/>
    <w:rsid w:val="00350062"/>
    <w:rPr>
      <w:sz w:val="18"/>
      <w:szCs w:val="18"/>
    </w:rPr>
  </w:style>
  <w:style w:type="character" w:customStyle="1" w:styleId="BalloonTextChar">
    <w:name w:val="Balloon Text Char"/>
    <w:basedOn w:val="DefaultParagraphFont"/>
    <w:link w:val="BalloonText"/>
    <w:uiPriority w:val="99"/>
    <w:semiHidden/>
    <w:rsid w:val="00350062"/>
    <w:rPr>
      <w:rFonts w:ascii="Times New Roman" w:eastAsia="Times New Roman" w:hAnsi="Times New Roman" w:cs="Times New Roman"/>
      <w:sz w:val="18"/>
      <w:szCs w:val="18"/>
      <w:lang w:eastAsia="en-GB"/>
    </w:rPr>
  </w:style>
  <w:style w:type="character" w:styleId="PageNumber">
    <w:name w:val="page number"/>
    <w:basedOn w:val="DefaultParagraphFont"/>
    <w:uiPriority w:val="99"/>
    <w:semiHidden/>
    <w:unhideWhenUsed/>
    <w:rsid w:val="00A711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7212">
      <w:bodyDiv w:val="1"/>
      <w:marLeft w:val="0"/>
      <w:marRight w:val="0"/>
      <w:marTop w:val="0"/>
      <w:marBottom w:val="0"/>
      <w:divBdr>
        <w:top w:val="none" w:sz="0" w:space="0" w:color="auto"/>
        <w:left w:val="none" w:sz="0" w:space="0" w:color="auto"/>
        <w:bottom w:val="none" w:sz="0" w:space="0" w:color="auto"/>
        <w:right w:val="none" w:sz="0" w:space="0" w:color="auto"/>
      </w:divBdr>
    </w:div>
    <w:div w:id="28847406">
      <w:bodyDiv w:val="1"/>
      <w:marLeft w:val="0"/>
      <w:marRight w:val="0"/>
      <w:marTop w:val="0"/>
      <w:marBottom w:val="0"/>
      <w:divBdr>
        <w:top w:val="none" w:sz="0" w:space="0" w:color="auto"/>
        <w:left w:val="none" w:sz="0" w:space="0" w:color="auto"/>
        <w:bottom w:val="none" w:sz="0" w:space="0" w:color="auto"/>
        <w:right w:val="none" w:sz="0" w:space="0" w:color="auto"/>
      </w:divBdr>
      <w:divsChild>
        <w:div w:id="1228759584">
          <w:marLeft w:val="0"/>
          <w:marRight w:val="0"/>
          <w:marTop w:val="0"/>
          <w:marBottom w:val="0"/>
          <w:divBdr>
            <w:top w:val="none" w:sz="0" w:space="0" w:color="auto"/>
            <w:left w:val="none" w:sz="0" w:space="0" w:color="auto"/>
            <w:bottom w:val="none" w:sz="0" w:space="0" w:color="auto"/>
            <w:right w:val="none" w:sz="0" w:space="0" w:color="auto"/>
          </w:divBdr>
          <w:divsChild>
            <w:div w:id="1977056263">
              <w:marLeft w:val="0"/>
              <w:marRight w:val="0"/>
              <w:marTop w:val="0"/>
              <w:marBottom w:val="0"/>
              <w:divBdr>
                <w:top w:val="none" w:sz="0" w:space="0" w:color="auto"/>
                <w:left w:val="none" w:sz="0" w:space="0" w:color="auto"/>
                <w:bottom w:val="none" w:sz="0" w:space="0" w:color="auto"/>
                <w:right w:val="none" w:sz="0" w:space="0" w:color="auto"/>
              </w:divBdr>
              <w:divsChild>
                <w:div w:id="17356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4019">
      <w:bodyDiv w:val="1"/>
      <w:marLeft w:val="0"/>
      <w:marRight w:val="0"/>
      <w:marTop w:val="0"/>
      <w:marBottom w:val="0"/>
      <w:divBdr>
        <w:top w:val="none" w:sz="0" w:space="0" w:color="auto"/>
        <w:left w:val="none" w:sz="0" w:space="0" w:color="auto"/>
        <w:bottom w:val="none" w:sz="0" w:space="0" w:color="auto"/>
        <w:right w:val="none" w:sz="0" w:space="0" w:color="auto"/>
      </w:divBdr>
    </w:div>
    <w:div w:id="324551177">
      <w:bodyDiv w:val="1"/>
      <w:marLeft w:val="0"/>
      <w:marRight w:val="0"/>
      <w:marTop w:val="0"/>
      <w:marBottom w:val="0"/>
      <w:divBdr>
        <w:top w:val="none" w:sz="0" w:space="0" w:color="auto"/>
        <w:left w:val="none" w:sz="0" w:space="0" w:color="auto"/>
        <w:bottom w:val="none" w:sz="0" w:space="0" w:color="auto"/>
        <w:right w:val="none" w:sz="0" w:space="0" w:color="auto"/>
      </w:divBdr>
      <w:divsChild>
        <w:div w:id="1141115925">
          <w:marLeft w:val="0"/>
          <w:marRight w:val="0"/>
          <w:marTop w:val="0"/>
          <w:marBottom w:val="0"/>
          <w:divBdr>
            <w:top w:val="none" w:sz="0" w:space="0" w:color="auto"/>
            <w:left w:val="none" w:sz="0" w:space="0" w:color="auto"/>
            <w:bottom w:val="none" w:sz="0" w:space="0" w:color="auto"/>
            <w:right w:val="none" w:sz="0" w:space="0" w:color="auto"/>
          </w:divBdr>
          <w:divsChild>
            <w:div w:id="272906099">
              <w:marLeft w:val="0"/>
              <w:marRight w:val="0"/>
              <w:marTop w:val="0"/>
              <w:marBottom w:val="0"/>
              <w:divBdr>
                <w:top w:val="none" w:sz="0" w:space="0" w:color="auto"/>
                <w:left w:val="none" w:sz="0" w:space="0" w:color="auto"/>
                <w:bottom w:val="none" w:sz="0" w:space="0" w:color="auto"/>
                <w:right w:val="none" w:sz="0" w:space="0" w:color="auto"/>
              </w:divBdr>
              <w:divsChild>
                <w:div w:id="181124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77854">
      <w:bodyDiv w:val="1"/>
      <w:marLeft w:val="0"/>
      <w:marRight w:val="0"/>
      <w:marTop w:val="0"/>
      <w:marBottom w:val="0"/>
      <w:divBdr>
        <w:top w:val="none" w:sz="0" w:space="0" w:color="auto"/>
        <w:left w:val="none" w:sz="0" w:space="0" w:color="auto"/>
        <w:bottom w:val="none" w:sz="0" w:space="0" w:color="auto"/>
        <w:right w:val="none" w:sz="0" w:space="0" w:color="auto"/>
      </w:divBdr>
    </w:div>
    <w:div w:id="391657340">
      <w:bodyDiv w:val="1"/>
      <w:marLeft w:val="0"/>
      <w:marRight w:val="0"/>
      <w:marTop w:val="0"/>
      <w:marBottom w:val="0"/>
      <w:divBdr>
        <w:top w:val="none" w:sz="0" w:space="0" w:color="auto"/>
        <w:left w:val="none" w:sz="0" w:space="0" w:color="auto"/>
        <w:bottom w:val="none" w:sz="0" w:space="0" w:color="auto"/>
        <w:right w:val="none" w:sz="0" w:space="0" w:color="auto"/>
      </w:divBdr>
    </w:div>
    <w:div w:id="434248216">
      <w:bodyDiv w:val="1"/>
      <w:marLeft w:val="0"/>
      <w:marRight w:val="0"/>
      <w:marTop w:val="0"/>
      <w:marBottom w:val="0"/>
      <w:divBdr>
        <w:top w:val="none" w:sz="0" w:space="0" w:color="auto"/>
        <w:left w:val="none" w:sz="0" w:space="0" w:color="auto"/>
        <w:bottom w:val="none" w:sz="0" w:space="0" w:color="auto"/>
        <w:right w:val="none" w:sz="0" w:space="0" w:color="auto"/>
      </w:divBdr>
    </w:div>
    <w:div w:id="484010663">
      <w:bodyDiv w:val="1"/>
      <w:marLeft w:val="0"/>
      <w:marRight w:val="0"/>
      <w:marTop w:val="0"/>
      <w:marBottom w:val="0"/>
      <w:divBdr>
        <w:top w:val="none" w:sz="0" w:space="0" w:color="auto"/>
        <w:left w:val="none" w:sz="0" w:space="0" w:color="auto"/>
        <w:bottom w:val="none" w:sz="0" w:space="0" w:color="auto"/>
        <w:right w:val="none" w:sz="0" w:space="0" w:color="auto"/>
      </w:divBdr>
    </w:div>
    <w:div w:id="591285457">
      <w:bodyDiv w:val="1"/>
      <w:marLeft w:val="0"/>
      <w:marRight w:val="0"/>
      <w:marTop w:val="0"/>
      <w:marBottom w:val="0"/>
      <w:divBdr>
        <w:top w:val="none" w:sz="0" w:space="0" w:color="auto"/>
        <w:left w:val="none" w:sz="0" w:space="0" w:color="auto"/>
        <w:bottom w:val="none" w:sz="0" w:space="0" w:color="auto"/>
        <w:right w:val="none" w:sz="0" w:space="0" w:color="auto"/>
      </w:divBdr>
    </w:div>
    <w:div w:id="616832238">
      <w:bodyDiv w:val="1"/>
      <w:marLeft w:val="0"/>
      <w:marRight w:val="0"/>
      <w:marTop w:val="0"/>
      <w:marBottom w:val="0"/>
      <w:divBdr>
        <w:top w:val="none" w:sz="0" w:space="0" w:color="auto"/>
        <w:left w:val="none" w:sz="0" w:space="0" w:color="auto"/>
        <w:bottom w:val="none" w:sz="0" w:space="0" w:color="auto"/>
        <w:right w:val="none" w:sz="0" w:space="0" w:color="auto"/>
      </w:divBdr>
    </w:div>
    <w:div w:id="619068569">
      <w:bodyDiv w:val="1"/>
      <w:marLeft w:val="0"/>
      <w:marRight w:val="0"/>
      <w:marTop w:val="0"/>
      <w:marBottom w:val="0"/>
      <w:divBdr>
        <w:top w:val="none" w:sz="0" w:space="0" w:color="auto"/>
        <w:left w:val="none" w:sz="0" w:space="0" w:color="auto"/>
        <w:bottom w:val="none" w:sz="0" w:space="0" w:color="auto"/>
        <w:right w:val="none" w:sz="0" w:space="0" w:color="auto"/>
      </w:divBdr>
    </w:div>
    <w:div w:id="852304717">
      <w:bodyDiv w:val="1"/>
      <w:marLeft w:val="0"/>
      <w:marRight w:val="0"/>
      <w:marTop w:val="0"/>
      <w:marBottom w:val="0"/>
      <w:divBdr>
        <w:top w:val="none" w:sz="0" w:space="0" w:color="auto"/>
        <w:left w:val="none" w:sz="0" w:space="0" w:color="auto"/>
        <w:bottom w:val="none" w:sz="0" w:space="0" w:color="auto"/>
        <w:right w:val="none" w:sz="0" w:space="0" w:color="auto"/>
      </w:divBdr>
      <w:divsChild>
        <w:div w:id="5207136">
          <w:marLeft w:val="0"/>
          <w:marRight w:val="0"/>
          <w:marTop w:val="0"/>
          <w:marBottom w:val="0"/>
          <w:divBdr>
            <w:top w:val="none" w:sz="0" w:space="0" w:color="auto"/>
            <w:left w:val="none" w:sz="0" w:space="0" w:color="auto"/>
            <w:bottom w:val="none" w:sz="0" w:space="0" w:color="auto"/>
            <w:right w:val="none" w:sz="0" w:space="0" w:color="auto"/>
          </w:divBdr>
          <w:divsChild>
            <w:div w:id="1448115429">
              <w:marLeft w:val="0"/>
              <w:marRight w:val="0"/>
              <w:marTop w:val="0"/>
              <w:marBottom w:val="0"/>
              <w:divBdr>
                <w:top w:val="none" w:sz="0" w:space="0" w:color="auto"/>
                <w:left w:val="none" w:sz="0" w:space="0" w:color="auto"/>
                <w:bottom w:val="none" w:sz="0" w:space="0" w:color="auto"/>
                <w:right w:val="none" w:sz="0" w:space="0" w:color="auto"/>
              </w:divBdr>
              <w:divsChild>
                <w:div w:id="154717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49562">
      <w:bodyDiv w:val="1"/>
      <w:marLeft w:val="0"/>
      <w:marRight w:val="0"/>
      <w:marTop w:val="0"/>
      <w:marBottom w:val="0"/>
      <w:divBdr>
        <w:top w:val="none" w:sz="0" w:space="0" w:color="auto"/>
        <w:left w:val="none" w:sz="0" w:space="0" w:color="auto"/>
        <w:bottom w:val="none" w:sz="0" w:space="0" w:color="auto"/>
        <w:right w:val="none" w:sz="0" w:space="0" w:color="auto"/>
      </w:divBdr>
    </w:div>
    <w:div w:id="1028412476">
      <w:bodyDiv w:val="1"/>
      <w:marLeft w:val="0"/>
      <w:marRight w:val="0"/>
      <w:marTop w:val="0"/>
      <w:marBottom w:val="0"/>
      <w:divBdr>
        <w:top w:val="none" w:sz="0" w:space="0" w:color="auto"/>
        <w:left w:val="none" w:sz="0" w:space="0" w:color="auto"/>
        <w:bottom w:val="none" w:sz="0" w:space="0" w:color="auto"/>
        <w:right w:val="none" w:sz="0" w:space="0" w:color="auto"/>
      </w:divBdr>
      <w:divsChild>
        <w:div w:id="663708730">
          <w:marLeft w:val="0"/>
          <w:marRight w:val="0"/>
          <w:marTop w:val="0"/>
          <w:marBottom w:val="0"/>
          <w:divBdr>
            <w:top w:val="none" w:sz="0" w:space="0" w:color="auto"/>
            <w:left w:val="none" w:sz="0" w:space="0" w:color="auto"/>
            <w:bottom w:val="none" w:sz="0" w:space="0" w:color="auto"/>
            <w:right w:val="none" w:sz="0" w:space="0" w:color="auto"/>
          </w:divBdr>
          <w:divsChild>
            <w:div w:id="1630432124">
              <w:marLeft w:val="0"/>
              <w:marRight w:val="0"/>
              <w:marTop w:val="0"/>
              <w:marBottom w:val="0"/>
              <w:divBdr>
                <w:top w:val="none" w:sz="0" w:space="0" w:color="auto"/>
                <w:left w:val="none" w:sz="0" w:space="0" w:color="auto"/>
                <w:bottom w:val="none" w:sz="0" w:space="0" w:color="auto"/>
                <w:right w:val="none" w:sz="0" w:space="0" w:color="auto"/>
              </w:divBdr>
              <w:divsChild>
                <w:div w:id="95147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649121">
      <w:bodyDiv w:val="1"/>
      <w:marLeft w:val="0"/>
      <w:marRight w:val="0"/>
      <w:marTop w:val="0"/>
      <w:marBottom w:val="0"/>
      <w:divBdr>
        <w:top w:val="none" w:sz="0" w:space="0" w:color="auto"/>
        <w:left w:val="none" w:sz="0" w:space="0" w:color="auto"/>
        <w:bottom w:val="none" w:sz="0" w:space="0" w:color="auto"/>
        <w:right w:val="none" w:sz="0" w:space="0" w:color="auto"/>
      </w:divBdr>
      <w:divsChild>
        <w:div w:id="1194729442">
          <w:marLeft w:val="0"/>
          <w:marRight w:val="0"/>
          <w:marTop w:val="0"/>
          <w:marBottom w:val="0"/>
          <w:divBdr>
            <w:top w:val="none" w:sz="0" w:space="0" w:color="auto"/>
            <w:left w:val="none" w:sz="0" w:space="0" w:color="auto"/>
            <w:bottom w:val="none" w:sz="0" w:space="0" w:color="auto"/>
            <w:right w:val="none" w:sz="0" w:space="0" w:color="auto"/>
          </w:divBdr>
          <w:divsChild>
            <w:div w:id="201329847">
              <w:marLeft w:val="0"/>
              <w:marRight w:val="0"/>
              <w:marTop w:val="0"/>
              <w:marBottom w:val="0"/>
              <w:divBdr>
                <w:top w:val="none" w:sz="0" w:space="0" w:color="auto"/>
                <w:left w:val="none" w:sz="0" w:space="0" w:color="auto"/>
                <w:bottom w:val="none" w:sz="0" w:space="0" w:color="auto"/>
                <w:right w:val="none" w:sz="0" w:space="0" w:color="auto"/>
              </w:divBdr>
              <w:divsChild>
                <w:div w:id="201761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239054">
      <w:bodyDiv w:val="1"/>
      <w:marLeft w:val="0"/>
      <w:marRight w:val="0"/>
      <w:marTop w:val="0"/>
      <w:marBottom w:val="0"/>
      <w:divBdr>
        <w:top w:val="none" w:sz="0" w:space="0" w:color="auto"/>
        <w:left w:val="none" w:sz="0" w:space="0" w:color="auto"/>
        <w:bottom w:val="none" w:sz="0" w:space="0" w:color="auto"/>
        <w:right w:val="none" w:sz="0" w:space="0" w:color="auto"/>
      </w:divBdr>
      <w:divsChild>
        <w:div w:id="75252062">
          <w:marLeft w:val="0"/>
          <w:marRight w:val="0"/>
          <w:marTop w:val="0"/>
          <w:marBottom w:val="0"/>
          <w:divBdr>
            <w:top w:val="none" w:sz="0" w:space="0" w:color="auto"/>
            <w:left w:val="none" w:sz="0" w:space="0" w:color="auto"/>
            <w:bottom w:val="none" w:sz="0" w:space="0" w:color="auto"/>
            <w:right w:val="none" w:sz="0" w:space="0" w:color="auto"/>
          </w:divBdr>
          <w:divsChild>
            <w:div w:id="294719309">
              <w:marLeft w:val="0"/>
              <w:marRight w:val="0"/>
              <w:marTop w:val="0"/>
              <w:marBottom w:val="0"/>
              <w:divBdr>
                <w:top w:val="none" w:sz="0" w:space="0" w:color="auto"/>
                <w:left w:val="none" w:sz="0" w:space="0" w:color="auto"/>
                <w:bottom w:val="none" w:sz="0" w:space="0" w:color="auto"/>
                <w:right w:val="none" w:sz="0" w:space="0" w:color="auto"/>
              </w:divBdr>
              <w:divsChild>
                <w:div w:id="3322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65518">
      <w:bodyDiv w:val="1"/>
      <w:marLeft w:val="0"/>
      <w:marRight w:val="0"/>
      <w:marTop w:val="0"/>
      <w:marBottom w:val="0"/>
      <w:divBdr>
        <w:top w:val="none" w:sz="0" w:space="0" w:color="auto"/>
        <w:left w:val="none" w:sz="0" w:space="0" w:color="auto"/>
        <w:bottom w:val="none" w:sz="0" w:space="0" w:color="auto"/>
        <w:right w:val="none" w:sz="0" w:space="0" w:color="auto"/>
      </w:divBdr>
      <w:divsChild>
        <w:div w:id="1471023129">
          <w:marLeft w:val="0"/>
          <w:marRight w:val="0"/>
          <w:marTop w:val="0"/>
          <w:marBottom w:val="0"/>
          <w:divBdr>
            <w:top w:val="none" w:sz="0" w:space="0" w:color="auto"/>
            <w:left w:val="none" w:sz="0" w:space="0" w:color="auto"/>
            <w:bottom w:val="none" w:sz="0" w:space="0" w:color="auto"/>
            <w:right w:val="none" w:sz="0" w:space="0" w:color="auto"/>
          </w:divBdr>
          <w:divsChild>
            <w:div w:id="818376440">
              <w:marLeft w:val="0"/>
              <w:marRight w:val="0"/>
              <w:marTop w:val="0"/>
              <w:marBottom w:val="0"/>
              <w:divBdr>
                <w:top w:val="none" w:sz="0" w:space="0" w:color="auto"/>
                <w:left w:val="none" w:sz="0" w:space="0" w:color="auto"/>
                <w:bottom w:val="none" w:sz="0" w:space="0" w:color="auto"/>
                <w:right w:val="none" w:sz="0" w:space="0" w:color="auto"/>
              </w:divBdr>
              <w:divsChild>
                <w:div w:id="91759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59137">
      <w:bodyDiv w:val="1"/>
      <w:marLeft w:val="0"/>
      <w:marRight w:val="0"/>
      <w:marTop w:val="0"/>
      <w:marBottom w:val="0"/>
      <w:divBdr>
        <w:top w:val="none" w:sz="0" w:space="0" w:color="auto"/>
        <w:left w:val="none" w:sz="0" w:space="0" w:color="auto"/>
        <w:bottom w:val="none" w:sz="0" w:space="0" w:color="auto"/>
        <w:right w:val="none" w:sz="0" w:space="0" w:color="auto"/>
      </w:divBdr>
    </w:div>
    <w:div w:id="1309170994">
      <w:bodyDiv w:val="1"/>
      <w:marLeft w:val="0"/>
      <w:marRight w:val="0"/>
      <w:marTop w:val="0"/>
      <w:marBottom w:val="0"/>
      <w:divBdr>
        <w:top w:val="none" w:sz="0" w:space="0" w:color="auto"/>
        <w:left w:val="none" w:sz="0" w:space="0" w:color="auto"/>
        <w:bottom w:val="none" w:sz="0" w:space="0" w:color="auto"/>
        <w:right w:val="none" w:sz="0" w:space="0" w:color="auto"/>
      </w:divBdr>
      <w:divsChild>
        <w:div w:id="1352606391">
          <w:marLeft w:val="0"/>
          <w:marRight w:val="0"/>
          <w:marTop w:val="0"/>
          <w:marBottom w:val="0"/>
          <w:divBdr>
            <w:top w:val="none" w:sz="0" w:space="0" w:color="auto"/>
            <w:left w:val="none" w:sz="0" w:space="0" w:color="auto"/>
            <w:bottom w:val="none" w:sz="0" w:space="0" w:color="auto"/>
            <w:right w:val="none" w:sz="0" w:space="0" w:color="auto"/>
          </w:divBdr>
          <w:divsChild>
            <w:div w:id="1721905367">
              <w:marLeft w:val="0"/>
              <w:marRight w:val="0"/>
              <w:marTop w:val="0"/>
              <w:marBottom w:val="0"/>
              <w:divBdr>
                <w:top w:val="none" w:sz="0" w:space="0" w:color="auto"/>
                <w:left w:val="none" w:sz="0" w:space="0" w:color="auto"/>
                <w:bottom w:val="none" w:sz="0" w:space="0" w:color="auto"/>
                <w:right w:val="none" w:sz="0" w:space="0" w:color="auto"/>
              </w:divBdr>
              <w:divsChild>
                <w:div w:id="182481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86085">
      <w:bodyDiv w:val="1"/>
      <w:marLeft w:val="0"/>
      <w:marRight w:val="0"/>
      <w:marTop w:val="0"/>
      <w:marBottom w:val="0"/>
      <w:divBdr>
        <w:top w:val="none" w:sz="0" w:space="0" w:color="auto"/>
        <w:left w:val="none" w:sz="0" w:space="0" w:color="auto"/>
        <w:bottom w:val="none" w:sz="0" w:space="0" w:color="auto"/>
        <w:right w:val="none" w:sz="0" w:space="0" w:color="auto"/>
      </w:divBdr>
    </w:div>
    <w:div w:id="1372223785">
      <w:bodyDiv w:val="1"/>
      <w:marLeft w:val="0"/>
      <w:marRight w:val="0"/>
      <w:marTop w:val="0"/>
      <w:marBottom w:val="0"/>
      <w:divBdr>
        <w:top w:val="none" w:sz="0" w:space="0" w:color="auto"/>
        <w:left w:val="none" w:sz="0" w:space="0" w:color="auto"/>
        <w:bottom w:val="none" w:sz="0" w:space="0" w:color="auto"/>
        <w:right w:val="none" w:sz="0" w:space="0" w:color="auto"/>
      </w:divBdr>
    </w:div>
    <w:div w:id="1420174973">
      <w:bodyDiv w:val="1"/>
      <w:marLeft w:val="0"/>
      <w:marRight w:val="0"/>
      <w:marTop w:val="0"/>
      <w:marBottom w:val="0"/>
      <w:divBdr>
        <w:top w:val="none" w:sz="0" w:space="0" w:color="auto"/>
        <w:left w:val="none" w:sz="0" w:space="0" w:color="auto"/>
        <w:bottom w:val="none" w:sz="0" w:space="0" w:color="auto"/>
        <w:right w:val="none" w:sz="0" w:space="0" w:color="auto"/>
      </w:divBdr>
    </w:div>
    <w:div w:id="1499031313">
      <w:bodyDiv w:val="1"/>
      <w:marLeft w:val="0"/>
      <w:marRight w:val="0"/>
      <w:marTop w:val="0"/>
      <w:marBottom w:val="0"/>
      <w:divBdr>
        <w:top w:val="none" w:sz="0" w:space="0" w:color="auto"/>
        <w:left w:val="none" w:sz="0" w:space="0" w:color="auto"/>
        <w:bottom w:val="none" w:sz="0" w:space="0" w:color="auto"/>
        <w:right w:val="none" w:sz="0" w:space="0" w:color="auto"/>
      </w:divBdr>
    </w:div>
    <w:div w:id="1505558998">
      <w:bodyDiv w:val="1"/>
      <w:marLeft w:val="0"/>
      <w:marRight w:val="0"/>
      <w:marTop w:val="0"/>
      <w:marBottom w:val="0"/>
      <w:divBdr>
        <w:top w:val="none" w:sz="0" w:space="0" w:color="auto"/>
        <w:left w:val="none" w:sz="0" w:space="0" w:color="auto"/>
        <w:bottom w:val="none" w:sz="0" w:space="0" w:color="auto"/>
        <w:right w:val="none" w:sz="0" w:space="0" w:color="auto"/>
      </w:divBdr>
    </w:div>
    <w:div w:id="1508907655">
      <w:bodyDiv w:val="1"/>
      <w:marLeft w:val="0"/>
      <w:marRight w:val="0"/>
      <w:marTop w:val="0"/>
      <w:marBottom w:val="0"/>
      <w:divBdr>
        <w:top w:val="none" w:sz="0" w:space="0" w:color="auto"/>
        <w:left w:val="none" w:sz="0" w:space="0" w:color="auto"/>
        <w:bottom w:val="none" w:sz="0" w:space="0" w:color="auto"/>
        <w:right w:val="none" w:sz="0" w:space="0" w:color="auto"/>
      </w:divBdr>
      <w:divsChild>
        <w:div w:id="722213548">
          <w:marLeft w:val="0"/>
          <w:marRight w:val="0"/>
          <w:marTop w:val="0"/>
          <w:marBottom w:val="0"/>
          <w:divBdr>
            <w:top w:val="none" w:sz="0" w:space="0" w:color="auto"/>
            <w:left w:val="none" w:sz="0" w:space="0" w:color="auto"/>
            <w:bottom w:val="none" w:sz="0" w:space="0" w:color="auto"/>
            <w:right w:val="none" w:sz="0" w:space="0" w:color="auto"/>
          </w:divBdr>
          <w:divsChild>
            <w:div w:id="1301418487">
              <w:marLeft w:val="0"/>
              <w:marRight w:val="0"/>
              <w:marTop w:val="0"/>
              <w:marBottom w:val="0"/>
              <w:divBdr>
                <w:top w:val="none" w:sz="0" w:space="0" w:color="auto"/>
                <w:left w:val="none" w:sz="0" w:space="0" w:color="auto"/>
                <w:bottom w:val="none" w:sz="0" w:space="0" w:color="auto"/>
                <w:right w:val="none" w:sz="0" w:space="0" w:color="auto"/>
              </w:divBdr>
              <w:divsChild>
                <w:div w:id="152273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060123">
      <w:bodyDiv w:val="1"/>
      <w:marLeft w:val="0"/>
      <w:marRight w:val="0"/>
      <w:marTop w:val="0"/>
      <w:marBottom w:val="0"/>
      <w:divBdr>
        <w:top w:val="none" w:sz="0" w:space="0" w:color="auto"/>
        <w:left w:val="none" w:sz="0" w:space="0" w:color="auto"/>
        <w:bottom w:val="none" w:sz="0" w:space="0" w:color="auto"/>
        <w:right w:val="none" w:sz="0" w:space="0" w:color="auto"/>
      </w:divBdr>
    </w:div>
    <w:div w:id="1681004008">
      <w:bodyDiv w:val="1"/>
      <w:marLeft w:val="0"/>
      <w:marRight w:val="0"/>
      <w:marTop w:val="0"/>
      <w:marBottom w:val="0"/>
      <w:divBdr>
        <w:top w:val="none" w:sz="0" w:space="0" w:color="auto"/>
        <w:left w:val="none" w:sz="0" w:space="0" w:color="auto"/>
        <w:bottom w:val="none" w:sz="0" w:space="0" w:color="auto"/>
        <w:right w:val="none" w:sz="0" w:space="0" w:color="auto"/>
      </w:divBdr>
      <w:divsChild>
        <w:div w:id="1788115986">
          <w:marLeft w:val="0"/>
          <w:marRight w:val="0"/>
          <w:marTop w:val="0"/>
          <w:marBottom w:val="0"/>
          <w:divBdr>
            <w:top w:val="none" w:sz="0" w:space="0" w:color="auto"/>
            <w:left w:val="none" w:sz="0" w:space="0" w:color="auto"/>
            <w:bottom w:val="none" w:sz="0" w:space="0" w:color="auto"/>
            <w:right w:val="none" w:sz="0" w:space="0" w:color="auto"/>
          </w:divBdr>
          <w:divsChild>
            <w:div w:id="115174537">
              <w:marLeft w:val="0"/>
              <w:marRight w:val="0"/>
              <w:marTop w:val="0"/>
              <w:marBottom w:val="0"/>
              <w:divBdr>
                <w:top w:val="none" w:sz="0" w:space="0" w:color="auto"/>
                <w:left w:val="none" w:sz="0" w:space="0" w:color="auto"/>
                <w:bottom w:val="none" w:sz="0" w:space="0" w:color="auto"/>
                <w:right w:val="none" w:sz="0" w:space="0" w:color="auto"/>
              </w:divBdr>
              <w:divsChild>
                <w:div w:id="7322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37354">
      <w:bodyDiv w:val="1"/>
      <w:marLeft w:val="0"/>
      <w:marRight w:val="0"/>
      <w:marTop w:val="0"/>
      <w:marBottom w:val="0"/>
      <w:divBdr>
        <w:top w:val="none" w:sz="0" w:space="0" w:color="auto"/>
        <w:left w:val="none" w:sz="0" w:space="0" w:color="auto"/>
        <w:bottom w:val="none" w:sz="0" w:space="0" w:color="auto"/>
        <w:right w:val="none" w:sz="0" w:space="0" w:color="auto"/>
      </w:divBdr>
    </w:div>
    <w:div w:id="1761363745">
      <w:bodyDiv w:val="1"/>
      <w:marLeft w:val="0"/>
      <w:marRight w:val="0"/>
      <w:marTop w:val="0"/>
      <w:marBottom w:val="0"/>
      <w:divBdr>
        <w:top w:val="none" w:sz="0" w:space="0" w:color="auto"/>
        <w:left w:val="none" w:sz="0" w:space="0" w:color="auto"/>
        <w:bottom w:val="none" w:sz="0" w:space="0" w:color="auto"/>
        <w:right w:val="none" w:sz="0" w:space="0" w:color="auto"/>
      </w:divBdr>
    </w:div>
    <w:div w:id="1799257635">
      <w:bodyDiv w:val="1"/>
      <w:marLeft w:val="0"/>
      <w:marRight w:val="0"/>
      <w:marTop w:val="0"/>
      <w:marBottom w:val="0"/>
      <w:divBdr>
        <w:top w:val="none" w:sz="0" w:space="0" w:color="auto"/>
        <w:left w:val="none" w:sz="0" w:space="0" w:color="auto"/>
        <w:bottom w:val="none" w:sz="0" w:space="0" w:color="auto"/>
        <w:right w:val="none" w:sz="0" w:space="0" w:color="auto"/>
      </w:divBdr>
      <w:divsChild>
        <w:div w:id="934090733">
          <w:marLeft w:val="0"/>
          <w:marRight w:val="0"/>
          <w:marTop w:val="0"/>
          <w:marBottom w:val="0"/>
          <w:divBdr>
            <w:top w:val="none" w:sz="0" w:space="0" w:color="auto"/>
            <w:left w:val="none" w:sz="0" w:space="0" w:color="auto"/>
            <w:bottom w:val="none" w:sz="0" w:space="0" w:color="auto"/>
            <w:right w:val="none" w:sz="0" w:space="0" w:color="auto"/>
          </w:divBdr>
          <w:divsChild>
            <w:div w:id="751780159">
              <w:marLeft w:val="0"/>
              <w:marRight w:val="0"/>
              <w:marTop w:val="0"/>
              <w:marBottom w:val="0"/>
              <w:divBdr>
                <w:top w:val="none" w:sz="0" w:space="0" w:color="auto"/>
                <w:left w:val="none" w:sz="0" w:space="0" w:color="auto"/>
                <w:bottom w:val="none" w:sz="0" w:space="0" w:color="auto"/>
                <w:right w:val="none" w:sz="0" w:space="0" w:color="auto"/>
              </w:divBdr>
              <w:divsChild>
                <w:div w:id="6322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935133">
      <w:bodyDiv w:val="1"/>
      <w:marLeft w:val="0"/>
      <w:marRight w:val="0"/>
      <w:marTop w:val="0"/>
      <w:marBottom w:val="0"/>
      <w:divBdr>
        <w:top w:val="none" w:sz="0" w:space="0" w:color="auto"/>
        <w:left w:val="none" w:sz="0" w:space="0" w:color="auto"/>
        <w:bottom w:val="none" w:sz="0" w:space="0" w:color="auto"/>
        <w:right w:val="none" w:sz="0" w:space="0" w:color="auto"/>
      </w:divBdr>
    </w:div>
    <w:div w:id="1888682615">
      <w:bodyDiv w:val="1"/>
      <w:marLeft w:val="0"/>
      <w:marRight w:val="0"/>
      <w:marTop w:val="0"/>
      <w:marBottom w:val="0"/>
      <w:divBdr>
        <w:top w:val="none" w:sz="0" w:space="0" w:color="auto"/>
        <w:left w:val="none" w:sz="0" w:space="0" w:color="auto"/>
        <w:bottom w:val="none" w:sz="0" w:space="0" w:color="auto"/>
        <w:right w:val="none" w:sz="0" w:space="0" w:color="auto"/>
      </w:divBdr>
      <w:divsChild>
        <w:div w:id="1500347934">
          <w:marLeft w:val="0"/>
          <w:marRight w:val="0"/>
          <w:marTop w:val="0"/>
          <w:marBottom w:val="0"/>
          <w:divBdr>
            <w:top w:val="none" w:sz="0" w:space="0" w:color="auto"/>
            <w:left w:val="none" w:sz="0" w:space="0" w:color="auto"/>
            <w:bottom w:val="none" w:sz="0" w:space="0" w:color="auto"/>
            <w:right w:val="none" w:sz="0" w:space="0" w:color="auto"/>
          </w:divBdr>
          <w:divsChild>
            <w:div w:id="1536694172">
              <w:marLeft w:val="0"/>
              <w:marRight w:val="0"/>
              <w:marTop w:val="0"/>
              <w:marBottom w:val="0"/>
              <w:divBdr>
                <w:top w:val="none" w:sz="0" w:space="0" w:color="auto"/>
                <w:left w:val="none" w:sz="0" w:space="0" w:color="auto"/>
                <w:bottom w:val="none" w:sz="0" w:space="0" w:color="auto"/>
                <w:right w:val="none" w:sz="0" w:space="0" w:color="auto"/>
              </w:divBdr>
              <w:divsChild>
                <w:div w:id="17991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78751">
      <w:bodyDiv w:val="1"/>
      <w:marLeft w:val="0"/>
      <w:marRight w:val="0"/>
      <w:marTop w:val="0"/>
      <w:marBottom w:val="0"/>
      <w:divBdr>
        <w:top w:val="none" w:sz="0" w:space="0" w:color="auto"/>
        <w:left w:val="none" w:sz="0" w:space="0" w:color="auto"/>
        <w:bottom w:val="none" w:sz="0" w:space="0" w:color="auto"/>
        <w:right w:val="none" w:sz="0" w:space="0" w:color="auto"/>
      </w:divBdr>
    </w:div>
    <w:div w:id="2020307658">
      <w:bodyDiv w:val="1"/>
      <w:marLeft w:val="0"/>
      <w:marRight w:val="0"/>
      <w:marTop w:val="0"/>
      <w:marBottom w:val="0"/>
      <w:divBdr>
        <w:top w:val="none" w:sz="0" w:space="0" w:color="auto"/>
        <w:left w:val="none" w:sz="0" w:space="0" w:color="auto"/>
        <w:bottom w:val="none" w:sz="0" w:space="0" w:color="auto"/>
        <w:right w:val="none" w:sz="0" w:space="0" w:color="auto"/>
      </w:divBdr>
      <w:divsChild>
        <w:div w:id="19090757">
          <w:marLeft w:val="0"/>
          <w:marRight w:val="0"/>
          <w:marTop w:val="0"/>
          <w:marBottom w:val="0"/>
          <w:divBdr>
            <w:top w:val="none" w:sz="0" w:space="0" w:color="auto"/>
            <w:left w:val="none" w:sz="0" w:space="0" w:color="auto"/>
            <w:bottom w:val="none" w:sz="0" w:space="0" w:color="auto"/>
            <w:right w:val="none" w:sz="0" w:space="0" w:color="auto"/>
          </w:divBdr>
          <w:divsChild>
            <w:div w:id="398283632">
              <w:marLeft w:val="0"/>
              <w:marRight w:val="0"/>
              <w:marTop w:val="0"/>
              <w:marBottom w:val="0"/>
              <w:divBdr>
                <w:top w:val="none" w:sz="0" w:space="0" w:color="auto"/>
                <w:left w:val="none" w:sz="0" w:space="0" w:color="auto"/>
                <w:bottom w:val="none" w:sz="0" w:space="0" w:color="auto"/>
                <w:right w:val="none" w:sz="0" w:space="0" w:color="auto"/>
              </w:divBdr>
              <w:divsChild>
                <w:div w:id="210849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0382">
      <w:bodyDiv w:val="1"/>
      <w:marLeft w:val="0"/>
      <w:marRight w:val="0"/>
      <w:marTop w:val="0"/>
      <w:marBottom w:val="0"/>
      <w:divBdr>
        <w:top w:val="none" w:sz="0" w:space="0" w:color="auto"/>
        <w:left w:val="none" w:sz="0" w:space="0" w:color="auto"/>
        <w:bottom w:val="none" w:sz="0" w:space="0" w:color="auto"/>
        <w:right w:val="none" w:sz="0" w:space="0" w:color="auto"/>
      </w:divBdr>
      <w:divsChild>
        <w:div w:id="187763592">
          <w:marLeft w:val="0"/>
          <w:marRight w:val="0"/>
          <w:marTop w:val="0"/>
          <w:marBottom w:val="0"/>
          <w:divBdr>
            <w:top w:val="none" w:sz="0" w:space="0" w:color="auto"/>
            <w:left w:val="none" w:sz="0" w:space="0" w:color="auto"/>
            <w:bottom w:val="none" w:sz="0" w:space="0" w:color="auto"/>
            <w:right w:val="none" w:sz="0" w:space="0" w:color="auto"/>
          </w:divBdr>
          <w:divsChild>
            <w:div w:id="1165589580">
              <w:marLeft w:val="0"/>
              <w:marRight w:val="0"/>
              <w:marTop w:val="0"/>
              <w:marBottom w:val="0"/>
              <w:divBdr>
                <w:top w:val="none" w:sz="0" w:space="0" w:color="auto"/>
                <w:left w:val="none" w:sz="0" w:space="0" w:color="auto"/>
                <w:bottom w:val="none" w:sz="0" w:space="0" w:color="auto"/>
                <w:right w:val="none" w:sz="0" w:space="0" w:color="auto"/>
              </w:divBdr>
              <w:divsChild>
                <w:div w:id="54480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eurovault.org/collections/DUGBDBP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sf.io/d93gq/?view_only=c48c989c574a49cba6eba1c413f185bb"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oldstudy.wordpress.com/acknowledge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67DCB-4F8D-7B4B-80B3-E95E717B7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72048</Words>
  <Characters>410675</Characters>
  <Application>Microsoft Office Word</Application>
  <DocSecurity>0</DocSecurity>
  <Lines>3422</Lines>
  <Paragraphs>963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Saloni Krishnan</dc:creator>
  <cp:keywords/>
  <dc:description/>
  <cp:lastModifiedBy>Saloni Krishnan</cp:lastModifiedBy>
  <cp:revision>3</cp:revision>
  <dcterms:created xsi:type="dcterms:W3CDTF">2022-05-19T11:27:00Z</dcterms:created>
  <dcterms:modified xsi:type="dcterms:W3CDTF">2022-05-19T11:27:00Z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zotero-version="6.0.7-beta.3+c49a05d48"&gt;&lt;session id="DfcH7hvo"/&gt;&lt;style id="http://www.zotero.org/styles/apa" locale="en-GB" hasBibliography="1" bibliographyStyleHasBeenSet="1"/&gt;&lt;prefs&gt;&lt;pref name="fieldType" value="Field"/&gt;&lt;/prefs&gt;&lt;/</vt:lpwstr>
  </property>
  <property fmtid="{D5CDD505-2E9C-101B-9397-08002B2CF9AE}" pid="3" name="ZOTERO_PREF_2">
    <vt:lpwstr>data&gt;</vt:lpwstr>
  </property>
</Properties>
</file>