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F19B" w14:textId="77777777" w:rsidR="00FC399E" w:rsidRPr="00826D93" w:rsidRDefault="00FC399E" w:rsidP="00C915C8">
      <w:pPr>
        <w:spacing w:before="240" w:after="200" w:line="480" w:lineRule="auto"/>
        <w:jc w:val="center"/>
        <w:rPr>
          <w:rFonts w:ascii="Times New Roman" w:eastAsia="Times New Roman" w:hAnsi="Times New Roman" w:cs="Times New Roman"/>
          <w:b/>
          <w:bCs/>
          <w:color w:val="000000"/>
          <w:sz w:val="24"/>
          <w:szCs w:val="24"/>
          <w:lang w:eastAsia="en-GB"/>
        </w:rPr>
      </w:pPr>
    </w:p>
    <w:p w14:paraId="42024700" w14:textId="77777777" w:rsidR="00FC399E" w:rsidRPr="00826D93" w:rsidRDefault="00FC399E" w:rsidP="00C915C8">
      <w:pPr>
        <w:spacing w:before="240" w:after="200" w:line="480" w:lineRule="auto"/>
        <w:jc w:val="center"/>
        <w:rPr>
          <w:rFonts w:ascii="Times New Roman" w:eastAsia="Times New Roman" w:hAnsi="Times New Roman" w:cs="Times New Roman"/>
          <w:b/>
          <w:bCs/>
          <w:color w:val="000000"/>
          <w:sz w:val="24"/>
          <w:szCs w:val="24"/>
          <w:lang w:eastAsia="en-GB"/>
        </w:rPr>
      </w:pPr>
    </w:p>
    <w:p w14:paraId="5142C949" w14:textId="77777777" w:rsidR="00FC399E" w:rsidRPr="00826D93" w:rsidRDefault="00FC399E" w:rsidP="00C915C8">
      <w:pPr>
        <w:spacing w:before="240" w:after="200" w:line="480" w:lineRule="auto"/>
        <w:jc w:val="center"/>
        <w:rPr>
          <w:rFonts w:ascii="Times New Roman" w:eastAsia="Times New Roman" w:hAnsi="Times New Roman" w:cs="Times New Roman"/>
          <w:b/>
          <w:bCs/>
          <w:color w:val="000000"/>
          <w:sz w:val="24"/>
          <w:szCs w:val="24"/>
          <w:lang w:eastAsia="en-GB"/>
        </w:rPr>
      </w:pPr>
    </w:p>
    <w:p w14:paraId="10BA69A1" w14:textId="77777777" w:rsidR="00FC399E" w:rsidRPr="00826D93" w:rsidRDefault="00FC399E" w:rsidP="00C915C8">
      <w:pPr>
        <w:spacing w:before="240" w:after="200" w:line="480" w:lineRule="auto"/>
        <w:jc w:val="center"/>
        <w:rPr>
          <w:rFonts w:ascii="Times New Roman" w:eastAsia="Times New Roman" w:hAnsi="Times New Roman" w:cs="Times New Roman"/>
          <w:b/>
          <w:bCs/>
          <w:color w:val="000000"/>
          <w:sz w:val="24"/>
          <w:szCs w:val="24"/>
          <w:lang w:eastAsia="en-GB"/>
        </w:rPr>
      </w:pPr>
    </w:p>
    <w:p w14:paraId="06058195" w14:textId="77777777" w:rsidR="00FC399E" w:rsidRPr="00826D93" w:rsidRDefault="00FC399E" w:rsidP="00C915C8">
      <w:pPr>
        <w:spacing w:before="240" w:after="200" w:line="480" w:lineRule="auto"/>
        <w:jc w:val="center"/>
        <w:rPr>
          <w:rFonts w:ascii="Times New Roman" w:eastAsia="Times New Roman" w:hAnsi="Times New Roman" w:cs="Times New Roman"/>
          <w:b/>
          <w:bCs/>
          <w:color w:val="000000"/>
          <w:sz w:val="24"/>
          <w:szCs w:val="24"/>
          <w:lang w:eastAsia="en-GB"/>
        </w:rPr>
      </w:pPr>
    </w:p>
    <w:p w14:paraId="5D92F915" w14:textId="2579EA63" w:rsidR="000816E3" w:rsidRPr="00E200A5" w:rsidRDefault="000D1673" w:rsidP="00C915C8">
      <w:pPr>
        <w:spacing w:before="240" w:after="200" w:line="480" w:lineRule="auto"/>
        <w:jc w:val="center"/>
        <w:rPr>
          <w:rFonts w:ascii="Times New Roman" w:eastAsia="Times New Roman" w:hAnsi="Times New Roman" w:cs="Times New Roman"/>
          <w:b/>
          <w:bCs/>
          <w:color w:val="000000"/>
          <w:sz w:val="24"/>
          <w:szCs w:val="24"/>
          <w:lang w:eastAsia="en-GB"/>
        </w:rPr>
      </w:pPr>
      <w:bookmarkStart w:id="0" w:name="_Hlk97207596"/>
      <w:r w:rsidRPr="00E200A5">
        <w:rPr>
          <w:rFonts w:ascii="Times New Roman" w:eastAsia="Times New Roman" w:hAnsi="Times New Roman" w:cs="Times New Roman"/>
          <w:b/>
          <w:bCs/>
          <w:color w:val="000000"/>
          <w:sz w:val="24"/>
          <w:szCs w:val="24"/>
          <w:lang w:eastAsia="en-GB"/>
        </w:rPr>
        <w:t>COVID</w:t>
      </w:r>
      <w:r w:rsidR="00F46D4C" w:rsidRPr="00E200A5">
        <w:rPr>
          <w:rFonts w:ascii="Times New Roman" w:eastAsia="Times New Roman" w:hAnsi="Times New Roman" w:cs="Times New Roman"/>
          <w:b/>
          <w:bCs/>
          <w:color w:val="000000"/>
          <w:sz w:val="24"/>
          <w:szCs w:val="24"/>
          <w:lang w:eastAsia="en-GB"/>
        </w:rPr>
        <w:t>-19</w:t>
      </w:r>
      <w:r w:rsidR="00191A72" w:rsidRPr="00E200A5">
        <w:rPr>
          <w:rFonts w:ascii="Times New Roman" w:eastAsia="Times New Roman" w:hAnsi="Times New Roman" w:cs="Times New Roman"/>
          <w:b/>
          <w:bCs/>
          <w:color w:val="000000"/>
          <w:sz w:val="24"/>
          <w:szCs w:val="24"/>
          <w:lang w:eastAsia="en-GB"/>
        </w:rPr>
        <w:t xml:space="preserve"> and </w:t>
      </w:r>
      <w:r w:rsidR="00A042B3" w:rsidRPr="00E200A5">
        <w:rPr>
          <w:rFonts w:ascii="Times New Roman" w:eastAsia="Times New Roman" w:hAnsi="Times New Roman" w:cs="Times New Roman"/>
          <w:b/>
          <w:bCs/>
          <w:color w:val="000000"/>
          <w:sz w:val="24"/>
          <w:szCs w:val="24"/>
          <w:lang w:eastAsia="en-GB"/>
        </w:rPr>
        <w:t>S</w:t>
      </w:r>
      <w:r w:rsidR="00191A72" w:rsidRPr="00E200A5">
        <w:rPr>
          <w:rFonts w:ascii="Times New Roman" w:eastAsia="Times New Roman" w:hAnsi="Times New Roman" w:cs="Times New Roman"/>
          <w:b/>
          <w:bCs/>
          <w:color w:val="000000"/>
          <w:sz w:val="24"/>
          <w:szCs w:val="24"/>
          <w:lang w:eastAsia="en-GB"/>
        </w:rPr>
        <w:t xml:space="preserve">easonal </w:t>
      </w:r>
      <w:r w:rsidR="00A042B3" w:rsidRPr="00E200A5">
        <w:rPr>
          <w:rFonts w:ascii="Times New Roman" w:eastAsia="Times New Roman" w:hAnsi="Times New Roman" w:cs="Times New Roman"/>
          <w:b/>
          <w:bCs/>
          <w:color w:val="000000"/>
          <w:sz w:val="24"/>
          <w:szCs w:val="24"/>
          <w:lang w:eastAsia="en-GB"/>
        </w:rPr>
        <w:t>F</w:t>
      </w:r>
      <w:r w:rsidR="00191A72" w:rsidRPr="00E200A5">
        <w:rPr>
          <w:rFonts w:ascii="Times New Roman" w:eastAsia="Times New Roman" w:hAnsi="Times New Roman" w:cs="Times New Roman"/>
          <w:b/>
          <w:bCs/>
          <w:color w:val="000000"/>
          <w:sz w:val="24"/>
          <w:szCs w:val="24"/>
          <w:lang w:eastAsia="en-GB"/>
        </w:rPr>
        <w:t xml:space="preserve">lu </w:t>
      </w:r>
      <w:r w:rsidR="00A042B3" w:rsidRPr="00E200A5">
        <w:rPr>
          <w:rFonts w:ascii="Times New Roman" w:eastAsia="Times New Roman" w:hAnsi="Times New Roman" w:cs="Times New Roman"/>
          <w:b/>
          <w:bCs/>
          <w:color w:val="000000"/>
          <w:sz w:val="24"/>
          <w:szCs w:val="24"/>
          <w:lang w:eastAsia="en-GB"/>
        </w:rPr>
        <w:t>V</w:t>
      </w:r>
      <w:r w:rsidR="00852603" w:rsidRPr="00E200A5">
        <w:rPr>
          <w:rFonts w:ascii="Times New Roman" w:eastAsia="Times New Roman" w:hAnsi="Times New Roman" w:cs="Times New Roman"/>
          <w:b/>
          <w:bCs/>
          <w:color w:val="000000"/>
          <w:sz w:val="24"/>
          <w:szCs w:val="24"/>
          <w:lang w:eastAsia="en-GB"/>
        </w:rPr>
        <w:t xml:space="preserve">accination </w:t>
      </w:r>
      <w:r w:rsidR="00A042B3" w:rsidRPr="00E200A5">
        <w:rPr>
          <w:rFonts w:ascii="Times New Roman" w:eastAsia="Times New Roman" w:hAnsi="Times New Roman" w:cs="Times New Roman"/>
          <w:b/>
          <w:bCs/>
          <w:color w:val="000000"/>
          <w:sz w:val="24"/>
          <w:szCs w:val="24"/>
          <w:lang w:eastAsia="en-GB"/>
        </w:rPr>
        <w:t>H</w:t>
      </w:r>
      <w:r w:rsidR="00F81FCE" w:rsidRPr="00E200A5">
        <w:rPr>
          <w:rFonts w:ascii="Times New Roman" w:eastAsia="Times New Roman" w:hAnsi="Times New Roman" w:cs="Times New Roman"/>
          <w:b/>
          <w:bCs/>
          <w:color w:val="000000"/>
          <w:sz w:val="24"/>
          <w:szCs w:val="24"/>
          <w:lang w:eastAsia="en-GB"/>
        </w:rPr>
        <w:t xml:space="preserve">esitancy: Links to </w:t>
      </w:r>
      <w:r w:rsidR="00A042B3" w:rsidRPr="00E200A5">
        <w:rPr>
          <w:rFonts w:ascii="Times New Roman" w:eastAsia="Times New Roman" w:hAnsi="Times New Roman" w:cs="Times New Roman"/>
          <w:b/>
          <w:bCs/>
          <w:color w:val="000000"/>
          <w:sz w:val="24"/>
          <w:szCs w:val="24"/>
          <w:lang w:eastAsia="en-GB"/>
        </w:rPr>
        <w:t>P</w:t>
      </w:r>
      <w:r w:rsidR="00F81FCE" w:rsidRPr="00E200A5">
        <w:rPr>
          <w:rFonts w:ascii="Times New Roman" w:eastAsia="Times New Roman" w:hAnsi="Times New Roman" w:cs="Times New Roman"/>
          <w:b/>
          <w:bCs/>
          <w:color w:val="000000"/>
          <w:sz w:val="24"/>
          <w:szCs w:val="24"/>
          <w:lang w:eastAsia="en-GB"/>
        </w:rPr>
        <w:t xml:space="preserve">ersonality and </w:t>
      </w:r>
      <w:r w:rsidR="00A042B3" w:rsidRPr="00E200A5">
        <w:rPr>
          <w:rFonts w:ascii="Times New Roman" w:eastAsia="Times New Roman" w:hAnsi="Times New Roman" w:cs="Times New Roman"/>
          <w:b/>
          <w:bCs/>
          <w:color w:val="000000"/>
          <w:sz w:val="24"/>
          <w:szCs w:val="24"/>
          <w:lang w:eastAsia="en-GB"/>
        </w:rPr>
        <w:t>G</w:t>
      </w:r>
      <w:r w:rsidR="00F81FCE" w:rsidRPr="00E200A5">
        <w:rPr>
          <w:rFonts w:ascii="Times New Roman" w:eastAsia="Times New Roman" w:hAnsi="Times New Roman" w:cs="Times New Roman"/>
          <w:b/>
          <w:bCs/>
          <w:color w:val="000000"/>
          <w:sz w:val="24"/>
          <w:szCs w:val="24"/>
          <w:lang w:eastAsia="en-GB"/>
        </w:rPr>
        <w:t xml:space="preserve">eneral </w:t>
      </w:r>
      <w:r w:rsidR="00A042B3" w:rsidRPr="00E200A5">
        <w:rPr>
          <w:rFonts w:ascii="Times New Roman" w:eastAsia="Times New Roman" w:hAnsi="Times New Roman" w:cs="Times New Roman"/>
          <w:b/>
          <w:bCs/>
          <w:color w:val="000000"/>
          <w:sz w:val="24"/>
          <w:szCs w:val="24"/>
          <w:lang w:eastAsia="en-GB"/>
        </w:rPr>
        <w:t>I</w:t>
      </w:r>
      <w:r w:rsidR="00410BF6" w:rsidRPr="00E200A5">
        <w:rPr>
          <w:rFonts w:ascii="Times New Roman" w:eastAsia="Times New Roman" w:hAnsi="Times New Roman" w:cs="Times New Roman"/>
          <w:b/>
          <w:bCs/>
          <w:color w:val="000000"/>
          <w:sz w:val="24"/>
          <w:szCs w:val="24"/>
          <w:lang w:eastAsia="en-GB"/>
        </w:rPr>
        <w:t>ntelligence</w:t>
      </w:r>
      <w:r w:rsidR="00191A72" w:rsidRPr="00E200A5">
        <w:rPr>
          <w:rFonts w:ascii="Times New Roman" w:eastAsia="Times New Roman" w:hAnsi="Times New Roman" w:cs="Times New Roman"/>
          <w:b/>
          <w:bCs/>
          <w:color w:val="000000"/>
          <w:sz w:val="24"/>
          <w:szCs w:val="24"/>
          <w:lang w:eastAsia="en-GB"/>
        </w:rPr>
        <w:t xml:space="preserve"> in a </w:t>
      </w:r>
      <w:r w:rsidR="00A042B3" w:rsidRPr="00E200A5">
        <w:rPr>
          <w:rFonts w:ascii="Times New Roman" w:eastAsia="Times New Roman" w:hAnsi="Times New Roman" w:cs="Times New Roman"/>
          <w:b/>
          <w:bCs/>
          <w:color w:val="000000"/>
          <w:sz w:val="24"/>
          <w:szCs w:val="24"/>
          <w:lang w:eastAsia="en-GB"/>
        </w:rPr>
        <w:t>L</w:t>
      </w:r>
      <w:r w:rsidR="00191A72" w:rsidRPr="00E200A5">
        <w:rPr>
          <w:rFonts w:ascii="Times New Roman" w:eastAsia="Times New Roman" w:hAnsi="Times New Roman" w:cs="Times New Roman"/>
          <w:b/>
          <w:bCs/>
          <w:color w:val="000000"/>
          <w:sz w:val="24"/>
          <w:szCs w:val="24"/>
          <w:lang w:eastAsia="en-GB"/>
        </w:rPr>
        <w:t xml:space="preserve">arge, UK </w:t>
      </w:r>
      <w:r w:rsidR="00A042B3" w:rsidRPr="00E200A5">
        <w:rPr>
          <w:rFonts w:ascii="Times New Roman" w:eastAsia="Times New Roman" w:hAnsi="Times New Roman" w:cs="Times New Roman"/>
          <w:b/>
          <w:bCs/>
          <w:color w:val="000000"/>
          <w:sz w:val="24"/>
          <w:szCs w:val="24"/>
          <w:lang w:eastAsia="en-GB"/>
        </w:rPr>
        <w:t>C</w:t>
      </w:r>
      <w:r w:rsidR="00191A72" w:rsidRPr="00E200A5">
        <w:rPr>
          <w:rFonts w:ascii="Times New Roman" w:eastAsia="Times New Roman" w:hAnsi="Times New Roman" w:cs="Times New Roman"/>
          <w:b/>
          <w:bCs/>
          <w:color w:val="000000"/>
          <w:sz w:val="24"/>
          <w:szCs w:val="24"/>
          <w:lang w:eastAsia="en-GB"/>
        </w:rPr>
        <w:t>ohort</w:t>
      </w:r>
    </w:p>
    <w:bookmarkEnd w:id="0"/>
    <w:p w14:paraId="7C84C647" w14:textId="01D3A926" w:rsidR="00FC399E" w:rsidRPr="00E200A5" w:rsidRDefault="00FC399E" w:rsidP="00C915C8">
      <w:pPr>
        <w:spacing w:before="240" w:after="200" w:line="480" w:lineRule="auto"/>
        <w:jc w:val="center"/>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Isaac </w:t>
      </w:r>
      <w:r w:rsidR="001541A1" w:rsidRPr="00E200A5">
        <w:rPr>
          <w:rFonts w:ascii="Times New Roman" w:eastAsia="Times New Roman" w:hAnsi="Times New Roman" w:cs="Times New Roman"/>
          <w:color w:val="000000"/>
          <w:sz w:val="24"/>
          <w:szCs w:val="24"/>
          <w:lang w:eastAsia="en-GB"/>
        </w:rPr>
        <w:t xml:space="preserve">N. </w:t>
      </w:r>
      <w:r w:rsidRPr="00E200A5">
        <w:rPr>
          <w:rFonts w:ascii="Times New Roman" w:eastAsia="Times New Roman" w:hAnsi="Times New Roman" w:cs="Times New Roman"/>
          <w:color w:val="000000"/>
          <w:sz w:val="24"/>
          <w:szCs w:val="24"/>
          <w:lang w:eastAsia="en-GB"/>
        </w:rPr>
        <w:t>Halstead</w:t>
      </w:r>
      <w:r w:rsidR="000976B6" w:rsidRPr="00E200A5">
        <w:rPr>
          <w:rFonts w:ascii="Times New Roman" w:eastAsia="Times New Roman" w:hAnsi="Times New Roman" w:cs="Times New Roman"/>
          <w:color w:val="000000"/>
          <w:sz w:val="24"/>
          <w:szCs w:val="24"/>
          <w:vertAlign w:val="superscript"/>
          <w:lang w:eastAsia="en-GB"/>
        </w:rPr>
        <w:t>1</w:t>
      </w:r>
      <w:r w:rsidRPr="00E200A5">
        <w:rPr>
          <w:rFonts w:ascii="Times New Roman" w:eastAsia="Times New Roman" w:hAnsi="Times New Roman" w:cs="Times New Roman"/>
          <w:color w:val="000000"/>
          <w:sz w:val="24"/>
          <w:szCs w:val="24"/>
          <w:lang w:eastAsia="en-GB"/>
        </w:rPr>
        <w:t>, Ryan T. McKay, &amp; Gary J. Lewis</w:t>
      </w:r>
    </w:p>
    <w:p w14:paraId="514D30F6" w14:textId="2C69DB4B" w:rsidR="00FC399E" w:rsidRPr="00E200A5" w:rsidRDefault="00FC399E" w:rsidP="00C915C8">
      <w:pPr>
        <w:spacing w:before="240" w:after="200" w:line="480" w:lineRule="auto"/>
        <w:jc w:val="center"/>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Department of Psychology, Royal Holloway, University of London</w:t>
      </w:r>
    </w:p>
    <w:p w14:paraId="68D2D372" w14:textId="615E74F4" w:rsidR="00FC399E" w:rsidRPr="00E200A5" w:rsidRDefault="00FC399E" w:rsidP="00C915C8">
      <w:pPr>
        <w:spacing w:before="240" w:after="200" w:line="480" w:lineRule="auto"/>
        <w:jc w:val="center"/>
        <w:rPr>
          <w:rFonts w:ascii="Times New Roman" w:eastAsia="Times New Roman" w:hAnsi="Times New Roman" w:cs="Times New Roman"/>
          <w:b/>
          <w:bCs/>
          <w:color w:val="000000"/>
          <w:sz w:val="24"/>
          <w:szCs w:val="24"/>
          <w:lang w:eastAsia="en-GB"/>
        </w:rPr>
      </w:pPr>
    </w:p>
    <w:p w14:paraId="491C02C0" w14:textId="649F24D4" w:rsidR="00095E57" w:rsidRPr="00E200A5" w:rsidRDefault="00095E57" w:rsidP="00C915C8">
      <w:pPr>
        <w:spacing w:before="240" w:after="200" w:line="480" w:lineRule="auto"/>
        <w:jc w:val="center"/>
        <w:rPr>
          <w:rFonts w:ascii="Times New Roman" w:eastAsia="Times New Roman" w:hAnsi="Times New Roman" w:cs="Times New Roman"/>
          <w:b/>
          <w:bCs/>
          <w:color w:val="000000"/>
          <w:sz w:val="24"/>
          <w:szCs w:val="24"/>
          <w:lang w:eastAsia="en-GB"/>
        </w:rPr>
      </w:pPr>
    </w:p>
    <w:p w14:paraId="1534ABD4" w14:textId="6DD2F35E" w:rsidR="001C230D" w:rsidRPr="00E200A5" w:rsidRDefault="001C230D" w:rsidP="00C915C8">
      <w:pPr>
        <w:spacing w:line="240" w:lineRule="auto"/>
        <w:jc w:val="both"/>
        <w:rPr>
          <w:rFonts w:ascii="Times New Roman" w:eastAsia="Times New Roman" w:hAnsi="Times New Roman" w:cs="Times New Roman"/>
          <w:b/>
          <w:bCs/>
          <w:color w:val="000000"/>
          <w:sz w:val="24"/>
          <w:szCs w:val="24"/>
          <w:vertAlign w:val="superscript"/>
          <w:lang w:eastAsia="en-GB"/>
        </w:rPr>
      </w:pPr>
    </w:p>
    <w:p w14:paraId="50CF5A81" w14:textId="3DCFDC5B" w:rsidR="00250EF3" w:rsidRPr="00E200A5" w:rsidRDefault="00250EF3" w:rsidP="00C915C8">
      <w:pPr>
        <w:spacing w:line="240" w:lineRule="auto"/>
        <w:jc w:val="both"/>
        <w:rPr>
          <w:rFonts w:ascii="Times New Roman" w:eastAsia="Times New Roman" w:hAnsi="Times New Roman" w:cs="Times New Roman"/>
          <w:b/>
          <w:bCs/>
          <w:color w:val="000000"/>
          <w:sz w:val="24"/>
          <w:szCs w:val="24"/>
          <w:vertAlign w:val="superscript"/>
          <w:lang w:eastAsia="en-GB"/>
        </w:rPr>
      </w:pPr>
    </w:p>
    <w:p w14:paraId="6A457290" w14:textId="0548E08C" w:rsidR="00250EF3" w:rsidRPr="00E200A5" w:rsidRDefault="00250EF3" w:rsidP="00C915C8">
      <w:pPr>
        <w:spacing w:line="240" w:lineRule="auto"/>
        <w:jc w:val="both"/>
        <w:rPr>
          <w:rFonts w:ascii="Times New Roman" w:eastAsia="Times New Roman" w:hAnsi="Times New Roman" w:cs="Times New Roman"/>
          <w:b/>
          <w:bCs/>
          <w:color w:val="000000"/>
          <w:sz w:val="24"/>
          <w:szCs w:val="24"/>
          <w:vertAlign w:val="superscript"/>
          <w:lang w:eastAsia="en-GB"/>
        </w:rPr>
      </w:pPr>
    </w:p>
    <w:p w14:paraId="57DB135B" w14:textId="0A826241" w:rsidR="00250EF3" w:rsidRPr="00E200A5" w:rsidRDefault="00250EF3" w:rsidP="00C915C8">
      <w:pPr>
        <w:spacing w:line="240" w:lineRule="auto"/>
        <w:jc w:val="both"/>
        <w:rPr>
          <w:rFonts w:ascii="Times New Roman" w:eastAsia="Times New Roman" w:hAnsi="Times New Roman" w:cs="Times New Roman"/>
          <w:b/>
          <w:bCs/>
          <w:color w:val="000000"/>
          <w:sz w:val="24"/>
          <w:szCs w:val="24"/>
          <w:vertAlign w:val="superscript"/>
          <w:lang w:eastAsia="en-GB"/>
        </w:rPr>
      </w:pPr>
    </w:p>
    <w:p w14:paraId="47000312" w14:textId="300CB6CD" w:rsidR="00250EF3" w:rsidRPr="00E200A5" w:rsidRDefault="00250EF3" w:rsidP="00C915C8">
      <w:pPr>
        <w:spacing w:line="240" w:lineRule="auto"/>
        <w:jc w:val="both"/>
        <w:rPr>
          <w:rFonts w:ascii="Times New Roman" w:eastAsia="Times New Roman" w:hAnsi="Times New Roman" w:cs="Times New Roman"/>
          <w:b/>
          <w:bCs/>
          <w:color w:val="000000"/>
          <w:sz w:val="24"/>
          <w:szCs w:val="24"/>
          <w:vertAlign w:val="superscript"/>
          <w:lang w:eastAsia="en-GB"/>
        </w:rPr>
      </w:pPr>
    </w:p>
    <w:p w14:paraId="72CD9F74" w14:textId="556B12D6" w:rsidR="000976B6" w:rsidRPr="00E200A5" w:rsidRDefault="000976B6" w:rsidP="00C915C8">
      <w:pPr>
        <w:spacing w:line="240" w:lineRule="auto"/>
        <w:jc w:val="both"/>
        <w:rPr>
          <w:rFonts w:ascii="Times New Roman" w:eastAsia="Times New Roman" w:hAnsi="Times New Roman" w:cs="Times New Roman"/>
          <w:b/>
          <w:bCs/>
          <w:color w:val="000000"/>
          <w:sz w:val="24"/>
          <w:szCs w:val="24"/>
          <w:vertAlign w:val="superscript"/>
          <w:lang w:eastAsia="en-GB"/>
        </w:rPr>
      </w:pPr>
    </w:p>
    <w:p w14:paraId="07BE7296" w14:textId="303EABFA" w:rsidR="000976B6" w:rsidRPr="00E200A5" w:rsidRDefault="000976B6" w:rsidP="00C915C8">
      <w:pPr>
        <w:spacing w:line="240" w:lineRule="auto"/>
        <w:jc w:val="both"/>
        <w:rPr>
          <w:rFonts w:ascii="Times New Roman" w:eastAsia="Times New Roman" w:hAnsi="Times New Roman" w:cs="Times New Roman"/>
          <w:b/>
          <w:bCs/>
          <w:color w:val="000000"/>
          <w:sz w:val="24"/>
          <w:szCs w:val="24"/>
          <w:vertAlign w:val="superscript"/>
          <w:lang w:eastAsia="en-GB"/>
        </w:rPr>
      </w:pPr>
    </w:p>
    <w:p w14:paraId="001F9996" w14:textId="77777777" w:rsidR="000976B6" w:rsidRPr="00E200A5" w:rsidRDefault="000976B6" w:rsidP="00C915C8">
      <w:pPr>
        <w:spacing w:line="240" w:lineRule="auto"/>
        <w:jc w:val="both"/>
        <w:rPr>
          <w:rFonts w:ascii="Times New Roman" w:eastAsia="Times New Roman" w:hAnsi="Times New Roman" w:cs="Times New Roman"/>
          <w:b/>
          <w:bCs/>
          <w:color w:val="000000"/>
          <w:sz w:val="24"/>
          <w:szCs w:val="24"/>
          <w:vertAlign w:val="superscript"/>
          <w:lang w:eastAsia="en-GB"/>
        </w:rPr>
      </w:pPr>
    </w:p>
    <w:p w14:paraId="3EC7FAA2" w14:textId="18E6E55B" w:rsidR="00250EF3" w:rsidRPr="00E200A5" w:rsidRDefault="00250EF3" w:rsidP="00C915C8">
      <w:pPr>
        <w:spacing w:line="240" w:lineRule="auto"/>
        <w:jc w:val="both"/>
        <w:rPr>
          <w:rFonts w:ascii="Times New Roman" w:eastAsia="Times New Roman" w:hAnsi="Times New Roman" w:cs="Times New Roman"/>
          <w:b/>
          <w:bCs/>
          <w:color w:val="000000"/>
          <w:sz w:val="24"/>
          <w:szCs w:val="24"/>
          <w:vertAlign w:val="superscript"/>
          <w:lang w:eastAsia="en-GB"/>
        </w:rPr>
      </w:pPr>
    </w:p>
    <w:p w14:paraId="491D7D0A" w14:textId="77777777" w:rsidR="00250EF3" w:rsidRPr="00E200A5" w:rsidRDefault="00250EF3" w:rsidP="00C915C8">
      <w:pPr>
        <w:spacing w:line="240" w:lineRule="auto"/>
        <w:jc w:val="both"/>
        <w:rPr>
          <w:rFonts w:ascii="Times New Roman" w:eastAsia="Times New Roman" w:hAnsi="Times New Roman" w:cs="Times New Roman"/>
          <w:b/>
          <w:bCs/>
          <w:color w:val="000000"/>
          <w:sz w:val="24"/>
          <w:szCs w:val="24"/>
          <w:vertAlign w:val="superscript"/>
          <w:lang w:eastAsia="en-GB"/>
        </w:rPr>
      </w:pPr>
    </w:p>
    <w:p w14:paraId="7E572EE4" w14:textId="2AF507B0" w:rsidR="00095E57" w:rsidRPr="00E200A5" w:rsidRDefault="00095E57" w:rsidP="00C915C8">
      <w:pPr>
        <w:spacing w:line="240" w:lineRule="auto"/>
        <w:jc w:val="both"/>
        <w:rPr>
          <w:rFonts w:ascii="Times New Roman" w:eastAsia="Times New Roman" w:hAnsi="Times New Roman" w:cs="Times New Roman"/>
          <w:b/>
          <w:bCs/>
          <w:color w:val="000000"/>
          <w:sz w:val="24"/>
          <w:szCs w:val="24"/>
          <w:lang w:eastAsia="en-GB"/>
        </w:rPr>
      </w:pPr>
      <w:r w:rsidRPr="00E200A5">
        <w:rPr>
          <w:rFonts w:ascii="Times New Roman" w:eastAsia="Times New Roman" w:hAnsi="Times New Roman" w:cs="Times New Roman"/>
          <w:b/>
          <w:bCs/>
          <w:color w:val="000000"/>
          <w:sz w:val="24"/>
          <w:szCs w:val="24"/>
          <w:vertAlign w:val="superscript"/>
          <w:lang w:eastAsia="en-GB"/>
        </w:rPr>
        <w:t>1</w:t>
      </w:r>
      <w:r w:rsidRPr="00E200A5">
        <w:rPr>
          <w:rFonts w:ascii="Times New Roman" w:eastAsia="Times New Roman" w:hAnsi="Times New Roman" w:cs="Times New Roman"/>
          <w:b/>
          <w:bCs/>
          <w:color w:val="000000"/>
          <w:sz w:val="24"/>
          <w:szCs w:val="24"/>
          <w:lang w:eastAsia="en-GB"/>
        </w:rPr>
        <w:t xml:space="preserve">Corresponding author. </w:t>
      </w:r>
    </w:p>
    <w:p w14:paraId="1834AF53" w14:textId="71F3BCC8" w:rsidR="001C230D" w:rsidRPr="00E200A5" w:rsidRDefault="00095E57" w:rsidP="00C915C8">
      <w:pPr>
        <w:spacing w:line="240" w:lineRule="auto"/>
        <w:jc w:val="both"/>
        <w:rPr>
          <w:rFonts w:ascii="Times New Roman" w:eastAsia="Times New Roman" w:hAnsi="Times New Roman" w:cs="Times New Roman"/>
          <w:b/>
          <w:bCs/>
          <w:color w:val="000000"/>
          <w:sz w:val="24"/>
          <w:szCs w:val="24"/>
          <w:lang w:eastAsia="en-GB"/>
        </w:rPr>
      </w:pPr>
      <w:r w:rsidRPr="00E200A5">
        <w:rPr>
          <w:rFonts w:ascii="Times New Roman" w:eastAsia="Times New Roman" w:hAnsi="Times New Roman" w:cs="Times New Roman"/>
          <w:b/>
          <w:bCs/>
          <w:color w:val="000000"/>
          <w:sz w:val="24"/>
          <w:szCs w:val="24"/>
          <w:lang w:eastAsia="en-GB"/>
        </w:rPr>
        <w:t xml:space="preserve">Email: isaac.halstead.2018@live.rhul.ac.uk </w:t>
      </w:r>
    </w:p>
    <w:p w14:paraId="4917D241" w14:textId="561AB3EB" w:rsidR="00FC399E" w:rsidRPr="00E200A5" w:rsidRDefault="00FC399E" w:rsidP="00C915C8">
      <w:pPr>
        <w:spacing w:line="480" w:lineRule="auto"/>
        <w:jc w:val="center"/>
        <w:rPr>
          <w:rFonts w:ascii="Times New Roman" w:eastAsia="Times New Roman" w:hAnsi="Times New Roman" w:cs="Times New Roman"/>
          <w:b/>
          <w:bCs/>
          <w:color w:val="000000"/>
          <w:sz w:val="24"/>
          <w:szCs w:val="24"/>
          <w:lang w:eastAsia="en-GB"/>
        </w:rPr>
      </w:pPr>
      <w:r w:rsidRPr="00E200A5">
        <w:rPr>
          <w:rFonts w:ascii="Times New Roman" w:eastAsia="Times New Roman" w:hAnsi="Times New Roman" w:cs="Times New Roman"/>
          <w:b/>
          <w:bCs/>
          <w:color w:val="000000"/>
          <w:sz w:val="24"/>
          <w:szCs w:val="24"/>
          <w:lang w:eastAsia="en-GB"/>
        </w:rPr>
        <w:br w:type="page"/>
      </w:r>
      <w:r w:rsidRPr="00E200A5">
        <w:rPr>
          <w:rFonts w:ascii="Times New Roman" w:eastAsia="Times New Roman" w:hAnsi="Times New Roman" w:cs="Times New Roman"/>
          <w:b/>
          <w:bCs/>
          <w:color w:val="000000"/>
          <w:sz w:val="24"/>
          <w:szCs w:val="24"/>
          <w:lang w:eastAsia="en-GB"/>
        </w:rPr>
        <w:lastRenderedPageBreak/>
        <w:t>Abstract</w:t>
      </w:r>
    </w:p>
    <w:p w14:paraId="03C10332" w14:textId="2D282A40" w:rsidR="004E7565" w:rsidRPr="00E200A5" w:rsidRDefault="00124FCF" w:rsidP="00C915C8">
      <w:pPr>
        <w:spacing w:before="240" w:after="200" w:line="480" w:lineRule="auto"/>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Vaccines are a powerful </w:t>
      </w:r>
      <w:r w:rsidR="00410BF6" w:rsidRPr="00E200A5">
        <w:rPr>
          <w:rFonts w:ascii="Times New Roman" w:eastAsia="Times New Roman" w:hAnsi="Times New Roman" w:cs="Times New Roman"/>
          <w:color w:val="000000"/>
          <w:sz w:val="24"/>
          <w:szCs w:val="24"/>
          <w:lang w:eastAsia="en-GB"/>
        </w:rPr>
        <w:t xml:space="preserve">and relatively safe </w:t>
      </w:r>
      <w:r w:rsidRPr="00E200A5">
        <w:rPr>
          <w:rFonts w:ascii="Times New Roman" w:eastAsia="Times New Roman" w:hAnsi="Times New Roman" w:cs="Times New Roman"/>
          <w:color w:val="000000"/>
          <w:sz w:val="24"/>
          <w:szCs w:val="24"/>
          <w:lang w:eastAsia="en-GB"/>
        </w:rPr>
        <w:t xml:space="preserve">tool to protect against a range of serious diseases. </w:t>
      </w:r>
      <w:r w:rsidR="00410BF6" w:rsidRPr="00E200A5">
        <w:rPr>
          <w:rFonts w:ascii="Times New Roman" w:eastAsia="Times New Roman" w:hAnsi="Times New Roman" w:cs="Times New Roman"/>
          <w:color w:val="000000"/>
          <w:sz w:val="24"/>
          <w:szCs w:val="24"/>
          <w:lang w:eastAsia="en-GB"/>
        </w:rPr>
        <w:t xml:space="preserve">Nonetheless, a sizeable minority </w:t>
      </w:r>
      <w:r w:rsidR="00F306DA" w:rsidRPr="00E200A5">
        <w:rPr>
          <w:rFonts w:ascii="Times New Roman" w:eastAsia="Times New Roman" w:hAnsi="Times New Roman" w:cs="Times New Roman"/>
          <w:color w:val="000000"/>
          <w:sz w:val="24"/>
          <w:szCs w:val="24"/>
          <w:lang w:eastAsia="en-GB"/>
        </w:rPr>
        <w:t xml:space="preserve">of people </w:t>
      </w:r>
      <w:r w:rsidR="00410BF6" w:rsidRPr="00E200A5">
        <w:rPr>
          <w:rFonts w:ascii="Times New Roman" w:eastAsia="Times New Roman" w:hAnsi="Times New Roman" w:cs="Times New Roman"/>
          <w:color w:val="000000"/>
          <w:sz w:val="24"/>
          <w:szCs w:val="24"/>
          <w:lang w:eastAsia="en-GB"/>
        </w:rPr>
        <w:t>express ‘</w:t>
      </w:r>
      <w:r w:rsidR="00852603" w:rsidRPr="00E200A5">
        <w:rPr>
          <w:rFonts w:ascii="Times New Roman" w:eastAsia="Times New Roman" w:hAnsi="Times New Roman" w:cs="Times New Roman"/>
          <w:color w:val="000000"/>
          <w:sz w:val="24"/>
          <w:szCs w:val="24"/>
          <w:lang w:eastAsia="en-GB"/>
        </w:rPr>
        <w:t>vaccination hesitancy</w:t>
      </w:r>
      <w:r w:rsidR="00410BF6"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color w:val="000000"/>
          <w:sz w:val="24"/>
          <w:szCs w:val="24"/>
          <w:lang w:eastAsia="en-GB"/>
        </w:rPr>
        <w:t>.</w:t>
      </w:r>
      <w:r w:rsidR="00541CB3" w:rsidRPr="00E200A5">
        <w:rPr>
          <w:rFonts w:ascii="Times New Roman" w:eastAsia="Times New Roman" w:hAnsi="Times New Roman" w:cs="Times New Roman"/>
          <w:color w:val="000000"/>
          <w:sz w:val="24"/>
          <w:szCs w:val="24"/>
          <w:lang w:eastAsia="en-GB"/>
        </w:rPr>
        <w:t xml:space="preserve"> Accordingly, understanding the bases of this hesitancy represents a significant public health challenge.</w:t>
      </w:r>
      <w:r w:rsidR="00410BF6" w:rsidRPr="00E200A5">
        <w:rPr>
          <w:rFonts w:ascii="Times New Roman" w:eastAsia="Times New Roman" w:hAnsi="Times New Roman" w:cs="Times New Roman"/>
          <w:color w:val="000000"/>
          <w:sz w:val="24"/>
          <w:szCs w:val="24"/>
          <w:lang w:eastAsia="en-GB"/>
        </w:rPr>
        <w:t xml:space="preserve"> In the present study we sought to examine the role of Big Five personality traits and general intelligence as predictors of </w:t>
      </w:r>
      <w:r w:rsidR="00852603" w:rsidRPr="00E200A5">
        <w:rPr>
          <w:rFonts w:ascii="Times New Roman" w:eastAsia="Times New Roman" w:hAnsi="Times New Roman" w:cs="Times New Roman"/>
          <w:color w:val="000000"/>
          <w:sz w:val="24"/>
          <w:szCs w:val="24"/>
          <w:lang w:eastAsia="en-GB"/>
        </w:rPr>
        <w:t>vaccination hesitancy</w:t>
      </w:r>
      <w:r w:rsidR="0006525B" w:rsidRPr="00E200A5">
        <w:rPr>
          <w:rFonts w:ascii="Times New Roman" w:eastAsia="Times New Roman" w:hAnsi="Times New Roman" w:cs="Times New Roman"/>
          <w:color w:val="000000"/>
          <w:sz w:val="24"/>
          <w:szCs w:val="24"/>
          <w:lang w:eastAsia="en-GB"/>
        </w:rPr>
        <w:t>, across two vaccination types,</w:t>
      </w:r>
      <w:r w:rsidR="00410BF6" w:rsidRPr="00E200A5">
        <w:rPr>
          <w:rFonts w:ascii="Times New Roman" w:eastAsia="Times New Roman" w:hAnsi="Times New Roman" w:cs="Times New Roman"/>
          <w:color w:val="000000"/>
          <w:sz w:val="24"/>
          <w:szCs w:val="24"/>
          <w:lang w:eastAsia="en-GB"/>
        </w:rPr>
        <w:t xml:space="preserve"> in a large (N=</w:t>
      </w:r>
      <w:r w:rsidR="00E6170B" w:rsidRPr="00E200A5">
        <w:rPr>
          <w:rFonts w:ascii="Times New Roman" w:eastAsia="Times New Roman" w:hAnsi="Times New Roman" w:cs="Times New Roman"/>
          <w:color w:val="000000"/>
          <w:sz w:val="24"/>
          <w:szCs w:val="24"/>
          <w:lang w:eastAsia="en-GB"/>
        </w:rPr>
        <w:t xml:space="preserve"> </w:t>
      </w:r>
      <w:r w:rsidR="00050190" w:rsidRPr="00E200A5">
        <w:rPr>
          <w:rFonts w:ascii="Times New Roman" w:eastAsia="Times New Roman" w:hAnsi="Times New Roman" w:cs="Times New Roman"/>
          <w:color w:val="000000"/>
          <w:sz w:val="24"/>
          <w:szCs w:val="24"/>
          <w:lang w:eastAsia="en-GB"/>
        </w:rPr>
        <w:t>9667</w:t>
      </w:r>
      <w:r w:rsidR="00410BF6" w:rsidRPr="00E200A5">
        <w:rPr>
          <w:rFonts w:ascii="Times New Roman" w:eastAsia="Times New Roman" w:hAnsi="Times New Roman" w:cs="Times New Roman"/>
          <w:color w:val="000000"/>
          <w:sz w:val="24"/>
          <w:szCs w:val="24"/>
          <w:lang w:eastAsia="en-GB"/>
        </w:rPr>
        <w:t xml:space="preserve">) sample of UK adults drawn from the Understanding Society </w:t>
      </w:r>
      <w:r w:rsidR="002A0935" w:rsidRPr="00E200A5">
        <w:rPr>
          <w:rFonts w:ascii="Times New Roman" w:eastAsia="Times New Roman" w:hAnsi="Times New Roman" w:cs="Times New Roman"/>
          <w:color w:val="000000"/>
          <w:sz w:val="24"/>
          <w:szCs w:val="24"/>
          <w:lang w:eastAsia="en-GB"/>
        </w:rPr>
        <w:t>longitudinal</w:t>
      </w:r>
      <w:r w:rsidR="00410BF6" w:rsidRPr="00E200A5">
        <w:rPr>
          <w:rFonts w:ascii="Times New Roman" w:eastAsia="Times New Roman" w:hAnsi="Times New Roman" w:cs="Times New Roman"/>
          <w:color w:val="000000"/>
          <w:sz w:val="24"/>
          <w:szCs w:val="24"/>
          <w:lang w:eastAsia="en-GB"/>
        </w:rPr>
        <w:t xml:space="preserve"> </w:t>
      </w:r>
      <w:r w:rsidR="00E6170B" w:rsidRPr="00E200A5">
        <w:rPr>
          <w:rFonts w:ascii="Times New Roman" w:eastAsia="Times New Roman" w:hAnsi="Times New Roman" w:cs="Times New Roman"/>
          <w:color w:val="000000"/>
          <w:sz w:val="24"/>
          <w:szCs w:val="24"/>
          <w:lang w:eastAsia="en-GB"/>
        </w:rPr>
        <w:t xml:space="preserve">household </w:t>
      </w:r>
      <w:r w:rsidR="00410BF6" w:rsidRPr="00E200A5">
        <w:rPr>
          <w:rFonts w:ascii="Times New Roman" w:eastAsia="Times New Roman" w:hAnsi="Times New Roman" w:cs="Times New Roman"/>
          <w:color w:val="000000"/>
          <w:sz w:val="24"/>
          <w:szCs w:val="24"/>
          <w:lang w:eastAsia="en-GB"/>
        </w:rPr>
        <w:t>study.</w:t>
      </w:r>
      <w:r w:rsidR="00050190" w:rsidRPr="00E200A5">
        <w:rPr>
          <w:rFonts w:ascii="Times New Roman" w:eastAsia="Times New Roman" w:hAnsi="Times New Roman" w:cs="Times New Roman"/>
          <w:color w:val="000000"/>
          <w:sz w:val="24"/>
          <w:szCs w:val="24"/>
          <w:lang w:eastAsia="en-GB"/>
        </w:rPr>
        <w:t xml:space="preserve"> </w:t>
      </w:r>
      <w:r w:rsidR="000866F9" w:rsidRPr="00E200A5">
        <w:rPr>
          <w:rFonts w:ascii="Times New Roman" w:eastAsia="Times New Roman" w:hAnsi="Times New Roman" w:cs="Times New Roman"/>
          <w:color w:val="000000"/>
          <w:sz w:val="24"/>
          <w:szCs w:val="24"/>
          <w:lang w:eastAsia="en-GB"/>
        </w:rPr>
        <w:t xml:space="preserve">We found </w:t>
      </w:r>
      <w:r w:rsidR="00F306DA" w:rsidRPr="00E200A5">
        <w:rPr>
          <w:rFonts w:ascii="Times New Roman" w:eastAsia="Times New Roman" w:hAnsi="Times New Roman" w:cs="Times New Roman"/>
          <w:color w:val="000000"/>
          <w:sz w:val="24"/>
          <w:szCs w:val="24"/>
          <w:lang w:eastAsia="en-GB"/>
        </w:rPr>
        <w:t xml:space="preserve">that lower </w:t>
      </w:r>
      <w:r w:rsidR="000866F9" w:rsidRPr="00E200A5">
        <w:rPr>
          <w:rFonts w:ascii="Times New Roman" w:eastAsia="Times New Roman" w:hAnsi="Times New Roman" w:cs="Times New Roman"/>
          <w:color w:val="000000"/>
          <w:sz w:val="24"/>
          <w:szCs w:val="24"/>
          <w:lang w:eastAsia="en-GB"/>
        </w:rPr>
        <w:t>g</w:t>
      </w:r>
      <w:r w:rsidR="00376E0D" w:rsidRPr="00E200A5">
        <w:rPr>
          <w:rFonts w:ascii="Times New Roman" w:eastAsia="Times New Roman" w:hAnsi="Times New Roman" w:cs="Times New Roman"/>
          <w:color w:val="000000"/>
          <w:sz w:val="24"/>
          <w:szCs w:val="24"/>
          <w:lang w:eastAsia="en-GB"/>
        </w:rPr>
        <w:t xml:space="preserve">eneral intelligence </w:t>
      </w:r>
      <w:r w:rsidR="006C74FD" w:rsidRPr="00E200A5">
        <w:rPr>
          <w:rFonts w:ascii="Times New Roman" w:eastAsia="Times New Roman" w:hAnsi="Times New Roman" w:cs="Times New Roman"/>
          <w:color w:val="000000"/>
          <w:sz w:val="24"/>
          <w:szCs w:val="24"/>
          <w:lang w:eastAsia="en-GB"/>
        </w:rPr>
        <w:t xml:space="preserve">was </w:t>
      </w:r>
      <w:r w:rsidR="00376E0D" w:rsidRPr="00E200A5">
        <w:rPr>
          <w:rFonts w:ascii="Times New Roman" w:eastAsia="Times New Roman" w:hAnsi="Times New Roman" w:cs="Times New Roman"/>
          <w:color w:val="000000"/>
          <w:sz w:val="24"/>
          <w:szCs w:val="24"/>
          <w:lang w:eastAsia="en-GB"/>
        </w:rPr>
        <w:t xml:space="preserve">associated </w:t>
      </w:r>
      <w:r w:rsidR="00F01A0E" w:rsidRPr="00E200A5">
        <w:rPr>
          <w:rFonts w:ascii="Times New Roman" w:eastAsia="Times New Roman" w:hAnsi="Times New Roman" w:cs="Times New Roman"/>
          <w:color w:val="000000"/>
          <w:sz w:val="24"/>
          <w:szCs w:val="24"/>
          <w:lang w:eastAsia="en-GB"/>
        </w:rPr>
        <w:t>with COVID</w:t>
      </w:r>
      <w:r w:rsidR="00376E0D" w:rsidRPr="00E200A5">
        <w:rPr>
          <w:rFonts w:ascii="Times New Roman" w:eastAsia="Times New Roman" w:hAnsi="Times New Roman" w:cs="Times New Roman"/>
          <w:color w:val="000000"/>
          <w:sz w:val="24"/>
          <w:szCs w:val="24"/>
          <w:lang w:eastAsia="en-GB"/>
        </w:rPr>
        <w:t>-19</w:t>
      </w:r>
      <w:r w:rsidR="001E6E48" w:rsidRPr="00E200A5">
        <w:rPr>
          <w:rFonts w:ascii="Times New Roman" w:eastAsia="Times New Roman" w:hAnsi="Times New Roman" w:cs="Times New Roman"/>
          <w:color w:val="000000"/>
          <w:sz w:val="24"/>
          <w:szCs w:val="24"/>
          <w:lang w:eastAsia="en-GB"/>
        </w:rPr>
        <w:t xml:space="preserve"> and seasonal flu</w:t>
      </w:r>
      <w:r w:rsidR="00376E0D" w:rsidRPr="00E200A5">
        <w:rPr>
          <w:rFonts w:ascii="Times New Roman" w:eastAsia="Times New Roman" w:hAnsi="Times New Roman" w:cs="Times New Roman"/>
          <w:color w:val="000000"/>
          <w:sz w:val="24"/>
          <w:szCs w:val="24"/>
          <w:lang w:eastAsia="en-GB"/>
        </w:rPr>
        <w:t xml:space="preserve"> </w:t>
      </w:r>
      <w:r w:rsidR="002A0935" w:rsidRPr="00E200A5">
        <w:rPr>
          <w:rFonts w:ascii="Times New Roman" w:eastAsia="Times New Roman" w:hAnsi="Times New Roman" w:cs="Times New Roman"/>
          <w:color w:val="000000"/>
          <w:sz w:val="24"/>
          <w:szCs w:val="24"/>
          <w:lang w:eastAsia="en-GB"/>
        </w:rPr>
        <w:t>vaccination hesitancy</w:t>
      </w:r>
      <w:r w:rsidR="001E6E48" w:rsidRPr="00E200A5">
        <w:rPr>
          <w:rFonts w:ascii="Times New Roman" w:eastAsia="Times New Roman" w:hAnsi="Times New Roman" w:cs="Times New Roman"/>
          <w:color w:val="000000"/>
          <w:sz w:val="24"/>
          <w:szCs w:val="24"/>
          <w:lang w:eastAsia="en-GB"/>
        </w:rPr>
        <w:t xml:space="preserve">, and </w:t>
      </w:r>
      <w:r w:rsidR="00F306DA" w:rsidRPr="00E200A5">
        <w:rPr>
          <w:rFonts w:ascii="Times New Roman" w:eastAsia="Times New Roman" w:hAnsi="Times New Roman" w:cs="Times New Roman"/>
          <w:color w:val="000000"/>
          <w:sz w:val="24"/>
          <w:szCs w:val="24"/>
          <w:lang w:eastAsia="en-GB"/>
        </w:rPr>
        <w:t xml:space="preserve">lower </w:t>
      </w:r>
      <w:r w:rsidR="001E6E48" w:rsidRPr="00E200A5">
        <w:rPr>
          <w:rFonts w:ascii="Times New Roman" w:eastAsia="Times New Roman" w:hAnsi="Times New Roman" w:cs="Times New Roman"/>
          <w:color w:val="000000"/>
          <w:sz w:val="24"/>
          <w:szCs w:val="24"/>
          <w:lang w:eastAsia="en-GB"/>
        </w:rPr>
        <w:t xml:space="preserve">neuroticism </w:t>
      </w:r>
      <w:r w:rsidR="005F46FC" w:rsidRPr="00E200A5">
        <w:rPr>
          <w:rFonts w:ascii="Times New Roman" w:eastAsia="Times New Roman" w:hAnsi="Times New Roman" w:cs="Times New Roman"/>
          <w:color w:val="000000"/>
          <w:sz w:val="24"/>
          <w:szCs w:val="24"/>
          <w:lang w:eastAsia="en-GB"/>
        </w:rPr>
        <w:t xml:space="preserve">was </w:t>
      </w:r>
      <w:r w:rsidR="001E6E48" w:rsidRPr="00E200A5">
        <w:rPr>
          <w:rFonts w:ascii="Times New Roman" w:eastAsia="Times New Roman" w:hAnsi="Times New Roman" w:cs="Times New Roman"/>
          <w:color w:val="000000"/>
          <w:sz w:val="24"/>
          <w:szCs w:val="24"/>
          <w:lang w:eastAsia="en-GB"/>
        </w:rPr>
        <w:t xml:space="preserve">associated with COVID-19 </w:t>
      </w:r>
      <w:r w:rsidR="002A0935" w:rsidRPr="00E200A5">
        <w:rPr>
          <w:rFonts w:ascii="Times New Roman" w:eastAsia="Times New Roman" w:hAnsi="Times New Roman" w:cs="Times New Roman"/>
          <w:color w:val="000000"/>
          <w:sz w:val="24"/>
          <w:szCs w:val="24"/>
          <w:lang w:eastAsia="en-GB"/>
        </w:rPr>
        <w:t>vaccination hesitancy</w:t>
      </w:r>
      <w:r w:rsidR="00050190" w:rsidRPr="00E200A5">
        <w:rPr>
          <w:rFonts w:ascii="Times New Roman" w:eastAsia="Times New Roman" w:hAnsi="Times New Roman" w:cs="Times New Roman"/>
          <w:color w:val="000000"/>
          <w:sz w:val="24"/>
          <w:szCs w:val="24"/>
          <w:lang w:eastAsia="en-GB"/>
        </w:rPr>
        <w:t xml:space="preserve">. </w:t>
      </w:r>
      <w:r w:rsidR="002A0935" w:rsidRPr="00E200A5">
        <w:rPr>
          <w:rFonts w:ascii="Times New Roman" w:eastAsia="Times New Roman" w:hAnsi="Times New Roman" w:cs="Times New Roman"/>
          <w:color w:val="000000"/>
          <w:sz w:val="24"/>
          <w:szCs w:val="24"/>
          <w:lang w:eastAsia="en-GB"/>
        </w:rPr>
        <w:t xml:space="preserve">Although the self-reported reasons for being vaccine hesitant indicated a range of factors were important to people, lower general intelligence </w:t>
      </w:r>
      <w:r w:rsidR="006C74FD" w:rsidRPr="00E200A5">
        <w:rPr>
          <w:rFonts w:ascii="Times New Roman" w:eastAsia="Times New Roman" w:hAnsi="Times New Roman" w:cs="Times New Roman"/>
          <w:color w:val="000000"/>
          <w:sz w:val="24"/>
          <w:szCs w:val="24"/>
          <w:lang w:eastAsia="en-GB"/>
        </w:rPr>
        <w:t xml:space="preserve">was </w:t>
      </w:r>
      <w:r w:rsidR="002A0935" w:rsidRPr="00E200A5">
        <w:rPr>
          <w:rFonts w:ascii="Times New Roman" w:eastAsia="Times New Roman" w:hAnsi="Times New Roman" w:cs="Times New Roman"/>
          <w:color w:val="000000"/>
          <w:sz w:val="24"/>
          <w:szCs w:val="24"/>
          <w:lang w:eastAsia="en-GB"/>
        </w:rPr>
        <w:t xml:space="preserve">associated with virtually all of these reasons. In </w:t>
      </w:r>
      <w:r w:rsidR="00CA5D8E" w:rsidRPr="00E200A5">
        <w:rPr>
          <w:rFonts w:ascii="Times New Roman" w:eastAsia="Times New Roman" w:hAnsi="Times New Roman" w:cs="Times New Roman"/>
          <w:color w:val="000000"/>
          <w:sz w:val="24"/>
          <w:szCs w:val="24"/>
          <w:lang w:eastAsia="en-GB"/>
        </w:rPr>
        <w:t>contrast</w:t>
      </w:r>
      <w:r w:rsidR="002A0935" w:rsidRPr="00E200A5">
        <w:rPr>
          <w:rFonts w:ascii="Times New Roman" w:eastAsia="Times New Roman" w:hAnsi="Times New Roman" w:cs="Times New Roman"/>
          <w:color w:val="000000"/>
          <w:sz w:val="24"/>
          <w:szCs w:val="24"/>
          <w:lang w:eastAsia="en-GB"/>
        </w:rPr>
        <w:t>, Big 5 personality traits showed more nuanced patterns of association</w:t>
      </w:r>
      <w:r w:rsidR="00E116E2" w:rsidRPr="00E200A5">
        <w:rPr>
          <w:rFonts w:ascii="Times New Roman" w:eastAsia="Times New Roman" w:hAnsi="Times New Roman" w:cs="Times New Roman"/>
          <w:color w:val="000000"/>
          <w:sz w:val="24"/>
          <w:szCs w:val="24"/>
          <w:lang w:eastAsia="en-GB"/>
        </w:rPr>
        <w:t>.</w:t>
      </w:r>
    </w:p>
    <w:p w14:paraId="58C3BAE7" w14:textId="49D6238E" w:rsidR="00FC399E" w:rsidRPr="00E200A5" w:rsidRDefault="00050190" w:rsidP="00C915C8">
      <w:pPr>
        <w:spacing w:before="240" w:after="200" w:line="480" w:lineRule="auto"/>
        <w:jc w:val="center"/>
        <w:rPr>
          <w:rFonts w:ascii="Times New Roman" w:eastAsia="Times New Roman" w:hAnsi="Times New Roman" w:cs="Times New Roman"/>
          <w:sz w:val="24"/>
          <w:szCs w:val="24"/>
          <w:lang w:eastAsia="en-GB"/>
        </w:rPr>
      </w:pPr>
      <w:r w:rsidRPr="00E200A5">
        <w:rPr>
          <w:rFonts w:ascii="Times New Roman" w:eastAsia="Times New Roman" w:hAnsi="Times New Roman" w:cs="Times New Roman"/>
          <w:sz w:val="24"/>
          <w:szCs w:val="24"/>
          <w:lang w:eastAsia="en-GB"/>
        </w:rPr>
        <w:t xml:space="preserve"> </w:t>
      </w:r>
    </w:p>
    <w:p w14:paraId="499A9D9D" w14:textId="6A2746D7" w:rsidR="00B846AE" w:rsidRPr="00E200A5" w:rsidRDefault="00B846AE" w:rsidP="00B846AE">
      <w:pPr>
        <w:spacing w:before="240" w:after="200" w:line="480" w:lineRule="auto"/>
        <w:jc w:val="center"/>
        <w:rPr>
          <w:rFonts w:ascii="Times New Roman" w:eastAsia="Times New Roman" w:hAnsi="Times New Roman" w:cs="Times New Roman"/>
          <w:b/>
          <w:bCs/>
          <w:color w:val="000000"/>
          <w:sz w:val="24"/>
          <w:szCs w:val="24"/>
          <w:lang w:eastAsia="en-GB"/>
        </w:rPr>
      </w:pPr>
      <w:r w:rsidRPr="00E200A5">
        <w:rPr>
          <w:rFonts w:ascii="Times New Roman" w:eastAsia="Times New Roman" w:hAnsi="Times New Roman" w:cs="Times New Roman"/>
          <w:b/>
          <w:bCs/>
          <w:color w:val="000000"/>
          <w:sz w:val="24"/>
          <w:szCs w:val="24"/>
          <w:lang w:eastAsia="en-GB"/>
        </w:rPr>
        <w:t>Keywords: vaccination hesitancy, intelligence, personality, individual differences</w:t>
      </w:r>
    </w:p>
    <w:p w14:paraId="6050AF9E" w14:textId="60E715D6" w:rsidR="00FC399E" w:rsidRPr="00E200A5" w:rsidRDefault="00FC399E" w:rsidP="00C915C8">
      <w:pPr>
        <w:spacing w:line="480" w:lineRule="auto"/>
        <w:ind w:firstLine="720"/>
        <w:rPr>
          <w:rFonts w:ascii="Times New Roman" w:eastAsia="Times New Roman" w:hAnsi="Times New Roman" w:cs="Times New Roman"/>
          <w:color w:val="000000"/>
          <w:sz w:val="24"/>
          <w:szCs w:val="24"/>
          <w:lang w:eastAsia="en-GB"/>
        </w:rPr>
      </w:pPr>
    </w:p>
    <w:p w14:paraId="1C3D8D2F" w14:textId="005E00C5" w:rsidR="00B846AE" w:rsidRPr="00E200A5" w:rsidRDefault="00B846AE" w:rsidP="00C915C8">
      <w:pPr>
        <w:spacing w:line="480" w:lineRule="auto"/>
        <w:ind w:firstLine="720"/>
        <w:rPr>
          <w:rFonts w:ascii="Times New Roman" w:eastAsia="Times New Roman" w:hAnsi="Times New Roman" w:cs="Times New Roman"/>
          <w:color w:val="000000"/>
          <w:sz w:val="24"/>
          <w:szCs w:val="24"/>
          <w:lang w:eastAsia="en-GB"/>
        </w:rPr>
      </w:pPr>
    </w:p>
    <w:p w14:paraId="31503DFD" w14:textId="6E66E422" w:rsidR="00B846AE" w:rsidRPr="00E200A5" w:rsidRDefault="00B846AE" w:rsidP="00C915C8">
      <w:pPr>
        <w:spacing w:line="480" w:lineRule="auto"/>
        <w:ind w:firstLine="720"/>
        <w:rPr>
          <w:rFonts w:ascii="Times New Roman" w:eastAsia="Times New Roman" w:hAnsi="Times New Roman" w:cs="Times New Roman"/>
          <w:color w:val="000000"/>
          <w:sz w:val="24"/>
          <w:szCs w:val="24"/>
          <w:lang w:eastAsia="en-GB"/>
        </w:rPr>
      </w:pPr>
    </w:p>
    <w:p w14:paraId="7C4AD0AD" w14:textId="5D348571" w:rsidR="00B846AE" w:rsidRPr="00E200A5" w:rsidRDefault="00B846AE" w:rsidP="00C915C8">
      <w:pPr>
        <w:spacing w:line="480" w:lineRule="auto"/>
        <w:ind w:firstLine="720"/>
        <w:rPr>
          <w:rFonts w:ascii="Times New Roman" w:eastAsia="Times New Roman" w:hAnsi="Times New Roman" w:cs="Times New Roman"/>
          <w:color w:val="000000"/>
          <w:sz w:val="24"/>
          <w:szCs w:val="24"/>
          <w:lang w:eastAsia="en-GB"/>
        </w:rPr>
      </w:pPr>
    </w:p>
    <w:p w14:paraId="42F01EFC" w14:textId="6B0F0349" w:rsidR="00B846AE" w:rsidRPr="00E200A5" w:rsidRDefault="00B846AE" w:rsidP="00C915C8">
      <w:pPr>
        <w:spacing w:line="480" w:lineRule="auto"/>
        <w:ind w:firstLine="720"/>
        <w:rPr>
          <w:rFonts w:ascii="Times New Roman" w:eastAsia="Times New Roman" w:hAnsi="Times New Roman" w:cs="Times New Roman"/>
          <w:color w:val="000000"/>
          <w:sz w:val="24"/>
          <w:szCs w:val="24"/>
          <w:lang w:eastAsia="en-GB"/>
        </w:rPr>
      </w:pPr>
    </w:p>
    <w:p w14:paraId="39FDEF72" w14:textId="77777777" w:rsidR="000F0765" w:rsidRPr="00E200A5" w:rsidRDefault="000F0765" w:rsidP="00C915C8">
      <w:pPr>
        <w:spacing w:line="480" w:lineRule="auto"/>
        <w:ind w:firstLine="720"/>
        <w:rPr>
          <w:rFonts w:ascii="Times New Roman" w:eastAsia="Times New Roman" w:hAnsi="Times New Roman" w:cs="Times New Roman"/>
          <w:color w:val="000000"/>
          <w:sz w:val="24"/>
          <w:szCs w:val="24"/>
          <w:lang w:eastAsia="en-GB"/>
        </w:rPr>
      </w:pPr>
    </w:p>
    <w:p w14:paraId="68E8EC83" w14:textId="03695DC6" w:rsidR="00FA5715" w:rsidRPr="00E200A5" w:rsidRDefault="00D97FD2" w:rsidP="00195D78">
      <w:pPr>
        <w:spacing w:after="20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lastRenderedPageBreak/>
        <w:t xml:space="preserve">Vaccines are </w:t>
      </w:r>
      <w:r w:rsidR="00D628FE" w:rsidRPr="00E200A5">
        <w:rPr>
          <w:rFonts w:ascii="Times New Roman" w:eastAsia="Times New Roman" w:hAnsi="Times New Roman" w:cs="Times New Roman"/>
          <w:color w:val="000000"/>
          <w:sz w:val="24"/>
          <w:szCs w:val="24"/>
          <w:lang w:eastAsia="en-GB"/>
        </w:rPr>
        <w:t xml:space="preserve">among </w:t>
      </w:r>
      <w:r w:rsidRPr="00E200A5">
        <w:rPr>
          <w:rFonts w:ascii="Times New Roman" w:eastAsia="Times New Roman" w:hAnsi="Times New Roman" w:cs="Times New Roman"/>
          <w:color w:val="000000"/>
          <w:sz w:val="24"/>
          <w:szCs w:val="24"/>
          <w:lang w:eastAsia="en-GB"/>
        </w:rPr>
        <w:t xml:space="preserve">the most powerful </w:t>
      </w:r>
      <w:r w:rsidR="00D628FE" w:rsidRPr="00E200A5">
        <w:rPr>
          <w:rFonts w:ascii="Times New Roman" w:eastAsia="Times New Roman" w:hAnsi="Times New Roman" w:cs="Times New Roman"/>
          <w:color w:val="000000"/>
          <w:sz w:val="24"/>
          <w:szCs w:val="24"/>
          <w:lang w:eastAsia="en-GB"/>
        </w:rPr>
        <w:t xml:space="preserve">disease-prevention </w:t>
      </w:r>
      <w:r w:rsidRPr="00E200A5">
        <w:rPr>
          <w:rFonts w:ascii="Times New Roman" w:eastAsia="Times New Roman" w:hAnsi="Times New Roman" w:cs="Times New Roman"/>
          <w:color w:val="000000"/>
          <w:sz w:val="24"/>
          <w:szCs w:val="24"/>
          <w:lang w:eastAsia="en-GB"/>
        </w:rPr>
        <w:t xml:space="preserve">tools </w:t>
      </w:r>
      <w:r w:rsidR="00FA5715" w:rsidRPr="00E200A5">
        <w:rPr>
          <w:rFonts w:ascii="Times New Roman" w:eastAsia="Times New Roman" w:hAnsi="Times New Roman" w:cs="Times New Roman"/>
          <w:color w:val="000000"/>
          <w:sz w:val="24"/>
          <w:szCs w:val="24"/>
          <w:lang w:eastAsia="en-GB"/>
        </w:rPr>
        <w:t>medical science</w:t>
      </w:r>
      <w:r w:rsidRPr="00E200A5">
        <w:rPr>
          <w:rFonts w:ascii="Times New Roman" w:eastAsia="Times New Roman" w:hAnsi="Times New Roman" w:cs="Times New Roman"/>
          <w:color w:val="000000"/>
          <w:sz w:val="24"/>
          <w:szCs w:val="24"/>
          <w:lang w:eastAsia="en-GB"/>
        </w:rPr>
        <w:t xml:space="preserve"> has at its disposal </w:t>
      </w:r>
      <w:r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{"citationID":"Z4zVmQ5G","properties":{"formattedCitation":"(Tahamtan et al., n.d.)","plainCitation":"(Tahamtan et al., n.d.)","dontUpdate":true,"noteIndex":0},"citationItems":[{"id":1378,"uris":["http://zotero.org/users/5523892/items/KZX355M3"],"itemData":{"id":1378,"type":"article-journal","abstract":"Vaccination has had great success in history of medicine with both infectious and non-infectious diseases listed in the realm of vaccines. The signiﬁcant decrease in deaths from infectious and non-infectious diseases by development of vaccines has had a huge impact on the world health. Since the 20th century, for preventive and treatment purposes, there has been an emergence of new and diverse range of vaccines in medicine. Also, there are ongoing extensive eﬀorts to increase the eﬃciency and performance of vaccines and reduce the risks, which are associated with humans. Despite of the development of advanced and eﬀective vaccines in the recent decades, vaccines should be presented with diﬀerent mechanisms to prevent epidemic and pandemic diseases. Vaccination has received the greatest attention in military aspects and several vaccines have been developed. Therefore, it seems that the study of diﬀerent types and generations of vaccines, understanding their evolution, and production and development of new and modern vaccine is essential.","language":"en","page":"7","source":"Zotero","title":"An overview of history, evolution, and manufacturing of various generations of vaccines","author":[{"family":"Tahamtan","given":"Alireza"},{"family":"Charostad","given":"Javad"},{"family":"Shokouh","given":"Seyyed Javad Hoseini"},{"family":"Barati","given":"Mohammad"}],"issued":{"date-parts":[["2017"]]},"citation-key":"tahamtanOverviewHistoryEvolution2017"}}],"schema":"https://github.com/citation-style-language/schema/raw/master/csl-citation.json"} </w:instrText>
      </w:r>
      <w:r w:rsidRPr="00E200A5">
        <w:rPr>
          <w:rFonts w:ascii="Times New Roman" w:eastAsia="Times New Roman" w:hAnsi="Times New Roman" w:cs="Times New Roman"/>
          <w:color w:val="000000"/>
          <w:sz w:val="24"/>
          <w:szCs w:val="24"/>
          <w:lang w:eastAsia="en-GB"/>
        </w:rPr>
        <w:fldChar w:fldCharType="separate"/>
      </w:r>
      <w:r w:rsidR="00AF0251" w:rsidRPr="00E200A5">
        <w:rPr>
          <w:rFonts w:ascii="Times New Roman" w:hAnsi="Times New Roman" w:cs="Times New Roman"/>
          <w:sz w:val="24"/>
        </w:rPr>
        <w:t xml:space="preserve">(Tahamtan et al., </w:t>
      </w:r>
      <w:r w:rsidR="00E53A51" w:rsidRPr="00E200A5">
        <w:rPr>
          <w:rFonts w:ascii="Times New Roman" w:hAnsi="Times New Roman" w:cs="Times New Roman"/>
          <w:sz w:val="24"/>
        </w:rPr>
        <w:t>2017</w:t>
      </w:r>
      <w:r w:rsidR="00AF0251" w:rsidRPr="00E200A5">
        <w:rPr>
          <w:rFonts w:ascii="Times New Roman" w:hAnsi="Times New Roman" w:cs="Times New Roman"/>
          <w:sz w:val="24"/>
        </w:rPr>
        <w:t>.)</w:t>
      </w:r>
      <w:r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 xml:space="preserve">, and are leading the fight against the spread of </w:t>
      </w:r>
      <w:r w:rsidR="000D1673" w:rsidRPr="00E200A5">
        <w:rPr>
          <w:rFonts w:ascii="Times New Roman" w:eastAsia="Times New Roman" w:hAnsi="Times New Roman" w:cs="Times New Roman"/>
          <w:color w:val="000000"/>
          <w:sz w:val="24"/>
          <w:szCs w:val="24"/>
          <w:lang w:eastAsia="en-GB"/>
        </w:rPr>
        <w:t>COVID</w:t>
      </w:r>
      <w:r w:rsidRPr="00E200A5">
        <w:rPr>
          <w:rFonts w:ascii="Times New Roman" w:eastAsia="Times New Roman" w:hAnsi="Times New Roman" w:cs="Times New Roman"/>
          <w:color w:val="000000"/>
          <w:sz w:val="24"/>
          <w:szCs w:val="24"/>
          <w:lang w:eastAsia="en-GB"/>
        </w:rPr>
        <w:t xml:space="preserve">-19 </w:t>
      </w:r>
      <w:r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{"citationID":"v3N5WskF","properties":{"formattedCitation":"(The World Health Organization, 2021)","plainCitation":"(The World Health Organization, 2021)","noteIndex":0},"citationItems":[{"id":1109,"uris":["http://zotero.org/users/5523892/items/D7PBJJ4M"],"itemData":{"id":1109,"type":"webpage","language":"en","title":"COVID-19 vaccines","URL":"https://www.who.int/emergencies/diseases/novel-coronavirus-2019/covid-19-vaccines","author":[{"family":"The World Health Organization","given":""}],"accessed":{"date-parts":[["2021",3,3]]},"issued":{"date-parts":[["2021"]]},"citation-key":"theworldhealthorganizationCOVID19Vaccines2021"}}],"schema":"https://github.com/citation-style-language/schema/raw/master/csl-citation.json"} </w:instrText>
      </w:r>
      <w:r w:rsidRPr="00E200A5">
        <w:rPr>
          <w:rFonts w:ascii="Times New Roman" w:eastAsia="Times New Roman" w:hAnsi="Times New Roman" w:cs="Times New Roman"/>
          <w:color w:val="000000"/>
          <w:sz w:val="24"/>
          <w:szCs w:val="24"/>
          <w:lang w:eastAsia="en-GB"/>
        </w:rPr>
        <w:fldChar w:fldCharType="separate"/>
      </w:r>
      <w:r w:rsidR="00AF0251" w:rsidRPr="00E200A5">
        <w:rPr>
          <w:rFonts w:ascii="Times New Roman" w:hAnsi="Times New Roman" w:cs="Times New Roman"/>
          <w:sz w:val="24"/>
        </w:rPr>
        <w:t>(The World Health Organization, 2021)</w:t>
      </w:r>
      <w:r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 xml:space="preserve">. However, despite the success of vaccines in preventing the spread of disease, some individuals oppose their use. </w:t>
      </w:r>
      <w:r w:rsidR="00FA5715" w:rsidRPr="00E200A5">
        <w:rPr>
          <w:rFonts w:ascii="Times New Roman" w:eastAsia="Times New Roman" w:hAnsi="Times New Roman" w:cs="Times New Roman"/>
          <w:color w:val="000000"/>
          <w:sz w:val="24"/>
          <w:szCs w:val="24"/>
          <w:lang w:eastAsia="en-GB"/>
        </w:rPr>
        <w:t>For example, r</w:t>
      </w:r>
      <w:r w:rsidRPr="00E200A5">
        <w:rPr>
          <w:rFonts w:ascii="Times New Roman" w:eastAsia="Times New Roman" w:hAnsi="Times New Roman" w:cs="Times New Roman"/>
          <w:color w:val="000000"/>
          <w:sz w:val="24"/>
          <w:szCs w:val="24"/>
          <w:lang w:eastAsia="en-GB"/>
        </w:rPr>
        <w:t xml:space="preserve">ecent polls indicate that 20% and 31% of the UK and US populations, respectively, are hesitant to take a </w:t>
      </w:r>
      <w:r w:rsidR="000D1673" w:rsidRPr="00E200A5">
        <w:rPr>
          <w:rFonts w:ascii="Times New Roman" w:eastAsia="Times New Roman" w:hAnsi="Times New Roman" w:cs="Times New Roman"/>
          <w:color w:val="000000"/>
          <w:sz w:val="24"/>
          <w:szCs w:val="24"/>
          <w:lang w:eastAsia="en-GB"/>
        </w:rPr>
        <w:t>COVID</w:t>
      </w:r>
      <w:r w:rsidR="00FA5715" w:rsidRPr="00E200A5">
        <w:rPr>
          <w:rFonts w:ascii="Times New Roman" w:eastAsia="Times New Roman" w:hAnsi="Times New Roman" w:cs="Times New Roman"/>
          <w:color w:val="000000"/>
          <w:sz w:val="24"/>
          <w:szCs w:val="24"/>
          <w:lang w:eastAsia="en-GB"/>
        </w:rPr>
        <w:t>-19</w:t>
      </w:r>
      <w:r w:rsidRPr="00E200A5">
        <w:rPr>
          <w:rFonts w:ascii="Times New Roman" w:eastAsia="Times New Roman" w:hAnsi="Times New Roman" w:cs="Times New Roman"/>
          <w:color w:val="000000"/>
          <w:sz w:val="24"/>
          <w:szCs w:val="24"/>
          <w:lang w:eastAsia="en-GB"/>
        </w:rPr>
        <w:t xml:space="preserve"> vaccine </w:t>
      </w:r>
      <w:r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{"citationID":"EzKfHmlK","properties":{"formattedCitation":"(Funk &amp; Tyson, 2021; {\\i{}Major Rise in Public Support for COVID Vaccine}, 2021)","plainCitation":"(Funk &amp; Tyson, 2021; Major Rise in Public Support for COVID Vaccine, 2021)","dontUpdate":true,"noteIndex":0},"citationItems":[{"id":1516,"uris":["http://zotero.org/users/5523892/items/UID23PRG"],"itemData":{"id":1516,"type":"article-journal","language":"en","page":"59","source":"Zotero","title":"Growing share of americans say they plan to get a covid-19 vaccine – or already have","author":[{"family":"Funk","given":"Cary"},{"family":"Tyson","given":"Alec"}],"issued":{"date-parts":[["2021"]]},"citation-key":"funkGrowingShareAmericans2021"}},{"id":1015,"uris":["http://zotero.org/users/5523892/items/J9QWWFCI"],"itemData":{"id":1015,"type":"post-weblog","abstract":"More than three quarters of people in the UK now say they are ’very likely’ to have the vaccine – up from 50% among the same group of survey respondents five months ago –according to a two-wave Oxford University survey published today.","language":"en","title":"Major rise in public support for COVID vaccine","URL":"https://www.ox.ac.uk/news/2021-02-24-major-rise-public-support-covid-vaccine-oxford-study","author":[{"family":"Oxford University","given":""}],"accessed":{"date-parts":[["2021",3,25]]},"issued":{"date-parts":[["2021"]]},"citation-key":"oxforduniversityMajorRisePublic2021a"}}],"schema":"https://github.com/citation-style-language/schema/raw/master/csl-citation.json"} </w:instrText>
      </w:r>
      <w:r w:rsidRPr="00E200A5">
        <w:rPr>
          <w:rFonts w:ascii="Times New Roman" w:eastAsia="Times New Roman" w:hAnsi="Times New Roman" w:cs="Times New Roman"/>
          <w:color w:val="000000"/>
          <w:sz w:val="24"/>
          <w:szCs w:val="24"/>
          <w:lang w:eastAsia="en-GB"/>
        </w:rPr>
        <w:fldChar w:fldCharType="separate"/>
      </w:r>
      <w:r w:rsidRPr="00E200A5">
        <w:rPr>
          <w:rFonts w:ascii="Times New Roman" w:hAnsi="Times New Roman" w:cs="Times New Roman"/>
          <w:sz w:val="24"/>
          <w:szCs w:val="24"/>
        </w:rPr>
        <w:t xml:space="preserve">(Funk &amp; Tyson, 2021; </w:t>
      </w:r>
      <w:r w:rsidR="00847074" w:rsidRPr="00E200A5">
        <w:rPr>
          <w:rFonts w:ascii="Times New Roman" w:hAnsi="Times New Roman" w:cs="Times New Roman"/>
          <w:sz w:val="24"/>
          <w:szCs w:val="24"/>
        </w:rPr>
        <w:t>Oxford</w:t>
      </w:r>
      <w:r w:rsidR="00847074" w:rsidRPr="00E200A5">
        <w:rPr>
          <w:rFonts w:ascii="Times New Roman" w:hAnsi="Times New Roman" w:cs="Times New Roman"/>
          <w:i/>
          <w:iCs/>
          <w:sz w:val="24"/>
          <w:szCs w:val="24"/>
        </w:rPr>
        <w:t xml:space="preserve"> </w:t>
      </w:r>
      <w:r w:rsidR="00847074" w:rsidRPr="00E200A5">
        <w:rPr>
          <w:rFonts w:ascii="Times New Roman" w:hAnsi="Times New Roman" w:cs="Times New Roman"/>
          <w:sz w:val="24"/>
          <w:szCs w:val="24"/>
        </w:rPr>
        <w:t>University</w:t>
      </w:r>
      <w:r w:rsidRPr="00E200A5">
        <w:rPr>
          <w:rFonts w:ascii="Times New Roman" w:hAnsi="Times New Roman" w:cs="Times New Roman"/>
          <w:sz w:val="24"/>
          <w:szCs w:val="24"/>
        </w:rPr>
        <w:t>, 2021)</w:t>
      </w:r>
      <w:r w:rsidRPr="00E200A5">
        <w:rPr>
          <w:rFonts w:ascii="Times New Roman" w:eastAsia="Times New Roman" w:hAnsi="Times New Roman" w:cs="Times New Roman"/>
          <w:color w:val="000000"/>
          <w:sz w:val="24"/>
          <w:szCs w:val="24"/>
          <w:lang w:eastAsia="en-GB"/>
        </w:rPr>
        <w:fldChar w:fldCharType="end"/>
      </w:r>
      <w:r w:rsidR="00195D78" w:rsidRPr="00E200A5">
        <w:rPr>
          <w:rFonts w:ascii="Times New Roman" w:eastAsia="Times New Roman" w:hAnsi="Times New Roman" w:cs="Times New Roman"/>
          <w:color w:val="000000"/>
          <w:sz w:val="24"/>
          <w:szCs w:val="24"/>
          <w:lang w:eastAsia="en-GB"/>
        </w:rPr>
        <w:t xml:space="preserve"> </w:t>
      </w:r>
      <w:r w:rsidR="00620FCE" w:rsidRPr="00E200A5">
        <w:rPr>
          <w:rFonts w:ascii="Times New Roman" w:eastAsia="Times New Roman" w:hAnsi="Times New Roman" w:cs="Times New Roman"/>
          <w:color w:val="000000"/>
          <w:sz w:val="24"/>
          <w:szCs w:val="24"/>
          <w:lang w:eastAsia="en-GB"/>
        </w:rPr>
        <w:t xml:space="preserve">(in this paper we use the term vaccine hesitancy to mean a ‘delay in acceptance or refusal of vaccines despite availability of vaccine services’, taken from </w:t>
      </w:r>
      <w:r w:rsidR="00620FCE"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{"citationID":"SLVYh0bx","properties":{"formattedCitation":"(MacDonald, 2015)","plainCitation":"(MacDonald, 2015)","dontUpdate":true,"noteIndex":0},"citationItems":[{"id":4242,"uris":["http://zotero.org/users/5523892/items/NSK7533W"],"itemData":{"id":4242,"type":"article-journal","container-title":"Vaccine","DOI":"10.1016/j.vaccine.2015.04.036","ISSN":"0264410X","issue":"34","journalAbbreviation":"Vaccine","language":"en","page":"4161-4164","source":"DOI.org (Crossref)","title":"Vaccine hesitancy: Definition, scope and determinants","title-short":"Vaccine hesitancy","volume":"33","author":[{"family":"MacDonald","given":"Noni E."}],"issued":{"date-parts":[["2015",8]]},"citation-key":"macdonaldVaccineHesitancyDefinition2015"}}],"schema":"https://github.com/citation-style-language/schema/raw/master/csl-citation.json"} </w:instrText>
      </w:r>
      <w:r w:rsidR="00620FCE" w:rsidRPr="00E200A5">
        <w:rPr>
          <w:rFonts w:ascii="Times New Roman" w:eastAsia="Times New Roman" w:hAnsi="Times New Roman" w:cs="Times New Roman"/>
          <w:color w:val="000000"/>
          <w:sz w:val="24"/>
          <w:szCs w:val="24"/>
          <w:lang w:eastAsia="en-GB"/>
        </w:rPr>
        <w:fldChar w:fldCharType="separate"/>
      </w:r>
      <w:r w:rsidR="00620FCE" w:rsidRPr="00E200A5">
        <w:rPr>
          <w:rFonts w:ascii="Times New Roman" w:hAnsi="Times New Roman" w:cs="Times New Roman"/>
          <w:sz w:val="24"/>
        </w:rPr>
        <w:t>MacDonald (2015) and vaccine acceptance meaning an intention to use the vaccine if it is, or becomes</w:t>
      </w:r>
      <w:r w:rsidR="00381CFF" w:rsidRPr="00E200A5">
        <w:rPr>
          <w:rFonts w:ascii="Times New Roman" w:hAnsi="Times New Roman" w:cs="Times New Roman"/>
          <w:sz w:val="24"/>
        </w:rPr>
        <w:t>,</w:t>
      </w:r>
      <w:r w:rsidR="00620FCE" w:rsidRPr="00E200A5">
        <w:rPr>
          <w:rFonts w:ascii="Times New Roman" w:hAnsi="Times New Roman" w:cs="Times New Roman"/>
          <w:sz w:val="24"/>
        </w:rPr>
        <w:t xml:space="preserve"> available)</w:t>
      </w:r>
      <w:r w:rsidR="00620FCE"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 xml:space="preserve">. </w:t>
      </w:r>
      <w:r w:rsidR="00191A72" w:rsidRPr="00E200A5">
        <w:rPr>
          <w:rFonts w:ascii="Times New Roman" w:eastAsia="Times New Roman" w:hAnsi="Times New Roman" w:cs="Times New Roman"/>
          <w:color w:val="000000"/>
          <w:sz w:val="24"/>
          <w:szCs w:val="24"/>
          <w:lang w:eastAsia="en-GB"/>
        </w:rPr>
        <w:t xml:space="preserve">Beyond </w:t>
      </w:r>
      <w:r w:rsidR="000D1673" w:rsidRPr="00E200A5">
        <w:rPr>
          <w:rFonts w:ascii="Times New Roman" w:eastAsia="Times New Roman" w:hAnsi="Times New Roman" w:cs="Times New Roman"/>
          <w:color w:val="000000"/>
          <w:sz w:val="24"/>
          <w:szCs w:val="24"/>
          <w:lang w:eastAsia="en-GB"/>
        </w:rPr>
        <w:t>COVID</w:t>
      </w:r>
      <w:r w:rsidR="00D869CE" w:rsidRPr="00E200A5">
        <w:rPr>
          <w:rFonts w:ascii="Times New Roman" w:eastAsia="Times New Roman" w:hAnsi="Times New Roman" w:cs="Times New Roman"/>
          <w:color w:val="000000"/>
          <w:sz w:val="24"/>
          <w:szCs w:val="24"/>
          <w:lang w:eastAsia="en-GB"/>
        </w:rPr>
        <w:t>-19</w:t>
      </w:r>
      <w:r w:rsidRPr="00E200A5">
        <w:rPr>
          <w:rFonts w:ascii="Times New Roman" w:eastAsia="Times New Roman" w:hAnsi="Times New Roman" w:cs="Times New Roman"/>
          <w:color w:val="000000"/>
          <w:sz w:val="24"/>
          <w:szCs w:val="24"/>
          <w:lang w:eastAsia="en-GB"/>
        </w:rPr>
        <w:t xml:space="preserve">, </w:t>
      </w:r>
      <w:r w:rsidR="00852603" w:rsidRPr="00E200A5">
        <w:rPr>
          <w:rFonts w:ascii="Times New Roman" w:eastAsia="Times New Roman" w:hAnsi="Times New Roman" w:cs="Times New Roman"/>
          <w:color w:val="000000"/>
          <w:sz w:val="24"/>
          <w:szCs w:val="24"/>
          <w:lang w:eastAsia="en-GB"/>
        </w:rPr>
        <w:t xml:space="preserve">vaccination </w:t>
      </w:r>
      <w:r w:rsidRPr="00E200A5">
        <w:rPr>
          <w:rFonts w:ascii="Times New Roman" w:eastAsia="Times New Roman" w:hAnsi="Times New Roman" w:cs="Times New Roman"/>
          <w:color w:val="000000"/>
          <w:sz w:val="24"/>
          <w:szCs w:val="24"/>
          <w:lang w:eastAsia="en-GB"/>
        </w:rPr>
        <w:t xml:space="preserve">hesitancy is a well-observed phenomenon extending to </w:t>
      </w:r>
      <w:r w:rsidR="008B21E9" w:rsidRPr="00E200A5">
        <w:rPr>
          <w:rFonts w:ascii="Times New Roman" w:eastAsia="Times New Roman" w:hAnsi="Times New Roman" w:cs="Times New Roman"/>
          <w:color w:val="000000"/>
          <w:sz w:val="24"/>
          <w:szCs w:val="24"/>
          <w:lang w:eastAsia="en-GB"/>
        </w:rPr>
        <w:t xml:space="preserve">vaccines for </w:t>
      </w:r>
      <w:r w:rsidRPr="00E200A5">
        <w:rPr>
          <w:rFonts w:ascii="Times New Roman" w:eastAsia="Times New Roman" w:hAnsi="Times New Roman" w:cs="Times New Roman"/>
          <w:color w:val="000000"/>
          <w:sz w:val="24"/>
          <w:szCs w:val="24"/>
          <w:lang w:eastAsia="en-GB"/>
        </w:rPr>
        <w:t xml:space="preserve">human papillomavirus </w:t>
      </w:r>
      <w:r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{"citationID":"FuEhKkEF","properties":{"formattedCitation":"(Ziarnowski et al., 2009)","plainCitation":"(Ziarnowski et al., 2009)","noteIndex":0},"citationItems":[{"id":1359,"uris":["http://zotero.org/users/5523892/items/NEXETCVR"],"itemData":{"id":1359,"type":"article-journal","abstract":"Objective. The study examined the role of anticipated regret in human papillomavirus (HPV) vaccination decisions as well as potential antecedents of anticipated regret.\nMethod. In 2007, we interviewed 889 caregivers for girls aged 10–18 in areas of North Carolina with high rates of cervical cancer. The survey assessed vaccination regret (anticipated regret if daughter became more sexually active after vaccination) and inaction regret (anticipated regret if an unvaccinated daughter developed an HPV infection that could lead to cervical cancer). Main outcomes were self-reported vaccination behavior and intentions to vaccinate. Analyses controlled for perceived risk and caregiver and child characteristics.\nResults. Caregivers who reported higher vaccination regret were less likely to have gotten their adolescent daughters the HPV vaccine (OR = .60, p b .001). Among those who had not yet vaccinated their daughters, higher intentions to vaccinate were associated with higher anticipated inaction regret (β = .45, p b .001) and lower vaccination regret (β = −.22, p b .001). Decision urgency was a signiﬁcant correlate of both types of regret.\nConclusion. Anticipated regret appears to play an important role in caregivers' decisions to vaccinate adolescent girls against HPV, above and beyond the role played by perceived risk. © 2008 Elsevier Inc. All rights reserved.","container-title":"Preventive Medicine","DOI":"10.1016/j.ypmed.2008.10.006","ISSN":"00917435","issue":"5","language":"en","page":"411-414","source":"Crossref","title":"Present choices, future outcomes: anticipated regret and hpv vaccination","volume":"48","author":[{"family":"Ziarnowski","given":"Karen L."},{"family":"Brewer","given":"Noel T."},{"family":"Weber","given":"Bethany"}],"issued":{"date-parts":[["2009",5]]},"citation-key":"ziarnowskiPresentChoicesFuture2009"}}],"schema":"https://github.com/citation-style-language/schema/raw/master/csl-citation.json"} </w:instrText>
      </w:r>
      <w:r w:rsidRPr="00E200A5">
        <w:rPr>
          <w:rFonts w:ascii="Times New Roman" w:eastAsia="Times New Roman" w:hAnsi="Times New Roman" w:cs="Times New Roman"/>
          <w:color w:val="000000"/>
          <w:sz w:val="24"/>
          <w:szCs w:val="24"/>
          <w:lang w:eastAsia="en-GB"/>
        </w:rPr>
        <w:fldChar w:fldCharType="separate"/>
      </w:r>
      <w:r w:rsidR="00AF0251" w:rsidRPr="00E200A5">
        <w:rPr>
          <w:rFonts w:ascii="Times New Roman" w:hAnsi="Times New Roman" w:cs="Times New Roman"/>
          <w:sz w:val="24"/>
        </w:rPr>
        <w:t>(Ziarnowski et al., 2009)</w:t>
      </w:r>
      <w:r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 xml:space="preserve">, influenza </w:t>
      </w:r>
      <w:r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{"citationID":"2rWWxET3","properties":{"formattedCitation":"(Velan et al., 2011)","plainCitation":"(Velan et al., 2011)","noteIndex":0},"citationItems":[{"id":1598,"uris":["http://zotero.org/users/5523892/items/J8ILPXQS"],"itemData":{"id":1598,"type":"article-journal","abstract":"Recent efforts of health authorities to promote vaccination against inﬂuenza A/H1N1 were met with low compliance rates in most industrialized countries. Here we analyzed the attitudes of the Israeli public towards A/H1N1 vaccination based on a telephone survey conducted several months after the peak of the outbreak. The ﬁndings attest to the low uptake of the A/H1N1 vaccine (17%) in Israel, and identify the socio-demographic characteristics associated with non-compliance. In addition, the survey reveals passiveness, fear and distrust as motives leading to non-compliance. Most importantly, the study identiﬁed the substantial weight of reﬂective assessment in the attitude of lay individuals towards the A/H1N1 vaccine. As many as 30% of the non-vaccinated responders provided reasoned arguments for rejecting the vaccine, based mainly on assessment of threat versus actual risk. These observations highlight the need to consider the opinion of the lay public when implementing new vaccination programs.","container-title":"Vaccine","DOI":"10.1016/j.vaccine.2010.12.006","ISSN":"0264410X","issue":"6","language":"en","page":"1173-1179","source":"Crossref","title":"Major motives in non-acceptance of a/h1n1 flu vaccination: the weight of rational assessment","volume":"29","author":[{"family":"Velan","given":"Baruch"},{"family":"Kaplan","given":"Giora"},{"family":"Ziv","given":"Arnona"},{"family":"Boyko","given":"Valentina"},{"family":"Lerner-Geva","given":"Liat"}],"issued":{"date-parts":[["2011",2]]},"citation-key":"velanMajorMotivesNonacceptance2011"}}],"schema":"https://github.com/citation-style-language/schema/raw/master/csl-citation.json"} </w:instrText>
      </w:r>
      <w:r w:rsidRPr="00E200A5">
        <w:rPr>
          <w:rFonts w:ascii="Times New Roman" w:eastAsia="Times New Roman" w:hAnsi="Times New Roman" w:cs="Times New Roman"/>
          <w:color w:val="000000"/>
          <w:sz w:val="24"/>
          <w:szCs w:val="24"/>
          <w:lang w:eastAsia="en-GB"/>
        </w:rPr>
        <w:fldChar w:fldCharType="separate"/>
      </w:r>
      <w:r w:rsidR="00AF0251" w:rsidRPr="00E200A5">
        <w:rPr>
          <w:rFonts w:ascii="Times New Roman" w:hAnsi="Times New Roman" w:cs="Times New Roman"/>
          <w:sz w:val="24"/>
        </w:rPr>
        <w:t>(Velan et al., 2011)</w:t>
      </w:r>
      <w:r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 xml:space="preserve">, and measles </w:t>
      </w:r>
      <w:r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{"citationID":"9ZAF0cT2","properties":{"formattedCitation":"(Zimmerman et al., 1995)","plainCitation":"(Zimmerman et al., 1995)","noteIndex":0},"citationItems":[{"id":28,"uris":["http://zotero.org/users/5523892/items/5IQQPNQA"],"itemData":{"id":28,"type":"article-journal","abstract":"Methods: We developed a telephone questionnaire, subjected it to a pilot test, and subsequently interviewed Minnesota pediatricians, general practitioners, rural family physicians, and urban family physicians. The physicians were selected by a random process.\nResults: The response rate was 76.4 percent (411 of 538 eligible physicians). Almost all physicians thought that vaccine efficacy was high and that the likelihood of serious side effects was low. Respondents were divided, however, about the likelihood of serious complications from pertussis disease and the role of adults as a pertussis reservoir. Many physicians inappropriately believed certain conditions were contraindications to vaccination; for instance, 33 percent of physicians would not administer measles, mumps, and rubella vaccine to a child whose mother was pregnant. Many physicians (31 percent) would not administer four vaccines simultaneously because of concerns that included parental acceptance and vaccine efficacy. Physicians were more likely to refer children without insurance (P&lt;O.OOl) or with Medicaid (P&lt;O.OOI) than children with insurance to health department vaccine clinics for immunization.\nConclusions: For immunization rates to reach high levels, changes are needed in health care system issues, such as vaccine reimbursement, and in provider practices, such as interpretation of vaccine contraindications. (J Am Board Fam Pract 1995; 8:270-7.)","language":"en","page":"8","source":"Zotero","title":"Knowledge and attitudes of minnesota primary care physicians about barriers to measles and pertussis immunization","author":[{"family":"Zimmerman","given":"Richard Kent"},{"family":"Giehink","given":"G Scott"},{"family":"Street","given":"Heidi Bosch"}],"issued":{"date-parts":[["1995"]]},"citation-key":"zimmermanKnowledgeAttitudesMinnesota1995"}}],"schema":"https://github.com/citation-style-language/schema/raw/master/csl-citation.json"} </w:instrText>
      </w:r>
      <w:r w:rsidRPr="00E200A5">
        <w:rPr>
          <w:rFonts w:ascii="Times New Roman" w:eastAsia="Times New Roman" w:hAnsi="Times New Roman" w:cs="Times New Roman"/>
          <w:color w:val="000000"/>
          <w:sz w:val="24"/>
          <w:szCs w:val="24"/>
          <w:lang w:eastAsia="en-GB"/>
        </w:rPr>
        <w:fldChar w:fldCharType="separate"/>
      </w:r>
      <w:r w:rsidR="00AF0251" w:rsidRPr="00E200A5">
        <w:rPr>
          <w:rFonts w:ascii="Times New Roman" w:hAnsi="Times New Roman" w:cs="Times New Roman"/>
          <w:sz w:val="24"/>
        </w:rPr>
        <w:t>(Zimmerman et al., 1995)</w:t>
      </w:r>
      <w:r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w:t>
      </w:r>
    </w:p>
    <w:p w14:paraId="47C8DFC2" w14:textId="34237454" w:rsidR="009E0643" w:rsidRPr="00E200A5" w:rsidRDefault="00D97FD2" w:rsidP="009E0643">
      <w:pPr>
        <w:spacing w:after="20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These observations </w:t>
      </w:r>
      <w:r w:rsidR="00191A72" w:rsidRPr="00E200A5">
        <w:rPr>
          <w:rFonts w:ascii="Times New Roman" w:eastAsia="Times New Roman" w:hAnsi="Times New Roman" w:cs="Times New Roman"/>
          <w:color w:val="000000"/>
          <w:sz w:val="24"/>
          <w:szCs w:val="24"/>
          <w:lang w:eastAsia="en-GB"/>
        </w:rPr>
        <w:t xml:space="preserve">of </w:t>
      </w:r>
      <w:r w:rsidR="00852603" w:rsidRPr="00E200A5">
        <w:rPr>
          <w:rFonts w:ascii="Times New Roman" w:eastAsia="Times New Roman" w:hAnsi="Times New Roman" w:cs="Times New Roman"/>
          <w:color w:val="000000"/>
          <w:sz w:val="24"/>
          <w:szCs w:val="24"/>
          <w:lang w:eastAsia="en-GB"/>
        </w:rPr>
        <w:t xml:space="preserve">vaccination </w:t>
      </w:r>
      <w:r w:rsidR="00191A72" w:rsidRPr="00E200A5">
        <w:rPr>
          <w:rFonts w:ascii="Times New Roman" w:eastAsia="Times New Roman" w:hAnsi="Times New Roman" w:cs="Times New Roman"/>
          <w:color w:val="000000"/>
          <w:sz w:val="24"/>
          <w:szCs w:val="24"/>
          <w:lang w:eastAsia="en-GB"/>
        </w:rPr>
        <w:t xml:space="preserve">hesitancy </w:t>
      </w:r>
      <w:r w:rsidRPr="00E200A5">
        <w:rPr>
          <w:rFonts w:ascii="Times New Roman" w:eastAsia="Times New Roman" w:hAnsi="Times New Roman" w:cs="Times New Roman"/>
          <w:color w:val="000000"/>
          <w:sz w:val="24"/>
          <w:szCs w:val="24"/>
          <w:lang w:eastAsia="en-GB"/>
        </w:rPr>
        <w:t>are of substantial medical and social importance as the rejection of vaccin</w:t>
      </w:r>
      <w:r w:rsidR="00FA5715" w:rsidRPr="00E200A5">
        <w:rPr>
          <w:rFonts w:ascii="Times New Roman" w:eastAsia="Times New Roman" w:hAnsi="Times New Roman" w:cs="Times New Roman"/>
          <w:color w:val="000000"/>
          <w:sz w:val="24"/>
          <w:szCs w:val="24"/>
          <w:lang w:eastAsia="en-GB"/>
        </w:rPr>
        <w:t>es</w:t>
      </w:r>
      <w:r w:rsidRPr="00E200A5">
        <w:rPr>
          <w:rFonts w:ascii="Times New Roman" w:eastAsia="Times New Roman" w:hAnsi="Times New Roman" w:cs="Times New Roman"/>
          <w:color w:val="000000"/>
          <w:sz w:val="24"/>
          <w:szCs w:val="24"/>
          <w:lang w:eastAsia="en-GB"/>
        </w:rPr>
        <w:t xml:space="preserve"> can </w:t>
      </w:r>
      <w:r w:rsidR="00005B3B" w:rsidRPr="00E200A5">
        <w:rPr>
          <w:rFonts w:ascii="Times New Roman" w:eastAsia="Times New Roman" w:hAnsi="Times New Roman" w:cs="Times New Roman"/>
          <w:color w:val="000000"/>
          <w:sz w:val="24"/>
          <w:szCs w:val="24"/>
          <w:lang w:eastAsia="en-GB"/>
        </w:rPr>
        <w:t>enable</w:t>
      </w:r>
      <w:r w:rsidRPr="00E200A5">
        <w:rPr>
          <w:rFonts w:ascii="Times New Roman" w:eastAsia="Times New Roman" w:hAnsi="Times New Roman" w:cs="Times New Roman"/>
          <w:color w:val="000000"/>
          <w:sz w:val="24"/>
          <w:szCs w:val="24"/>
          <w:lang w:eastAsia="en-GB"/>
        </w:rPr>
        <w:t xml:space="preserve"> the spread of </w:t>
      </w:r>
      <w:r w:rsidR="00FA5715" w:rsidRPr="00E200A5">
        <w:rPr>
          <w:rFonts w:ascii="Times New Roman" w:eastAsia="Times New Roman" w:hAnsi="Times New Roman" w:cs="Times New Roman"/>
          <w:color w:val="000000"/>
          <w:sz w:val="24"/>
          <w:szCs w:val="24"/>
          <w:lang w:eastAsia="en-GB"/>
        </w:rPr>
        <w:t xml:space="preserve">otherwise </w:t>
      </w:r>
      <w:r w:rsidRPr="00E200A5">
        <w:rPr>
          <w:rFonts w:ascii="Times New Roman" w:eastAsia="Times New Roman" w:hAnsi="Times New Roman" w:cs="Times New Roman"/>
          <w:color w:val="000000"/>
          <w:sz w:val="24"/>
          <w:szCs w:val="24"/>
          <w:lang w:eastAsia="en-GB"/>
        </w:rPr>
        <w:t xml:space="preserve">preventable diseases </w:t>
      </w:r>
      <w:r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{"citationID":"RBjlxnzH","properties":{"formattedCitation":"(Benecke &amp; DeYoung, 2019; Hussain et al., 2018)","plainCitation":"(Benecke &amp; DeYoung, 2019; Hussain et al., 2018)","noteIndex":0},"citationItems":[{"id":1440,"uris":["http://zotero.org/users/5523892/items/VH8AKRRW"],"itemData":{"id":1440,"type":"article-journal","container-title":"Global Pediatric Health","DOI":"10.1177/2333794X19862949","ISSN":"2333-794X, 2333-794X","language":"en","page":"2333794X1986294","source":"Crossref","title":"Anti-vaccine decision-making and measles resurgence in the united states","volume":"6","author":[{"family":"Benecke","given":"Olivia"},{"family":"DeYoung","given":"Sarah Elizabeth"}],"issued":{"date-parts":[["2019",1]]},"citation-key":"beneckeAntivaccineDecisionmakingMeasles2019"}},{"id":1526,"uris":["http://zotero.org/users/5523892/items/KYIRTDMB"],"itemData":{"id":1526,"type":"article-journal","abstract":"There have been recent trends of parents in Western countries refusing to vaccinate their children due to numerous reasons and perceived fears. While opposition to vaccines is as old as the vaccines themselves, there has been a recent surge in the opposition to vaccines in general, specifically against the MMR (measles, mumps, and rubella) vaccine, most notably since the rise in prominence of the notorious British ex-physician, Andrew Wakefield, and his works. This has caused multiple measles outbreaks in Western countries where the measles virus was previously considered eliminated. This paper evaluates and reviews the origins of the anti-vaccination movement, the reasons behind the recent strengthening of the movement, role of the internet in the spread of anti-vaccination ideas, and the repercussions in terms of public health and safety.","container-title":"Cureus","DOI":"10.7759/cureus.2919","ISSN":"2168-8184","language":"en","source":"Crossref","title":"The anti-vaccination movement: a regression in modern medicine","URL":"https://www.cureus.com/articles/13250-the-anti-vaccination-movement-a-regression-in-modern-medicine","author":[{"family":"Hussain","given":"Azhar"},{"family":"Ali","given":"Syed"},{"family":"Ahmed","given":"Madiha"},{"family":"Hussain","given":"Sheharyar"}],"accessed":{"date-parts":[["2019",7,22]]},"issued":{"date-parts":[["2018",7,3]]},"citation-key":"hussainAntivaccinationMovementRegression2018"}}],"schema":"https://github.com/citation-style-language/schema/raw/master/csl-citation.json"} </w:instrText>
      </w:r>
      <w:r w:rsidRPr="00E200A5">
        <w:rPr>
          <w:rFonts w:ascii="Times New Roman" w:eastAsia="Times New Roman" w:hAnsi="Times New Roman" w:cs="Times New Roman"/>
          <w:color w:val="000000"/>
          <w:sz w:val="24"/>
          <w:szCs w:val="24"/>
          <w:lang w:eastAsia="en-GB"/>
        </w:rPr>
        <w:fldChar w:fldCharType="separate"/>
      </w:r>
      <w:r w:rsidR="00AF0251" w:rsidRPr="00E200A5">
        <w:rPr>
          <w:rFonts w:ascii="Times New Roman" w:hAnsi="Times New Roman" w:cs="Times New Roman"/>
          <w:sz w:val="24"/>
        </w:rPr>
        <w:t>(Benecke &amp; DeYoung, 2019; Hussain et al., 2018)</w:t>
      </w:r>
      <w:r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w:t>
      </w:r>
      <w:r w:rsidR="00B04CDF" w:rsidRPr="00E200A5">
        <w:rPr>
          <w:rFonts w:ascii="Times New Roman" w:eastAsia="Times New Roman" w:hAnsi="Times New Roman" w:cs="Times New Roman"/>
          <w:color w:val="000000"/>
          <w:sz w:val="24"/>
          <w:szCs w:val="24"/>
          <w:lang w:eastAsia="en-GB"/>
        </w:rPr>
        <w:t xml:space="preserve"> For example, </w:t>
      </w:r>
      <w:r w:rsidR="00852603" w:rsidRPr="00E200A5">
        <w:rPr>
          <w:rFonts w:ascii="Times New Roman" w:eastAsia="Times New Roman" w:hAnsi="Times New Roman" w:cs="Times New Roman"/>
          <w:color w:val="000000"/>
          <w:sz w:val="24"/>
          <w:szCs w:val="24"/>
          <w:lang w:eastAsia="en-GB"/>
        </w:rPr>
        <w:t>vaccination hesitancy</w:t>
      </w:r>
      <w:r w:rsidR="00B04CDF" w:rsidRPr="00E200A5">
        <w:rPr>
          <w:rFonts w:ascii="Times New Roman" w:eastAsia="Times New Roman" w:hAnsi="Times New Roman" w:cs="Times New Roman"/>
          <w:color w:val="000000"/>
          <w:sz w:val="24"/>
          <w:szCs w:val="24"/>
          <w:lang w:eastAsia="en-GB"/>
        </w:rPr>
        <w:t xml:space="preserve"> can </w:t>
      </w:r>
      <w:r w:rsidR="00307F2D" w:rsidRPr="00E200A5">
        <w:rPr>
          <w:rFonts w:ascii="Times New Roman" w:eastAsia="Times New Roman" w:hAnsi="Times New Roman" w:cs="Times New Roman"/>
          <w:color w:val="000000"/>
          <w:sz w:val="24"/>
          <w:szCs w:val="24"/>
          <w:lang w:eastAsia="en-GB"/>
        </w:rPr>
        <w:t xml:space="preserve">accelerate </w:t>
      </w:r>
      <w:r w:rsidR="00B04CDF" w:rsidRPr="00E200A5">
        <w:rPr>
          <w:rFonts w:ascii="Times New Roman" w:eastAsia="Times New Roman" w:hAnsi="Times New Roman" w:cs="Times New Roman"/>
          <w:color w:val="000000"/>
          <w:sz w:val="24"/>
          <w:szCs w:val="24"/>
          <w:lang w:eastAsia="en-GB"/>
        </w:rPr>
        <w:t xml:space="preserve">the rise of new disease variants, which may be resistant to the current suite of vaccines </w:t>
      </w:r>
      <w:r w:rsidR="00847074"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{"citationID":"dW4TU6YT","properties":{"formattedCitation":"(Sah et al., 2021)","plainCitation":"(Sah et al., 2021)","noteIndex":0},"citationItems":[{"id":153,"uris":["http://zotero.org/users/5523892/items/5GWGIMCK"],"itemData":{"id":153,"type":"article-journal","container-title":"EClinicalMedicine","DOI":"10.1016/j.eclinm.2021.100865","ISSN":"25895370","journalAbbreviation":"EClinicalMedicine","language":"en","page":"100865","source":"DOI.org (Crossref)","title":"Accelerated vaccine rollout is imperative to mitigate highly transmissible covid-19 variants","volume":"35","author":[{"family":"Sah","given":"Pratha"},{"family":"Vilches","given":"Thomas N."},{"family":"Moghadas","given":"Seyed M."},{"family":"Fitzpatrick","given":"Meagan C."},{"family":"Singer","given":"Burton H."},{"family":"Hotez","given":"Peter J."},{"family":"Galvani","given":"Alison P."}],"issued":{"date-parts":[["2021",5]]},"citation-key":"sahAcceleratedVaccineRollout2021"}}],"schema":"https://github.com/citation-style-language/schema/raw/master/csl-citation.json"} </w:instrText>
      </w:r>
      <w:r w:rsidR="00847074" w:rsidRPr="00E200A5">
        <w:rPr>
          <w:rFonts w:ascii="Times New Roman" w:eastAsia="Times New Roman" w:hAnsi="Times New Roman" w:cs="Times New Roman"/>
          <w:color w:val="000000"/>
          <w:sz w:val="24"/>
          <w:szCs w:val="24"/>
          <w:lang w:eastAsia="en-GB"/>
        </w:rPr>
        <w:fldChar w:fldCharType="separate"/>
      </w:r>
      <w:r w:rsidR="00AF0251" w:rsidRPr="00E200A5">
        <w:rPr>
          <w:rFonts w:ascii="Times New Roman" w:hAnsi="Times New Roman" w:cs="Times New Roman"/>
          <w:sz w:val="24"/>
        </w:rPr>
        <w:t>(Sah et al., 2021)</w:t>
      </w:r>
      <w:r w:rsidR="00847074" w:rsidRPr="00E200A5">
        <w:rPr>
          <w:rFonts w:ascii="Times New Roman" w:eastAsia="Times New Roman" w:hAnsi="Times New Roman" w:cs="Times New Roman"/>
          <w:color w:val="000000"/>
          <w:sz w:val="24"/>
          <w:szCs w:val="24"/>
          <w:lang w:eastAsia="en-GB"/>
        </w:rPr>
        <w:fldChar w:fldCharType="end"/>
      </w:r>
      <w:r w:rsidR="00847074"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color w:val="000000"/>
          <w:sz w:val="24"/>
          <w:szCs w:val="24"/>
          <w:lang w:eastAsia="en-GB"/>
        </w:rPr>
        <w:t xml:space="preserve">With this in mind, there is a clear public health need to understand the factors that </w:t>
      </w:r>
      <w:r w:rsidR="00191A72" w:rsidRPr="00E200A5">
        <w:rPr>
          <w:rFonts w:ascii="Times New Roman" w:eastAsia="Times New Roman" w:hAnsi="Times New Roman" w:cs="Times New Roman"/>
          <w:color w:val="000000"/>
          <w:sz w:val="24"/>
          <w:szCs w:val="24"/>
          <w:lang w:eastAsia="en-GB"/>
        </w:rPr>
        <w:t>underpin</w:t>
      </w:r>
      <w:r w:rsidRPr="00E200A5">
        <w:rPr>
          <w:rFonts w:ascii="Times New Roman" w:eastAsia="Times New Roman" w:hAnsi="Times New Roman" w:cs="Times New Roman"/>
          <w:color w:val="000000"/>
          <w:sz w:val="24"/>
          <w:szCs w:val="24"/>
          <w:lang w:eastAsia="en-GB"/>
        </w:rPr>
        <w:t xml:space="preserve"> </w:t>
      </w:r>
      <w:r w:rsidR="00852603" w:rsidRPr="00E200A5">
        <w:rPr>
          <w:rFonts w:ascii="Times New Roman" w:eastAsia="Times New Roman" w:hAnsi="Times New Roman" w:cs="Times New Roman"/>
          <w:color w:val="000000"/>
          <w:sz w:val="24"/>
          <w:szCs w:val="24"/>
          <w:lang w:eastAsia="en-GB"/>
        </w:rPr>
        <w:t>vaccination hesitancy</w:t>
      </w:r>
      <w:r w:rsidRPr="00E200A5">
        <w:rPr>
          <w:rFonts w:ascii="Times New Roman" w:eastAsia="Times New Roman" w:hAnsi="Times New Roman" w:cs="Times New Roman"/>
          <w:color w:val="000000"/>
          <w:sz w:val="24"/>
          <w:szCs w:val="24"/>
          <w:lang w:eastAsia="en-GB"/>
        </w:rPr>
        <w:t xml:space="preserve">. </w:t>
      </w:r>
      <w:r w:rsidR="001E77AD" w:rsidRPr="00E200A5">
        <w:rPr>
          <w:rFonts w:ascii="Times New Roman" w:eastAsia="Times New Roman" w:hAnsi="Times New Roman" w:cs="Times New Roman"/>
          <w:color w:val="000000"/>
          <w:sz w:val="24"/>
          <w:szCs w:val="24"/>
          <w:lang w:eastAsia="en-GB"/>
        </w:rPr>
        <w:t>Here we pay specific attention to</w:t>
      </w:r>
      <w:r w:rsidR="009E0643" w:rsidRPr="00E200A5">
        <w:rPr>
          <w:rFonts w:ascii="Times New Roman" w:eastAsia="Times New Roman" w:hAnsi="Times New Roman" w:cs="Times New Roman"/>
          <w:color w:val="000000"/>
          <w:sz w:val="24"/>
          <w:szCs w:val="24"/>
          <w:lang w:eastAsia="en-GB"/>
        </w:rPr>
        <w:t xml:space="preserve"> psychological factors that incline an individual towards vaccine hesitancy</w:t>
      </w:r>
      <w:r w:rsidR="001E77AD" w:rsidRPr="00E200A5">
        <w:rPr>
          <w:rFonts w:ascii="Times New Roman" w:eastAsia="Times New Roman" w:hAnsi="Times New Roman" w:cs="Times New Roman"/>
          <w:color w:val="000000"/>
          <w:sz w:val="24"/>
          <w:szCs w:val="24"/>
          <w:lang w:eastAsia="en-GB"/>
        </w:rPr>
        <w:t>. The value of such research likely includes the ability to</w:t>
      </w:r>
      <w:r w:rsidR="009E0643" w:rsidRPr="00E200A5">
        <w:rPr>
          <w:rFonts w:ascii="Times New Roman" w:eastAsia="Times New Roman" w:hAnsi="Times New Roman" w:cs="Times New Roman"/>
          <w:color w:val="000000"/>
          <w:sz w:val="24"/>
          <w:szCs w:val="24"/>
          <w:lang w:eastAsia="en-GB"/>
        </w:rPr>
        <w:t xml:space="preserve"> better identify the kinds of people who are less likely to </w:t>
      </w:r>
      <w:r w:rsidR="001E77AD" w:rsidRPr="00E200A5">
        <w:rPr>
          <w:rFonts w:ascii="Times New Roman" w:eastAsia="Times New Roman" w:hAnsi="Times New Roman" w:cs="Times New Roman"/>
          <w:color w:val="000000"/>
          <w:sz w:val="24"/>
          <w:szCs w:val="24"/>
          <w:lang w:eastAsia="en-GB"/>
        </w:rPr>
        <w:t xml:space="preserve">take a </w:t>
      </w:r>
      <w:r w:rsidR="009E0643" w:rsidRPr="00E200A5">
        <w:rPr>
          <w:rFonts w:ascii="Times New Roman" w:eastAsia="Times New Roman" w:hAnsi="Times New Roman" w:cs="Times New Roman"/>
          <w:color w:val="000000"/>
          <w:sz w:val="24"/>
          <w:szCs w:val="24"/>
          <w:lang w:eastAsia="en-GB"/>
        </w:rPr>
        <w:t>vaccine</w:t>
      </w:r>
      <w:r w:rsidR="001E77AD" w:rsidRPr="00E200A5">
        <w:rPr>
          <w:rFonts w:ascii="Times New Roman" w:eastAsia="Times New Roman" w:hAnsi="Times New Roman" w:cs="Times New Roman"/>
          <w:color w:val="000000"/>
          <w:sz w:val="24"/>
          <w:szCs w:val="24"/>
          <w:lang w:eastAsia="en-GB"/>
        </w:rPr>
        <w:t xml:space="preserve"> and why they are reluctant</w:t>
      </w:r>
      <w:r w:rsidR="009E0643" w:rsidRPr="00E200A5">
        <w:rPr>
          <w:rFonts w:ascii="Times New Roman" w:eastAsia="Times New Roman" w:hAnsi="Times New Roman" w:cs="Times New Roman"/>
          <w:color w:val="000000"/>
          <w:sz w:val="24"/>
          <w:szCs w:val="24"/>
          <w:lang w:eastAsia="en-GB"/>
        </w:rPr>
        <w:t xml:space="preserve">, which </w:t>
      </w:r>
      <w:r w:rsidR="001E77AD" w:rsidRPr="00E200A5">
        <w:rPr>
          <w:rFonts w:ascii="Times New Roman" w:eastAsia="Times New Roman" w:hAnsi="Times New Roman" w:cs="Times New Roman"/>
          <w:color w:val="000000"/>
          <w:sz w:val="24"/>
          <w:szCs w:val="24"/>
          <w:lang w:eastAsia="en-GB"/>
        </w:rPr>
        <w:t xml:space="preserve">in turn would </w:t>
      </w:r>
      <w:r w:rsidR="009E0643" w:rsidRPr="00E200A5">
        <w:rPr>
          <w:rFonts w:ascii="Times New Roman" w:eastAsia="Times New Roman" w:hAnsi="Times New Roman" w:cs="Times New Roman"/>
          <w:color w:val="000000"/>
          <w:sz w:val="24"/>
          <w:szCs w:val="24"/>
          <w:lang w:eastAsia="en-GB"/>
        </w:rPr>
        <w:t>allow for more targeted information to be provided to these individuals</w:t>
      </w:r>
      <w:r w:rsidR="001E77AD" w:rsidRPr="00E200A5">
        <w:rPr>
          <w:rFonts w:ascii="Times New Roman" w:eastAsia="Times New Roman" w:hAnsi="Times New Roman" w:cs="Times New Roman"/>
          <w:color w:val="000000"/>
          <w:sz w:val="24"/>
          <w:szCs w:val="24"/>
          <w:lang w:eastAsia="en-GB"/>
        </w:rPr>
        <w:t xml:space="preserve"> that may allay concerns or misunderstandings</w:t>
      </w:r>
      <w:r w:rsidR="009E0643" w:rsidRPr="00E200A5">
        <w:rPr>
          <w:rFonts w:ascii="Times New Roman" w:eastAsia="Times New Roman" w:hAnsi="Times New Roman" w:cs="Times New Roman"/>
          <w:color w:val="000000"/>
          <w:sz w:val="24"/>
          <w:szCs w:val="24"/>
          <w:lang w:eastAsia="en-GB"/>
        </w:rPr>
        <w:t xml:space="preserve">. </w:t>
      </w:r>
    </w:p>
    <w:p w14:paraId="7CC98ADB" w14:textId="44059D83" w:rsidR="001E77AD" w:rsidRPr="00E200A5" w:rsidRDefault="008B5E30" w:rsidP="001E77AD">
      <w:pPr>
        <w:spacing w:after="20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An emerging literature has reported links between Big Five personality traits and vaccination hesitancy, across a handful of studies.</w:t>
      </w:r>
      <w:r w:rsidR="001E77AD" w:rsidRPr="00E200A5">
        <w:rPr>
          <w:rFonts w:ascii="Times New Roman" w:eastAsia="Times New Roman" w:hAnsi="Times New Roman" w:cs="Times New Roman"/>
          <w:color w:val="000000"/>
          <w:sz w:val="24"/>
          <w:szCs w:val="24"/>
          <w:lang w:eastAsia="en-GB"/>
        </w:rPr>
        <w:t xml:space="preserve"> The Big Five personality traits are a well-validated, high-level description of the major dimensions of human personality </w:t>
      </w:r>
      <w:r w:rsidR="00337FDD"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{"citationID":"RPOnaGHp","properties":{"formattedCitation":"(John et al., 2008)","plainCitation":"(John et al., 2008)","noteIndex":0},"citationItems":[{"id":4349,"uris":["http://zotero.org/users/5523892/items/C289B523"],"itemData":{"id":4349,"type":"article-journal","note":"ISBN: 1593858361\npublisher: The Guilford Press","title":"Paradigm shift to the integrative Big Five trait taxonomy: History, measurement, and conceptual issues.","author":[{"family":"John","given":"Oliver P."},{"family":"Naumann","given":"Laura P."},{"family":"Soto","given":"Christopher J."}],"issued":{"date-parts":[["2008"]]},"citation-key":"johnParadigmShiftIntegrative2008"}}],"schema":"https://github.com/citation-style-language/schema/raw/master/csl-citation.json"} </w:instrText>
      </w:r>
      <w:r w:rsidR="00337FDD" w:rsidRPr="00E200A5">
        <w:rPr>
          <w:rFonts w:ascii="Times New Roman" w:eastAsia="Times New Roman" w:hAnsi="Times New Roman" w:cs="Times New Roman"/>
          <w:color w:val="000000"/>
          <w:sz w:val="24"/>
          <w:szCs w:val="24"/>
          <w:lang w:eastAsia="en-GB"/>
        </w:rPr>
        <w:fldChar w:fldCharType="separate"/>
      </w:r>
      <w:r w:rsidR="00337FDD" w:rsidRPr="00E200A5">
        <w:rPr>
          <w:rFonts w:ascii="Times New Roman" w:hAnsi="Times New Roman" w:cs="Times New Roman"/>
          <w:sz w:val="24"/>
        </w:rPr>
        <w:t>(John et al., 2008)</w:t>
      </w:r>
      <w:r w:rsidR="00337FDD" w:rsidRPr="00E200A5">
        <w:rPr>
          <w:rFonts w:ascii="Times New Roman" w:eastAsia="Times New Roman" w:hAnsi="Times New Roman" w:cs="Times New Roman"/>
          <w:color w:val="000000"/>
          <w:sz w:val="24"/>
          <w:szCs w:val="24"/>
          <w:lang w:eastAsia="en-GB"/>
        </w:rPr>
        <w:fldChar w:fldCharType="end"/>
      </w:r>
      <w:r w:rsidR="001E77AD" w:rsidRPr="00E200A5">
        <w:rPr>
          <w:rFonts w:ascii="Times New Roman" w:eastAsia="Times New Roman" w:hAnsi="Times New Roman" w:cs="Times New Roman"/>
          <w:color w:val="000000"/>
          <w:sz w:val="24"/>
          <w:szCs w:val="24"/>
          <w:lang w:eastAsia="en-GB"/>
        </w:rPr>
        <w:t xml:space="preserve">. </w:t>
      </w:r>
      <w:r w:rsidR="001E77AD" w:rsidRPr="00E200A5">
        <w:rPr>
          <w:rFonts w:ascii="Times New Roman" w:hAnsi="Times New Roman" w:cs="Times New Roman"/>
          <w:sz w:val="24"/>
          <w:szCs w:val="24"/>
        </w:rPr>
        <w:t>These five</w:t>
      </w:r>
      <w:r w:rsidR="001E77AD" w:rsidRPr="00E200A5">
        <w:rPr>
          <w:rFonts w:ascii="Times New Roman" w:eastAsia="Times New Roman" w:hAnsi="Times New Roman" w:cs="Times New Roman"/>
          <w:color w:val="000000"/>
          <w:sz w:val="24"/>
          <w:szCs w:val="24"/>
          <w:lang w:eastAsia="en-GB"/>
        </w:rPr>
        <w:t xml:space="preserve"> dimensions are important because they collectively describe a substantial </w:t>
      </w:r>
      <w:r w:rsidR="001E77AD" w:rsidRPr="00E200A5">
        <w:rPr>
          <w:rFonts w:ascii="Times New Roman" w:eastAsia="Times New Roman" w:hAnsi="Times New Roman" w:cs="Times New Roman"/>
          <w:color w:val="000000"/>
          <w:sz w:val="24"/>
          <w:szCs w:val="24"/>
          <w:lang w:eastAsia="en-GB"/>
        </w:rPr>
        <w:lastRenderedPageBreak/>
        <w:t xml:space="preserve">portion of response variation across the breadth of personality space </w:t>
      </w:r>
      <w:r w:rsidR="0071414E"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{"citationID":"L1w05ETr","properties":{"formattedCitation":"(Matthews et al., 2009; McCrae &amp; John, 1992)","plainCitation":"(Matthews et al., 2009; McCrae &amp; John, 1992)","noteIndex":0},"citationItems":[{"id":4364,"uris":["http://zotero.org/users/5523892/items/NMNU43R4"],"itemData":{"id":4364,"type":"book","call-number":"BF698 .M3434 2009","edition":"3rd ed","event-place":"Cambridge ; New York","ISBN":"978-0-521-88778-6","language":"en","number-of-pages":"568","publisher":"Cambridge University Press","publisher-place":"Cambridge ; New York","source":"Library of Congress ISBN","title":"Personality traits","author":[{"family":"Matthews","given":"Gerald"},{"family":"Deary","given":"Ian J."},{"family":"Whiteman","given":"Martha C."}],"issued":{"date-parts":[["2009"]]},"citation-key":"matthewsPersonalityTraits2009"}},{"id":4362,"uris":["http://zotero.org/users/5523892/items/W9QMYK9M"],"itemData":{"id":4362,"type":"article-journal","container-title":"Journal of personality","issue":"2","note":"ISBN: 0022-3506\npublisher: Wiley Online Library","page":"175-215","title":"An introduction to the five‐factor model and its applications","volume":"60","author":[{"family":"McCrae","given":"Robert R."},{"family":"John","given":"Oliver P."}],"issued":{"date-parts":[["1992"]]},"citation-key":"mccraeIntroductionFiveFactor1992"}}],"schema":"https://github.com/citation-style-language/schema/raw/master/csl-citation.json"} </w:instrText>
      </w:r>
      <w:r w:rsidR="0071414E" w:rsidRPr="00E200A5">
        <w:rPr>
          <w:rFonts w:ascii="Times New Roman" w:eastAsia="Times New Roman" w:hAnsi="Times New Roman" w:cs="Times New Roman"/>
          <w:color w:val="000000"/>
          <w:sz w:val="24"/>
          <w:szCs w:val="24"/>
          <w:lang w:eastAsia="en-GB"/>
        </w:rPr>
        <w:fldChar w:fldCharType="separate"/>
      </w:r>
      <w:r w:rsidR="0071414E" w:rsidRPr="00E200A5">
        <w:rPr>
          <w:rFonts w:ascii="Times New Roman" w:hAnsi="Times New Roman" w:cs="Times New Roman"/>
          <w:sz w:val="24"/>
        </w:rPr>
        <w:t>(Matthews et al., 2009; McCrae &amp; John, 1992)</w:t>
      </w:r>
      <w:r w:rsidR="0071414E" w:rsidRPr="00E200A5">
        <w:rPr>
          <w:rFonts w:ascii="Times New Roman" w:eastAsia="Times New Roman" w:hAnsi="Times New Roman" w:cs="Times New Roman"/>
          <w:color w:val="000000"/>
          <w:sz w:val="24"/>
          <w:szCs w:val="24"/>
          <w:lang w:eastAsia="en-GB"/>
        </w:rPr>
        <w:fldChar w:fldCharType="end"/>
      </w:r>
      <w:r w:rsidR="001E77AD" w:rsidRPr="00E200A5">
        <w:rPr>
          <w:rFonts w:ascii="Times New Roman" w:eastAsia="Times New Roman" w:hAnsi="Times New Roman" w:cs="Times New Roman"/>
          <w:color w:val="000000"/>
          <w:sz w:val="24"/>
          <w:szCs w:val="24"/>
          <w:lang w:eastAsia="en-GB"/>
        </w:rPr>
        <w:t xml:space="preserve">. The Big Five traits consist of neuroticism (e.g. being impulsive, self-conscious, and pessimistic), openness (e.g. being open to new ideas and experiences), conscientiousness (e.g. a preference for order, attention to detail, and self-discipline), agreeableness (e.g. being trusting, compliant, altruistic), and extraversion (e.g.  being gregarious, outgoing, optimistic) </w:t>
      </w:r>
      <w:r w:rsidR="001E77AD"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{"citationID":"1A2QBOTP","properties":{"formattedCitation":"(Soto &amp; John, 2017a; Zillig et al., 2002)","plainCitation":"(Soto &amp; John, 2017a; Zillig et al., 2002)","noteIndex":0},"citationItems":[{"id":1616,"uris":["http://zotero.org/users/5523892/items/E25R5ZW4"],"itemData":{"id":1616,"type":"article-journal","container-title":"Journal of Personality and Social Psychology","DOI":"10.1037/pspp0000096","ISSN":"1939-1315, 0022-3514","issue":"1","language":"en","page":"117-143","source":"Crossref","title":"The next big five inventory (bfi-2): developing and assessing a hierarchical model with 15 facets to enhance bandwidth, fidelity, and predictive power.","volume":"113","author":[{"family":"Soto","given":"Christopher J."},{"family":"John","given":"Oliver P."}],"issued":{"date-parts":[["2017"]]},"citation-key":"sotoNextBigFive2017"}},{"id":4260,"uris":["http://zotero.org/users/5523892/items/83IPN8X3"],"itemData":{"id":4260,"type":"article-journal","abstract":"What are personality traits? Are all “broad” traits equally broad in the constructs they encompass and in the pervasiveness of their effects? Or are some traits more or less affective, behavioral, or cognitive in nature? The present study examined these issues as they applied to the Big 5 traits of Neuroticism, Extraversion, Openness, Agreeableness, and Conscientiousness. Expert and novice raters judged the extent to which items from four popular Big 5 inventories contain behavioral, cognitive, or affective components. Traits and inventories were then compared in terms of their relative assessment of these components. Results indicate convergence among inventories but remarkable differences between traits. These findings have implications for the conceptualization and assessment of traits and suggest directions for future research.","container-title":"Personality and Social Psychology Bulletin","DOI":"10.1177/0146167202289013","ISSN":"0146-1672, 1552-7433","issue":"6","journalAbbreviation":"Pers Soc Psychol Bull","language":"en","page":"847-858","source":"DOI.org (Crossref)","title":"What Do We Assess when We Assess a Big 5 Trait? A Content Analysis of the Affective, Behavioral, and Cognitive Processes Represented in Big 5 Personality Inventories","title-short":"What Do We Assess when We Assess a Big 5 Trait?","volume":"28","author":[{"family":"Zillig","given":"Lisa M. Pytlik"},{"family":"Hemenover","given":"Scott H."},{"family":"Dienstbier","given":"Richard A."}],"issued":{"date-parts":[["2002",6]]},"citation-key":"zilligWhatWeAssess2002"}}],"schema":"https://github.com/citation-style-language/schema/raw/master/csl-citation.json"} </w:instrText>
      </w:r>
      <w:r w:rsidR="001E77AD" w:rsidRPr="00E200A5">
        <w:rPr>
          <w:rFonts w:ascii="Times New Roman" w:eastAsia="Times New Roman" w:hAnsi="Times New Roman" w:cs="Times New Roman"/>
          <w:color w:val="000000"/>
          <w:sz w:val="24"/>
          <w:szCs w:val="24"/>
          <w:lang w:eastAsia="en-GB"/>
        </w:rPr>
        <w:fldChar w:fldCharType="separate"/>
      </w:r>
      <w:r w:rsidR="001E77AD" w:rsidRPr="00E200A5">
        <w:rPr>
          <w:rFonts w:ascii="Times New Roman" w:hAnsi="Times New Roman" w:cs="Times New Roman"/>
          <w:sz w:val="24"/>
        </w:rPr>
        <w:t>(Soto &amp; John, 2017a; Zillig et al., 2002)</w:t>
      </w:r>
      <w:r w:rsidR="001E77AD" w:rsidRPr="00E200A5">
        <w:rPr>
          <w:rFonts w:ascii="Times New Roman" w:eastAsia="Times New Roman" w:hAnsi="Times New Roman" w:cs="Times New Roman"/>
          <w:color w:val="000000"/>
          <w:sz w:val="24"/>
          <w:szCs w:val="24"/>
          <w:lang w:eastAsia="en-GB"/>
        </w:rPr>
        <w:fldChar w:fldCharType="end"/>
      </w:r>
      <w:r w:rsidR="001E77AD" w:rsidRPr="00E200A5">
        <w:rPr>
          <w:rFonts w:ascii="Times New Roman" w:eastAsia="Times New Roman" w:hAnsi="Times New Roman" w:cs="Times New Roman"/>
          <w:color w:val="000000"/>
          <w:sz w:val="24"/>
          <w:szCs w:val="24"/>
          <w:lang w:eastAsia="en-GB"/>
        </w:rPr>
        <w:t xml:space="preserve">. These traits are associated with many important life outcomes, such as academic achievement </w:t>
      </w:r>
      <w:r w:rsidR="001E77AD"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{"citationID":"pJAv4UqE","properties":{"formattedCitation":"(Sori\\uc0\\u263{} et al., 2017)","plainCitation":"(Sorić et al., 2017)","noteIndex":0},"citationItems":[{"id":4254,"uris":["http://zotero.org/users/5523892/items/E7FTTLL8"],"itemData":{"id":4254,"type":"article-journal","abstract":"In the past twenty years, educational researchers have intensely focused their interest on numerous internal and external factors that contribute to a students' academic achievement. In particular, some research has explored the relationship between students' motivational beliefs (e.g. self-efﬁcacy, control perceptions, learning goal orientations) and their academic achievement, while others have investigated the role of students' personality traits in that achievement. However, not much research has examined the relationship between the Big Five traits, academic motivation, and academic achievement within the same study (Komarraju, Karau, &amp; Schmeck, 2009). Therefore, the purpose of this study was to examine whether achievement goal orientations mediate the relationship between personality traits (Extraversion, Agreeableness, Conscientiousness, Emotional Stability and Intellect) and academic achievement.","container-title":"Learning and Individual Differences","DOI":"10.1016/j.lindif.2017.01.024","ISSN":"10416080","journalAbbreviation":"Learning and Individual Differences","language":"en","page":"126-134","source":"DOI.org (Crossref)","title":"The Big Five personality traits, goal orientations, and academic achievement","volume":"54","author":[{"family":"Sorić","given":"Izabela"},{"family":"Penezić","given":"Zvjezdan"},{"family":"Burić","given":"Irena"}],"issued":{"date-parts":[["2017",2]]},"citation-key":"soricBigFivePersonality2017"}}],"schema":"https://github.com/citation-style-language/schema/raw/master/csl-citation.json"} </w:instrText>
      </w:r>
      <w:r w:rsidR="001E77AD" w:rsidRPr="00E200A5">
        <w:rPr>
          <w:rFonts w:ascii="Times New Roman" w:eastAsia="Times New Roman" w:hAnsi="Times New Roman" w:cs="Times New Roman"/>
          <w:color w:val="000000"/>
          <w:sz w:val="24"/>
          <w:szCs w:val="24"/>
          <w:lang w:eastAsia="en-GB"/>
        </w:rPr>
        <w:fldChar w:fldCharType="separate"/>
      </w:r>
      <w:r w:rsidR="001E77AD" w:rsidRPr="00E200A5">
        <w:rPr>
          <w:rFonts w:ascii="Times New Roman" w:hAnsi="Times New Roman" w:cs="Times New Roman"/>
          <w:sz w:val="24"/>
          <w:szCs w:val="24"/>
        </w:rPr>
        <w:t>(Sorić et al., 2017)</w:t>
      </w:r>
      <w:r w:rsidR="001E77AD" w:rsidRPr="00E200A5">
        <w:rPr>
          <w:rFonts w:ascii="Times New Roman" w:eastAsia="Times New Roman" w:hAnsi="Times New Roman" w:cs="Times New Roman"/>
          <w:color w:val="000000"/>
          <w:sz w:val="24"/>
          <w:szCs w:val="24"/>
          <w:lang w:eastAsia="en-GB"/>
        </w:rPr>
        <w:fldChar w:fldCharType="end"/>
      </w:r>
      <w:r w:rsidR="001E77AD" w:rsidRPr="00E200A5">
        <w:rPr>
          <w:rFonts w:ascii="Times New Roman" w:eastAsia="Times New Roman" w:hAnsi="Times New Roman" w:cs="Times New Roman"/>
          <w:color w:val="000000"/>
          <w:sz w:val="24"/>
          <w:szCs w:val="24"/>
          <w:lang w:eastAsia="en-GB"/>
        </w:rPr>
        <w:t xml:space="preserve">, political ideology </w:t>
      </w:r>
      <w:r w:rsidR="001E77AD"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{"citationID":"nEmbpH06","properties":{"formattedCitation":"(Gerber et al., 2011)","plainCitation":"(Gerber et al., 2011)","noteIndex":0},"citationItems":[{"id":4256,"uris":["http://zotero.org/users/5523892/items/FCBPYTQF"],"itemData":{"id":4256,"type":"article-journal","abstract":"Recent political science research on the effects of core personality traits—the Big Five—contributes to our understanding of how people interact with their political environments. This research examines how individual-level variations in broad, stable psychological characteristics affect individual-level political outcomes. In this article, we review recent work that uses the Big Five to predict political attitudes and behavior. We also replicate some of these analyses using new data to examine the possibility that prior ﬁndings stem from sampling error or unique political contexts. Finally, we discuss several of the challenges faced by scholars who are currently pursuing or are interested in pursuing this line of inquiry. These challenges include reﬁning theoretical explanations of how the Big Five shape political outcomes, addressing important measurement concerns, and resolving inconsistencies across studies.","container-title":"Annual Review of Political Science","DOI":"10.1146/annurev-polisci-051010-111659","ISSN":"1094-2939, 1545-1577","issue":"1","journalAbbreviation":"Annu. Rev. Polit. Sci.","language":"en","page":"265-287","source":"DOI.org (Crossref)","title":"The Big Five Personality Traits in the Political Arena","volume":"14","author":[{"family":"Gerber","given":"Alan S."},{"family":"Huber","given":"Gregory A."},{"family":"Doherty","given":"David"},{"family":"Dowling","given":"Conor M."}],"issued":{"date-parts":[["2011",6,15]]},"citation-key":"gerberBigFivePersonality2011"}}],"schema":"https://github.com/citation-style-language/schema/raw/master/csl-citation.json"} </w:instrText>
      </w:r>
      <w:r w:rsidR="001E77AD" w:rsidRPr="00E200A5">
        <w:rPr>
          <w:rFonts w:ascii="Times New Roman" w:eastAsia="Times New Roman" w:hAnsi="Times New Roman" w:cs="Times New Roman"/>
          <w:color w:val="000000"/>
          <w:sz w:val="24"/>
          <w:szCs w:val="24"/>
          <w:lang w:eastAsia="en-GB"/>
        </w:rPr>
        <w:fldChar w:fldCharType="separate"/>
      </w:r>
      <w:r w:rsidR="001E77AD" w:rsidRPr="00E200A5">
        <w:rPr>
          <w:rFonts w:ascii="Times New Roman" w:hAnsi="Times New Roman" w:cs="Times New Roman"/>
          <w:sz w:val="24"/>
        </w:rPr>
        <w:t>(Gerber et al., 2011)</w:t>
      </w:r>
      <w:r w:rsidR="001E77AD" w:rsidRPr="00E200A5">
        <w:rPr>
          <w:rFonts w:ascii="Times New Roman" w:eastAsia="Times New Roman" w:hAnsi="Times New Roman" w:cs="Times New Roman"/>
          <w:color w:val="000000"/>
          <w:sz w:val="24"/>
          <w:szCs w:val="24"/>
          <w:lang w:eastAsia="en-GB"/>
        </w:rPr>
        <w:fldChar w:fldCharType="end"/>
      </w:r>
      <w:r w:rsidR="001E77AD" w:rsidRPr="00E200A5">
        <w:rPr>
          <w:rFonts w:ascii="Times New Roman" w:eastAsia="Times New Roman" w:hAnsi="Times New Roman" w:cs="Times New Roman"/>
          <w:color w:val="000000"/>
          <w:sz w:val="24"/>
          <w:szCs w:val="24"/>
          <w:lang w:eastAsia="en-GB"/>
        </w:rPr>
        <w:t xml:space="preserve">, and well-being </w:t>
      </w:r>
      <w:r w:rsidR="001E77AD"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{"citationID":"kjyDpj9h","properties":{"formattedCitation":"(Sheldon et al., 1997)","plainCitation":"(Sheldon et al., 1997)","noteIndex":0},"citationItems":[{"id":4258,"uris":["http://zotero.org/users/5523892/items/KSLB3AZ2"],"itemData":{"id":4258,"type":"article-journal","language":"en","page":"14","source":"Zotero","title":"Trait Self and True Self: Cross-Role Variation in the Big-Five Personality Traits and Its Relations With Psychological Authenticity and Subjective Well-Being","author":[{"family":"Sheldon","given":"Kennon M"},{"family":"Ryan","given":"Richard M"},{"family":"Rawsthorne","given":"Laird J"},{"family":"Ilardi","given":"Barbara"}],"issued":{"date-parts":[["1997"]]},"citation-key":"sheldonTraitSelfTrue1997"}}],"schema":"https://github.com/citation-style-language/schema/raw/master/csl-citation.json"} </w:instrText>
      </w:r>
      <w:r w:rsidR="001E77AD" w:rsidRPr="00E200A5">
        <w:rPr>
          <w:rFonts w:ascii="Times New Roman" w:eastAsia="Times New Roman" w:hAnsi="Times New Roman" w:cs="Times New Roman"/>
          <w:color w:val="000000"/>
          <w:sz w:val="24"/>
          <w:szCs w:val="24"/>
          <w:lang w:eastAsia="en-GB"/>
        </w:rPr>
        <w:fldChar w:fldCharType="separate"/>
      </w:r>
      <w:r w:rsidR="001E77AD" w:rsidRPr="00E200A5">
        <w:rPr>
          <w:rFonts w:ascii="Times New Roman" w:hAnsi="Times New Roman" w:cs="Times New Roman"/>
          <w:sz w:val="24"/>
        </w:rPr>
        <w:t>(Sheldon et al., 1997)</w:t>
      </w:r>
      <w:r w:rsidR="001E77AD" w:rsidRPr="00E200A5">
        <w:rPr>
          <w:rFonts w:ascii="Times New Roman" w:eastAsia="Times New Roman" w:hAnsi="Times New Roman" w:cs="Times New Roman"/>
          <w:color w:val="000000"/>
          <w:sz w:val="24"/>
          <w:szCs w:val="24"/>
          <w:lang w:eastAsia="en-GB"/>
        </w:rPr>
        <w:fldChar w:fldCharType="end"/>
      </w:r>
      <w:r w:rsidR="001E77AD" w:rsidRPr="00E200A5">
        <w:rPr>
          <w:rFonts w:ascii="Times New Roman" w:eastAsia="Times New Roman" w:hAnsi="Times New Roman" w:cs="Times New Roman"/>
          <w:color w:val="000000"/>
          <w:sz w:val="24"/>
          <w:szCs w:val="24"/>
          <w:lang w:eastAsia="en-GB"/>
        </w:rPr>
        <w:t xml:space="preserve">. </w:t>
      </w:r>
    </w:p>
    <w:p w14:paraId="505F7354" w14:textId="28F3D611" w:rsidR="00E62564" w:rsidRPr="00E200A5" w:rsidRDefault="005F4D76" w:rsidP="00BB5145">
      <w:pPr>
        <w:spacing w:after="20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 </w:t>
      </w:r>
      <w:r w:rsidR="00D97FD2" w:rsidRPr="00E200A5">
        <w:rPr>
          <w:rFonts w:ascii="Times New Roman" w:eastAsia="Times New Roman" w:hAnsi="Times New Roman" w:cs="Times New Roman"/>
          <w:color w:val="000000"/>
          <w:sz w:val="24"/>
          <w:szCs w:val="24"/>
          <w:lang w:eastAsia="en-GB"/>
        </w:rPr>
        <w:t xml:space="preserve">Lin and Wang </w:t>
      </w:r>
      <w:r w:rsidR="00D97FD2"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{"citationID":"sjrLC5hc","properties":{"formattedCitation":"(Lin &amp; Wang, 2020)","plainCitation":"(Lin &amp; Wang, 2020)","dontUpdate":true,"noteIndex":0},"citationItems":[{"id":1295,"uris":["http://zotero.org/users/5523892/items/BLNTKZE9"],"itemData":{"id":1295,"type":"article-journal","abstract":"Background: Although past studies have identified factors associated with individual perceptions of vaccination, limited attention has been paid to the role of personality in individual attitudes toward vaccination. This study aimed to evaluate the effect of personality as measured by the Big Five personality traits on individual attitudes toward vaccination using a nationally representative survey in the United States.\nMethods: A cross-sectional study was conducted with a sample of 3276 American citizens who were aged 18 and above and lived in 50 U.S. states and Washington D.C. from the American National Election Studies. The survey was collected through face-to-face and online interviews using structured questionnaires in 2016. The multistage stratified cluster sampling procedure was used for face-to-face interview, whereas the USPS DSF was used to select the sample for online interview. Multivariable ordinal logistic regression was used to assess how personality traits (extraversion, agreeableness, conscientiousness, emotional stability, and openness to experience) as main explanatory variables influence the outcome variables – individual attitudes toward health benefits of vaccination and support for school vaccination.\nResults: More than two-thirds of respondents perceive health benefit of vaccination and support vaccination requirements for school entry, whereas about one-tenth of respondents have safety concerns about vaccination and oppose the vaccination requirements. After adjusting for ideology, insurance status, and demographic variables, the traits of agreeableness, conscientiousness and emotional stability remain significantly associated with attitude toward vaccination; conscientiousness is significantly associated with support for school vaccination. The odds of reporting health benefits of vaccination associated with one-point increase in agreeableness, conscientiousness and emotional stability are 1.05 (95% confidence intervals [CI] = 1.01–1.08), 1.05 (95% CI = 1.02–1.09) and 1.03 (95% CI = 1.00–1.06), respectively. For a one-point increase in conscientiousness, the odds of supporting school vaccination increase by 1.08 (95% CI = 1.05–1.12).\nConclusions: People high in agreeableness, conscientiousness and emotional stability are more likely to regard vaccination as beneficial, whereas those high in conscientiousness are more likely to support school-based vaccine requirement. This study highlights the importance of personality in shaping individual attitudes toward vaccination. More research is needed to understand the role of personality in individual health attitudes and behavior.","container-title":"BMC Public Health","DOI":"10.1186/s12889-020-09840-w","ISSN":"1471-2458","issue":"1","journalAbbreviation":"BMC Public Health","language":"en","page":"1759","source":"DOI.org (Crossref)","title":"Personality and individual attitudes toward vaccination: a nationally representative survey in the united states","volume":"20","author":[{"family":"Lin","given":"Fang-Yu"},{"family":"Wang","given":"Ching-Hsing"}],"issued":{"date-parts":[["2020",12]]},"citation-key":"linPersonalityIndividualAttitudes2020"}}],"schema":"https://github.com/citation-style-language/schema/raw/master/csl-citation.json"} </w:instrText>
      </w:r>
      <w:r w:rsidR="00D97FD2" w:rsidRPr="00E200A5">
        <w:rPr>
          <w:rFonts w:ascii="Times New Roman" w:eastAsia="Times New Roman" w:hAnsi="Times New Roman" w:cs="Times New Roman"/>
          <w:color w:val="000000"/>
          <w:sz w:val="24"/>
          <w:szCs w:val="24"/>
          <w:lang w:eastAsia="en-GB"/>
        </w:rPr>
        <w:fldChar w:fldCharType="separate"/>
      </w:r>
      <w:r w:rsidR="00D97FD2" w:rsidRPr="00E200A5">
        <w:rPr>
          <w:rFonts w:ascii="Times New Roman" w:eastAsia="Times New Roman" w:hAnsi="Times New Roman" w:cs="Times New Roman"/>
          <w:color w:val="000000"/>
          <w:sz w:val="24"/>
          <w:szCs w:val="24"/>
          <w:lang w:eastAsia="en-GB"/>
        </w:rPr>
        <w:t>(</w:t>
      </w:r>
      <w:r w:rsidR="00D97FD2" w:rsidRPr="00E200A5">
        <w:rPr>
          <w:rFonts w:ascii="Times New Roman" w:hAnsi="Times New Roman" w:cs="Times New Roman"/>
          <w:sz w:val="24"/>
        </w:rPr>
        <w:t>2020)</w:t>
      </w:r>
      <w:r w:rsidR="00D97FD2" w:rsidRPr="00E200A5">
        <w:rPr>
          <w:rFonts w:ascii="Times New Roman" w:eastAsia="Times New Roman" w:hAnsi="Times New Roman" w:cs="Times New Roman"/>
          <w:color w:val="000000"/>
          <w:sz w:val="24"/>
          <w:szCs w:val="24"/>
          <w:lang w:eastAsia="en-GB"/>
        </w:rPr>
        <w:fldChar w:fldCharType="end"/>
      </w:r>
      <w:r w:rsidR="00D97FD2" w:rsidRPr="00E200A5">
        <w:rPr>
          <w:rFonts w:ascii="Times New Roman" w:eastAsia="Times New Roman" w:hAnsi="Times New Roman" w:cs="Times New Roman"/>
          <w:color w:val="000000"/>
          <w:sz w:val="24"/>
          <w:szCs w:val="24"/>
          <w:lang w:eastAsia="en-GB"/>
        </w:rPr>
        <w:t xml:space="preserve"> observed that higher openness, agreeableness, </w:t>
      </w:r>
      <w:r w:rsidR="00CE6212" w:rsidRPr="00E200A5">
        <w:rPr>
          <w:rFonts w:ascii="Times New Roman" w:eastAsia="Times New Roman" w:hAnsi="Times New Roman" w:cs="Times New Roman"/>
          <w:color w:val="000000"/>
          <w:sz w:val="24"/>
          <w:szCs w:val="24"/>
          <w:lang w:eastAsia="en-GB"/>
        </w:rPr>
        <w:t xml:space="preserve">and </w:t>
      </w:r>
      <w:r w:rsidR="00D97FD2" w:rsidRPr="00E200A5">
        <w:rPr>
          <w:rFonts w:ascii="Times New Roman" w:eastAsia="Times New Roman" w:hAnsi="Times New Roman" w:cs="Times New Roman"/>
          <w:color w:val="000000"/>
          <w:sz w:val="24"/>
          <w:szCs w:val="24"/>
          <w:lang w:eastAsia="en-GB"/>
        </w:rPr>
        <w:t>conscientiousness, and lower neuroticism were associated with a belief in the health benefits of vaccination. Lee et al. (</w:t>
      </w:r>
      <w:r w:rsidR="00D97FD2"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{"citationID":"zAfRaTGm","properties":{"formattedCitation":"(Lee et al., 2017)","plainCitation":"(Lee et al., 2017)","dontUpdate":true,"noteIndex":0},"citationItems":[{"id":1281,"uris":["http://zotero.org/users/5523892/items/BAHV7RIX"],"itemData":{"id":1281,"type":"article-journal","abstract":"Despite extensive scientiﬁc evidence on the safety of standard vaccinations, some parents express skeptical attitudes towards the safety of childhood immunisations. This paper uses data from the 2013/14 New Zealand Attitudes and Values Study (NZAVS) survey (N = 16,642) to explore the distribution, and demographic and personality correlates of New Zealanders’ attitudes towards the safety of childhood vaccinations. Around two thirds (68.5%) of New Zealanders strongly agreed/were conﬁdent that ‘‘it is safe to vaccinate children following the standard New Zealand immunisation schedule,” 26% were skeptical and 5.5% were strongly opposed. Multiple regression analysis indicated that people lower on Conscientiousness and Agreeableness but higher on Openness to Experience expressed lower conﬁdence about vaccine safety. Having higher subjective health satisfaction, living rurally, being Ma¯ ori, single, employed and not a parent were all associated with lower conﬁdence, while a higher income and educational attainment were associated with greater conﬁdence. Our ﬁndings suggest that the majority of New Zealand adults trust in the safety of scheduled childhood vaccinations, but about one third do express some degree of concern. This ﬁnding highlights the importance of improving public education about the safety and necessity of vaccinations.","container-title":"Vaccine","DOI":"10.1016/j.vaccine.2017.09.061","ISSN":"0264410X","issue":"45","journalAbbreviation":"Vaccine","language":"en","page":"6089-6095","source":"DOI.org (Crossref)","title":"Personality and demographic correlates of new zealanders’ confidence in the safety of childhood vaccinations","volume":"35","author":[{"family":"Lee","given":"Carol H.J."},{"family":"Duck","given":"Isabelle M."},{"family":"Sibley","given":"Chris G."}],"issued":{"date-parts":[["2017",10]]},"citation-key":"leePersonalityDemographicCorrelates2017"}}],"schema":"https://github.com/citation-style-language/schema/raw/master/csl-citation.json"} </w:instrText>
      </w:r>
      <w:r w:rsidR="00D97FD2" w:rsidRPr="00E200A5">
        <w:rPr>
          <w:rFonts w:ascii="Times New Roman" w:eastAsia="Times New Roman" w:hAnsi="Times New Roman" w:cs="Times New Roman"/>
          <w:color w:val="000000"/>
          <w:sz w:val="24"/>
          <w:szCs w:val="24"/>
          <w:lang w:eastAsia="en-GB"/>
        </w:rPr>
        <w:fldChar w:fldCharType="separate"/>
      </w:r>
      <w:r w:rsidR="00D97FD2" w:rsidRPr="00E200A5">
        <w:rPr>
          <w:rFonts w:ascii="Times New Roman" w:hAnsi="Times New Roman" w:cs="Times New Roman"/>
          <w:sz w:val="24"/>
        </w:rPr>
        <w:t>2017)</w:t>
      </w:r>
      <w:r w:rsidR="00D97FD2" w:rsidRPr="00E200A5">
        <w:rPr>
          <w:rFonts w:ascii="Times New Roman" w:eastAsia="Times New Roman" w:hAnsi="Times New Roman" w:cs="Times New Roman"/>
          <w:color w:val="000000"/>
          <w:sz w:val="24"/>
          <w:szCs w:val="24"/>
          <w:lang w:eastAsia="en-GB"/>
        </w:rPr>
        <w:fldChar w:fldCharType="end"/>
      </w:r>
      <w:r w:rsidR="00D97FD2" w:rsidRPr="00E200A5">
        <w:rPr>
          <w:rFonts w:ascii="Times New Roman" w:eastAsia="Times New Roman" w:hAnsi="Times New Roman" w:cs="Times New Roman"/>
          <w:color w:val="000000"/>
          <w:sz w:val="24"/>
          <w:szCs w:val="24"/>
          <w:lang w:eastAsia="en-GB"/>
        </w:rPr>
        <w:t xml:space="preserve"> reported somewhat similar findings insomuch </w:t>
      </w:r>
      <w:r w:rsidR="00CE6212" w:rsidRPr="00E200A5">
        <w:rPr>
          <w:rFonts w:ascii="Times New Roman" w:eastAsia="Times New Roman" w:hAnsi="Times New Roman" w:cs="Times New Roman"/>
          <w:color w:val="000000"/>
          <w:sz w:val="24"/>
          <w:szCs w:val="24"/>
          <w:lang w:eastAsia="en-GB"/>
        </w:rPr>
        <w:t xml:space="preserve">as </w:t>
      </w:r>
      <w:r w:rsidR="00D97FD2" w:rsidRPr="00E200A5">
        <w:rPr>
          <w:rFonts w:ascii="Times New Roman" w:eastAsia="Times New Roman" w:hAnsi="Times New Roman" w:cs="Times New Roman"/>
          <w:color w:val="000000"/>
          <w:sz w:val="24"/>
          <w:szCs w:val="24"/>
          <w:lang w:eastAsia="en-GB"/>
        </w:rPr>
        <w:t xml:space="preserve">higher agreeableness and conscientiousness were related to positive vaccination attitudes; but these authors </w:t>
      </w:r>
      <w:r w:rsidR="00FA5715" w:rsidRPr="00E200A5">
        <w:rPr>
          <w:rFonts w:ascii="Times New Roman" w:eastAsia="Times New Roman" w:hAnsi="Times New Roman" w:cs="Times New Roman"/>
          <w:color w:val="000000"/>
          <w:sz w:val="24"/>
          <w:szCs w:val="24"/>
          <w:lang w:eastAsia="en-GB"/>
        </w:rPr>
        <w:t xml:space="preserve">also </w:t>
      </w:r>
      <w:r w:rsidR="00D97FD2" w:rsidRPr="00E200A5">
        <w:rPr>
          <w:rFonts w:ascii="Times New Roman" w:eastAsia="Times New Roman" w:hAnsi="Times New Roman" w:cs="Times New Roman"/>
          <w:color w:val="000000"/>
          <w:sz w:val="24"/>
          <w:szCs w:val="24"/>
          <w:lang w:eastAsia="en-GB"/>
        </w:rPr>
        <w:t xml:space="preserve">observed that </w:t>
      </w:r>
      <w:r w:rsidR="00D97FD2" w:rsidRPr="00E200A5">
        <w:rPr>
          <w:rFonts w:ascii="Times New Roman" w:eastAsia="Times New Roman" w:hAnsi="Times New Roman" w:cs="Times New Roman"/>
          <w:i/>
          <w:iCs/>
          <w:color w:val="000000"/>
          <w:sz w:val="24"/>
          <w:szCs w:val="24"/>
          <w:lang w:eastAsia="en-GB"/>
        </w:rPr>
        <w:t>lower</w:t>
      </w:r>
      <w:r w:rsidR="00D97FD2" w:rsidRPr="00E200A5">
        <w:rPr>
          <w:rFonts w:ascii="Times New Roman" w:eastAsia="Times New Roman" w:hAnsi="Times New Roman" w:cs="Times New Roman"/>
          <w:color w:val="000000"/>
          <w:sz w:val="24"/>
          <w:szCs w:val="24"/>
          <w:lang w:eastAsia="en-GB"/>
        </w:rPr>
        <w:t xml:space="preserve"> openness </w:t>
      </w:r>
      <w:r w:rsidR="006C74FD" w:rsidRPr="00E200A5">
        <w:rPr>
          <w:rFonts w:ascii="Times New Roman" w:eastAsia="Times New Roman" w:hAnsi="Times New Roman" w:cs="Times New Roman"/>
          <w:color w:val="000000"/>
          <w:sz w:val="24"/>
          <w:szCs w:val="24"/>
          <w:lang w:eastAsia="en-GB"/>
        </w:rPr>
        <w:t xml:space="preserve">was </w:t>
      </w:r>
      <w:r w:rsidR="00D97FD2" w:rsidRPr="00E200A5">
        <w:rPr>
          <w:rFonts w:ascii="Times New Roman" w:eastAsia="Times New Roman" w:hAnsi="Times New Roman" w:cs="Times New Roman"/>
          <w:color w:val="000000"/>
          <w:sz w:val="24"/>
          <w:szCs w:val="24"/>
          <w:lang w:eastAsia="en-GB"/>
        </w:rPr>
        <w:t xml:space="preserve">related </w:t>
      </w:r>
      <w:r w:rsidR="003B2D13" w:rsidRPr="00E200A5">
        <w:rPr>
          <w:rFonts w:ascii="Times New Roman" w:eastAsia="Times New Roman" w:hAnsi="Times New Roman" w:cs="Times New Roman"/>
          <w:color w:val="000000"/>
          <w:sz w:val="24"/>
          <w:szCs w:val="24"/>
          <w:lang w:eastAsia="en-GB"/>
        </w:rPr>
        <w:t xml:space="preserve">to </w:t>
      </w:r>
      <w:r w:rsidR="00D97FD2" w:rsidRPr="00E200A5">
        <w:rPr>
          <w:rFonts w:ascii="Times New Roman" w:eastAsia="Times New Roman" w:hAnsi="Times New Roman" w:cs="Times New Roman"/>
          <w:color w:val="000000"/>
          <w:sz w:val="24"/>
          <w:szCs w:val="24"/>
          <w:lang w:eastAsia="en-GB"/>
        </w:rPr>
        <w:t xml:space="preserve">positive vaccination attitudes, and no association with neuroticism was found. </w:t>
      </w:r>
      <w:r w:rsidR="00B1528A" w:rsidRPr="00E200A5">
        <w:rPr>
          <w:rFonts w:ascii="Times New Roman" w:eastAsia="Times New Roman" w:hAnsi="Times New Roman" w:cs="Times New Roman"/>
          <w:color w:val="000000"/>
          <w:sz w:val="24"/>
          <w:szCs w:val="24"/>
          <w:lang w:eastAsia="en-GB"/>
        </w:rPr>
        <w:t xml:space="preserve">And </w:t>
      </w:r>
      <w:r w:rsidR="00D97FD2" w:rsidRPr="00E200A5">
        <w:rPr>
          <w:rFonts w:ascii="Times New Roman" w:eastAsia="Times New Roman" w:hAnsi="Times New Roman" w:cs="Times New Roman"/>
          <w:color w:val="000000"/>
          <w:sz w:val="24"/>
          <w:szCs w:val="24"/>
          <w:lang w:eastAsia="en-GB"/>
        </w:rPr>
        <w:t>Murphy et al. (2021)</w:t>
      </w:r>
      <w:r w:rsidR="00B1528A" w:rsidRPr="00E200A5">
        <w:rPr>
          <w:rFonts w:ascii="Times New Roman" w:eastAsia="Times New Roman" w:hAnsi="Times New Roman" w:cs="Times New Roman"/>
          <w:color w:val="000000"/>
          <w:sz w:val="24"/>
          <w:szCs w:val="24"/>
          <w:lang w:eastAsia="en-GB"/>
        </w:rPr>
        <w:t xml:space="preserve"> found </w:t>
      </w:r>
      <w:r w:rsidR="003C7355" w:rsidRPr="00E200A5">
        <w:rPr>
          <w:rFonts w:ascii="Times New Roman" w:eastAsia="Times New Roman" w:hAnsi="Times New Roman" w:cs="Times New Roman"/>
          <w:color w:val="000000"/>
          <w:sz w:val="24"/>
          <w:szCs w:val="24"/>
          <w:lang w:eastAsia="en-GB"/>
        </w:rPr>
        <w:t xml:space="preserve">only higher </w:t>
      </w:r>
      <w:r w:rsidR="00B1528A" w:rsidRPr="00E200A5">
        <w:rPr>
          <w:rFonts w:ascii="Times New Roman" w:eastAsia="Times New Roman" w:hAnsi="Times New Roman" w:cs="Times New Roman"/>
          <w:color w:val="000000"/>
          <w:sz w:val="24"/>
          <w:szCs w:val="24"/>
          <w:lang w:eastAsia="en-GB"/>
        </w:rPr>
        <w:t>agreeableness</w:t>
      </w:r>
      <w:r w:rsidR="003C7355" w:rsidRPr="00E200A5">
        <w:rPr>
          <w:rFonts w:ascii="Times New Roman" w:eastAsia="Times New Roman" w:hAnsi="Times New Roman" w:cs="Times New Roman"/>
          <w:color w:val="000000"/>
          <w:sz w:val="24"/>
          <w:szCs w:val="24"/>
          <w:lang w:eastAsia="en-GB"/>
        </w:rPr>
        <w:t xml:space="preserve"> to be</w:t>
      </w:r>
      <w:r w:rsidR="00B1528A" w:rsidRPr="00E200A5">
        <w:rPr>
          <w:rFonts w:ascii="Times New Roman" w:eastAsia="Times New Roman" w:hAnsi="Times New Roman" w:cs="Times New Roman"/>
          <w:color w:val="000000"/>
          <w:sz w:val="24"/>
          <w:szCs w:val="24"/>
          <w:lang w:eastAsia="en-GB"/>
        </w:rPr>
        <w:t xml:space="preserve"> predictive of pro-vaccination attitudes</w:t>
      </w:r>
      <w:r w:rsidR="00B5396C" w:rsidRPr="00E200A5">
        <w:rPr>
          <w:rFonts w:ascii="Times New Roman" w:eastAsia="Times New Roman" w:hAnsi="Times New Roman" w:cs="Times New Roman"/>
          <w:color w:val="000000"/>
          <w:sz w:val="24"/>
          <w:szCs w:val="24"/>
          <w:lang w:eastAsia="en-GB"/>
        </w:rPr>
        <w:t xml:space="preserve"> in an Irish sample</w:t>
      </w:r>
      <w:r w:rsidR="00786CAB" w:rsidRPr="00E200A5">
        <w:rPr>
          <w:rFonts w:ascii="Times New Roman" w:eastAsia="Times New Roman" w:hAnsi="Times New Roman" w:cs="Times New Roman"/>
          <w:color w:val="000000"/>
          <w:sz w:val="24"/>
          <w:szCs w:val="24"/>
          <w:lang w:eastAsia="en-GB"/>
        </w:rPr>
        <w:t>:</w:t>
      </w:r>
      <w:r w:rsidR="003C7355" w:rsidRPr="00E200A5">
        <w:rPr>
          <w:rFonts w:ascii="Times New Roman" w:eastAsia="Times New Roman" w:hAnsi="Times New Roman" w:cs="Times New Roman"/>
          <w:color w:val="000000"/>
          <w:sz w:val="24"/>
          <w:szCs w:val="24"/>
          <w:lang w:eastAsia="en-GB"/>
        </w:rPr>
        <w:t xml:space="preserve"> whereas in </w:t>
      </w:r>
      <w:r w:rsidR="00B5396C" w:rsidRPr="00E200A5">
        <w:rPr>
          <w:rFonts w:ascii="Times New Roman" w:eastAsia="Times New Roman" w:hAnsi="Times New Roman" w:cs="Times New Roman"/>
          <w:color w:val="000000"/>
          <w:sz w:val="24"/>
          <w:szCs w:val="24"/>
          <w:lang w:eastAsia="en-GB"/>
        </w:rPr>
        <w:t xml:space="preserve">a </w:t>
      </w:r>
      <w:r w:rsidR="00C00563" w:rsidRPr="00E200A5">
        <w:rPr>
          <w:rFonts w:ascii="Times New Roman" w:eastAsia="Times New Roman" w:hAnsi="Times New Roman" w:cs="Times New Roman"/>
          <w:color w:val="000000"/>
          <w:sz w:val="24"/>
          <w:szCs w:val="24"/>
          <w:lang w:eastAsia="en-GB"/>
        </w:rPr>
        <w:t>UK</w:t>
      </w:r>
      <w:r w:rsidR="00B5396C" w:rsidRPr="00E200A5">
        <w:rPr>
          <w:rFonts w:ascii="Times New Roman" w:eastAsia="Times New Roman" w:hAnsi="Times New Roman" w:cs="Times New Roman"/>
          <w:color w:val="000000"/>
          <w:sz w:val="24"/>
          <w:szCs w:val="24"/>
          <w:lang w:eastAsia="en-GB"/>
        </w:rPr>
        <w:t xml:space="preserve"> sample</w:t>
      </w:r>
      <w:r w:rsidR="00D97FD2" w:rsidRPr="00E200A5">
        <w:rPr>
          <w:rFonts w:ascii="Times New Roman" w:eastAsia="Times New Roman" w:hAnsi="Times New Roman" w:cs="Times New Roman"/>
          <w:color w:val="000000"/>
          <w:sz w:val="24"/>
          <w:szCs w:val="24"/>
          <w:lang w:eastAsia="en-GB"/>
        </w:rPr>
        <w:t xml:space="preserve"> they found high</w:t>
      </w:r>
      <w:r w:rsidR="003C7355" w:rsidRPr="00E200A5">
        <w:rPr>
          <w:rFonts w:ascii="Times New Roman" w:eastAsia="Times New Roman" w:hAnsi="Times New Roman" w:cs="Times New Roman"/>
          <w:color w:val="000000"/>
          <w:sz w:val="24"/>
          <w:szCs w:val="24"/>
          <w:lang w:eastAsia="en-GB"/>
        </w:rPr>
        <w:t xml:space="preserve">er </w:t>
      </w:r>
      <w:r w:rsidR="00D97FD2" w:rsidRPr="00E200A5">
        <w:rPr>
          <w:rFonts w:ascii="Times New Roman" w:eastAsia="Times New Roman" w:hAnsi="Times New Roman" w:cs="Times New Roman"/>
          <w:color w:val="000000"/>
          <w:sz w:val="24"/>
          <w:szCs w:val="24"/>
          <w:lang w:eastAsia="en-GB"/>
        </w:rPr>
        <w:t>agreeableness and conscientiousness, and low</w:t>
      </w:r>
      <w:r w:rsidR="003C7355" w:rsidRPr="00E200A5">
        <w:rPr>
          <w:rFonts w:ascii="Times New Roman" w:eastAsia="Times New Roman" w:hAnsi="Times New Roman" w:cs="Times New Roman"/>
          <w:color w:val="000000"/>
          <w:sz w:val="24"/>
          <w:szCs w:val="24"/>
          <w:lang w:eastAsia="en-GB"/>
        </w:rPr>
        <w:t xml:space="preserve">er </w:t>
      </w:r>
      <w:r w:rsidR="00D97FD2" w:rsidRPr="00E200A5">
        <w:rPr>
          <w:rFonts w:ascii="Times New Roman" w:eastAsia="Times New Roman" w:hAnsi="Times New Roman" w:cs="Times New Roman"/>
          <w:color w:val="000000"/>
          <w:sz w:val="24"/>
          <w:szCs w:val="24"/>
          <w:lang w:eastAsia="en-GB"/>
        </w:rPr>
        <w:t xml:space="preserve">neuroticism </w:t>
      </w:r>
      <w:r w:rsidR="003C7355" w:rsidRPr="00E200A5">
        <w:rPr>
          <w:rFonts w:ascii="Times New Roman" w:eastAsia="Times New Roman" w:hAnsi="Times New Roman" w:cs="Times New Roman"/>
          <w:color w:val="000000"/>
          <w:sz w:val="24"/>
          <w:szCs w:val="24"/>
          <w:lang w:eastAsia="en-GB"/>
        </w:rPr>
        <w:t>to be predictive of pro-vaccination attitudes</w:t>
      </w:r>
      <w:r w:rsidR="00D97FD2" w:rsidRPr="00E200A5">
        <w:rPr>
          <w:rFonts w:ascii="Times New Roman" w:eastAsia="Times New Roman" w:hAnsi="Times New Roman" w:cs="Times New Roman"/>
          <w:color w:val="000000"/>
          <w:sz w:val="24"/>
          <w:szCs w:val="24"/>
          <w:lang w:eastAsia="en-GB"/>
        </w:rPr>
        <w:t xml:space="preserve">. Across all of these studies, </w:t>
      </w:r>
      <w:r w:rsidR="003C7355" w:rsidRPr="00E200A5">
        <w:rPr>
          <w:rFonts w:ascii="Times New Roman" w:eastAsia="Times New Roman" w:hAnsi="Times New Roman" w:cs="Times New Roman"/>
          <w:color w:val="000000"/>
          <w:sz w:val="24"/>
          <w:szCs w:val="24"/>
          <w:lang w:eastAsia="en-GB"/>
        </w:rPr>
        <w:t xml:space="preserve">then, agreeableness and conscientiousness appear to show </w:t>
      </w:r>
      <w:r w:rsidR="00B04CDF" w:rsidRPr="00E200A5">
        <w:rPr>
          <w:rFonts w:ascii="Times New Roman" w:eastAsia="Times New Roman" w:hAnsi="Times New Roman" w:cs="Times New Roman"/>
          <w:color w:val="000000"/>
          <w:sz w:val="24"/>
          <w:szCs w:val="24"/>
          <w:lang w:eastAsia="en-GB"/>
        </w:rPr>
        <w:t xml:space="preserve">somewhat </w:t>
      </w:r>
      <w:r w:rsidR="003C7355" w:rsidRPr="00E200A5">
        <w:rPr>
          <w:rFonts w:ascii="Times New Roman" w:eastAsia="Times New Roman" w:hAnsi="Times New Roman" w:cs="Times New Roman"/>
          <w:color w:val="000000"/>
          <w:sz w:val="24"/>
          <w:szCs w:val="24"/>
          <w:lang w:eastAsia="en-GB"/>
        </w:rPr>
        <w:t>consistent links to vaccine sentiment, with tentative evidence for neuroticism and openness</w:t>
      </w:r>
      <w:r w:rsidR="00D97FD2" w:rsidRPr="00E200A5">
        <w:rPr>
          <w:rFonts w:ascii="Times New Roman" w:eastAsia="Times New Roman" w:hAnsi="Times New Roman" w:cs="Times New Roman"/>
          <w:color w:val="000000"/>
          <w:sz w:val="24"/>
          <w:szCs w:val="24"/>
          <w:lang w:eastAsia="en-GB"/>
        </w:rPr>
        <w:t>.</w:t>
      </w:r>
    </w:p>
    <w:p w14:paraId="6197E0C5" w14:textId="0B048FA0" w:rsidR="00BB5145" w:rsidRPr="00E200A5" w:rsidRDefault="00BB5145" w:rsidP="00E62564">
      <w:pPr>
        <w:spacing w:after="20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There are several possible reasons for this variability in findings across studies. Two of these studies examined vaccination for children (Lee et al., 2017</w:t>
      </w:r>
      <w:r w:rsidR="00E62564"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color w:val="000000"/>
          <w:sz w:val="24"/>
          <w:szCs w:val="24"/>
          <w:lang w:eastAsia="en-GB"/>
        </w:rPr>
        <w:t xml:space="preserve"> Ling and Wang, 2020), and one examined COVID vaccination (Murphy et al. (2021). They also examined different populations – </w:t>
      </w:r>
      <w:r w:rsidR="00E62564" w:rsidRPr="00E200A5">
        <w:rPr>
          <w:rFonts w:ascii="Times New Roman" w:eastAsia="Times New Roman" w:hAnsi="Times New Roman" w:cs="Times New Roman"/>
          <w:color w:val="000000"/>
          <w:sz w:val="24"/>
          <w:szCs w:val="24"/>
          <w:lang w:eastAsia="en-GB"/>
        </w:rPr>
        <w:t>t</w:t>
      </w:r>
      <w:r w:rsidRPr="00E200A5">
        <w:rPr>
          <w:rFonts w:ascii="Times New Roman" w:eastAsia="Times New Roman" w:hAnsi="Times New Roman" w:cs="Times New Roman"/>
          <w:color w:val="000000"/>
          <w:sz w:val="24"/>
          <w:szCs w:val="24"/>
          <w:lang w:eastAsia="en-GB"/>
        </w:rPr>
        <w:t xml:space="preserve">he US, New Zealand, and UK and Ireland, respectively. Finally, they measured vaccination in different ways – with two of the studies asking participants whether they would </w:t>
      </w:r>
      <w:r w:rsidRPr="00E200A5">
        <w:rPr>
          <w:rFonts w:ascii="Times New Roman" w:eastAsia="Times New Roman" w:hAnsi="Times New Roman" w:cs="Times New Roman"/>
          <w:color w:val="000000"/>
          <w:sz w:val="24"/>
          <w:szCs w:val="24"/>
          <w:lang w:eastAsia="en-GB"/>
        </w:rPr>
        <w:lastRenderedPageBreak/>
        <w:t xml:space="preserve">support the idea of vaccination and one study explicitly asking participants if they would get vaccinated. </w:t>
      </w:r>
    </w:p>
    <w:p w14:paraId="4D7DFF3A" w14:textId="3825ADCC" w:rsidR="003C7355" w:rsidRPr="00E200A5" w:rsidRDefault="00F81FCE" w:rsidP="00BB5145">
      <w:pPr>
        <w:spacing w:after="20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A range of c</w:t>
      </w:r>
      <w:r w:rsidR="003C7355" w:rsidRPr="00E200A5">
        <w:rPr>
          <w:rFonts w:ascii="Times New Roman" w:eastAsia="Times New Roman" w:hAnsi="Times New Roman" w:cs="Times New Roman"/>
          <w:color w:val="000000"/>
          <w:sz w:val="24"/>
          <w:szCs w:val="24"/>
          <w:lang w:eastAsia="en-GB"/>
        </w:rPr>
        <w:t>ognitive traits have also shown links to vaccine sentiment.</w:t>
      </w:r>
      <w:r w:rsidR="00D97FD2" w:rsidRPr="00E200A5">
        <w:rPr>
          <w:rFonts w:ascii="Times New Roman" w:eastAsia="Times New Roman" w:hAnsi="Times New Roman" w:cs="Times New Roman"/>
          <w:color w:val="000000"/>
          <w:sz w:val="24"/>
          <w:szCs w:val="24"/>
          <w:lang w:eastAsia="en-GB"/>
        </w:rPr>
        <w:t xml:space="preserve"> </w:t>
      </w:r>
      <w:r w:rsidR="003C7355" w:rsidRPr="00E200A5">
        <w:rPr>
          <w:rFonts w:ascii="Times New Roman" w:eastAsia="Times New Roman" w:hAnsi="Times New Roman" w:cs="Times New Roman"/>
          <w:color w:val="000000"/>
          <w:sz w:val="24"/>
          <w:szCs w:val="24"/>
          <w:lang w:eastAsia="en-GB"/>
        </w:rPr>
        <w:t xml:space="preserve">For example, </w:t>
      </w:r>
      <w:r w:rsidR="00B23C51" w:rsidRPr="00E200A5">
        <w:rPr>
          <w:rFonts w:ascii="Times New Roman" w:eastAsia="Times New Roman" w:hAnsi="Times New Roman" w:cs="Times New Roman"/>
          <w:color w:val="000000"/>
          <w:sz w:val="24"/>
          <w:szCs w:val="24"/>
          <w:lang w:eastAsia="en-GB"/>
        </w:rPr>
        <w:t xml:space="preserve">Murphy et al. (2021) </w:t>
      </w:r>
      <w:r w:rsidR="00D97FD2" w:rsidRPr="00E200A5">
        <w:rPr>
          <w:rFonts w:ascii="Times New Roman" w:eastAsia="Times New Roman" w:hAnsi="Times New Roman" w:cs="Times New Roman"/>
          <w:color w:val="000000"/>
          <w:sz w:val="24"/>
          <w:szCs w:val="24"/>
          <w:lang w:eastAsia="en-GB"/>
        </w:rPr>
        <w:t xml:space="preserve">identified a </w:t>
      </w:r>
      <w:r w:rsidR="00BD5060" w:rsidRPr="00E200A5">
        <w:rPr>
          <w:rFonts w:ascii="Times New Roman" w:eastAsia="Times New Roman" w:hAnsi="Times New Roman" w:cs="Times New Roman"/>
          <w:color w:val="000000"/>
          <w:sz w:val="24"/>
          <w:szCs w:val="24"/>
          <w:lang w:eastAsia="en-GB"/>
        </w:rPr>
        <w:t xml:space="preserve">negative </w:t>
      </w:r>
      <w:r w:rsidR="00D97FD2" w:rsidRPr="00E200A5">
        <w:rPr>
          <w:rFonts w:ascii="Times New Roman" w:eastAsia="Times New Roman" w:hAnsi="Times New Roman" w:cs="Times New Roman"/>
          <w:color w:val="000000"/>
          <w:sz w:val="24"/>
          <w:szCs w:val="24"/>
          <w:lang w:eastAsia="en-GB"/>
        </w:rPr>
        <w:t xml:space="preserve">relationship between </w:t>
      </w:r>
      <w:r w:rsidR="00B23C51" w:rsidRPr="00E200A5">
        <w:rPr>
          <w:rFonts w:ascii="Times New Roman" w:eastAsia="Times New Roman" w:hAnsi="Times New Roman" w:cs="Times New Roman"/>
          <w:color w:val="000000"/>
          <w:sz w:val="24"/>
          <w:szCs w:val="24"/>
          <w:lang w:eastAsia="en-GB"/>
        </w:rPr>
        <w:t xml:space="preserve">vaccination hesitancy and </w:t>
      </w:r>
      <w:r w:rsidR="00D97FD2" w:rsidRPr="00E200A5">
        <w:rPr>
          <w:rFonts w:ascii="Times New Roman" w:eastAsia="Times New Roman" w:hAnsi="Times New Roman" w:cs="Times New Roman"/>
          <w:color w:val="000000"/>
          <w:sz w:val="24"/>
          <w:szCs w:val="24"/>
          <w:lang w:eastAsia="en-GB"/>
        </w:rPr>
        <w:t>cognitive reflection (</w:t>
      </w:r>
      <w:r w:rsidR="00CE6212" w:rsidRPr="00E200A5">
        <w:rPr>
          <w:rFonts w:ascii="Times New Roman" w:eastAsia="Times New Roman" w:hAnsi="Times New Roman" w:cs="Times New Roman"/>
          <w:color w:val="000000"/>
          <w:sz w:val="24"/>
          <w:szCs w:val="24"/>
          <w:lang w:eastAsia="en-GB"/>
        </w:rPr>
        <w:t xml:space="preserve">operationalised as </w:t>
      </w:r>
      <w:r w:rsidR="00D97FD2" w:rsidRPr="00E200A5">
        <w:rPr>
          <w:rFonts w:ascii="Times New Roman" w:eastAsia="Times New Roman" w:hAnsi="Times New Roman" w:cs="Times New Roman"/>
          <w:color w:val="000000"/>
          <w:sz w:val="24"/>
          <w:szCs w:val="24"/>
          <w:lang w:eastAsia="en-GB"/>
        </w:rPr>
        <w:t xml:space="preserve">the ability to choose a correct but cognitively demanding answer over </w:t>
      </w:r>
      <w:r w:rsidR="00191A72" w:rsidRPr="00E200A5">
        <w:rPr>
          <w:rFonts w:ascii="Times New Roman" w:eastAsia="Times New Roman" w:hAnsi="Times New Roman" w:cs="Times New Roman"/>
          <w:color w:val="000000"/>
          <w:sz w:val="24"/>
          <w:szCs w:val="24"/>
          <w:lang w:eastAsia="en-GB"/>
        </w:rPr>
        <w:t>what on the face of it appears</w:t>
      </w:r>
      <w:r w:rsidR="00D97FD2" w:rsidRPr="00E200A5">
        <w:rPr>
          <w:rFonts w:ascii="Times New Roman" w:eastAsia="Times New Roman" w:hAnsi="Times New Roman" w:cs="Times New Roman"/>
          <w:color w:val="000000"/>
          <w:sz w:val="24"/>
          <w:szCs w:val="24"/>
          <w:lang w:eastAsia="en-GB"/>
        </w:rPr>
        <w:t xml:space="preserve"> obvious but </w:t>
      </w:r>
      <w:r w:rsidR="00191A72" w:rsidRPr="00E200A5">
        <w:rPr>
          <w:rFonts w:ascii="Times New Roman" w:eastAsia="Times New Roman" w:hAnsi="Times New Roman" w:cs="Times New Roman"/>
          <w:color w:val="000000"/>
          <w:sz w:val="24"/>
          <w:szCs w:val="24"/>
          <w:lang w:eastAsia="en-GB"/>
        </w:rPr>
        <w:t xml:space="preserve">is nonetheless </w:t>
      </w:r>
      <w:r w:rsidR="00D97FD2" w:rsidRPr="00E200A5">
        <w:rPr>
          <w:rFonts w:ascii="Times New Roman" w:eastAsia="Times New Roman" w:hAnsi="Times New Roman" w:cs="Times New Roman"/>
          <w:color w:val="000000"/>
          <w:sz w:val="24"/>
          <w:szCs w:val="24"/>
          <w:lang w:eastAsia="en-GB"/>
        </w:rPr>
        <w:t>incorrect</w:t>
      </w:r>
      <w:r w:rsidR="00CE6212" w:rsidRPr="00E200A5">
        <w:rPr>
          <w:rFonts w:ascii="Times New Roman" w:eastAsia="Times New Roman" w:hAnsi="Times New Roman" w:cs="Times New Roman"/>
          <w:color w:val="000000"/>
          <w:sz w:val="24"/>
          <w:szCs w:val="24"/>
          <w:lang w:eastAsia="en-GB"/>
        </w:rPr>
        <w:t>;</w:t>
      </w:r>
      <w:r w:rsidR="00D97FD2" w:rsidRPr="00E200A5">
        <w:rPr>
          <w:rFonts w:ascii="Times New Roman" w:eastAsia="Times New Roman" w:hAnsi="Times New Roman" w:cs="Times New Roman"/>
          <w:color w:val="000000"/>
          <w:sz w:val="24"/>
          <w:szCs w:val="24"/>
          <w:lang w:eastAsia="en-GB"/>
        </w:rPr>
        <w:t xml:space="preserve"> </w:t>
      </w:r>
      <w:r w:rsidR="00D97FD2"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{"citationID":"CB0cE9o6","properties":{"formattedCitation":"(Frederick, 2005)","plainCitation":"(Frederick, 2005)","dontUpdate":true,"noteIndex":0},"citationItems":[{"id":1498,"uris":["http://zotero.org/users/5523892/items/ARSFFZ73"],"itemData":{"id":1498,"type":"article-journal","container-title":"The Journal of Economic Perspectives","issue":"4","language":"en","page":"25-42","source":"Zotero","title":"Cognitive reflection and decision making","volume":"19","author":[{"family":"Frederick","given":"Shane"}],"issued":{"date-parts":[["2005"]]},"citation-key":"frederickCognitiveReflectionDecision2005"}}],"schema":"https://github.com/citation-style-language/schema/raw/master/csl-citation.json"} </w:instrText>
      </w:r>
      <w:r w:rsidR="00D97FD2" w:rsidRPr="00E200A5">
        <w:rPr>
          <w:rFonts w:ascii="Times New Roman" w:eastAsia="Times New Roman" w:hAnsi="Times New Roman" w:cs="Times New Roman"/>
          <w:color w:val="000000"/>
          <w:sz w:val="24"/>
          <w:szCs w:val="24"/>
          <w:lang w:eastAsia="en-GB"/>
        </w:rPr>
        <w:fldChar w:fldCharType="separate"/>
      </w:r>
      <w:r w:rsidR="00AF0251" w:rsidRPr="00E200A5">
        <w:rPr>
          <w:rFonts w:ascii="Times New Roman" w:hAnsi="Times New Roman" w:cs="Times New Roman"/>
          <w:sz w:val="24"/>
        </w:rPr>
        <w:t>Frederick, 2005)</w:t>
      </w:r>
      <w:r w:rsidR="00D97FD2" w:rsidRPr="00E200A5">
        <w:rPr>
          <w:rFonts w:ascii="Times New Roman" w:eastAsia="Times New Roman" w:hAnsi="Times New Roman" w:cs="Times New Roman"/>
          <w:color w:val="000000"/>
          <w:sz w:val="24"/>
          <w:szCs w:val="24"/>
          <w:lang w:eastAsia="en-GB"/>
        </w:rPr>
        <w:fldChar w:fldCharType="end"/>
      </w:r>
      <w:r w:rsidR="00D97FD2" w:rsidRPr="00E200A5">
        <w:rPr>
          <w:rFonts w:ascii="Times New Roman" w:eastAsia="Times New Roman" w:hAnsi="Times New Roman" w:cs="Times New Roman"/>
          <w:color w:val="000000"/>
          <w:sz w:val="24"/>
          <w:szCs w:val="24"/>
          <w:lang w:eastAsia="en-GB"/>
        </w:rPr>
        <w:t>.</w:t>
      </w:r>
      <w:r w:rsidR="00BD5060" w:rsidRPr="00E200A5">
        <w:rPr>
          <w:rFonts w:ascii="Times New Roman" w:eastAsia="Times New Roman" w:hAnsi="Times New Roman" w:cs="Times New Roman"/>
          <w:color w:val="000000"/>
          <w:sz w:val="24"/>
          <w:szCs w:val="24"/>
          <w:lang w:eastAsia="en-GB"/>
        </w:rPr>
        <w:t xml:space="preserve"> And a number of studies have indicated that </w:t>
      </w:r>
      <w:r w:rsidR="00852603" w:rsidRPr="00E200A5">
        <w:rPr>
          <w:rFonts w:ascii="Times New Roman" w:eastAsia="Times New Roman" w:hAnsi="Times New Roman" w:cs="Times New Roman"/>
          <w:color w:val="000000"/>
          <w:sz w:val="24"/>
          <w:szCs w:val="24"/>
          <w:lang w:eastAsia="en-GB"/>
        </w:rPr>
        <w:t>vaccination hesitancy</w:t>
      </w:r>
      <w:r w:rsidR="00BD5060" w:rsidRPr="00E200A5">
        <w:rPr>
          <w:rFonts w:ascii="Times New Roman" w:eastAsia="Times New Roman" w:hAnsi="Times New Roman" w:cs="Times New Roman"/>
          <w:color w:val="000000"/>
          <w:sz w:val="24"/>
          <w:szCs w:val="24"/>
          <w:lang w:eastAsia="en-GB"/>
        </w:rPr>
        <w:t xml:space="preserve"> is associated with so-called ‘omission bias’ </w:t>
      </w:r>
      <w:r w:rsidR="00847074"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{"citationID":"cLraUYNJ","properties":{"formattedCitation":"(Baron &amp; Ritov, 2004)","plainCitation":"(Baron &amp; Ritov, 2004)","noteIndex":0},"citationItems":[{"id":1355,"uris":["http://zotero.org/users/5523892/items/AID54Q6I"],"itemData":{"id":1355,"type":"article-journal","abstract":"Omission bias is the preference for harm caused by omissions over equal or lesser harm caused by acts. Recent articles (Connolly &amp; Reb, 2003; Patt &amp; Zeckhauser, 2000; Tanner &amp; Medin, in press) have raised questions about the generality of this phenomenon and have suggested that the opposite bias (action bias) sometimes exists. Prentice and Koehler (2003) have suggested that omission bias is sometimes confounded with a bias toward what is normal, a bias they ﬁnd. We review this literature and report new data showing omission bias with appropriate methods, as well as a small normality bias that cannot explain the omission bias. The data suggest that the bias is largely based on the distinction between direct and indirect causation, rather than that between action and inaction as such. We report substantial individual diﬀerences: some subjects show action bias. We argue, though, that concern about omission bias is justiﬁed if only a substantial minority of people show it.","container-title":"Organizational Behavior and Human Decision Processes","DOI":"10.1016/j.obhdp.2004.03.003","ISSN":"07495978","issue":"2","language":"en","page":"74-85","source":"Crossref","title":"Omission bias, individual differences, and normality","volume":"94","author":[{"family":"Baron","given":"Jonathan"},{"family":"Ritov","given":"Ilana"}],"issued":{"date-parts":[["2004",7]]},"citation-key":"baronOmissionBiasIndividual2004"}}],"schema":"https://github.com/citation-style-language/schema/raw/master/csl-citation.json"} </w:instrText>
      </w:r>
      <w:r w:rsidR="00847074" w:rsidRPr="00E200A5">
        <w:rPr>
          <w:rFonts w:ascii="Times New Roman" w:eastAsia="Times New Roman" w:hAnsi="Times New Roman" w:cs="Times New Roman"/>
          <w:color w:val="000000"/>
          <w:sz w:val="24"/>
          <w:szCs w:val="24"/>
          <w:lang w:eastAsia="en-GB"/>
        </w:rPr>
        <w:fldChar w:fldCharType="separate"/>
      </w:r>
      <w:r w:rsidR="00AF0251" w:rsidRPr="00E200A5">
        <w:rPr>
          <w:rFonts w:ascii="Times New Roman" w:hAnsi="Times New Roman" w:cs="Times New Roman"/>
          <w:sz w:val="24"/>
        </w:rPr>
        <w:t>(Baron &amp; Ritov, 2004)</w:t>
      </w:r>
      <w:r w:rsidR="00847074" w:rsidRPr="00E200A5">
        <w:rPr>
          <w:rFonts w:ascii="Times New Roman" w:eastAsia="Times New Roman" w:hAnsi="Times New Roman" w:cs="Times New Roman"/>
          <w:color w:val="000000"/>
          <w:sz w:val="24"/>
          <w:szCs w:val="24"/>
          <w:lang w:eastAsia="en-GB"/>
        </w:rPr>
        <w:fldChar w:fldCharType="end"/>
      </w:r>
      <w:r w:rsidR="00BD5060" w:rsidRPr="00E200A5">
        <w:rPr>
          <w:rFonts w:ascii="Times New Roman" w:eastAsia="Times New Roman" w:hAnsi="Times New Roman" w:cs="Times New Roman"/>
          <w:color w:val="000000"/>
          <w:sz w:val="24"/>
          <w:szCs w:val="24"/>
          <w:lang w:eastAsia="en-GB"/>
        </w:rPr>
        <w:t xml:space="preserve">, a cognitive bias whereby people are inclined to favour inaction over action, even when the relative risks across such decisions are held constant. </w:t>
      </w:r>
      <w:r w:rsidR="00B4190D" w:rsidRPr="00E200A5">
        <w:rPr>
          <w:rFonts w:ascii="Times New Roman" w:eastAsia="Times New Roman" w:hAnsi="Times New Roman" w:cs="Times New Roman"/>
          <w:color w:val="000000"/>
          <w:sz w:val="24"/>
          <w:szCs w:val="24"/>
          <w:lang w:eastAsia="en-GB"/>
        </w:rPr>
        <w:t xml:space="preserve">Furthermore, work by </w:t>
      </w:r>
      <w:r w:rsidR="00B4190D"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{"citationID":"0TPK1NBh","properties":{"formattedCitation":"(Motta et al., 2018)","plainCitation":"(Motta et al., 2018)","dontUpdate":true,"noteIndex":0},"citationItems":[{"id":4371,"uris":["http://zotero.org/users/5523892/items/JGN5NBUS"],"itemData":{"id":4371,"type":"article-journal","abstract":"Objective: Although the beneﬁts of vaccines are widely recognized by medical experts, public opinion about vaccination policies is mixed. We analyze public opinion about vaccination policies to assess whether DunningKruger eﬀects can help to explain anti-vaccination policy attitudes. Rationale: People low in autism awareness – that is, the knowledge of basic facts and dismissal of misinformation about autism – should be the most likely to think that they are better informed than medical experts about the causes of autism (a Dunning-Kruger eﬀect). This “overconﬁdence” should be associated with decreased support for mandatory vaccination policies and skepticism about the role that medical professionals play in the policymaking process.\nMethod: In an original survey of U.S. adults (N = 1310), we modeled self-reported overconﬁdence as a function of responses to a knowledge test about the causes of autism, and the endorsement of misinformation about a link between vaccines and autism. We then modeled anti-vaccination policy support and attitudes toward the role that experts play in the policymaking process as a function of overconﬁdence and the autism awareness indicators while controlling for potential confounding factors.\nResults: More than a third of respondents in our sample thought that they knew as much or more than doctors (36%) and scientists (34%) about the causes of autism. Our analysis indicates that this overconﬁdence is highest among those with low levels of knowledge about the causes of autism and those with high levels of misinformation endorsement. Further, our results suggest that this overconﬁdence is associated with opposition to mandatory vaccination policy. Overconﬁdence is also associated with increased support for the role that nonexperts (e.g., celebrities) play in the policymaking process.\nConclusion: Dunning-Kruger eﬀects can help to explain public opposition to vaccination policies and should be carefully considered in future research on anti-vaccine policy attitudes.","container-title":"Social Science &amp; Medicine","DOI":"10.1016/j.socscimed.2018.06.032","ISSN":"02779536","journalAbbreviation":"Social Science &amp; Medicine","language":"en","page":"274-281","source":"DOI.org (Crossref)","title":"Knowing less but presuming more: Dunning-Kruger effects and the endorsement of anti-vaccine policy attitudes","title-short":"Knowing less but presuming more","volume":"211","author":[{"family":"Motta","given":"Matthew"},{"family":"Callaghan","given":"Timothy"},{"family":"Sylvester","given":"Steven"}],"issued":{"date-parts":[["2018",8]]},"citation-key":"mottaKnowingLessPresuming2018"}}],"schema":"https://github.com/citation-style-language/schema/raw/master/csl-citation.json"} </w:instrText>
      </w:r>
      <w:r w:rsidR="00B4190D" w:rsidRPr="00E200A5">
        <w:rPr>
          <w:rFonts w:ascii="Times New Roman" w:eastAsia="Times New Roman" w:hAnsi="Times New Roman" w:cs="Times New Roman"/>
          <w:color w:val="000000"/>
          <w:sz w:val="24"/>
          <w:szCs w:val="24"/>
          <w:lang w:eastAsia="en-GB"/>
        </w:rPr>
        <w:fldChar w:fldCharType="separate"/>
      </w:r>
      <w:r w:rsidR="00B4190D" w:rsidRPr="00E200A5">
        <w:rPr>
          <w:rFonts w:ascii="Times New Roman" w:hAnsi="Times New Roman" w:cs="Times New Roman"/>
          <w:sz w:val="24"/>
        </w:rPr>
        <w:t>Motta et al. (2018)</w:t>
      </w:r>
      <w:r w:rsidR="00B4190D" w:rsidRPr="00E200A5">
        <w:rPr>
          <w:rFonts w:ascii="Times New Roman" w:eastAsia="Times New Roman" w:hAnsi="Times New Roman" w:cs="Times New Roman"/>
          <w:color w:val="000000"/>
          <w:sz w:val="24"/>
          <w:szCs w:val="24"/>
          <w:lang w:eastAsia="en-GB"/>
        </w:rPr>
        <w:fldChar w:fldCharType="end"/>
      </w:r>
      <w:r w:rsidR="00B4190D" w:rsidRPr="00E200A5">
        <w:rPr>
          <w:rFonts w:ascii="Times New Roman" w:eastAsia="Times New Roman" w:hAnsi="Times New Roman" w:cs="Times New Roman"/>
          <w:color w:val="000000"/>
          <w:sz w:val="24"/>
          <w:szCs w:val="24"/>
          <w:lang w:eastAsia="en-GB"/>
        </w:rPr>
        <w:t xml:space="preserve"> found that those with low levels of knowledge of a topic area are more likely to believe themselves to be more knowledgeable than medical experts, which inclines them towards vaccination hesitancy.</w:t>
      </w:r>
    </w:p>
    <w:p w14:paraId="4BDFB2AA" w14:textId="0ECB2E08" w:rsidR="00325489" w:rsidRPr="00E200A5" w:rsidRDefault="003C7355" w:rsidP="00C915C8">
      <w:pPr>
        <w:spacing w:after="200" w:line="480" w:lineRule="auto"/>
        <w:ind w:firstLine="720"/>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sz w:val="24"/>
          <w:szCs w:val="24"/>
          <w:lang w:eastAsia="en-GB"/>
        </w:rPr>
        <w:t xml:space="preserve">Collectively, these findings indicate that </w:t>
      </w:r>
      <w:r w:rsidR="00E03794" w:rsidRPr="00E200A5">
        <w:rPr>
          <w:rFonts w:ascii="Times New Roman" w:eastAsia="Times New Roman" w:hAnsi="Times New Roman" w:cs="Times New Roman"/>
          <w:sz w:val="24"/>
          <w:szCs w:val="24"/>
          <w:lang w:eastAsia="en-GB"/>
        </w:rPr>
        <w:t xml:space="preserve">individual differences </w:t>
      </w:r>
      <w:r w:rsidRPr="00E200A5">
        <w:rPr>
          <w:rFonts w:ascii="Times New Roman" w:eastAsia="Times New Roman" w:hAnsi="Times New Roman" w:cs="Times New Roman"/>
          <w:sz w:val="24"/>
          <w:szCs w:val="24"/>
          <w:lang w:eastAsia="en-GB"/>
        </w:rPr>
        <w:t>in a range of personality and cognitive traits are likely to be important for understanding why some people are vaccine hesitant. However, a number of open questions remain that the current study s</w:t>
      </w:r>
      <w:r w:rsidR="00FA5715" w:rsidRPr="00E200A5">
        <w:rPr>
          <w:rFonts w:ascii="Times New Roman" w:eastAsia="Times New Roman" w:hAnsi="Times New Roman" w:cs="Times New Roman"/>
          <w:sz w:val="24"/>
          <w:szCs w:val="24"/>
          <w:lang w:eastAsia="en-GB"/>
        </w:rPr>
        <w:t>ought</w:t>
      </w:r>
      <w:r w:rsidRPr="00E200A5">
        <w:rPr>
          <w:rFonts w:ascii="Times New Roman" w:eastAsia="Times New Roman" w:hAnsi="Times New Roman" w:cs="Times New Roman"/>
          <w:sz w:val="24"/>
          <w:szCs w:val="24"/>
          <w:lang w:eastAsia="en-GB"/>
        </w:rPr>
        <w:t xml:space="preserve"> to address.</w:t>
      </w:r>
    </w:p>
    <w:p w14:paraId="3C16187D" w14:textId="26D03AE2" w:rsidR="003C7355" w:rsidRPr="00E200A5" w:rsidRDefault="003C7355" w:rsidP="00C915C8">
      <w:pPr>
        <w:spacing w:after="20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sz w:val="24"/>
          <w:szCs w:val="24"/>
          <w:lang w:eastAsia="en-GB"/>
        </w:rPr>
        <w:t xml:space="preserve">Firstly, </w:t>
      </w:r>
      <w:r w:rsidRPr="00E200A5">
        <w:rPr>
          <w:rFonts w:ascii="Times New Roman" w:eastAsia="Times New Roman" w:hAnsi="Times New Roman" w:cs="Times New Roman"/>
          <w:color w:val="000000"/>
          <w:sz w:val="24"/>
          <w:szCs w:val="24"/>
          <w:lang w:eastAsia="en-GB"/>
        </w:rPr>
        <w:t xml:space="preserve">although associations between Big 5 traits and </w:t>
      </w:r>
      <w:r w:rsidR="00852603" w:rsidRPr="00E200A5">
        <w:rPr>
          <w:rFonts w:ascii="Times New Roman" w:eastAsia="Times New Roman" w:hAnsi="Times New Roman" w:cs="Times New Roman"/>
          <w:color w:val="000000"/>
          <w:sz w:val="24"/>
          <w:szCs w:val="24"/>
          <w:lang w:eastAsia="en-GB"/>
        </w:rPr>
        <w:t>vaccination hesitancy</w:t>
      </w:r>
      <w:r w:rsidRPr="00E200A5">
        <w:rPr>
          <w:rFonts w:ascii="Times New Roman" w:eastAsia="Times New Roman" w:hAnsi="Times New Roman" w:cs="Times New Roman"/>
          <w:color w:val="000000"/>
          <w:sz w:val="24"/>
          <w:szCs w:val="24"/>
          <w:lang w:eastAsia="en-GB"/>
        </w:rPr>
        <w:t xml:space="preserve"> have been reported, the nature of these associations has been somewhat mixed across studies. </w:t>
      </w:r>
      <w:r w:rsidR="00FA5715" w:rsidRPr="00E200A5">
        <w:rPr>
          <w:rFonts w:ascii="Times New Roman" w:eastAsia="Times New Roman" w:hAnsi="Times New Roman" w:cs="Times New Roman"/>
          <w:color w:val="000000"/>
          <w:sz w:val="24"/>
          <w:szCs w:val="24"/>
          <w:lang w:eastAsia="en-GB"/>
        </w:rPr>
        <w:t xml:space="preserve">As detailed above, all of the Big Five traits (bar extraversion) have been linked to </w:t>
      </w:r>
      <w:r w:rsidR="00852603" w:rsidRPr="00E200A5">
        <w:rPr>
          <w:rFonts w:ascii="Times New Roman" w:eastAsia="Times New Roman" w:hAnsi="Times New Roman" w:cs="Times New Roman"/>
          <w:color w:val="000000"/>
          <w:sz w:val="24"/>
          <w:szCs w:val="24"/>
          <w:lang w:eastAsia="en-GB"/>
        </w:rPr>
        <w:t>vaccination hesitancy</w:t>
      </w:r>
      <w:r w:rsidR="00FA5715" w:rsidRPr="00E200A5">
        <w:rPr>
          <w:rFonts w:ascii="Times New Roman" w:eastAsia="Times New Roman" w:hAnsi="Times New Roman" w:cs="Times New Roman"/>
          <w:color w:val="000000"/>
          <w:sz w:val="24"/>
          <w:szCs w:val="24"/>
          <w:lang w:eastAsia="en-GB"/>
        </w:rPr>
        <w:t xml:space="preserve">. But these associations have not been consistent across studies, </w:t>
      </w:r>
      <w:r w:rsidR="00A35FF0" w:rsidRPr="00E200A5">
        <w:rPr>
          <w:rFonts w:ascii="Times New Roman" w:eastAsia="Times New Roman" w:hAnsi="Times New Roman" w:cs="Times New Roman"/>
          <w:color w:val="000000"/>
          <w:sz w:val="24"/>
          <w:szCs w:val="24"/>
          <w:lang w:eastAsia="en-GB"/>
        </w:rPr>
        <w:t>with</w:t>
      </w:r>
      <w:r w:rsidR="00FA5715" w:rsidRPr="00E200A5">
        <w:rPr>
          <w:rFonts w:ascii="Times New Roman" w:eastAsia="Times New Roman" w:hAnsi="Times New Roman" w:cs="Times New Roman"/>
          <w:color w:val="000000"/>
          <w:sz w:val="24"/>
          <w:szCs w:val="24"/>
          <w:lang w:eastAsia="en-GB"/>
        </w:rPr>
        <w:t xml:space="preserve"> openness even showing changes in direction.</w:t>
      </w:r>
    </w:p>
    <w:p w14:paraId="6ED46477" w14:textId="3A0E36B9" w:rsidR="00041423" w:rsidRPr="00E200A5" w:rsidRDefault="003C7355" w:rsidP="00C915C8">
      <w:pPr>
        <w:spacing w:after="20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Secondly, while cognitive traits have been linked to </w:t>
      </w:r>
      <w:r w:rsidR="00852603" w:rsidRPr="00E200A5">
        <w:rPr>
          <w:rFonts w:ascii="Times New Roman" w:eastAsia="Times New Roman" w:hAnsi="Times New Roman" w:cs="Times New Roman"/>
          <w:color w:val="000000"/>
          <w:sz w:val="24"/>
          <w:szCs w:val="24"/>
          <w:lang w:eastAsia="en-GB"/>
        </w:rPr>
        <w:t>vaccination hesitancy</w:t>
      </w:r>
      <w:r w:rsidRPr="00E200A5">
        <w:rPr>
          <w:rFonts w:ascii="Times New Roman" w:eastAsia="Times New Roman" w:hAnsi="Times New Roman" w:cs="Times New Roman"/>
          <w:color w:val="000000"/>
          <w:sz w:val="24"/>
          <w:szCs w:val="24"/>
          <w:lang w:eastAsia="en-GB"/>
        </w:rPr>
        <w:t>, th</w:t>
      </w:r>
      <w:r w:rsidR="00FA5715" w:rsidRPr="00E200A5">
        <w:rPr>
          <w:rFonts w:ascii="Times New Roman" w:eastAsia="Times New Roman" w:hAnsi="Times New Roman" w:cs="Times New Roman"/>
          <w:color w:val="000000"/>
          <w:sz w:val="24"/>
          <w:szCs w:val="24"/>
          <w:lang w:eastAsia="en-GB"/>
        </w:rPr>
        <w:t xml:space="preserve">ere has been no assessment yet of a role for general </w:t>
      </w:r>
      <w:r w:rsidR="00191A72" w:rsidRPr="00E200A5">
        <w:rPr>
          <w:rFonts w:ascii="Times New Roman" w:eastAsia="Times New Roman" w:hAnsi="Times New Roman" w:cs="Times New Roman"/>
          <w:color w:val="000000"/>
          <w:sz w:val="24"/>
          <w:szCs w:val="24"/>
          <w:lang w:eastAsia="en-GB"/>
        </w:rPr>
        <w:t>intelligence</w:t>
      </w:r>
      <w:r w:rsidRPr="00E200A5">
        <w:rPr>
          <w:rFonts w:ascii="Times New Roman" w:eastAsia="Times New Roman" w:hAnsi="Times New Roman" w:cs="Times New Roman"/>
          <w:color w:val="000000"/>
          <w:sz w:val="24"/>
          <w:szCs w:val="24"/>
          <w:lang w:eastAsia="en-GB"/>
        </w:rPr>
        <w:t xml:space="preserve">. </w:t>
      </w:r>
      <w:r w:rsidR="00FA5715" w:rsidRPr="00E200A5">
        <w:rPr>
          <w:rFonts w:ascii="Times New Roman" w:eastAsia="Times New Roman" w:hAnsi="Times New Roman" w:cs="Times New Roman"/>
          <w:color w:val="000000"/>
          <w:sz w:val="24"/>
          <w:szCs w:val="24"/>
          <w:lang w:eastAsia="en-GB"/>
        </w:rPr>
        <w:t xml:space="preserve">Yet general </w:t>
      </w:r>
      <w:r w:rsidR="00191A72" w:rsidRPr="00E200A5">
        <w:rPr>
          <w:rFonts w:ascii="Times New Roman" w:eastAsia="Times New Roman" w:hAnsi="Times New Roman" w:cs="Times New Roman"/>
          <w:color w:val="000000"/>
          <w:sz w:val="24"/>
          <w:szCs w:val="24"/>
          <w:lang w:eastAsia="en-GB"/>
        </w:rPr>
        <w:t>intelligence</w:t>
      </w:r>
      <w:r w:rsidR="00FA5715" w:rsidRPr="00E200A5">
        <w:rPr>
          <w:rFonts w:ascii="Times New Roman" w:eastAsia="Times New Roman" w:hAnsi="Times New Roman" w:cs="Times New Roman"/>
          <w:color w:val="000000"/>
          <w:sz w:val="24"/>
          <w:szCs w:val="24"/>
          <w:lang w:eastAsia="en-GB"/>
        </w:rPr>
        <w:t xml:space="preserve"> is a clear candidate </w:t>
      </w:r>
      <w:r w:rsidRPr="00E200A5">
        <w:rPr>
          <w:rFonts w:ascii="Times New Roman" w:eastAsia="Times New Roman" w:hAnsi="Times New Roman" w:cs="Times New Roman"/>
          <w:color w:val="000000"/>
          <w:sz w:val="24"/>
          <w:szCs w:val="24"/>
          <w:lang w:eastAsia="en-GB"/>
        </w:rPr>
        <w:t xml:space="preserve">on several grounds. </w:t>
      </w:r>
      <w:r w:rsidR="00FA5715" w:rsidRPr="00E200A5">
        <w:rPr>
          <w:rFonts w:ascii="Times New Roman" w:eastAsia="Times New Roman" w:hAnsi="Times New Roman" w:cs="Times New Roman"/>
          <w:color w:val="000000"/>
          <w:sz w:val="24"/>
          <w:szCs w:val="24"/>
          <w:lang w:eastAsia="en-GB"/>
        </w:rPr>
        <w:t>Firstly</w:t>
      </w:r>
      <w:r w:rsidRPr="00E200A5">
        <w:rPr>
          <w:rFonts w:ascii="Times New Roman" w:eastAsia="Times New Roman" w:hAnsi="Times New Roman" w:cs="Times New Roman"/>
          <w:color w:val="000000"/>
          <w:sz w:val="24"/>
          <w:szCs w:val="24"/>
          <w:lang w:eastAsia="en-GB"/>
        </w:rPr>
        <w:t xml:space="preserve">, general </w:t>
      </w:r>
      <w:r w:rsidR="00191A72" w:rsidRPr="00E200A5">
        <w:rPr>
          <w:rFonts w:ascii="Times New Roman" w:eastAsia="Times New Roman" w:hAnsi="Times New Roman" w:cs="Times New Roman"/>
          <w:color w:val="000000"/>
          <w:sz w:val="24"/>
          <w:szCs w:val="24"/>
          <w:lang w:eastAsia="en-GB"/>
        </w:rPr>
        <w:t>intelligence</w:t>
      </w:r>
      <w:r w:rsidRPr="00E200A5">
        <w:rPr>
          <w:rFonts w:ascii="Times New Roman" w:eastAsia="Times New Roman" w:hAnsi="Times New Roman" w:cs="Times New Roman"/>
          <w:color w:val="000000"/>
          <w:sz w:val="24"/>
          <w:szCs w:val="24"/>
          <w:lang w:eastAsia="en-GB"/>
        </w:rPr>
        <w:t xml:space="preserve"> is </w:t>
      </w:r>
      <w:r w:rsidR="00FA5715" w:rsidRPr="00E200A5">
        <w:rPr>
          <w:rFonts w:ascii="Times New Roman" w:eastAsia="Times New Roman" w:hAnsi="Times New Roman" w:cs="Times New Roman"/>
          <w:color w:val="000000"/>
          <w:sz w:val="24"/>
          <w:szCs w:val="24"/>
          <w:lang w:eastAsia="en-GB"/>
        </w:rPr>
        <w:t xml:space="preserve">typically </w:t>
      </w:r>
      <w:r w:rsidRPr="00E200A5">
        <w:rPr>
          <w:rFonts w:ascii="Times New Roman" w:eastAsia="Times New Roman" w:hAnsi="Times New Roman" w:cs="Times New Roman"/>
          <w:color w:val="000000"/>
          <w:sz w:val="24"/>
          <w:szCs w:val="24"/>
          <w:lang w:eastAsia="en-GB"/>
        </w:rPr>
        <w:t xml:space="preserve">considered to reflect </w:t>
      </w:r>
      <w:r w:rsidR="00FA5715" w:rsidRPr="00E200A5">
        <w:rPr>
          <w:rFonts w:ascii="Times New Roman" w:eastAsia="Times New Roman" w:hAnsi="Times New Roman" w:cs="Times New Roman"/>
          <w:color w:val="000000"/>
          <w:sz w:val="24"/>
          <w:szCs w:val="24"/>
          <w:lang w:eastAsia="en-GB"/>
        </w:rPr>
        <w:t xml:space="preserve">the ability to solve complex problems, broadly conceived </w:t>
      </w:r>
      <w:r w:rsidR="00847074"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{"citationID":"qqpo908G","properties":{"formattedCitation":"(Gottfredson, 1997)","plainCitation":"(Gottfredson, 1997)","noteIndex":0},"citationItems":[{"id":1347,"uris":["http://zotero.org/users/5523892/items/ERJE5RPQ"],"itemData":{"id":1347,"type":"article-journal","container-title":"Intelligence","DOI":"10.1016/S0160-2896(97)90011-8","ISSN":"01602896","issue":"1","journalAbbreviation":"Intelligence","language":"en","page":"13-23","source":"DOI.org (Crossref)","title":"Mainstream science on intelligence: an editorial with 52 signatories, history, and bibliography","volume":"24","author":[{"family":"Gottfredson","given":"Linda S."}],"issued":{"date-parts":[["1997",1]]},"citation-key":"gottfredsonMainstreamScienceIntelligence1997"}}],"schema":"https://github.com/citation-style-language/schema/raw/master/csl-citation.json"} </w:instrText>
      </w:r>
      <w:r w:rsidR="00847074" w:rsidRPr="00E200A5">
        <w:rPr>
          <w:rFonts w:ascii="Times New Roman" w:eastAsia="Times New Roman" w:hAnsi="Times New Roman" w:cs="Times New Roman"/>
          <w:color w:val="000000"/>
          <w:sz w:val="24"/>
          <w:szCs w:val="24"/>
          <w:lang w:eastAsia="en-GB"/>
        </w:rPr>
        <w:fldChar w:fldCharType="separate"/>
      </w:r>
      <w:r w:rsidR="00AF0251" w:rsidRPr="00E200A5">
        <w:rPr>
          <w:rFonts w:ascii="Times New Roman" w:hAnsi="Times New Roman" w:cs="Times New Roman"/>
          <w:sz w:val="24"/>
        </w:rPr>
        <w:t>(Gottfredson, 1997)</w:t>
      </w:r>
      <w:r w:rsidR="00847074" w:rsidRPr="00E200A5">
        <w:rPr>
          <w:rFonts w:ascii="Times New Roman" w:eastAsia="Times New Roman" w:hAnsi="Times New Roman" w:cs="Times New Roman"/>
          <w:color w:val="000000"/>
          <w:sz w:val="24"/>
          <w:szCs w:val="24"/>
          <w:lang w:eastAsia="en-GB"/>
        </w:rPr>
        <w:fldChar w:fldCharType="end"/>
      </w:r>
      <w:r w:rsidR="00847074" w:rsidRPr="00E200A5">
        <w:rPr>
          <w:rFonts w:ascii="Times New Roman" w:eastAsia="Times New Roman" w:hAnsi="Times New Roman" w:cs="Times New Roman"/>
          <w:color w:val="000000"/>
          <w:sz w:val="24"/>
          <w:szCs w:val="24"/>
          <w:lang w:eastAsia="en-GB"/>
        </w:rPr>
        <w:t>.</w:t>
      </w:r>
      <w:r w:rsidR="00FA5715" w:rsidRPr="00E200A5">
        <w:rPr>
          <w:rFonts w:ascii="Times New Roman" w:eastAsia="Times New Roman" w:hAnsi="Times New Roman" w:cs="Times New Roman"/>
          <w:color w:val="000000"/>
          <w:sz w:val="24"/>
          <w:szCs w:val="24"/>
          <w:lang w:eastAsia="en-GB"/>
        </w:rPr>
        <w:t xml:space="preserve"> The question of </w:t>
      </w:r>
      <w:r w:rsidR="00FA5715" w:rsidRPr="00E200A5">
        <w:rPr>
          <w:rFonts w:ascii="Times New Roman" w:eastAsia="Times New Roman" w:hAnsi="Times New Roman" w:cs="Times New Roman"/>
          <w:color w:val="000000"/>
          <w:sz w:val="24"/>
          <w:szCs w:val="24"/>
          <w:lang w:eastAsia="en-GB"/>
        </w:rPr>
        <w:lastRenderedPageBreak/>
        <w:t>whether to support or oppose vaccines would appear, in essence, to be a complex problem</w:t>
      </w:r>
      <w:r w:rsidR="00BD6A64" w:rsidRPr="00E200A5">
        <w:rPr>
          <w:rFonts w:ascii="Times New Roman" w:eastAsia="Times New Roman" w:hAnsi="Times New Roman" w:cs="Times New Roman"/>
          <w:color w:val="000000"/>
          <w:sz w:val="24"/>
          <w:szCs w:val="24"/>
          <w:lang w:eastAsia="en-GB"/>
        </w:rPr>
        <w:t>,</w:t>
      </w:r>
      <w:r w:rsidR="00FA5715" w:rsidRPr="00E200A5">
        <w:rPr>
          <w:rFonts w:ascii="Times New Roman" w:eastAsia="Times New Roman" w:hAnsi="Times New Roman" w:cs="Times New Roman"/>
          <w:color w:val="000000"/>
          <w:sz w:val="24"/>
          <w:szCs w:val="24"/>
          <w:lang w:eastAsia="en-GB"/>
        </w:rPr>
        <w:t xml:space="preserve"> insomuch </w:t>
      </w:r>
      <w:r w:rsidR="002A20FA" w:rsidRPr="00E200A5">
        <w:rPr>
          <w:rFonts w:ascii="Times New Roman" w:eastAsia="Times New Roman" w:hAnsi="Times New Roman" w:cs="Times New Roman"/>
          <w:color w:val="000000"/>
          <w:sz w:val="24"/>
          <w:szCs w:val="24"/>
          <w:lang w:eastAsia="en-GB"/>
        </w:rPr>
        <w:t>as</w:t>
      </w:r>
      <w:r w:rsidR="00FA5715" w:rsidRPr="00E200A5">
        <w:rPr>
          <w:rFonts w:ascii="Times New Roman" w:eastAsia="Times New Roman" w:hAnsi="Times New Roman" w:cs="Times New Roman"/>
          <w:color w:val="000000"/>
          <w:sz w:val="24"/>
          <w:szCs w:val="24"/>
          <w:lang w:eastAsia="en-GB"/>
        </w:rPr>
        <w:t xml:space="preserve"> it requires one to appraise </w:t>
      </w:r>
      <w:r w:rsidR="00F81FCE" w:rsidRPr="00E200A5">
        <w:rPr>
          <w:rFonts w:ascii="Times New Roman" w:eastAsia="Times New Roman" w:hAnsi="Times New Roman" w:cs="Times New Roman"/>
          <w:color w:val="000000"/>
          <w:sz w:val="24"/>
          <w:szCs w:val="24"/>
          <w:lang w:eastAsia="en-GB"/>
        </w:rPr>
        <w:t xml:space="preserve">and compare </w:t>
      </w:r>
      <w:r w:rsidR="00FA5715" w:rsidRPr="00E200A5">
        <w:rPr>
          <w:rFonts w:ascii="Times New Roman" w:eastAsia="Times New Roman" w:hAnsi="Times New Roman" w:cs="Times New Roman"/>
          <w:color w:val="000000"/>
          <w:sz w:val="24"/>
          <w:szCs w:val="24"/>
          <w:lang w:eastAsia="en-GB"/>
        </w:rPr>
        <w:t xml:space="preserve">the risk probabilities </w:t>
      </w:r>
      <w:r w:rsidR="001666BE" w:rsidRPr="00E200A5">
        <w:rPr>
          <w:rFonts w:ascii="Times New Roman" w:eastAsia="Times New Roman" w:hAnsi="Times New Roman" w:cs="Times New Roman"/>
          <w:color w:val="000000"/>
          <w:sz w:val="24"/>
          <w:szCs w:val="24"/>
          <w:lang w:eastAsia="en-GB"/>
        </w:rPr>
        <w:t xml:space="preserve">and costs </w:t>
      </w:r>
      <w:r w:rsidR="00FA5715" w:rsidRPr="00E200A5">
        <w:rPr>
          <w:rFonts w:ascii="Times New Roman" w:eastAsia="Times New Roman" w:hAnsi="Times New Roman" w:cs="Times New Roman"/>
          <w:color w:val="000000"/>
          <w:sz w:val="24"/>
          <w:szCs w:val="24"/>
          <w:lang w:eastAsia="en-GB"/>
        </w:rPr>
        <w:t xml:space="preserve">of two different phenomena: the vaccine side effect and the disease itself. </w:t>
      </w:r>
      <w:r w:rsidRPr="00E200A5">
        <w:rPr>
          <w:rFonts w:ascii="Times New Roman" w:eastAsia="Times New Roman" w:hAnsi="Times New Roman" w:cs="Times New Roman"/>
          <w:color w:val="000000"/>
          <w:sz w:val="24"/>
          <w:szCs w:val="24"/>
          <w:lang w:eastAsia="en-GB"/>
        </w:rPr>
        <w:t>More broadly, c</w:t>
      </w:r>
      <w:r w:rsidR="00D97FD2" w:rsidRPr="00E200A5">
        <w:rPr>
          <w:rFonts w:ascii="Times New Roman" w:eastAsia="Times New Roman" w:hAnsi="Times New Roman" w:cs="Times New Roman"/>
          <w:color w:val="000000"/>
          <w:sz w:val="24"/>
          <w:szCs w:val="24"/>
          <w:lang w:eastAsia="en-GB"/>
        </w:rPr>
        <w:t>ognitive reflection scores</w:t>
      </w:r>
      <w:r w:rsidR="00847074" w:rsidRPr="00E200A5">
        <w:rPr>
          <w:rFonts w:ascii="Times New Roman" w:eastAsia="Times New Roman" w:hAnsi="Times New Roman" w:cs="Times New Roman"/>
          <w:color w:val="000000"/>
          <w:sz w:val="24"/>
          <w:szCs w:val="24"/>
          <w:lang w:eastAsia="en-GB"/>
        </w:rPr>
        <w:t xml:space="preserve"> moderately</w:t>
      </w:r>
      <w:r w:rsidR="00D97FD2" w:rsidRPr="00E200A5">
        <w:rPr>
          <w:rFonts w:ascii="Times New Roman" w:eastAsia="Times New Roman" w:hAnsi="Times New Roman" w:cs="Times New Roman"/>
          <w:color w:val="000000"/>
          <w:sz w:val="24"/>
          <w:szCs w:val="24"/>
          <w:lang w:eastAsia="en-GB"/>
        </w:rPr>
        <w:t xml:space="preserve"> correlate (r ≈ .40) with a range of numerical ability measures (a facet of general intelligence)</w:t>
      </w:r>
      <w:r w:rsidR="00847074" w:rsidRPr="00E200A5">
        <w:rPr>
          <w:rFonts w:ascii="Times New Roman" w:eastAsia="Times New Roman" w:hAnsi="Times New Roman" w:cs="Times New Roman"/>
          <w:color w:val="000000"/>
          <w:sz w:val="24"/>
          <w:szCs w:val="24"/>
          <w:lang w:eastAsia="en-GB"/>
        </w:rPr>
        <w:t xml:space="preserve">, but </w:t>
      </w:r>
      <w:r w:rsidR="00C60B36" w:rsidRPr="00E200A5">
        <w:rPr>
          <w:rFonts w:ascii="Times New Roman" w:eastAsia="Times New Roman" w:hAnsi="Times New Roman" w:cs="Times New Roman"/>
          <w:color w:val="000000"/>
          <w:sz w:val="24"/>
          <w:szCs w:val="24"/>
          <w:lang w:eastAsia="en-GB"/>
        </w:rPr>
        <w:t xml:space="preserve">both </w:t>
      </w:r>
      <w:r w:rsidR="00847074" w:rsidRPr="00E200A5">
        <w:rPr>
          <w:rFonts w:ascii="Times New Roman" w:eastAsia="Times New Roman" w:hAnsi="Times New Roman" w:cs="Times New Roman"/>
          <w:color w:val="000000"/>
          <w:sz w:val="24"/>
          <w:szCs w:val="24"/>
          <w:lang w:eastAsia="en-GB"/>
        </w:rPr>
        <w:t>are independent</w:t>
      </w:r>
      <w:r w:rsidR="00D97FD2" w:rsidRPr="00E200A5">
        <w:rPr>
          <w:rFonts w:ascii="Times New Roman" w:eastAsia="Times New Roman" w:hAnsi="Times New Roman" w:cs="Times New Roman"/>
          <w:color w:val="000000"/>
          <w:sz w:val="24"/>
          <w:szCs w:val="24"/>
          <w:lang w:eastAsia="en-GB"/>
        </w:rPr>
        <w:t xml:space="preserve"> </w:t>
      </w:r>
      <w:r w:rsidR="00BC32AF" w:rsidRPr="00E200A5">
        <w:rPr>
          <w:rFonts w:ascii="Times New Roman" w:eastAsia="Times New Roman" w:hAnsi="Times New Roman" w:cs="Times New Roman"/>
          <w:color w:val="000000"/>
          <w:sz w:val="24"/>
          <w:szCs w:val="24"/>
          <w:lang w:eastAsia="en-GB"/>
        </w:rPr>
        <w:t xml:space="preserve">predictors of performance in decision making </w:t>
      </w:r>
      <w:r w:rsidR="005F06EE" w:rsidRPr="00E200A5">
        <w:rPr>
          <w:rFonts w:ascii="Times New Roman" w:eastAsia="Times New Roman" w:hAnsi="Times New Roman" w:cs="Times New Roman"/>
          <w:color w:val="000000"/>
          <w:sz w:val="24"/>
          <w:szCs w:val="24"/>
          <w:lang w:eastAsia="en-GB"/>
        </w:rPr>
        <w:t xml:space="preserve">tasks </w:t>
      </w:r>
      <w:r w:rsidR="00D97FD2"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{"citationID":"quH6Pona","properties":{"formattedCitation":"(Sobkow et al., 2020)","plainCitation":"(Sobkow et al., 2020)","noteIndex":0},"citationItems":[{"id":88,"uris":["http://zotero.org/users/5523892/items/MPYRAKBL"],"itemData":{"id":88,"type":"article-journal","abstract":"The goal of the present study was to compare the relative contribution of diﬀerent cognitive abilities and preferences to superior decision making. Additionally, we aimed to test whether skilled decision makers have better and more sophisticated long-term memory representations of personally meaningful risky situations. A large sample from the general population completed a series of tasks and questionnaires measuring cognitive abilities and preferences (ﬂuid intelligence, cognitive reﬂection, and multiple numeric competencies: statistical numeracy, subjective numeracy, approximate numeracy) and decision making outcomes (a set of monetary lotteries and a self-report inventory measuring success in avoiding negative decision outcomes in real-life). We also designed a memory task in which participants were instructed to discriminate between decision outcomes presented in the ﬁrst stage of the study and distractors. We found that multiple numeric competencies predicted decision making beyond ﬂuid intelligence and cognitive reﬂection. Especially, the acuity of symbolic-number mapping (a measure of approximate numeracy) was the most robust single predictor of superior decision making. Moreover, a combination of diﬀerent cognitive abilities contributed to a better understanding of decision outcomes. For example, superior decision making in monetary lotteries was best predicted by approximate numeracy, statistical numeracy, and ﬂuid intelligence, while avoiding negative decision outcomes in real-life was best predicted by approximate and subjective numeracy. Finally, we demonstrated that people with high approximate numeracy had better memory for decision outcomes and produced more vivid mental representations, suggesting that memory processes can be crucial to superior decision making.","container-title":"Intelligence","DOI":"10.1016/j.intell.2020.101452","ISSN":"01602896","journalAbbreviation":"Intelligence","language":"en","page":"101452","source":"DOI.org (Crossref)","title":"Multiple numeric competencies predict decision outcomes beyond fluid intelligence and cognitive reflection","volume":"80","author":[{"family":"Sobkow","given":"Agata"},{"family":"Olszewska","given":"Angelika"},{"family":"Traczyk","given":"Jakub"}],"issued":{"date-parts":[["2020",5]]},"citation-key":"sobkowMultipleNumericCompetencies2020"}}],"schema":"https://github.com/citation-style-language/schema/raw/master/csl-citation.json"} </w:instrText>
      </w:r>
      <w:r w:rsidR="00D97FD2" w:rsidRPr="00E200A5">
        <w:rPr>
          <w:rFonts w:ascii="Times New Roman" w:eastAsia="Times New Roman" w:hAnsi="Times New Roman" w:cs="Times New Roman"/>
          <w:color w:val="000000"/>
          <w:sz w:val="24"/>
          <w:szCs w:val="24"/>
          <w:lang w:eastAsia="en-GB"/>
        </w:rPr>
        <w:fldChar w:fldCharType="separate"/>
      </w:r>
      <w:r w:rsidR="00AF0251" w:rsidRPr="00E200A5">
        <w:rPr>
          <w:rFonts w:ascii="Times New Roman" w:hAnsi="Times New Roman" w:cs="Times New Roman"/>
          <w:sz w:val="24"/>
        </w:rPr>
        <w:t>(Sobkow et al., 2020)</w:t>
      </w:r>
      <w:r w:rsidR="00D97FD2" w:rsidRPr="00E200A5">
        <w:rPr>
          <w:rFonts w:ascii="Times New Roman" w:eastAsia="Times New Roman" w:hAnsi="Times New Roman" w:cs="Times New Roman"/>
          <w:color w:val="000000"/>
          <w:sz w:val="24"/>
          <w:szCs w:val="24"/>
          <w:lang w:eastAsia="en-GB"/>
        </w:rPr>
        <w:fldChar w:fldCharType="end"/>
      </w:r>
      <w:r w:rsidR="00D97FD2" w:rsidRPr="00E200A5">
        <w:rPr>
          <w:rFonts w:ascii="Times New Roman" w:eastAsia="Times New Roman" w:hAnsi="Times New Roman" w:cs="Times New Roman"/>
          <w:color w:val="000000"/>
          <w:sz w:val="24"/>
          <w:szCs w:val="24"/>
          <w:lang w:eastAsia="en-GB"/>
        </w:rPr>
        <w:t xml:space="preserve">. </w:t>
      </w:r>
      <w:r w:rsidR="009240FA" w:rsidRPr="00E200A5">
        <w:rPr>
          <w:rFonts w:ascii="Times New Roman" w:eastAsia="Times New Roman" w:hAnsi="Times New Roman" w:cs="Times New Roman"/>
          <w:color w:val="000000"/>
          <w:sz w:val="24"/>
          <w:szCs w:val="24"/>
          <w:lang w:eastAsia="en-GB"/>
        </w:rPr>
        <w:t>G</w:t>
      </w:r>
      <w:r w:rsidR="00191A72" w:rsidRPr="00E200A5">
        <w:rPr>
          <w:rFonts w:ascii="Times New Roman" w:eastAsia="Times New Roman" w:hAnsi="Times New Roman" w:cs="Times New Roman"/>
          <w:color w:val="000000"/>
          <w:sz w:val="24"/>
          <w:szCs w:val="24"/>
          <w:lang w:eastAsia="en-GB"/>
        </w:rPr>
        <w:t xml:space="preserve">eneral </w:t>
      </w:r>
      <w:r w:rsidR="00D97FD2" w:rsidRPr="00E200A5">
        <w:rPr>
          <w:rFonts w:ascii="Times New Roman" w:eastAsia="Times New Roman" w:hAnsi="Times New Roman" w:cs="Times New Roman"/>
          <w:color w:val="000000"/>
          <w:sz w:val="24"/>
          <w:szCs w:val="24"/>
          <w:lang w:eastAsia="en-GB"/>
        </w:rPr>
        <w:t xml:space="preserve">intelligence is also correlated with educational attainment </w:t>
      </w:r>
      <w:r w:rsidR="00D97FD2"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{"citationID":"1zuva2OC","properties":{"formattedCitation":"(Deary et al., 2005)","plainCitation":"(Deary et al., 2005)","noteIndex":0},"citationItems":[{"id":46,"uris":["http://zotero.org/users/5523892/items/THTRNBKH"],"itemData":{"id":46,"type":"article-journal","language":"en","page":"18","source":"Zotero","title":"Intergenerational social mobility and mid-life status attainment: influences of childhood intelligence, childhood social factors, and education","author":[{"family":"Deary","given":"Ian J"},{"family":"Taylor","given":"Michelle D"},{"family":"Hart","given":"Carole L"},{"family":"Wilson","given":"Valerie"},{"family":"Smith","given":"George Davey"},{"family":"Blane","given":"David"},{"family":"Starr","given":"John M"}],"issued":{"date-parts":[["2005"]]},"citation-key":"dearyIntergenerationalSocialMobility2005"}}],"schema":"https://github.com/citation-style-language/schema/raw/master/csl-citation.json"} </w:instrText>
      </w:r>
      <w:r w:rsidR="00D97FD2" w:rsidRPr="00E200A5">
        <w:rPr>
          <w:rFonts w:ascii="Times New Roman" w:eastAsia="Times New Roman" w:hAnsi="Times New Roman" w:cs="Times New Roman"/>
          <w:color w:val="000000"/>
          <w:sz w:val="24"/>
          <w:szCs w:val="24"/>
          <w:lang w:eastAsia="en-GB"/>
        </w:rPr>
        <w:fldChar w:fldCharType="separate"/>
      </w:r>
      <w:r w:rsidR="00AF0251" w:rsidRPr="00E200A5">
        <w:rPr>
          <w:rFonts w:ascii="Times New Roman" w:hAnsi="Times New Roman" w:cs="Times New Roman"/>
          <w:sz w:val="24"/>
        </w:rPr>
        <w:t>(Deary et al., 2005)</w:t>
      </w:r>
      <w:r w:rsidR="00D97FD2" w:rsidRPr="00E200A5">
        <w:rPr>
          <w:rFonts w:ascii="Times New Roman" w:eastAsia="Times New Roman" w:hAnsi="Times New Roman" w:cs="Times New Roman"/>
          <w:color w:val="000000"/>
          <w:sz w:val="24"/>
          <w:szCs w:val="24"/>
          <w:lang w:eastAsia="en-GB"/>
        </w:rPr>
        <w:fldChar w:fldCharType="end"/>
      </w:r>
      <w:r w:rsidR="00D97FD2"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color w:val="000000"/>
          <w:sz w:val="24"/>
          <w:szCs w:val="24"/>
          <w:lang w:eastAsia="en-GB"/>
        </w:rPr>
        <w:t xml:space="preserve"> with links in turn to </w:t>
      </w:r>
      <w:r w:rsidR="00D97FD2" w:rsidRPr="00E200A5">
        <w:rPr>
          <w:rFonts w:ascii="Times New Roman" w:eastAsia="Times New Roman" w:hAnsi="Times New Roman" w:cs="Times New Roman"/>
          <w:color w:val="000000"/>
          <w:sz w:val="24"/>
          <w:szCs w:val="24"/>
          <w:lang w:eastAsia="en-GB"/>
        </w:rPr>
        <w:t xml:space="preserve">vaccination attitudes </w:t>
      </w:r>
      <w:r w:rsidR="00D97FD2"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{"citationID":"4MMl9QYZ","properties":{"formattedCitation":"(Bertoncello et al., 2020; Gilkey et al., 2014; Mora &amp; Trapero-Bertran, 2018)","plainCitation":"(Bertoncello et al., 2020; Gilkey et al., 2014; Mora &amp; Trapero-Bertran, 2018)","noteIndex":0},"citationItems":[{"id":1442,"uris":["http://zotero.org/users/5523892/items/6F6N3TH2"],"itemData":{"id":1442,"type":"article-journal","abstract":"Childhood vaccination has been a milestone in the control of infectious diseases. However, even in countries oﬀering equal access to vaccination, a number of vaccine-preventable diseases have re-emerged. Suboptimal vaccination coverage has been called into question. The aim was to explore socioeconomic inequalities in vaccine hesitancy and outright refusal. Families with at least one child aged between 3 months and 7 years were involved through an online survey. Families were classiﬁed as provaccine, hesitant, or antivaccine. The association between socioeconomic determinants and hesitancy/refusal was investigated with a logistic-regression model. A total of 3865 questionnaires were collected: 64.0% of families were provaccine, 32.4% hesitant, and 3.6% antivaccine. Rising levels of perceived economic hardship were associated with hesitancy (adjusted odds ratio (AOR) from 1.34 to 1.59), and lower parental education was signiﬁcantly associated with refusal (AOR from 1.89 to 3.39). Family economic hardship and parental education did not move in parallel. Economic hardship was a determinant of hesitancy. Lower education was a predictor of outright refusal without aﬀecting hesitancy. These ﬁndings may serve as warnings, and further explanations of socioeconomic inequities are needed even in universal healthcare systems. Insight into these factors is necessary to improve convenience and remove potential access issues.","language":"en","page":"9","source":"Zotero","title":"Socioeconomic determinants in vaccine hesitancy and vaccine refusal in italy","author":[{"family":"Bertoncello","given":"Chiara"},{"family":"Ferro","given":"Antonio"},{"family":"Fonzo","given":"Marco"},{"family":"Zanovello","given":"Sofia"},{"family":"Napoletano","given":"Giuseppina"},{"family":"Russo","given":"Francesca"},{"family":"Baldo","given":"Vincenzo"},{"family":"Cocchio","given":"Silvia"}],"issued":{"date-parts":[["2020"]]},"citation-key":"bertoncelloSocioeconomicDeterminantsVaccine2020"}},{"id":1518,"uris":["http://zotero.org/users/5523892/items/T5LHKF5I"],"itemData":{"id":1518,"type":"article-journal","abstract":"Purpose—The success of national immunization programs depends on the public’s confidence in vaccines. We sought to develop a scale for measuring confidence about adolescent vaccination in diverse populations of parents.","container-title":"Vaccine","DOI":"10.1016/j.vaccine.2014.09.007","ISSN":"0264410X","issue":"47","language":"en","page":"6259-6265","source":"Crossref","title":"The vaccination confidence scale: a brief measure of parents’ vaccination beliefs","volume":"32","author":[{"family":"Gilkey","given":"Melissa B."},{"family":"Magnus","given":"Brooke E."},{"family":"Reiter","given":"Paul L."},{"family":"McRee","given":"Annie-Laurie"},{"family":"Dempsey","given":"Amanda F."},{"family":"Brewer","given":"Noel T."}],"issued":{"date-parts":[["2014",10]]},"citation-key":"gilkeyVaccinationConfidenceScale2014"}},{"id":1470,"uris":["http://zotero.org/users/5523892/items/V2PKPVVD"],"itemData":{"id":1470,"type":"article-journal","abstract":"Background: In order to enhance childhood vaccination uptake and the health consequences for the whole society, there is a need to study predictors that might help in understanding parents’ behaviour in relation to childhood vaccination schemes. The aim of this paper is to assess whether parental education has an influence on their children’s public health-care use in terms of visits for vaccinations, and thus evaluate whether more educated parents use public health resources more frequently in childhood immunization schedules.\nMethods: The setting was the region of Catalonia in the north-east of Spain. Three different databases, containing information about 11,415 individuals corresponding to 79,905 observations, were merged and linked: 1) observational and longitudinal administrative data for adults and children in Catalonia; 2) a database containing information on the vaccination of children in relation to the public health programme called the “Healthy Child Programme”; and 3) the governmental vaccination registration. The presence of an education gradient was explored using a logistic regression. Children’s health-care use was modelled using a logistic procedure.\nResults: The greater the mothers’ educational attainment level, the higher the probability of being vaccinated in this immunization programme. The presence of an age profile for vaccinations showed that less educated parents visit their GPs more frequently for immunizations when their children are below the age of six, but that pattern is completely the opposite after that age. Hence, for children aged between six and 16, more educated parents are more likely to ensure their children are immunized. Likewise, systematic vaccinations are more likely for those parents with a lower educational attainment level.\nConclusions: This paper evidenced the presence of an education gradient for specific preventive care through the public health system and visits to the GP without any particular disease or advice for specific vaccinations.","container-title":"BMC Public Health","DOI":"10.1186/s12889-018-5810-1","ISSN":"1471-2458","issue":"1","journalAbbreviation":"BMC Public Health","language":"en","page":"893","source":"DOI.org (Crossref)","title":"The influence of education on the access to childhood immunization: the case of spain","volume":"18","author":[{"family":"Mora","given":"T."},{"family":"Trapero-Bertran","given":"M."}],"issued":{"date-parts":[["2018",12]]},"citation-key":"moraInfluenceEducationAccess2018"}}],"schema":"https://github.com/citation-style-language/schema/raw/master/csl-citation.json"} </w:instrText>
      </w:r>
      <w:r w:rsidR="00D97FD2" w:rsidRPr="00E200A5">
        <w:rPr>
          <w:rFonts w:ascii="Times New Roman" w:eastAsia="Times New Roman" w:hAnsi="Times New Roman" w:cs="Times New Roman"/>
          <w:color w:val="000000"/>
          <w:sz w:val="24"/>
          <w:szCs w:val="24"/>
          <w:lang w:eastAsia="en-GB"/>
        </w:rPr>
        <w:fldChar w:fldCharType="separate"/>
      </w:r>
      <w:r w:rsidR="00AF0251" w:rsidRPr="00E200A5">
        <w:rPr>
          <w:rFonts w:ascii="Times New Roman" w:hAnsi="Times New Roman" w:cs="Times New Roman"/>
          <w:sz w:val="24"/>
        </w:rPr>
        <w:t>(Bertoncello et al., 2020; Gilkey et al., 2014; Mora &amp; Trapero-Bertran, 2018)</w:t>
      </w:r>
      <w:r w:rsidR="00D97FD2" w:rsidRPr="00E200A5">
        <w:rPr>
          <w:rFonts w:ascii="Times New Roman" w:eastAsia="Times New Roman" w:hAnsi="Times New Roman" w:cs="Times New Roman"/>
          <w:color w:val="000000"/>
          <w:sz w:val="24"/>
          <w:szCs w:val="24"/>
          <w:lang w:eastAsia="en-GB"/>
        </w:rPr>
        <w:fldChar w:fldCharType="end"/>
      </w:r>
      <w:r w:rsidR="00D97FD2" w:rsidRPr="00E200A5">
        <w:rPr>
          <w:rFonts w:ascii="Times New Roman" w:eastAsia="Times New Roman" w:hAnsi="Times New Roman" w:cs="Times New Roman"/>
          <w:color w:val="000000"/>
          <w:sz w:val="24"/>
          <w:szCs w:val="24"/>
          <w:lang w:eastAsia="en-GB"/>
        </w:rPr>
        <w:t>.</w:t>
      </w:r>
      <w:r w:rsidR="006D6C5E" w:rsidRPr="00E200A5">
        <w:rPr>
          <w:rFonts w:ascii="Times New Roman" w:eastAsia="Times New Roman" w:hAnsi="Times New Roman" w:cs="Times New Roman"/>
          <w:color w:val="000000"/>
          <w:sz w:val="24"/>
          <w:szCs w:val="24"/>
          <w:lang w:eastAsia="en-GB"/>
        </w:rPr>
        <w:t xml:space="preserve"> </w:t>
      </w:r>
      <w:r w:rsidR="00041423" w:rsidRPr="00E200A5">
        <w:rPr>
          <w:rFonts w:ascii="Times New Roman" w:eastAsia="Times New Roman" w:hAnsi="Times New Roman" w:cs="Times New Roman"/>
          <w:color w:val="000000"/>
          <w:sz w:val="24"/>
          <w:szCs w:val="24"/>
          <w:lang w:eastAsia="en-GB"/>
        </w:rPr>
        <w:t xml:space="preserve">Intelligence has also been found to predict a person’s ability to adjust their evaluations of a topic in response to new information that shows their previous evaluations were based upon false information </w:t>
      </w:r>
      <w:r w:rsidR="00041423"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{"citationID":"MeC35S3q","properties":{"formattedCitation":"(De keersmaecker &amp; Roets, 2017)","plainCitation":"(De keersmaecker &amp; Roets, 2017)","noteIndex":0},"citationItems":[{"id":4365,"uris":["http://zotero.org/users/5523892/items/4399H6AY"],"itemData":{"id":4365,"type":"article-journal","abstract":"The present experiment (N = 390) examined how people adjust their judgment after they learn that crucial information on which their initial evaluation was based is incorrect. In line with our expectations, the results showed that people generally do adjust their attitudes, but the degree to which they correct their assessment depends on their cognitive ability. In particular, individuals with lower levels of cognitive ability adjusted their attitudes to a lesser extent than individuals with higher levels of cognitive ability. Moreover, for those with lower levels of cognitive ability, even after the explicit disconﬁrmation of the false information, adjusted attitudes remained biased and signiﬁcantly diﬀerent from the attitudes of the control group who was never exposed to the incorrect information. In contrast, the adjusted attitudes of those with higher levels of cognitive ability were similar to those of the control group. Controlling for need for closure and right-wing authoritarianism did not inﬂuence the relationship between cognitive ability and attitude adjustment. The present results indicate that, even in optimal circumstances, the initial inﬂuence of incorrect information cannot simply be undone by pointing out that this information was incorrect, especially in people with relatively lower cognitive ability.","container-title":"Intelligence","DOI":"10.1016/j.intell.2017.10.005","ISSN":"01602896","journalAbbreviation":"Intelligence","language":"en","page":"107-110","source":"DOI.org (Crossref)","title":"‘Fake news’: Incorrect, but hard to correct. The role of cognitive ability on the impact of false information on social impressions","title-short":"‘Fake news’","volume":"65","author":[{"family":"De keersmaecker","given":"Jonas"},{"family":"Roets","given":"Arne"}],"issued":{"date-parts":[["2017",11]]},"citation-key":"dekeersmaeckerFakeNewsIncorrect2017"}}],"schema":"https://github.com/citation-style-language/schema/raw/master/csl-citation.json"} </w:instrText>
      </w:r>
      <w:r w:rsidR="00041423" w:rsidRPr="00E200A5">
        <w:rPr>
          <w:rFonts w:ascii="Times New Roman" w:eastAsia="Times New Roman" w:hAnsi="Times New Roman" w:cs="Times New Roman"/>
          <w:color w:val="000000"/>
          <w:sz w:val="24"/>
          <w:szCs w:val="24"/>
          <w:lang w:eastAsia="en-GB"/>
        </w:rPr>
        <w:fldChar w:fldCharType="separate"/>
      </w:r>
      <w:r w:rsidR="00041423" w:rsidRPr="00E200A5">
        <w:rPr>
          <w:rFonts w:ascii="Times New Roman" w:hAnsi="Times New Roman" w:cs="Times New Roman"/>
          <w:sz w:val="24"/>
        </w:rPr>
        <w:t>(De keersmaecker &amp; Roets, 2017)</w:t>
      </w:r>
      <w:r w:rsidR="00041423" w:rsidRPr="00E200A5">
        <w:rPr>
          <w:rFonts w:ascii="Times New Roman" w:eastAsia="Times New Roman" w:hAnsi="Times New Roman" w:cs="Times New Roman"/>
          <w:color w:val="000000"/>
          <w:sz w:val="24"/>
          <w:szCs w:val="24"/>
          <w:lang w:eastAsia="en-GB"/>
        </w:rPr>
        <w:fldChar w:fldCharType="end"/>
      </w:r>
      <w:r w:rsidR="00041423" w:rsidRPr="00E200A5">
        <w:rPr>
          <w:rFonts w:ascii="Times New Roman" w:eastAsia="Times New Roman" w:hAnsi="Times New Roman" w:cs="Times New Roman"/>
          <w:color w:val="000000"/>
          <w:sz w:val="24"/>
          <w:szCs w:val="24"/>
          <w:lang w:eastAsia="en-GB"/>
        </w:rPr>
        <w:t xml:space="preserve">. In the current context of COVID-19, this may impact a person’s ability to navigate COVID-19 misinformation and incline them towards vaccine hesitancy </w:t>
      </w:r>
      <w:r w:rsidR="00041423"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{"citationID":"SVSHx1lj","properties":{"formattedCitation":"(Roozenbeek et al., 2020)","plainCitation":"(Roozenbeek et al., 2020)","noteIndex":0},"citationItems":[{"id":1191,"uris":["http://zotero.org/users/5523892/items/V2YPX3FI"],"itemData":{"id":1191,"type":"article-journal","abstract":"Misinformation about COVID-19 is a major threat to public health. Using five national samples from the UK (\n              n\n              =\n              1050 and\n              n\n              =\n              1150), Ireland (\n              n\n              = 700), the USA (\n              n\n              = 700), Spain (\n              n\n              =\n              700) and Mexico (\n              n\n              =\n              700), we examine predictors of belief in the most common statements about the virus that contain misinformation. We also investigate the prevalence of belief in COVID-19 misinformation across different countries and the role of belief in such misinformation in predicting relevant health behaviours. We find that while public belief in misinformation about COVID-19 is not particularly common, a substantial proportion views this type of misinformation as highly reliable in each country surveyed. In addition, a small group of participants find common factual information about the virus highly unreliable. We also find that increased susceptibility to misinformation negatively affects people's self-reported compliance with public health guidance about COVID-19, as well as people's willingness to get vaccinated against the virus and to recommend the vaccine to vulnerable friends and family. Across all countries surveyed, we find that higher trust in scientists and having higher numeracy skills were associated with lower susceptibility to coronavirus-related misinformation. Taken together, these results demonstrate a clear link between susceptibility to misinformation and both vaccine hesitancy and a reduced likelihood to comply with health guidance measures, and suggest that interventions which aim to improve critical thinking and trust in science may be a promising avenue for future research.","container-title":"Royal Society Open Science","DOI":"10.1098/rsos.201199","ISSN":"2054-5703, 2054-5703","issue":"10","journalAbbreviation":"R. Soc. open sci.","language":"en","page":"201199","source":"DOI.org (Crossref)","title":"Susceptibility to misinformation about covid-19 around the world","volume":"7","author":[{"family":"Roozenbeek","given":"Jon"},{"family":"Schneider","given":"Claudia R."},{"family":"Dryhurst","given":"Sarah"},{"family":"Kerr","given":"John"},{"family":"Freeman","given":"Alexandra L. J."},{"family":"Recchia","given":"Gabriel"},{"family":"Bles","given":"Anne Marthe","non-dropping-particle":"van der"},{"family":"Linden","given":"Sander","non-dropping-particle":"van der"}],"issued":{"date-parts":[["2020",10]]},"citation-key":"roozenbeekSusceptibilityMisinformationCovid192020"}}],"schema":"https://github.com/citation-style-language/schema/raw/master/csl-citation.json"} </w:instrText>
      </w:r>
      <w:r w:rsidR="00041423" w:rsidRPr="00E200A5">
        <w:rPr>
          <w:rFonts w:ascii="Times New Roman" w:eastAsia="Times New Roman" w:hAnsi="Times New Roman" w:cs="Times New Roman"/>
          <w:color w:val="000000"/>
          <w:sz w:val="24"/>
          <w:szCs w:val="24"/>
          <w:lang w:eastAsia="en-GB"/>
        </w:rPr>
        <w:fldChar w:fldCharType="separate"/>
      </w:r>
      <w:r w:rsidR="00041423" w:rsidRPr="00E200A5">
        <w:rPr>
          <w:rFonts w:ascii="Times New Roman" w:hAnsi="Times New Roman" w:cs="Times New Roman"/>
          <w:sz w:val="24"/>
        </w:rPr>
        <w:t>(Roozenbeek et al., 2020)</w:t>
      </w:r>
      <w:r w:rsidR="00041423" w:rsidRPr="00E200A5">
        <w:rPr>
          <w:rFonts w:ascii="Times New Roman" w:eastAsia="Times New Roman" w:hAnsi="Times New Roman" w:cs="Times New Roman"/>
          <w:color w:val="000000"/>
          <w:sz w:val="24"/>
          <w:szCs w:val="24"/>
          <w:lang w:eastAsia="en-GB"/>
        </w:rPr>
        <w:fldChar w:fldCharType="end"/>
      </w:r>
      <w:r w:rsidR="00041423" w:rsidRPr="00E200A5">
        <w:rPr>
          <w:rFonts w:ascii="Times New Roman" w:eastAsia="Times New Roman" w:hAnsi="Times New Roman" w:cs="Times New Roman"/>
          <w:color w:val="000000"/>
          <w:sz w:val="24"/>
          <w:szCs w:val="24"/>
          <w:lang w:eastAsia="en-GB"/>
        </w:rPr>
        <w:t>.</w:t>
      </w:r>
    </w:p>
    <w:p w14:paraId="350CFCF7" w14:textId="77777777" w:rsidR="008D5639" w:rsidRPr="00E200A5" w:rsidRDefault="00BC32AF" w:rsidP="00C915C8">
      <w:pPr>
        <w:spacing w:after="20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Finally, little </w:t>
      </w:r>
      <w:r w:rsidR="008C2445" w:rsidRPr="00E200A5">
        <w:rPr>
          <w:rFonts w:ascii="Times New Roman" w:eastAsia="Times New Roman" w:hAnsi="Times New Roman" w:cs="Times New Roman"/>
          <w:color w:val="000000"/>
          <w:sz w:val="24"/>
          <w:szCs w:val="24"/>
          <w:lang w:eastAsia="en-GB"/>
        </w:rPr>
        <w:t xml:space="preserve">is </w:t>
      </w:r>
      <w:r w:rsidRPr="00E200A5">
        <w:rPr>
          <w:rFonts w:ascii="Times New Roman" w:eastAsia="Times New Roman" w:hAnsi="Times New Roman" w:cs="Times New Roman"/>
          <w:color w:val="000000"/>
          <w:sz w:val="24"/>
          <w:szCs w:val="24"/>
          <w:lang w:eastAsia="en-GB"/>
        </w:rPr>
        <w:t xml:space="preserve">known of whether predictors of </w:t>
      </w:r>
      <w:r w:rsidR="00852603" w:rsidRPr="00E200A5">
        <w:rPr>
          <w:rFonts w:ascii="Times New Roman" w:eastAsia="Times New Roman" w:hAnsi="Times New Roman" w:cs="Times New Roman"/>
          <w:color w:val="000000"/>
          <w:sz w:val="24"/>
          <w:szCs w:val="24"/>
          <w:lang w:eastAsia="en-GB"/>
        </w:rPr>
        <w:t>vaccination hesitancy</w:t>
      </w:r>
      <w:r w:rsidRPr="00E200A5">
        <w:rPr>
          <w:rFonts w:ascii="Times New Roman" w:eastAsia="Times New Roman" w:hAnsi="Times New Roman" w:cs="Times New Roman"/>
          <w:color w:val="000000"/>
          <w:sz w:val="24"/>
          <w:szCs w:val="24"/>
          <w:lang w:eastAsia="en-GB"/>
        </w:rPr>
        <w:t xml:space="preserve"> generalise across diseases. On the one hand, Miton and Mercier </w:t>
      </w:r>
      <w:r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{"citationID":"YdeWHh4S","properties":{"formattedCitation":"(Miton &amp; Mercier, 2015)","plainCitation":"(Miton &amp; Mercier, 2015)","dontUpdate":true,"noteIndex":0},"citationItems":[{"id":1474,"uris":["http://zotero.org/users/5523892/items/BMQIU77S"],"itemData":{"id":1474,"type":"article-journal","container-title":"Trends in Cognitive Sciences","DOI":"10.1016/j.tics.2015.08.007","ISSN":"13646613","issue":"11","language":"en","page":"633-636","source":"Crossref","title":"Cognitive obstacles to pro-vaccination beliefs","volume":"19","author":[{"family":"Miton","given":"Helena"},{"family":"Mercier","given":"Hugo"}],"issued":{"date-parts":[["2015",11]]},"citation-key":"mitonCognitiveObstaclesProvaccination2015"}}],"schema":"https://github.com/citation-style-language/schema/raw/master/csl-citation.json"} </w:instrText>
      </w:r>
      <w:r w:rsidRPr="00E200A5">
        <w:rPr>
          <w:rFonts w:ascii="Times New Roman" w:eastAsia="Times New Roman" w:hAnsi="Times New Roman" w:cs="Times New Roman"/>
          <w:color w:val="000000"/>
          <w:sz w:val="24"/>
          <w:szCs w:val="24"/>
          <w:lang w:eastAsia="en-GB"/>
        </w:rPr>
        <w:fldChar w:fldCharType="separate"/>
      </w:r>
      <w:r w:rsidRPr="00E200A5">
        <w:rPr>
          <w:rFonts w:ascii="Times New Roman" w:hAnsi="Times New Roman" w:cs="Times New Roman"/>
          <w:sz w:val="24"/>
        </w:rPr>
        <w:t>(2015)</w:t>
      </w:r>
      <w:r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 xml:space="preserve"> highlight cognitive obstacles to vaccination, and discuss them in universal terms (e.g.</w:t>
      </w:r>
      <w:r w:rsidR="008C2445"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color w:val="000000"/>
          <w:sz w:val="24"/>
          <w:szCs w:val="24"/>
          <w:lang w:eastAsia="en-GB"/>
        </w:rPr>
        <w:t xml:space="preserve"> all vaccines require counter-intuitive decision making, they are all informed by the same cognitive biases). On the other, there is evidence for differences between predictors across different vaccinations (e.g. the differences in</w:t>
      </w:r>
      <w:r w:rsidR="003173AB" w:rsidRPr="00E200A5">
        <w:rPr>
          <w:rFonts w:ascii="Times New Roman" w:eastAsia="Times New Roman" w:hAnsi="Times New Roman" w:cs="Times New Roman"/>
          <w:color w:val="000000"/>
          <w:sz w:val="24"/>
          <w:szCs w:val="24"/>
          <w:lang w:eastAsia="en-GB"/>
        </w:rPr>
        <w:t xml:space="preserve"> personality</w:t>
      </w:r>
      <w:r w:rsidRPr="00E200A5">
        <w:rPr>
          <w:rFonts w:ascii="Times New Roman" w:eastAsia="Times New Roman" w:hAnsi="Times New Roman" w:cs="Times New Roman"/>
          <w:color w:val="000000"/>
          <w:sz w:val="24"/>
          <w:szCs w:val="24"/>
          <w:lang w:eastAsia="en-GB"/>
        </w:rPr>
        <w:t xml:space="preserve"> predictors found in </w:t>
      </w:r>
      <w:r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{"citationID":"E2kc3EnH","properties":{"formattedCitation":"(Lee et al., 2017; Murphy et al., 2021)","plainCitation":"(Lee et al., 2017; Murphy et al., 2021)","dontUpdate":true,"noteIndex":0},"citationItems":[{"id":1281,"uris":["http://zotero.org/users/5523892/items/BAHV7RIX"],"itemData":{"id":1281,"type":"article-journal","abstract":"Despite extensive scientiﬁc evidence on the safety of standard vaccinations, some parents express skeptical attitudes towards the safety of childhood immunisations. This paper uses data from the 2013/14 New Zealand Attitudes and Values Study (NZAVS) survey (N = 16,642) to explore the distribution, and demographic and personality correlates of New Zealanders’ attitudes towards the safety of childhood vaccinations. Around two thirds (68.5%) of New Zealanders strongly agreed/were conﬁdent that ‘‘it is safe to vaccinate children following the standard New Zealand immunisation schedule,” 26% were skeptical and 5.5% were strongly opposed. Multiple regression analysis indicated that people lower on Conscientiousness and Agreeableness but higher on Openness to Experience expressed lower conﬁdence about vaccine safety. Having higher subjective health satisfaction, living rurally, being Ma¯ ori, single, employed and not a parent were all associated with lower conﬁdence, while a higher income and educational attainment were associated with greater conﬁdence. Our ﬁndings suggest that the majority of New Zealand adults trust in the safety of scheduled childhood vaccinations, but about one third do express some degree of concern. This ﬁnding highlights the importance of improving public education about the safety and necessity of vaccinations.","container-title":"Vaccine","DOI":"10.1016/j.vaccine.2017.09.061","ISSN":"0264410X","issue":"45","journalAbbreviation":"Vaccine","language":"en","page":"6089-6095","source":"DOI.org (Crossref)","title":"Personality and demographic correlates of new zealanders’ confidence in the safety of childhood vaccinations","volume":"35","author":[{"family":"Lee","given":"Carol H.J."},{"family":"Duck","given":"Isabelle M."},{"family":"Sibley","given":"Chris G."}],"issued":{"date-parts":[["2017",10]]},"citation-key":"leePersonalityDemographicCorrelates2017"}},{"id":1408,"uris":["http://zotero.org/users/5523892/items/MBCHBCZB"],"itemData":{"id":1408,"type":"article-journal","abstract":"Abstract\n\nIdentifying and understanding COVID-19 vaccine hesitancy within distinct populations may aid future public health messaging. Using nationally representative data from the general adult populations of Ireland (\nN\n= 1041) and the United Kingdom (UK;\nN\n= 2025), we found that vaccine hesitancy/resistance was evident for 35% and 31% of these populations respectively. Vaccine hesitant/resistant respondents in Ireland and the UK differed on a number of sociodemographic and health-related variables but were similar across a broad array of psychological constructs. In both populations, those resistant to a COVID-19 vaccine were less likely to obtain information about the pandemic from traditional and authoritative sources and had similar levels of mistrust in these sources compared to vaccine accepting respondents. Given the geographical proximity and socio-economic similarity of the populations studied, it is not possible to generalize findings to other populations, however, the methodology employed here may be useful to those wishing to understand COVID-19 vaccine hesitancy elsewhere.","container-title":"Nature Communications","DOI":"10.1038/s41467-020-20226-9","ISSN":"2041-1723","issue":"1","journalAbbreviation":"Nat Commun","language":"en","page":"29","source":"DOI.org (Crossref)","title":"Psychological characteristics associated with covid-19 vaccine hesitancy and resistance in ireland and the united kingdom","volume":"12","author":[{"family":"Murphy","given":"Jamie"},{"family":"Vallières","given":"Frédérique"},{"family":"Bentall","given":"Richard P."},{"family":"Shevlin","given":"Mark"},{"family":"McBride","given":"Orla"},{"family":"Hartman","given":"Todd K."},{"family":"McKay","given":"Ryan"},{"family":"Bennett","given":"Kate"},{"family":"Mason","given":"Liam"},{"family":"Gibson-Miller","given":"Jilly"},{"family":"Levita","given":"Liat"},{"family":"Martinez","given":"Anton P."},{"family":"Stocks","given":"Thomas V. A."},{"family":"Karatzias","given":"Thanos"},{"family":"Hyland","given":"Philip"}],"issued":{"date-parts":[["2021",12]]},"citation-key":"murphyPsychologicalCharacteristicsAssociated2021"}}],"schema":"https://github.com/citation-style-language/schema/raw/master/csl-citation.json"} </w:instrText>
      </w:r>
      <w:r w:rsidRPr="00E200A5">
        <w:rPr>
          <w:rFonts w:ascii="Times New Roman" w:eastAsia="Times New Roman" w:hAnsi="Times New Roman" w:cs="Times New Roman"/>
          <w:color w:val="000000"/>
          <w:sz w:val="24"/>
          <w:szCs w:val="24"/>
          <w:lang w:eastAsia="en-GB"/>
        </w:rPr>
        <w:fldChar w:fldCharType="separate"/>
      </w:r>
      <w:r w:rsidRPr="00E200A5">
        <w:rPr>
          <w:rFonts w:ascii="Times New Roman" w:hAnsi="Times New Roman" w:cs="Times New Roman"/>
          <w:sz w:val="24"/>
        </w:rPr>
        <w:t>Lee et al., 2017 and Murphy et al., 2021</w:t>
      </w:r>
      <w:r w:rsidR="008A09C9" w:rsidRPr="00E200A5">
        <w:rPr>
          <w:rFonts w:ascii="Times New Roman" w:hAnsi="Times New Roman" w:cs="Times New Roman"/>
          <w:sz w:val="24"/>
        </w:rPr>
        <w:t xml:space="preserve"> which examined childhood vaccines and </w:t>
      </w:r>
      <w:r w:rsidR="000D1673" w:rsidRPr="00E200A5">
        <w:rPr>
          <w:rFonts w:ascii="Times New Roman" w:hAnsi="Times New Roman" w:cs="Times New Roman"/>
          <w:sz w:val="24"/>
        </w:rPr>
        <w:t>COVID</w:t>
      </w:r>
      <w:r w:rsidR="009240FA" w:rsidRPr="00E200A5">
        <w:rPr>
          <w:rFonts w:ascii="Times New Roman" w:hAnsi="Times New Roman" w:cs="Times New Roman"/>
          <w:sz w:val="24"/>
        </w:rPr>
        <w:t>-19</w:t>
      </w:r>
      <w:r w:rsidR="008A09C9" w:rsidRPr="00E200A5">
        <w:rPr>
          <w:rFonts w:ascii="Times New Roman" w:hAnsi="Times New Roman" w:cs="Times New Roman"/>
          <w:sz w:val="24"/>
        </w:rPr>
        <w:t>, respectively</w:t>
      </w:r>
      <w:r w:rsidRPr="00E200A5">
        <w:rPr>
          <w:rFonts w:ascii="Times New Roman" w:hAnsi="Times New Roman" w:cs="Times New Roman"/>
          <w:sz w:val="24"/>
        </w:rPr>
        <w:t>)</w:t>
      </w:r>
      <w:r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w:t>
      </w:r>
    </w:p>
    <w:p w14:paraId="7F08A19E" w14:textId="4B60FFF6" w:rsidR="00E05334" w:rsidRPr="00E200A5" w:rsidRDefault="008D5639" w:rsidP="00C915C8">
      <w:pPr>
        <w:spacing w:after="20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To address these issues we used data from ‘</w:t>
      </w:r>
      <w:r w:rsidR="004B30E4" w:rsidRPr="00E200A5">
        <w:rPr>
          <w:rFonts w:ascii="Times New Roman" w:eastAsia="Times New Roman" w:hAnsi="Times New Roman" w:cs="Times New Roman"/>
          <w:color w:val="000000"/>
          <w:sz w:val="24"/>
          <w:szCs w:val="24"/>
          <w:lang w:eastAsia="en-GB"/>
        </w:rPr>
        <w:t>Understanding Society</w:t>
      </w:r>
      <w:r w:rsidRPr="00E200A5">
        <w:rPr>
          <w:rFonts w:ascii="Times New Roman" w:eastAsia="Times New Roman" w:hAnsi="Times New Roman" w:cs="Times New Roman"/>
          <w:color w:val="000000"/>
          <w:sz w:val="24"/>
          <w:szCs w:val="24"/>
          <w:lang w:eastAsia="en-GB"/>
        </w:rPr>
        <w:t>’. This large cohort</w:t>
      </w:r>
      <w:r w:rsidR="004B30E4" w:rsidRPr="00E200A5">
        <w:rPr>
          <w:rFonts w:ascii="Times New Roman" w:eastAsia="Times New Roman" w:hAnsi="Times New Roman" w:cs="Times New Roman"/>
          <w:color w:val="000000"/>
          <w:sz w:val="24"/>
          <w:szCs w:val="24"/>
          <w:lang w:eastAsia="en-GB"/>
        </w:rPr>
        <w:t xml:space="preserve"> study</w:t>
      </w:r>
      <w:r w:rsidRPr="00E200A5">
        <w:rPr>
          <w:rFonts w:ascii="Times New Roman" w:eastAsia="Times New Roman" w:hAnsi="Times New Roman" w:cs="Times New Roman"/>
          <w:color w:val="000000"/>
          <w:sz w:val="24"/>
          <w:szCs w:val="24"/>
          <w:lang w:eastAsia="en-GB"/>
        </w:rPr>
        <w:t xml:space="preserve"> of UK adults</w:t>
      </w:r>
      <w:r w:rsidR="004B30E4" w:rsidRPr="00E200A5">
        <w:rPr>
          <w:rFonts w:ascii="Times New Roman" w:eastAsia="Times New Roman" w:hAnsi="Times New Roman" w:cs="Times New Roman"/>
          <w:color w:val="000000"/>
          <w:sz w:val="24"/>
          <w:szCs w:val="24"/>
          <w:lang w:eastAsia="en-GB"/>
        </w:rPr>
        <w:t xml:space="preserve"> contains</w:t>
      </w:r>
      <w:r w:rsidRPr="00E200A5">
        <w:rPr>
          <w:rFonts w:ascii="Times New Roman" w:eastAsia="Times New Roman" w:hAnsi="Times New Roman" w:cs="Times New Roman"/>
          <w:color w:val="000000"/>
          <w:sz w:val="24"/>
          <w:szCs w:val="24"/>
          <w:lang w:eastAsia="en-GB"/>
        </w:rPr>
        <w:t xml:space="preserve"> measures of Big 5 personality traits and general intelligence alongside </w:t>
      </w:r>
      <w:r w:rsidR="004B30E4" w:rsidRPr="00E200A5">
        <w:rPr>
          <w:rFonts w:ascii="Times New Roman" w:eastAsia="Times New Roman" w:hAnsi="Times New Roman" w:cs="Times New Roman"/>
          <w:color w:val="000000"/>
          <w:sz w:val="24"/>
          <w:szCs w:val="24"/>
          <w:lang w:eastAsia="en-GB"/>
        </w:rPr>
        <w:t xml:space="preserve"> measures of vaccine hesitancy for two different diseases – COVID-19 and Influenza (no other forms of vaccine hesitancy were available for analysis) – and thus provides an </w:t>
      </w:r>
      <w:r w:rsidR="004B30E4" w:rsidRPr="00E200A5">
        <w:rPr>
          <w:rFonts w:ascii="Times New Roman" w:eastAsia="Times New Roman" w:hAnsi="Times New Roman" w:cs="Times New Roman"/>
          <w:color w:val="000000"/>
          <w:sz w:val="24"/>
          <w:szCs w:val="24"/>
          <w:lang w:eastAsia="en-GB"/>
        </w:rPr>
        <w:lastRenderedPageBreak/>
        <w:t xml:space="preserve">opportunity to examine </w:t>
      </w:r>
      <w:r w:rsidRPr="00E200A5">
        <w:rPr>
          <w:rFonts w:ascii="Times New Roman" w:eastAsia="Times New Roman" w:hAnsi="Times New Roman" w:cs="Times New Roman"/>
          <w:color w:val="000000"/>
          <w:sz w:val="24"/>
          <w:szCs w:val="24"/>
          <w:lang w:eastAsia="en-GB"/>
        </w:rPr>
        <w:t xml:space="preserve">the association of these </w:t>
      </w:r>
      <w:r w:rsidR="004B30E4" w:rsidRPr="00E200A5">
        <w:rPr>
          <w:rFonts w:ascii="Times New Roman" w:eastAsia="Times New Roman" w:hAnsi="Times New Roman" w:cs="Times New Roman"/>
          <w:color w:val="000000"/>
          <w:sz w:val="24"/>
          <w:szCs w:val="24"/>
          <w:lang w:eastAsia="en-GB"/>
        </w:rPr>
        <w:t>psychological predictors</w:t>
      </w:r>
      <w:r w:rsidRPr="00E200A5">
        <w:rPr>
          <w:rFonts w:ascii="Times New Roman" w:eastAsia="Times New Roman" w:hAnsi="Times New Roman" w:cs="Times New Roman"/>
          <w:color w:val="000000"/>
          <w:sz w:val="24"/>
          <w:szCs w:val="24"/>
          <w:lang w:eastAsia="en-GB"/>
        </w:rPr>
        <w:t xml:space="preserve"> with vaccine hesitancy as well as whether these predictors</w:t>
      </w:r>
      <w:r w:rsidR="004B30E4" w:rsidRPr="00E200A5">
        <w:rPr>
          <w:rFonts w:ascii="Times New Roman" w:eastAsia="Times New Roman" w:hAnsi="Times New Roman" w:cs="Times New Roman"/>
          <w:color w:val="000000"/>
          <w:sz w:val="24"/>
          <w:szCs w:val="24"/>
          <w:lang w:eastAsia="en-GB"/>
        </w:rPr>
        <w:t xml:space="preserve"> generalise across vaccine types.</w:t>
      </w:r>
    </w:p>
    <w:p w14:paraId="7B3D9D1F" w14:textId="77777777" w:rsidR="004B30E4" w:rsidRPr="00E200A5" w:rsidRDefault="004B30E4" w:rsidP="00C915C8">
      <w:pPr>
        <w:spacing w:after="200" w:line="480" w:lineRule="auto"/>
        <w:ind w:firstLine="720"/>
        <w:jc w:val="both"/>
        <w:rPr>
          <w:rFonts w:ascii="Times New Roman" w:eastAsia="Times New Roman" w:hAnsi="Times New Roman" w:cs="Times New Roman"/>
          <w:color w:val="000000"/>
          <w:sz w:val="24"/>
          <w:szCs w:val="24"/>
          <w:lang w:eastAsia="en-GB"/>
        </w:rPr>
      </w:pPr>
    </w:p>
    <w:p w14:paraId="18B89EDF" w14:textId="7C9A8F74" w:rsidR="000816E3" w:rsidRPr="00E200A5" w:rsidRDefault="00FA5715" w:rsidP="00C915C8">
      <w:pPr>
        <w:spacing w:after="0" w:line="240" w:lineRule="auto"/>
        <w:jc w:val="center"/>
        <w:rPr>
          <w:rFonts w:ascii="Times New Roman" w:eastAsia="Times New Roman" w:hAnsi="Times New Roman" w:cs="Times New Roman"/>
          <w:b/>
          <w:bCs/>
          <w:sz w:val="24"/>
          <w:szCs w:val="24"/>
          <w:lang w:eastAsia="en-GB"/>
        </w:rPr>
      </w:pPr>
      <w:r w:rsidRPr="00E200A5">
        <w:rPr>
          <w:rFonts w:ascii="Times New Roman" w:eastAsia="Times New Roman" w:hAnsi="Times New Roman" w:cs="Times New Roman"/>
          <w:b/>
          <w:bCs/>
          <w:sz w:val="24"/>
          <w:szCs w:val="24"/>
          <w:lang w:eastAsia="en-GB"/>
        </w:rPr>
        <w:t>Methods</w:t>
      </w:r>
    </w:p>
    <w:p w14:paraId="007308A2" w14:textId="77777777" w:rsidR="000816E3" w:rsidRPr="00E200A5" w:rsidRDefault="000816E3" w:rsidP="00C915C8">
      <w:pPr>
        <w:spacing w:before="100" w:after="0" w:line="480" w:lineRule="auto"/>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b/>
          <w:bCs/>
          <w:i/>
          <w:iCs/>
          <w:color w:val="000000"/>
          <w:sz w:val="24"/>
          <w:szCs w:val="24"/>
          <w:lang w:eastAsia="en-GB"/>
        </w:rPr>
        <w:t>Participants</w:t>
      </w:r>
    </w:p>
    <w:p w14:paraId="43F786F9" w14:textId="342D941D" w:rsidR="00A04ED0" w:rsidRPr="00E200A5" w:rsidRDefault="00C97A33" w:rsidP="00F56F85">
      <w:pPr>
        <w:spacing w:after="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Understanding Society</w:t>
      </w:r>
      <w:r w:rsidR="00541D12" w:rsidRPr="00E200A5">
        <w:rPr>
          <w:rFonts w:ascii="Times New Roman" w:eastAsia="Times New Roman" w:hAnsi="Times New Roman" w:cs="Times New Roman"/>
          <w:color w:val="000000"/>
          <w:sz w:val="24"/>
          <w:szCs w:val="24"/>
          <w:lang w:eastAsia="en-GB"/>
        </w:rPr>
        <w:t xml:space="preserve"> (</w:t>
      </w:r>
      <w:hyperlink r:id="rId8" w:history="1">
        <w:r w:rsidR="00541D12" w:rsidRPr="00E200A5">
          <w:rPr>
            <w:rStyle w:val="Hyperlink"/>
            <w:rFonts w:ascii="Times New Roman" w:eastAsia="Times New Roman" w:hAnsi="Times New Roman" w:cs="Times New Roman"/>
            <w:sz w:val="24"/>
            <w:szCs w:val="24"/>
            <w:lang w:eastAsia="en-GB"/>
          </w:rPr>
          <w:t>https://www.understandingsociety.ac.uk/</w:t>
        </w:r>
      </w:hyperlink>
      <w:r w:rsidR="00541D12" w:rsidRPr="00E200A5">
        <w:rPr>
          <w:rFonts w:ascii="Times New Roman" w:eastAsia="Times New Roman" w:hAnsi="Times New Roman" w:cs="Times New Roman"/>
          <w:color w:val="000000"/>
          <w:sz w:val="24"/>
          <w:szCs w:val="24"/>
          <w:lang w:eastAsia="en-GB"/>
        </w:rPr>
        <w:t xml:space="preserve">) </w:t>
      </w:r>
      <w:r w:rsidR="00CF6A6F"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{"citationID":"QPLHdqZI","properties":{"formattedCitation":"(University Of Essex, 2020)","plainCitation":"(University Of Essex, 2020)","dontUpdate":true,"noteIndex":0},"citationItems":[{"id":"fCjLI9BV/Ess1zin5","uris":["http://zotero.org/users/5523892/items/4EEXPU3X"],"itemData":{"id":3401,"type":"article","abstract":"&amp;lt;p&amp;gt;Understanding Society (UK Household Longitudinal Study), which began in 2009, is conducted by the Institute for Social and Economic Research (ISER) at the University of Essex and the survey research organisations Kantar Public and NatCen. It builds on and incorporates, the British Household Panel Survey (BHPS), which began in 1991.&amp;lt;/p&amp;gt; &amp;lt;p&amp;gt;This release combines ten waves of Understanding Society data with harmonised data from all eighteen waves of the BHPS. As multi-topic studies, the purpose of Understanding Society and BHPS is to understand short- and long-term effects of social and economic change in the UK at the household and individual levels. The study has a strong emphasis on domains of family and social ties, employment, education, financial resources, and health. Understanding Society is an annual survey of each adult member of a nationally representative sample. The same individuals are re-interviewed in each wave approximately 12 months apart. When individuals move they are followed within the UK and anyone joining their households are also interviewed as long as they are living with them. The study has five sample components: the general population sample; a boost sample of ethnic minority group members; an immigrant and ethnic minority boost sample (from wave 6); participants from the BHPS; and the Innovation Panel (which is a separate standalone survey (see SN 6849). The fieldwork period is for 24 months. Data collection primarily uses computer assisted personal interviewing (CAPI), but includes a telephone mop up and from wave 7 of Understanding Society web interviews. One person completes the household questionnaire. Each person aged 16 or older participates in the individual adult interview and self-completed questionnaire. Youths aged 10 to 15 are asked to respond to a paper self-completion questionnaire. For the general and BHPS samples biomarker, genetic and epigenetic data are also available (see SN 7251).&amp;lt;/p&amp;gt;&amp;lt;p&amp;gt;Further information may be found on the&amp;amp;nbsp;&amp;lt;a href=\"https://www.understandingsociety.ac.uk/documentation/mainstage\"&amp;gt;Understanding Society&amp;lt;/a&amp;gt;&amp;amp;nbsp;main stage webpage and links to publications based on the study can be found on the Understanding Society&amp;amp;nbsp;&amp;lt;a href=\"https://www.understandingsociety.ac.uk/research/publications\"&amp;gt;Latest Research&amp;lt;/a&amp;gt;&amp;amp;nbsp;webpage.&amp;lt;/p&amp;gt;&amp;lt;p&amp;gt;&amp;lt;strong&amp;gt;User Guide&amp;lt;/strong&amp;gt;&amp;lt;br&amp;gt;The User Guide document included in the download package is a periodic 'snapshot' version of the guide available on the Understanding Society website. Users should ensure they also consult the online Understanding Society&amp;amp;nbsp;&amp;lt;a title=\"Main Survey User Guide\" href=\"https://www.understandingsociety.ac.uk/documentation/mainstage/user-guides/main-survey-user-guide/\"&amp;gt;Main Survey User Guide&amp;lt;/a&amp;gt;&amp;amp;nbsp;for the latest information. The online guide includes videos and webinars, and links to a printable PDF version.&amp;lt;/p&amp;gt;&amp;lt;p&amp;gt;&amp;lt;strong&amp;gt;Co-funders&amp;lt;br&amp;gt;&amp;lt;/strong&amp;gt;In addition to the Economic and Social Research Council, co-funders for the study included the Department of Work and Pensions, the Department for Education, the Department for Transport, the Department of Culture, Media and Sport, the Department for Community and Local Government, the Department of Health, the Scottish Government, the Welsh Assembly Government, the Northern Ireland Executive, the Department of Environment and Rural Affairs, and the Food Standards Agency.&amp;lt;br&amp;gt;&amp;lt;br&amp;gt;&amp;lt;strong&amp;gt;End User Licence, Special Licence and Secure Access versions:&amp;lt;/strong&amp;gt;&amp;lt;br&amp;gt;There are two versions of the main&amp;amp;nbsp;&amp;lt;em&amp;gt;Understanding Society&amp;lt;/em&amp;gt;&amp;amp;nbsp;data. One is available under the standard End User Licence (EUL) agreement, and the other is a Special Licence (SL) version. The SL version contains additional month of birth variables, more detailed country and occupation coding for a number of variables and various income variables have not been top-coded (see the documentation available with the SL version or the&amp;amp;nbsp;&amp;lt;em&amp;gt;Understanding Society&amp;lt;/em&amp;gt;&amp;amp;nbsp;website for more detail on these and other differences). Users are advised to first obtain the standard EUL version of the data to see if they are sufficient for their research requirements. The SL data have more restrictive access conditions; prospective users of the SL version will need to complete an extra application form and demonstrate to the data owners exactly why they need access to the additional variables in order to get permission to use that version. The SL versions of the main Understanding Society and Innovation Panel studies may be found under SNs 6931 and 7083 respectively.&amp;amp;nbsp;&amp;lt;br&amp;gt;&amp;lt;br&amp;gt;Low- and Medium-level geographical identifiers are also available subject to SL access conditions; see SNs 6666, 6668-6675, 7453-4, 7629-30, 7245 and 7248-9 (mainstage study) and 6908-6916, 7339 and 7637-41 (Innovation Panel). Schools data are available subject to SL access conditions in SN 7182. Higher Education establishments for Wave 5 are available subject to SL access conditions in SN 8578. Interviewer Characteristics data, also subject to SL access conditions are available in SN 8579. In addition, a fine detail geographic dataset (SN 6676) is available under more restrictive Secure Access conditions that contains British National Grid postcode grid references (at 1m resolution) for the unit postcode of each household surveyed, derived from the ONS National Statistics Postcode Directory (NSPD). For details on how to make an application for Secure Access dataset, please see the SN 6676 catalogue record.&amp;amp;nbsp;&amp;lt;br&amp;gt;&amp;lt;br&amp;gt;&amp;lt;strong&amp;gt;How to access genetic and/or bio-medical sample data from a range of longitudinal surveys:&amp;lt;/strong&amp;gt;&amp;lt;br&amp;gt;A useful overview of the governance routes for applying for genetic and bio-medical sample data, which are not available through the UK Data Service, can be found at Governance of data and sample access on the&amp;amp;nbsp;&amp;lt;a href=\"https://www.metadac.ac.uk/data-access-through-metadac%3E%3C/a%3E%20title=\"&amp;gt;METADAC&amp;lt;/a&amp;gt;&amp;amp;nbsp;(Managing Ethico-social, Technical and Administrative issues in Data Access) website.&amp;lt;/p&amp;gt;&amp;lt;p&amp;gt;&amp;lt;strong&amp;gt;Latest edition information&amp;lt;/strong&amp;gt;&amp;lt;/p&amp;gt;&amp;lt;p&amp;gt;For the 13th edition (November 2020), Wave 10 data have been added and some minor changes made to Waves 1-9. Other changes are described in the revisions document.&amp;lt;/p&amp;gt;&amp;lt;p&amp;gt; &amp;lt;/p&amp;gt;&amp;lt;p&amp;gt;&amp;lt;strong&amp;gt;Suitable data analysis software&amp;lt;/strong&amp;gt;&amp;lt;br&amp;gt;These data are provided by the depositor in Stata format. Users are strongly advised to analyse them in Stata. Transfer to other formats may result in unforeseen issues. Stata SE or MP software is needed to analyse the larger files, which contain over 2,047 variables.&amp;lt;/p&amp;gt;","note":"version: 13th Edition\ntype: dataset\nDOI: 10.5255/UKDA-SN-6614-14","publisher":"UK Data Service","source":"DOI.org (Datacite)","title":"United Kingdom Household Longitudinal StudyUnderstanding Society: Waves 1- , 2008-Understanding Society: Waves 1-10, 2009-2019 and Harmonised BHPS: Waves 1-18, 1991-2009","title-short":"United Kingdom Household Longitudinal StudyUnderstanding Society","URL":"https://beta.ukdataservice.ac.uk/datacatalogue/doi/?id=6614#13","author":[{"family":"University Of Essex","given":"Institute For Social"}],"accessed":{"date-parts":[["2021",6,10]]},"issued":{"date-parts":[["2020"]]}}}],"schema":"https://github.com/citation-style-language/schema/raw/master/csl-citation.json"} </w:instrText>
      </w:r>
      <w:r w:rsidR="00CF6A6F" w:rsidRPr="00E200A5">
        <w:rPr>
          <w:rFonts w:ascii="Times New Roman" w:eastAsia="Times New Roman" w:hAnsi="Times New Roman" w:cs="Times New Roman"/>
          <w:color w:val="000000"/>
          <w:sz w:val="24"/>
          <w:szCs w:val="24"/>
          <w:lang w:eastAsia="en-GB"/>
        </w:rPr>
        <w:fldChar w:fldCharType="separate"/>
      </w:r>
      <w:r w:rsidR="00CF6A6F" w:rsidRPr="00E200A5">
        <w:rPr>
          <w:rFonts w:ascii="Times New Roman" w:hAnsi="Times New Roman" w:cs="Times New Roman"/>
          <w:sz w:val="24"/>
        </w:rPr>
        <w:t>(University Of Essex, Institute for Social and Economic Research, 2020)</w:t>
      </w:r>
      <w:r w:rsidR="00CF6A6F"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 xml:space="preserve"> </w:t>
      </w:r>
      <w:r w:rsidR="00F125ED" w:rsidRPr="00E200A5">
        <w:rPr>
          <w:rFonts w:ascii="Times New Roman" w:eastAsia="Times New Roman" w:hAnsi="Times New Roman" w:cs="Times New Roman"/>
          <w:color w:val="000000"/>
          <w:sz w:val="24"/>
          <w:szCs w:val="24"/>
          <w:lang w:eastAsia="en-GB"/>
        </w:rPr>
        <w:t>is a cohort study</w:t>
      </w:r>
      <w:r w:rsidR="005840D5" w:rsidRPr="00E200A5">
        <w:rPr>
          <w:rFonts w:ascii="Times New Roman" w:eastAsia="Times New Roman" w:hAnsi="Times New Roman" w:cs="Times New Roman"/>
          <w:color w:val="000000"/>
          <w:sz w:val="24"/>
          <w:szCs w:val="24"/>
          <w:lang w:eastAsia="en-GB"/>
        </w:rPr>
        <w:t xml:space="preserve"> with </w:t>
      </w:r>
      <w:r w:rsidRPr="00E200A5">
        <w:rPr>
          <w:rFonts w:ascii="Times New Roman" w:eastAsia="Times New Roman" w:hAnsi="Times New Roman" w:cs="Times New Roman"/>
          <w:color w:val="000000"/>
          <w:sz w:val="24"/>
          <w:szCs w:val="24"/>
          <w:lang w:eastAsia="en-GB"/>
        </w:rPr>
        <w:t xml:space="preserve">a main survey, </w:t>
      </w:r>
      <w:r w:rsidR="003510CD" w:rsidRPr="00E200A5">
        <w:rPr>
          <w:rFonts w:ascii="Times New Roman" w:eastAsia="Times New Roman" w:hAnsi="Times New Roman" w:cs="Times New Roman"/>
          <w:color w:val="000000"/>
          <w:sz w:val="24"/>
          <w:szCs w:val="24"/>
          <w:lang w:eastAsia="en-GB"/>
        </w:rPr>
        <w:t>which is administered</w:t>
      </w:r>
      <w:r w:rsidRPr="00E200A5">
        <w:rPr>
          <w:rFonts w:ascii="Times New Roman" w:eastAsia="Times New Roman" w:hAnsi="Times New Roman" w:cs="Times New Roman"/>
          <w:color w:val="000000"/>
          <w:sz w:val="24"/>
          <w:szCs w:val="24"/>
          <w:lang w:eastAsia="en-GB"/>
        </w:rPr>
        <w:t xml:space="preserve"> every year (</w:t>
      </w:r>
      <w:r w:rsidR="00F256FC" w:rsidRPr="00E200A5">
        <w:rPr>
          <w:rFonts w:ascii="Times New Roman" w:eastAsia="Times New Roman" w:hAnsi="Times New Roman" w:cs="Times New Roman"/>
          <w:color w:val="000000"/>
          <w:sz w:val="24"/>
          <w:szCs w:val="24"/>
          <w:lang w:eastAsia="en-GB"/>
        </w:rPr>
        <w:t>c</w:t>
      </w:r>
      <w:r w:rsidRPr="00E200A5">
        <w:rPr>
          <w:rFonts w:ascii="Times New Roman" w:eastAsia="Times New Roman" w:hAnsi="Times New Roman" w:cs="Times New Roman"/>
          <w:color w:val="000000"/>
          <w:sz w:val="24"/>
          <w:szCs w:val="24"/>
          <w:lang w:eastAsia="en-GB"/>
        </w:rPr>
        <w:t xml:space="preserve">urrently up to Wave </w:t>
      </w:r>
      <w:r w:rsidR="00F44BFB" w:rsidRPr="00E200A5">
        <w:rPr>
          <w:rFonts w:ascii="Times New Roman" w:eastAsia="Times New Roman" w:hAnsi="Times New Roman" w:cs="Times New Roman"/>
          <w:color w:val="000000"/>
          <w:sz w:val="24"/>
          <w:szCs w:val="24"/>
          <w:lang w:eastAsia="en-GB"/>
        </w:rPr>
        <w:t>12</w:t>
      </w:r>
      <w:r w:rsidRPr="00E200A5">
        <w:rPr>
          <w:rFonts w:ascii="Times New Roman" w:eastAsia="Times New Roman" w:hAnsi="Times New Roman" w:cs="Times New Roman"/>
          <w:color w:val="000000"/>
          <w:sz w:val="24"/>
          <w:szCs w:val="24"/>
          <w:lang w:eastAsia="en-GB"/>
        </w:rPr>
        <w:t xml:space="preserve">). There is also a survey that is specifically centred around the current </w:t>
      </w:r>
      <w:r w:rsidR="000D1673" w:rsidRPr="00E200A5">
        <w:rPr>
          <w:rFonts w:ascii="Times New Roman" w:eastAsia="Times New Roman" w:hAnsi="Times New Roman" w:cs="Times New Roman"/>
          <w:color w:val="000000"/>
          <w:sz w:val="24"/>
          <w:szCs w:val="24"/>
          <w:lang w:eastAsia="en-GB"/>
        </w:rPr>
        <w:t>COVID</w:t>
      </w:r>
      <w:r w:rsidR="00F85A48" w:rsidRPr="00E200A5">
        <w:rPr>
          <w:rFonts w:ascii="Times New Roman" w:eastAsia="Times New Roman" w:hAnsi="Times New Roman" w:cs="Times New Roman"/>
          <w:color w:val="000000"/>
          <w:sz w:val="24"/>
          <w:szCs w:val="24"/>
          <w:lang w:eastAsia="en-GB"/>
        </w:rPr>
        <w:t>-19</w:t>
      </w:r>
      <w:r w:rsidRPr="00E200A5">
        <w:rPr>
          <w:rFonts w:ascii="Times New Roman" w:eastAsia="Times New Roman" w:hAnsi="Times New Roman" w:cs="Times New Roman"/>
          <w:color w:val="000000"/>
          <w:sz w:val="24"/>
          <w:szCs w:val="24"/>
          <w:lang w:eastAsia="en-GB"/>
        </w:rPr>
        <w:t xml:space="preserve"> pandemic which is sent out at irregular intervals to households who complete the main survey (</w:t>
      </w:r>
      <w:r w:rsidR="00F256FC" w:rsidRPr="00E200A5">
        <w:rPr>
          <w:rFonts w:ascii="Times New Roman" w:eastAsia="Times New Roman" w:hAnsi="Times New Roman" w:cs="Times New Roman"/>
          <w:color w:val="000000"/>
          <w:sz w:val="24"/>
          <w:szCs w:val="24"/>
          <w:lang w:eastAsia="en-GB"/>
        </w:rPr>
        <w:t>c</w:t>
      </w:r>
      <w:r w:rsidRPr="00E200A5">
        <w:rPr>
          <w:rFonts w:ascii="Times New Roman" w:eastAsia="Times New Roman" w:hAnsi="Times New Roman" w:cs="Times New Roman"/>
          <w:color w:val="000000"/>
          <w:sz w:val="24"/>
          <w:szCs w:val="24"/>
          <w:lang w:eastAsia="en-GB"/>
        </w:rPr>
        <w:t xml:space="preserve">urrently up to Wave </w:t>
      </w:r>
      <w:r w:rsidR="00F44BFB" w:rsidRPr="00E200A5">
        <w:rPr>
          <w:rFonts w:ascii="Times New Roman" w:eastAsia="Times New Roman" w:hAnsi="Times New Roman" w:cs="Times New Roman"/>
          <w:color w:val="000000"/>
          <w:sz w:val="24"/>
          <w:szCs w:val="24"/>
          <w:lang w:eastAsia="en-GB"/>
        </w:rPr>
        <w:t>3</w:t>
      </w:r>
      <w:r w:rsidRPr="00E200A5">
        <w:rPr>
          <w:rFonts w:ascii="Times New Roman" w:eastAsia="Times New Roman" w:hAnsi="Times New Roman" w:cs="Times New Roman"/>
          <w:color w:val="000000"/>
          <w:sz w:val="24"/>
          <w:szCs w:val="24"/>
          <w:lang w:eastAsia="en-GB"/>
        </w:rPr>
        <w:t>).</w:t>
      </w:r>
      <w:r w:rsidR="00A621EA" w:rsidRPr="00E200A5">
        <w:rPr>
          <w:rFonts w:ascii="Times New Roman" w:eastAsia="Times New Roman" w:hAnsi="Times New Roman" w:cs="Times New Roman"/>
          <w:color w:val="000000"/>
          <w:sz w:val="24"/>
          <w:szCs w:val="24"/>
          <w:lang w:eastAsia="en-GB"/>
        </w:rPr>
        <w:t xml:space="preserve"> </w:t>
      </w:r>
      <w:r w:rsidR="001E64F7" w:rsidRPr="00E200A5">
        <w:rPr>
          <w:rFonts w:ascii="Times New Roman" w:eastAsia="Times New Roman" w:hAnsi="Times New Roman" w:cs="Times New Roman"/>
          <w:color w:val="000000"/>
          <w:sz w:val="24"/>
          <w:szCs w:val="24"/>
          <w:lang w:eastAsia="en-GB"/>
        </w:rPr>
        <w:t xml:space="preserve">The Understanding Society cohort is intended to be representative of the UK population over time, through resampling from groups that have dropped out over time </w:t>
      </w:r>
      <w:r w:rsidR="001E64F7"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{"citationID":"SEP3xvM2","properties":{"formattedCitation":"(Berthoud et al., 2009)","plainCitation":"(Berthoud et al., 2009)","noteIndex":0},"citationItems":[{"id":4252,"uris":["http://zotero.org/users/5523892/items/VV7ZQJ26"],"itemData":{"id":4252,"type":"article-journal","abstract":"The overall sample design for Understanding Society has been described in an earlier working paper in this series (Lynn 2009). This paper describes the special measures taken to boost the sample of members of five key minority ethnic groups in Great Britain. A new method was developed to estimate the ethnic density of postal sectors in 2007, when the most recent Census data was collected in 2001. Key stages from then on were: excluding sectors with low minority populations; selecting addresses using fractions which over-sampled areas with high densities of the scarcest groups; subsampling sectors with low expected yields; and screening in the field to identify target households.","language":"en","page":"32","source":"Zotero","title":"Design of the Understanding Society Ethnic Minority Boost Sample","author":[{"family":"Berthoud","given":"Richard"},{"family":"Fumagalli","given":"Laura"},{"family":"Lynn","given":"Peter"},{"family":"Platt","given":"Lucinda"}],"issued":{"date-parts":[["2009"]]},"citation-key":"berthoudDesignUnderstandingSociety2009"}}],"schema":"https://github.com/citation-style-language/schema/raw/master/csl-citation.json"} </w:instrText>
      </w:r>
      <w:r w:rsidR="001E64F7" w:rsidRPr="00E200A5">
        <w:rPr>
          <w:rFonts w:ascii="Times New Roman" w:eastAsia="Times New Roman" w:hAnsi="Times New Roman" w:cs="Times New Roman"/>
          <w:color w:val="000000"/>
          <w:sz w:val="24"/>
          <w:szCs w:val="24"/>
          <w:lang w:eastAsia="en-GB"/>
        </w:rPr>
        <w:fldChar w:fldCharType="separate"/>
      </w:r>
      <w:r w:rsidR="001E64F7" w:rsidRPr="00E200A5">
        <w:rPr>
          <w:rFonts w:ascii="Times New Roman" w:hAnsi="Times New Roman" w:cs="Times New Roman"/>
          <w:sz w:val="24"/>
        </w:rPr>
        <w:t>(Berthoud et al., 2009)</w:t>
      </w:r>
      <w:r w:rsidR="001E64F7" w:rsidRPr="00E200A5">
        <w:rPr>
          <w:rFonts w:ascii="Times New Roman" w:eastAsia="Times New Roman" w:hAnsi="Times New Roman" w:cs="Times New Roman"/>
          <w:color w:val="000000"/>
          <w:sz w:val="24"/>
          <w:szCs w:val="24"/>
          <w:lang w:eastAsia="en-GB"/>
        </w:rPr>
        <w:fldChar w:fldCharType="end"/>
      </w:r>
      <w:r w:rsidR="001E64F7" w:rsidRPr="00E200A5">
        <w:rPr>
          <w:rFonts w:ascii="Times New Roman" w:eastAsia="Times New Roman" w:hAnsi="Times New Roman" w:cs="Times New Roman"/>
          <w:color w:val="000000"/>
          <w:sz w:val="24"/>
          <w:szCs w:val="24"/>
          <w:lang w:eastAsia="en-GB"/>
        </w:rPr>
        <w:t xml:space="preserve">, and has been shown to closely align with census demographics </w:t>
      </w:r>
      <w:r w:rsidR="001E64F7"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{"citationID":"b0wexLA8","properties":{"formattedCitation":"(Lynn, 2011; Lynn et al., 2012; Lynn &amp; Borkowska, 2018)","plainCitation":"(Lynn, 2011; Lynn et al., 2012; Lynn &amp; Borkowska, 2018)","noteIndex":0},"citationItems":[{"id":4248,"uris":["http://zotero.org/users/5523892/items/5BBYH3KJ"],"itemData":{"id":4248,"type":"article-journal","abstract":"This paper describes the problem of maintaining cross-sectional representativeness in a longitudinal survey of a changing population. The extent and nature of the problem is outlined and potential solutions are described. The procedures adopted on Understanding Society are described. The main challenges are to correctly identify members of the initial sample who leave the population – through death or emigration –and to periodically add appropriate samples of people who join the population – through birth or immigration. The samples to be added should have known selection probabilities and should strike an appropriate balance between precision of estimation and cost-efficiency of fieldwork.","language":"en","page":"20","source":"Zotero","title":"Maintaining Cross-Sectional Representativeness in a Longitudinal General Population Survey","author":[{"family":"Lynn","given":"Peter"}],"issued":{"date-parts":[["2011"]]},"citation-key":"lynnMaintainingCrossSectionalRepresentativeness2011"}},{"id":4246,"uris":["http://zotero.org/users/5523892/items/H52R5EGA"],"itemData":{"id":4246,"type":"article-journal","abstract":"This paper describes the extent and correlates of non-response at waves 1 and 2 of Understanding Society. We examine both household-level and individual-level nonresponse at wave 1. For wave 2, we examine attrition relative to wave 1 both in terms of enumerated persons and in terms of adults responding to the individual interview. We analyse separately the general population sample and the ethnic minority boost sample. We also describe attrition for the BHPS sample between wave 18 of the BHPS and wave 2 of Understanding Society, when that sample was incorporated into Understanding Society.","language":"en","page":"45","source":"Zotero","title":"An Initial Look at Non-Response and Attrition in Understanding Society","author":[{"family":"Lynn","given":"Peter"},{"family":"Burton","given":"Jonathan"},{"family":"Kaminska","given":"Olena"},{"family":"Knies","given":"Gundi"},{"family":"Nandi","given":"Alita"}],"issued":{"date-parts":[["2012"]]},"citation-key":"lynnInitialLookNonResponse2012"}},{"id":4244,"uris":["http://zotero.org/users/5523892/items/YHDZWLEL"],"itemData":{"id":4244,"type":"article-journal","abstract":"The representativeness of the Understanding Society sample is assessed by means of both external and internal comparisons. External comparisons involve comparing the initiallyinterviewed sample with the most chronologically proximate Population Censuses. Internal comparisons involve assessing attrition over time from the initial sample. Analysis is restricted to the British Household Panel Survey (BHPS) sample, designed to represent Great Britain in 1991, and the Understanding Society General Population Sample (GPS), designed to represent the United Kingdom in 2009-10. Attrition is assessed over 24 years for the former, and 6 years for the latter. Results are mainly reassuring, though some differential attrition is detected.","language":"en","page":"19","source":"Zotero","title":"Some Indicators of Sample Representativeness and Attrition Bias for BHPS and Understanding Society","author":[{"family":"Lynn","given":"Peter"},{"family":"Borkowska","given":"Magda"}],"issued":{"date-parts":[["2018"]]},"citation-key":"lynnIndicatorsSampleRepresentativeness2018"}}],"schema":"https://github.com/citation-style-language/schema/raw/master/csl-citation.json"} </w:instrText>
      </w:r>
      <w:r w:rsidR="001E64F7" w:rsidRPr="00E200A5">
        <w:rPr>
          <w:rFonts w:ascii="Times New Roman" w:eastAsia="Times New Roman" w:hAnsi="Times New Roman" w:cs="Times New Roman"/>
          <w:color w:val="000000"/>
          <w:sz w:val="24"/>
          <w:szCs w:val="24"/>
          <w:lang w:eastAsia="en-GB"/>
        </w:rPr>
        <w:fldChar w:fldCharType="separate"/>
      </w:r>
      <w:r w:rsidR="001E64F7" w:rsidRPr="00E200A5">
        <w:rPr>
          <w:rFonts w:ascii="Times New Roman" w:hAnsi="Times New Roman" w:cs="Times New Roman"/>
          <w:sz w:val="24"/>
        </w:rPr>
        <w:t>(Lynn, 2011; Lynn et al., 2012; Lynn &amp; Borkowska, 2018)</w:t>
      </w:r>
      <w:r w:rsidR="001E64F7" w:rsidRPr="00E200A5">
        <w:rPr>
          <w:rFonts w:ascii="Times New Roman" w:eastAsia="Times New Roman" w:hAnsi="Times New Roman" w:cs="Times New Roman"/>
          <w:color w:val="000000"/>
          <w:sz w:val="24"/>
          <w:szCs w:val="24"/>
          <w:lang w:eastAsia="en-GB"/>
        </w:rPr>
        <w:fldChar w:fldCharType="end"/>
      </w:r>
      <w:r w:rsidR="001E64F7" w:rsidRPr="00E200A5">
        <w:rPr>
          <w:rFonts w:ascii="Times New Roman" w:eastAsia="Times New Roman" w:hAnsi="Times New Roman" w:cs="Times New Roman"/>
          <w:color w:val="000000"/>
          <w:sz w:val="24"/>
          <w:szCs w:val="24"/>
          <w:lang w:eastAsia="en-GB"/>
        </w:rPr>
        <w:t xml:space="preserve">, and possess higher between-wave response rates compared to other longitudinal studies </w:t>
      </w:r>
      <w:r w:rsidR="001E64F7"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{"citationID":"B0yrOL0l","properties":{"formattedCitation":"(Benzeval et al., 2020)","plainCitation":"(Benzeval et al., 2020)","noteIndex":0},"citationItems":[{"id":4250,"uris":["http://zotero.org/users/5523892/items/Q4666FLW"],"itemData":{"id":4250,"type":"article-journal","abstract":"In this paper we have define “representativeness” in terms of the ability to support overall population inferences and subpopulation inferences, associations and causal relationships at the same time. We have note some challenges that need to be balanced to achieve this, for example between population coverage and precision and between cross-sectional and longitudinal populations of interest. We next offer some comments on how representativeness should be assessed. Subsequent sections review existing and new evidence on the representativeness of Understanding Society in these two dimensions. We then conclude by discussing current and planned initiatives to enhance the representativeness of Understanding Society.","language":"en","page":"30","source":"Zotero","title":"The representativeness of Understanding Society","author":[{"family":"Benzeval","given":"Michaela"},{"family":"Bollinger","given":"Christopher R"},{"family":"Burton","given":"Jonathan"},{"family":"Crossley","given":"Thomas F"},{"family":"Lynn","given":"Peter"}],"issued":{"date-parts":[["2020"]]},"citation-key":"benzevalRepresentativenessUnderstandingSociety2020"}}],"schema":"https://github.com/citation-style-language/schema/raw/master/csl-citation.json"} </w:instrText>
      </w:r>
      <w:r w:rsidR="001E64F7" w:rsidRPr="00E200A5">
        <w:rPr>
          <w:rFonts w:ascii="Times New Roman" w:eastAsia="Times New Roman" w:hAnsi="Times New Roman" w:cs="Times New Roman"/>
          <w:color w:val="000000"/>
          <w:sz w:val="24"/>
          <w:szCs w:val="24"/>
          <w:lang w:eastAsia="en-GB"/>
        </w:rPr>
        <w:fldChar w:fldCharType="separate"/>
      </w:r>
      <w:r w:rsidR="001E64F7" w:rsidRPr="00E200A5">
        <w:rPr>
          <w:rFonts w:ascii="Times New Roman" w:hAnsi="Times New Roman" w:cs="Times New Roman"/>
          <w:sz w:val="24"/>
        </w:rPr>
        <w:t>(Benzeval et al., 2020)</w:t>
      </w:r>
      <w:r w:rsidR="001E64F7" w:rsidRPr="00E200A5">
        <w:rPr>
          <w:rFonts w:ascii="Times New Roman" w:eastAsia="Times New Roman" w:hAnsi="Times New Roman" w:cs="Times New Roman"/>
          <w:color w:val="000000"/>
          <w:sz w:val="24"/>
          <w:szCs w:val="24"/>
          <w:lang w:eastAsia="en-GB"/>
        </w:rPr>
        <w:fldChar w:fldCharType="end"/>
      </w:r>
      <w:r w:rsidR="001E64F7" w:rsidRPr="00E200A5">
        <w:rPr>
          <w:rFonts w:ascii="Times New Roman" w:eastAsia="Times New Roman" w:hAnsi="Times New Roman" w:cs="Times New Roman"/>
          <w:color w:val="000000"/>
          <w:sz w:val="24"/>
          <w:szCs w:val="24"/>
          <w:lang w:eastAsia="en-GB"/>
        </w:rPr>
        <w:t>, which helps to preserve representativeness over time.</w:t>
      </w:r>
      <w:r w:rsidR="001E64F7" w:rsidRPr="00E200A5" w:rsidDel="001E64F7">
        <w:rPr>
          <w:rFonts w:ascii="Times New Roman" w:eastAsia="Times New Roman" w:hAnsi="Times New Roman" w:cs="Times New Roman"/>
          <w:color w:val="000000"/>
          <w:sz w:val="24"/>
          <w:szCs w:val="24"/>
          <w:lang w:eastAsia="en-GB"/>
        </w:rPr>
        <w:t xml:space="preserve"> </w:t>
      </w:r>
      <w:r w:rsidR="00A04ED0" w:rsidRPr="00E200A5">
        <w:rPr>
          <w:rFonts w:ascii="Times New Roman" w:eastAsia="Times New Roman" w:hAnsi="Times New Roman" w:cs="Times New Roman"/>
          <w:color w:val="000000"/>
          <w:sz w:val="24"/>
          <w:szCs w:val="24"/>
          <w:lang w:eastAsia="en-GB"/>
        </w:rPr>
        <w:t xml:space="preserve">For details of the selection process for Understanding Society see </w:t>
      </w:r>
      <w:r w:rsidR="00A04ED0"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{"citationID":"MuIdE1vx","properties":{"formattedCitation":"(Lynn, 2009)","plainCitation":"(Lynn, 2009)","dontUpdate":true,"noteIndex":0},"citationItems":[{"id":4376,"uris":["http://zotero.org/users/5523892/items/V228X6YF"],"itemData":{"id":4376,"type":"article-journal","abstract":"This paper describes the design of the sample for “Understanding Society”. The sample consists of five components. The largest component is a newly-selected general population sample. The other four components are an ethnic minority ‘boost’ sample, a general population comparison sample, the ex-BHPS (British Household Panel Survey) sample, and the innovation panel sample.","language":"en","page":"46","source":"Zotero","title":"Sample Design for Understanding Society","author":[{"family":"Lynn","given":"Peter"}],"issued":{"date-parts":[["2009"]]},"citation-key":"lynnSampleDesignUnderstanding2009"}}],"schema":"https://github.com/citation-style-language/schema/raw/master/csl-citation.json"} </w:instrText>
      </w:r>
      <w:r w:rsidR="00A04ED0" w:rsidRPr="00E200A5">
        <w:rPr>
          <w:rFonts w:ascii="Times New Roman" w:eastAsia="Times New Roman" w:hAnsi="Times New Roman" w:cs="Times New Roman"/>
          <w:color w:val="000000"/>
          <w:sz w:val="24"/>
          <w:szCs w:val="24"/>
          <w:lang w:eastAsia="en-GB"/>
        </w:rPr>
        <w:fldChar w:fldCharType="separate"/>
      </w:r>
      <w:r w:rsidR="00A04ED0" w:rsidRPr="00E200A5">
        <w:rPr>
          <w:rFonts w:ascii="Times New Roman" w:hAnsi="Times New Roman" w:cs="Times New Roman"/>
          <w:sz w:val="24"/>
        </w:rPr>
        <w:t>Lynn (2009)</w:t>
      </w:r>
      <w:r w:rsidR="00A04ED0" w:rsidRPr="00E200A5">
        <w:rPr>
          <w:rFonts w:ascii="Times New Roman" w:eastAsia="Times New Roman" w:hAnsi="Times New Roman" w:cs="Times New Roman"/>
          <w:color w:val="000000"/>
          <w:sz w:val="24"/>
          <w:szCs w:val="24"/>
          <w:lang w:eastAsia="en-GB"/>
        </w:rPr>
        <w:fldChar w:fldCharType="end"/>
      </w:r>
      <w:r w:rsidR="00A04ED0" w:rsidRPr="00E200A5">
        <w:rPr>
          <w:rFonts w:ascii="Times New Roman" w:eastAsia="Times New Roman" w:hAnsi="Times New Roman" w:cs="Times New Roman"/>
          <w:color w:val="000000"/>
          <w:sz w:val="24"/>
          <w:szCs w:val="24"/>
          <w:lang w:eastAsia="en-GB"/>
        </w:rPr>
        <w:t>.</w:t>
      </w:r>
    </w:p>
    <w:p w14:paraId="20D7422C" w14:textId="36C5E3B7" w:rsidR="003C4625" w:rsidRPr="00E200A5" w:rsidRDefault="000816E3" w:rsidP="00C915C8">
      <w:pPr>
        <w:spacing w:after="0" w:line="480" w:lineRule="auto"/>
        <w:ind w:firstLine="720"/>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color w:val="000000"/>
          <w:sz w:val="24"/>
          <w:szCs w:val="24"/>
          <w:lang w:eastAsia="en-GB"/>
        </w:rPr>
        <w:t xml:space="preserve">We </w:t>
      </w:r>
      <w:r w:rsidR="008D76F2" w:rsidRPr="00E200A5">
        <w:rPr>
          <w:rFonts w:ascii="Times New Roman" w:eastAsia="Times New Roman" w:hAnsi="Times New Roman" w:cs="Times New Roman"/>
          <w:color w:val="000000"/>
          <w:sz w:val="24"/>
          <w:szCs w:val="24"/>
          <w:lang w:eastAsia="en-GB"/>
        </w:rPr>
        <w:t xml:space="preserve">included </w:t>
      </w:r>
      <w:r w:rsidRPr="00E200A5">
        <w:rPr>
          <w:rFonts w:ascii="Times New Roman" w:eastAsia="Times New Roman" w:hAnsi="Times New Roman" w:cs="Times New Roman"/>
          <w:color w:val="000000"/>
          <w:sz w:val="24"/>
          <w:szCs w:val="24"/>
          <w:lang w:eastAsia="en-GB"/>
        </w:rPr>
        <w:t xml:space="preserve">respondents who had completed </w:t>
      </w:r>
      <w:r w:rsidR="00C00286" w:rsidRPr="00E200A5">
        <w:rPr>
          <w:rFonts w:ascii="Times New Roman" w:eastAsia="Times New Roman" w:hAnsi="Times New Roman" w:cs="Times New Roman"/>
          <w:color w:val="000000"/>
          <w:sz w:val="24"/>
          <w:szCs w:val="24"/>
          <w:lang w:eastAsia="en-GB"/>
        </w:rPr>
        <w:t>W</w:t>
      </w:r>
      <w:r w:rsidRPr="00E200A5">
        <w:rPr>
          <w:rFonts w:ascii="Times New Roman" w:eastAsia="Times New Roman" w:hAnsi="Times New Roman" w:cs="Times New Roman"/>
          <w:color w:val="000000"/>
          <w:sz w:val="24"/>
          <w:szCs w:val="24"/>
          <w:lang w:eastAsia="en-GB"/>
        </w:rPr>
        <w:t xml:space="preserve">aves </w:t>
      </w:r>
      <w:r w:rsidR="00F44BFB" w:rsidRPr="00E200A5">
        <w:rPr>
          <w:rFonts w:ascii="Times New Roman" w:eastAsia="Times New Roman" w:hAnsi="Times New Roman" w:cs="Times New Roman"/>
          <w:color w:val="000000"/>
          <w:sz w:val="24"/>
          <w:szCs w:val="24"/>
          <w:lang w:eastAsia="en-GB"/>
        </w:rPr>
        <w:t>3</w:t>
      </w:r>
      <w:r w:rsidRPr="00E200A5">
        <w:rPr>
          <w:rFonts w:ascii="Times New Roman" w:eastAsia="Times New Roman" w:hAnsi="Times New Roman" w:cs="Times New Roman"/>
          <w:color w:val="000000"/>
          <w:sz w:val="24"/>
          <w:szCs w:val="24"/>
          <w:lang w:eastAsia="en-GB"/>
        </w:rPr>
        <w:t xml:space="preserve"> (2013) and </w:t>
      </w:r>
      <w:r w:rsidR="00F44BFB" w:rsidRPr="00E200A5">
        <w:rPr>
          <w:rFonts w:ascii="Times New Roman" w:eastAsia="Times New Roman" w:hAnsi="Times New Roman" w:cs="Times New Roman"/>
          <w:color w:val="000000"/>
          <w:sz w:val="24"/>
          <w:szCs w:val="24"/>
          <w:lang w:eastAsia="en-GB"/>
        </w:rPr>
        <w:t>9</w:t>
      </w:r>
      <w:r w:rsidRPr="00E200A5">
        <w:rPr>
          <w:rFonts w:ascii="Times New Roman" w:eastAsia="Times New Roman" w:hAnsi="Times New Roman" w:cs="Times New Roman"/>
          <w:color w:val="000000"/>
          <w:sz w:val="24"/>
          <w:szCs w:val="24"/>
          <w:lang w:eastAsia="en-GB"/>
        </w:rPr>
        <w:t xml:space="preserve"> (2019) of the main survey</w:t>
      </w:r>
      <w:r w:rsidR="00C00286" w:rsidRPr="00E200A5">
        <w:rPr>
          <w:rFonts w:ascii="Times New Roman" w:eastAsia="Times New Roman" w:hAnsi="Times New Roman" w:cs="Times New Roman"/>
          <w:color w:val="000000"/>
          <w:sz w:val="24"/>
          <w:szCs w:val="24"/>
          <w:lang w:eastAsia="en-GB"/>
        </w:rPr>
        <w:t xml:space="preserve"> (</w:t>
      </w:r>
      <w:r w:rsidR="009D38B0" w:rsidRPr="00E200A5">
        <w:rPr>
          <w:rFonts w:ascii="Times New Roman" w:eastAsia="Times New Roman" w:hAnsi="Times New Roman" w:cs="Times New Roman"/>
          <w:color w:val="000000"/>
          <w:sz w:val="24"/>
          <w:szCs w:val="24"/>
          <w:lang w:eastAsia="en-GB"/>
        </w:rPr>
        <w:t xml:space="preserve">as they contained </w:t>
      </w:r>
      <w:r w:rsidR="007B6ADF" w:rsidRPr="00E200A5">
        <w:rPr>
          <w:rFonts w:ascii="Times New Roman" w:eastAsia="Times New Roman" w:hAnsi="Times New Roman" w:cs="Times New Roman"/>
          <w:color w:val="000000"/>
          <w:sz w:val="24"/>
          <w:szCs w:val="24"/>
          <w:lang w:eastAsia="en-GB"/>
        </w:rPr>
        <w:t>the personality and intelligence</w:t>
      </w:r>
      <w:r w:rsidR="009D38B0" w:rsidRPr="00E200A5">
        <w:rPr>
          <w:rFonts w:ascii="Times New Roman" w:eastAsia="Times New Roman" w:hAnsi="Times New Roman" w:cs="Times New Roman"/>
          <w:color w:val="000000"/>
          <w:sz w:val="24"/>
          <w:szCs w:val="24"/>
          <w:lang w:eastAsia="en-GB"/>
        </w:rPr>
        <w:t xml:space="preserve"> variables</w:t>
      </w:r>
      <w:r w:rsidR="00C00286"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color w:val="000000"/>
          <w:sz w:val="24"/>
          <w:szCs w:val="24"/>
          <w:lang w:eastAsia="en-GB"/>
        </w:rPr>
        <w:t xml:space="preserve">, and </w:t>
      </w:r>
      <w:r w:rsidR="00C00286" w:rsidRPr="00E200A5">
        <w:rPr>
          <w:rFonts w:ascii="Times New Roman" w:eastAsia="Times New Roman" w:hAnsi="Times New Roman" w:cs="Times New Roman"/>
          <w:color w:val="000000"/>
          <w:sz w:val="24"/>
          <w:szCs w:val="24"/>
          <w:lang w:eastAsia="en-GB"/>
        </w:rPr>
        <w:t>W</w:t>
      </w:r>
      <w:r w:rsidRPr="00E200A5">
        <w:rPr>
          <w:rFonts w:ascii="Times New Roman" w:eastAsia="Times New Roman" w:hAnsi="Times New Roman" w:cs="Times New Roman"/>
          <w:color w:val="000000"/>
          <w:sz w:val="24"/>
          <w:szCs w:val="24"/>
          <w:lang w:eastAsia="en-GB"/>
        </w:rPr>
        <w:t xml:space="preserve">ave </w:t>
      </w:r>
      <w:r w:rsidR="001E77AD" w:rsidRPr="00E200A5">
        <w:rPr>
          <w:rFonts w:ascii="Times New Roman" w:eastAsia="Times New Roman" w:hAnsi="Times New Roman" w:cs="Times New Roman"/>
          <w:color w:val="000000"/>
          <w:sz w:val="24"/>
          <w:szCs w:val="24"/>
          <w:lang w:eastAsia="en-GB"/>
        </w:rPr>
        <w:t>S</w:t>
      </w:r>
      <w:r w:rsidR="00A32EE3" w:rsidRPr="00E200A5">
        <w:rPr>
          <w:rFonts w:ascii="Times New Roman" w:eastAsia="Times New Roman" w:hAnsi="Times New Roman" w:cs="Times New Roman"/>
          <w:color w:val="000000"/>
          <w:sz w:val="24"/>
          <w:szCs w:val="24"/>
          <w:lang w:eastAsia="en-GB"/>
        </w:rPr>
        <w:t>ix</w:t>
      </w:r>
      <w:r w:rsidRPr="00E200A5">
        <w:rPr>
          <w:rFonts w:ascii="Times New Roman" w:eastAsia="Times New Roman" w:hAnsi="Times New Roman" w:cs="Times New Roman"/>
          <w:color w:val="000000"/>
          <w:sz w:val="24"/>
          <w:szCs w:val="24"/>
          <w:lang w:eastAsia="en-GB"/>
        </w:rPr>
        <w:t xml:space="preserve"> (November 2020) of the </w:t>
      </w:r>
      <w:r w:rsidR="000D1673" w:rsidRPr="00E200A5">
        <w:rPr>
          <w:rFonts w:ascii="Times New Roman" w:eastAsia="Times New Roman" w:hAnsi="Times New Roman" w:cs="Times New Roman"/>
          <w:color w:val="000000"/>
          <w:sz w:val="24"/>
          <w:szCs w:val="24"/>
          <w:lang w:eastAsia="en-GB"/>
        </w:rPr>
        <w:t>COVID</w:t>
      </w:r>
      <w:r w:rsidR="00364201" w:rsidRPr="00E200A5">
        <w:rPr>
          <w:rFonts w:ascii="Times New Roman" w:eastAsia="Times New Roman" w:hAnsi="Times New Roman" w:cs="Times New Roman"/>
          <w:color w:val="000000"/>
          <w:sz w:val="24"/>
          <w:szCs w:val="24"/>
          <w:lang w:eastAsia="en-GB"/>
        </w:rPr>
        <w:t>-</w:t>
      </w:r>
      <w:r w:rsidR="00F256FC" w:rsidRPr="00E200A5">
        <w:rPr>
          <w:rFonts w:ascii="Times New Roman" w:eastAsia="Times New Roman" w:hAnsi="Times New Roman" w:cs="Times New Roman"/>
          <w:color w:val="000000"/>
          <w:sz w:val="24"/>
          <w:szCs w:val="24"/>
          <w:lang w:eastAsia="en-GB"/>
        </w:rPr>
        <w:t xml:space="preserve">19 </w:t>
      </w:r>
      <w:r w:rsidRPr="00E200A5">
        <w:rPr>
          <w:rFonts w:ascii="Times New Roman" w:eastAsia="Times New Roman" w:hAnsi="Times New Roman" w:cs="Times New Roman"/>
          <w:color w:val="000000"/>
          <w:sz w:val="24"/>
          <w:szCs w:val="24"/>
          <w:lang w:eastAsia="en-GB"/>
        </w:rPr>
        <w:t xml:space="preserve">specific </w:t>
      </w:r>
      <w:r w:rsidR="00F256FC" w:rsidRPr="00E200A5">
        <w:rPr>
          <w:rFonts w:ascii="Times New Roman" w:eastAsia="Times New Roman" w:hAnsi="Times New Roman" w:cs="Times New Roman"/>
          <w:color w:val="000000"/>
          <w:sz w:val="24"/>
          <w:szCs w:val="24"/>
          <w:lang w:eastAsia="en-GB"/>
        </w:rPr>
        <w:t xml:space="preserve">survey </w:t>
      </w:r>
      <w:r w:rsidR="00C00286" w:rsidRPr="00E200A5">
        <w:rPr>
          <w:rFonts w:ascii="Times New Roman" w:eastAsia="Times New Roman" w:hAnsi="Times New Roman" w:cs="Times New Roman"/>
          <w:color w:val="000000"/>
          <w:sz w:val="24"/>
          <w:szCs w:val="24"/>
          <w:lang w:eastAsia="en-GB"/>
        </w:rPr>
        <w:t xml:space="preserve">(for </w:t>
      </w:r>
      <w:r w:rsidR="00852603" w:rsidRPr="00E200A5">
        <w:rPr>
          <w:rFonts w:ascii="Times New Roman" w:eastAsia="Times New Roman" w:hAnsi="Times New Roman" w:cs="Times New Roman"/>
          <w:color w:val="000000"/>
          <w:sz w:val="24"/>
          <w:szCs w:val="24"/>
          <w:lang w:eastAsia="en-GB"/>
        </w:rPr>
        <w:t>vaccination hesitancy</w:t>
      </w:r>
      <w:r w:rsidR="00C00286" w:rsidRPr="00E200A5">
        <w:rPr>
          <w:rFonts w:ascii="Times New Roman" w:eastAsia="Times New Roman" w:hAnsi="Times New Roman" w:cs="Times New Roman"/>
          <w:color w:val="000000"/>
          <w:sz w:val="24"/>
          <w:szCs w:val="24"/>
          <w:lang w:eastAsia="en-GB"/>
        </w:rPr>
        <w:t xml:space="preserve"> </w:t>
      </w:r>
      <w:r w:rsidR="00EB1628" w:rsidRPr="00E200A5">
        <w:rPr>
          <w:rFonts w:ascii="Times New Roman" w:eastAsia="Times New Roman" w:hAnsi="Times New Roman" w:cs="Times New Roman"/>
          <w:color w:val="000000"/>
          <w:sz w:val="24"/>
          <w:szCs w:val="24"/>
          <w:lang w:eastAsia="en-GB"/>
        </w:rPr>
        <w:t xml:space="preserve">and mental health </w:t>
      </w:r>
      <w:r w:rsidR="00C00286" w:rsidRPr="00E200A5">
        <w:rPr>
          <w:rFonts w:ascii="Times New Roman" w:eastAsia="Times New Roman" w:hAnsi="Times New Roman" w:cs="Times New Roman"/>
          <w:color w:val="000000"/>
          <w:sz w:val="24"/>
          <w:szCs w:val="24"/>
          <w:lang w:eastAsia="en-GB"/>
        </w:rPr>
        <w:t>variables)</w:t>
      </w:r>
      <w:r w:rsidRPr="00E200A5">
        <w:rPr>
          <w:rFonts w:ascii="Times New Roman" w:eastAsia="Times New Roman" w:hAnsi="Times New Roman" w:cs="Times New Roman"/>
          <w:color w:val="000000"/>
          <w:sz w:val="24"/>
          <w:szCs w:val="24"/>
          <w:lang w:eastAsia="en-GB"/>
        </w:rPr>
        <w:t xml:space="preserve">. After </w:t>
      </w:r>
      <w:r w:rsidR="008F192E" w:rsidRPr="00E200A5">
        <w:rPr>
          <w:rFonts w:ascii="Times New Roman" w:eastAsia="Times New Roman" w:hAnsi="Times New Roman" w:cs="Times New Roman"/>
          <w:color w:val="000000"/>
          <w:sz w:val="24"/>
          <w:szCs w:val="24"/>
          <w:lang w:eastAsia="en-GB"/>
        </w:rPr>
        <w:t xml:space="preserve">excluding </w:t>
      </w:r>
      <w:r w:rsidRPr="00E200A5">
        <w:rPr>
          <w:rFonts w:ascii="Times New Roman" w:eastAsia="Times New Roman" w:hAnsi="Times New Roman" w:cs="Times New Roman"/>
          <w:color w:val="000000"/>
          <w:sz w:val="24"/>
          <w:szCs w:val="24"/>
          <w:lang w:eastAsia="en-GB"/>
        </w:rPr>
        <w:t>participants who did not complete each of these waves, the sample used for analysis consisted of 9667 participants.</w:t>
      </w:r>
      <w:r w:rsidR="00A11427" w:rsidRPr="00E200A5">
        <w:rPr>
          <w:rFonts w:ascii="Times New Roman" w:eastAsia="Times New Roman" w:hAnsi="Times New Roman" w:cs="Times New Roman"/>
          <w:color w:val="000000"/>
          <w:sz w:val="24"/>
          <w:szCs w:val="24"/>
          <w:lang w:eastAsia="en-GB"/>
        </w:rPr>
        <w:t xml:space="preserve"> </w:t>
      </w:r>
      <w:r w:rsidR="00285CCC" w:rsidRPr="00E200A5">
        <w:rPr>
          <w:rFonts w:ascii="Times New Roman" w:eastAsia="Times New Roman" w:hAnsi="Times New Roman" w:cs="Times New Roman"/>
          <w:color w:val="000000"/>
          <w:sz w:val="24"/>
          <w:szCs w:val="24"/>
          <w:lang w:eastAsia="en-GB"/>
        </w:rPr>
        <w:t xml:space="preserve">It should be noted that by using these 3 waves that cover the span of 9 years, there may be some selection bias introduced into the sample due to attrition – specifically younger people, men, Black people, and people on lower incomes are more prone to attrition in this sample </w:t>
      </w:r>
      <w:r w:rsidR="00285CCC"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{"citationID":"IwylrRPL","properties":{"formattedCitation":"(Lynn et al., 2012)","plainCitation":"(Lynn et al., 2012)","noteIndex":0},"citationItems":[{"id":4246,"uris":["http://zotero.org/users/5523892/items/H52R5EGA"],"itemData":{"id":4246,"type":"article-journal","abstract":"This paper describes the extent and correlates of non-response at waves 1 and 2 of Understanding Society. We examine both household-level and individual-level nonresponse at wave 1. For wave 2, we examine attrition relative to wave 1 both in terms of enumerated persons and in terms of adults responding to the individual interview. We analyse separately the general population sample and the ethnic minority boost sample. We also describe attrition for the BHPS sample between wave 18 of the BHPS and wave 2 of Understanding Society, when that sample was incorporated into Understanding Society.","language":"en","page":"45","source":"Zotero","title":"An Initial Look at Non-Response and Attrition in Understanding Society","author":[{"family":"Lynn","given":"Peter"},{"family":"Burton","given":"Jonathan"},{"family":"Kaminska","given":"Olena"},{"family":"Knies","given":"Gundi"},{"family":"Nandi","given":"Alita"}],"issued":{"date-parts":[["2012"]]},"citation-key":"lynnInitialLookNonResponse2012"}}],"schema":"https://github.com/citation-style-language/schema/raw/master/csl-citation.json"} </w:instrText>
      </w:r>
      <w:r w:rsidR="00285CCC" w:rsidRPr="00E200A5">
        <w:rPr>
          <w:rFonts w:ascii="Times New Roman" w:eastAsia="Times New Roman" w:hAnsi="Times New Roman" w:cs="Times New Roman"/>
          <w:color w:val="000000"/>
          <w:sz w:val="24"/>
          <w:szCs w:val="24"/>
          <w:lang w:eastAsia="en-GB"/>
        </w:rPr>
        <w:fldChar w:fldCharType="separate"/>
      </w:r>
      <w:r w:rsidR="00285CCC" w:rsidRPr="00E200A5">
        <w:rPr>
          <w:rFonts w:ascii="Times New Roman" w:hAnsi="Times New Roman" w:cs="Times New Roman"/>
          <w:sz w:val="24"/>
        </w:rPr>
        <w:t>(Lynn et al., 2012)</w:t>
      </w:r>
      <w:r w:rsidR="00285CCC" w:rsidRPr="00E200A5">
        <w:rPr>
          <w:rFonts w:ascii="Times New Roman" w:eastAsia="Times New Roman" w:hAnsi="Times New Roman" w:cs="Times New Roman"/>
          <w:color w:val="000000"/>
          <w:sz w:val="24"/>
          <w:szCs w:val="24"/>
          <w:lang w:eastAsia="en-GB"/>
        </w:rPr>
        <w:fldChar w:fldCharType="end"/>
      </w:r>
      <w:r w:rsidR="00285CCC" w:rsidRPr="00E200A5">
        <w:rPr>
          <w:rFonts w:ascii="Times New Roman" w:eastAsia="Times New Roman" w:hAnsi="Times New Roman" w:cs="Times New Roman"/>
          <w:color w:val="000000"/>
          <w:sz w:val="24"/>
          <w:szCs w:val="24"/>
          <w:lang w:eastAsia="en-GB"/>
        </w:rPr>
        <w:t xml:space="preserve">. </w:t>
      </w:r>
      <w:r w:rsidRPr="00E200A5">
        <w:rPr>
          <w:rFonts w:ascii="Times New Roman" w:eastAsia="Times New Roman" w:hAnsi="Times New Roman" w:cs="Times New Roman"/>
          <w:color w:val="000000"/>
          <w:sz w:val="24"/>
          <w:szCs w:val="24"/>
          <w:lang w:eastAsia="en-GB"/>
        </w:rPr>
        <w:t xml:space="preserve">A subset of this sample (N = 1485) was used for the analysis using the </w:t>
      </w:r>
      <w:r w:rsidR="00A43BFD" w:rsidRPr="00E200A5">
        <w:rPr>
          <w:rFonts w:ascii="Times New Roman" w:eastAsia="Times New Roman" w:hAnsi="Times New Roman" w:cs="Times New Roman"/>
          <w:color w:val="000000"/>
          <w:sz w:val="24"/>
          <w:szCs w:val="24"/>
          <w:lang w:eastAsia="en-GB"/>
        </w:rPr>
        <w:t>s</w:t>
      </w:r>
      <w:r w:rsidRPr="00E200A5">
        <w:rPr>
          <w:rFonts w:ascii="Times New Roman" w:eastAsia="Times New Roman" w:hAnsi="Times New Roman" w:cs="Times New Roman"/>
          <w:color w:val="000000"/>
          <w:sz w:val="24"/>
          <w:szCs w:val="24"/>
          <w:lang w:eastAsia="en-GB"/>
        </w:rPr>
        <w:t xml:space="preserve">easonal flu likelihood item, which was only issued to those </w:t>
      </w:r>
      <w:r w:rsidR="00C155A0" w:rsidRPr="00E200A5">
        <w:rPr>
          <w:rFonts w:ascii="Times New Roman" w:eastAsia="Times New Roman" w:hAnsi="Times New Roman" w:cs="Times New Roman"/>
          <w:color w:val="000000"/>
          <w:sz w:val="24"/>
          <w:szCs w:val="24"/>
          <w:lang w:eastAsia="en-GB"/>
        </w:rPr>
        <w:lastRenderedPageBreak/>
        <w:t xml:space="preserve">aged </w:t>
      </w:r>
      <w:r w:rsidRPr="00E200A5">
        <w:rPr>
          <w:rFonts w:ascii="Times New Roman" w:eastAsia="Times New Roman" w:hAnsi="Times New Roman" w:cs="Times New Roman"/>
          <w:color w:val="000000"/>
          <w:sz w:val="24"/>
          <w:szCs w:val="24"/>
          <w:lang w:eastAsia="en-GB"/>
        </w:rPr>
        <w:t>50-65 years.</w:t>
      </w:r>
      <w:r w:rsidR="00CF6A6F" w:rsidRPr="00E200A5">
        <w:rPr>
          <w:rFonts w:ascii="Times New Roman" w:eastAsia="Times New Roman" w:hAnsi="Times New Roman" w:cs="Times New Roman"/>
          <w:color w:val="000000"/>
          <w:sz w:val="24"/>
          <w:szCs w:val="24"/>
          <w:lang w:eastAsia="en-GB"/>
        </w:rPr>
        <w:t xml:space="preserve"> </w:t>
      </w:r>
      <w:r w:rsidR="003C4625" w:rsidRPr="00E200A5">
        <w:rPr>
          <w:rFonts w:ascii="Times New Roman" w:eastAsia="Times New Roman" w:hAnsi="Times New Roman" w:cs="Times New Roman"/>
          <w:color w:val="000000"/>
          <w:sz w:val="24"/>
          <w:szCs w:val="24"/>
          <w:lang w:eastAsia="en-GB"/>
        </w:rPr>
        <w:t>The main study sample was 58.</w:t>
      </w:r>
      <w:r w:rsidR="00424655" w:rsidRPr="00E200A5">
        <w:rPr>
          <w:rFonts w:ascii="Times New Roman" w:eastAsia="Times New Roman" w:hAnsi="Times New Roman" w:cs="Times New Roman"/>
          <w:color w:val="000000"/>
          <w:sz w:val="24"/>
          <w:szCs w:val="24"/>
          <w:lang w:eastAsia="en-GB"/>
        </w:rPr>
        <w:t>2</w:t>
      </w:r>
      <w:r w:rsidR="003C4625" w:rsidRPr="00E200A5">
        <w:rPr>
          <w:rFonts w:ascii="Times New Roman" w:eastAsia="Times New Roman" w:hAnsi="Times New Roman" w:cs="Times New Roman"/>
          <w:color w:val="000000"/>
          <w:sz w:val="24"/>
          <w:szCs w:val="24"/>
          <w:lang w:eastAsia="en-GB"/>
        </w:rPr>
        <w:t xml:space="preserve">% </w:t>
      </w:r>
      <w:r w:rsidR="00357031" w:rsidRPr="00E200A5">
        <w:rPr>
          <w:rFonts w:ascii="Times New Roman" w:eastAsia="Times New Roman" w:hAnsi="Times New Roman" w:cs="Times New Roman"/>
          <w:color w:val="000000"/>
          <w:sz w:val="24"/>
          <w:szCs w:val="24"/>
          <w:lang w:eastAsia="en-GB"/>
        </w:rPr>
        <w:t>f</w:t>
      </w:r>
      <w:r w:rsidR="003C4625" w:rsidRPr="00E200A5">
        <w:rPr>
          <w:rFonts w:ascii="Times New Roman" w:eastAsia="Times New Roman" w:hAnsi="Times New Roman" w:cs="Times New Roman"/>
          <w:color w:val="000000"/>
          <w:sz w:val="24"/>
          <w:szCs w:val="24"/>
          <w:lang w:eastAsia="en-GB"/>
        </w:rPr>
        <w:t xml:space="preserve">emale, </w:t>
      </w:r>
      <w:r w:rsidR="00357031" w:rsidRPr="00E200A5">
        <w:rPr>
          <w:rFonts w:ascii="Times New Roman" w:eastAsia="Times New Roman" w:hAnsi="Times New Roman" w:cs="Times New Roman"/>
          <w:color w:val="000000"/>
          <w:sz w:val="24"/>
          <w:szCs w:val="24"/>
          <w:lang w:eastAsia="en-GB"/>
        </w:rPr>
        <w:t xml:space="preserve">with </w:t>
      </w:r>
      <w:r w:rsidR="003C4625" w:rsidRPr="00E200A5">
        <w:rPr>
          <w:rFonts w:ascii="Times New Roman" w:eastAsia="Times New Roman" w:hAnsi="Times New Roman" w:cs="Times New Roman"/>
          <w:color w:val="000000"/>
          <w:sz w:val="24"/>
          <w:szCs w:val="24"/>
          <w:lang w:eastAsia="en-GB"/>
        </w:rPr>
        <w:t xml:space="preserve">an average age of 54.75 years, and </w:t>
      </w:r>
      <w:r w:rsidR="00357031" w:rsidRPr="00E200A5">
        <w:rPr>
          <w:rFonts w:ascii="Times New Roman" w:eastAsia="Times New Roman" w:hAnsi="Times New Roman" w:cs="Times New Roman"/>
          <w:color w:val="000000"/>
          <w:sz w:val="24"/>
          <w:szCs w:val="24"/>
          <w:lang w:eastAsia="en-GB"/>
        </w:rPr>
        <w:t xml:space="preserve">a </w:t>
      </w:r>
      <w:r w:rsidR="00885B43" w:rsidRPr="00E200A5">
        <w:rPr>
          <w:rFonts w:ascii="Times New Roman" w:eastAsia="Times New Roman" w:hAnsi="Times New Roman" w:cs="Times New Roman"/>
          <w:color w:val="000000"/>
          <w:sz w:val="24"/>
          <w:szCs w:val="24"/>
          <w:lang w:eastAsia="en-GB"/>
        </w:rPr>
        <w:t xml:space="preserve">median </w:t>
      </w:r>
      <w:r w:rsidR="003C4625" w:rsidRPr="00E200A5">
        <w:rPr>
          <w:rFonts w:ascii="Times New Roman" w:eastAsia="Times New Roman" w:hAnsi="Times New Roman" w:cs="Times New Roman"/>
          <w:color w:val="000000"/>
          <w:sz w:val="24"/>
          <w:szCs w:val="24"/>
          <w:lang w:eastAsia="en-GB"/>
        </w:rPr>
        <w:t xml:space="preserve">education level </w:t>
      </w:r>
      <w:r w:rsidR="00357031" w:rsidRPr="00E200A5">
        <w:rPr>
          <w:rFonts w:ascii="Times New Roman" w:eastAsia="Times New Roman" w:hAnsi="Times New Roman" w:cs="Times New Roman"/>
          <w:color w:val="000000"/>
          <w:sz w:val="24"/>
          <w:szCs w:val="24"/>
          <w:lang w:eastAsia="en-GB"/>
        </w:rPr>
        <w:t xml:space="preserve">of </w:t>
      </w:r>
      <w:r w:rsidR="003C4625" w:rsidRPr="00E200A5">
        <w:rPr>
          <w:rFonts w:ascii="Times New Roman" w:eastAsia="Times New Roman" w:hAnsi="Times New Roman" w:cs="Times New Roman"/>
          <w:color w:val="000000"/>
          <w:sz w:val="24"/>
          <w:szCs w:val="24"/>
          <w:lang w:eastAsia="en-GB"/>
        </w:rPr>
        <w:t>A-level or equivalent.</w:t>
      </w:r>
      <w:r w:rsidR="00D60154" w:rsidRPr="00E200A5">
        <w:rPr>
          <w:rFonts w:ascii="Times New Roman" w:eastAsia="Times New Roman" w:hAnsi="Times New Roman" w:cs="Times New Roman"/>
          <w:color w:val="000000"/>
          <w:sz w:val="24"/>
          <w:szCs w:val="24"/>
          <w:lang w:eastAsia="en-GB"/>
        </w:rPr>
        <w:t xml:space="preserve"> The </w:t>
      </w:r>
      <w:r w:rsidR="00A43BFD" w:rsidRPr="00E200A5">
        <w:rPr>
          <w:rFonts w:ascii="Times New Roman" w:eastAsia="Times New Roman" w:hAnsi="Times New Roman" w:cs="Times New Roman"/>
          <w:color w:val="000000"/>
          <w:sz w:val="24"/>
          <w:szCs w:val="24"/>
          <w:lang w:eastAsia="en-GB"/>
        </w:rPr>
        <w:t>s</w:t>
      </w:r>
      <w:r w:rsidR="00D60154" w:rsidRPr="00E200A5">
        <w:rPr>
          <w:rFonts w:ascii="Times New Roman" w:eastAsia="Times New Roman" w:hAnsi="Times New Roman" w:cs="Times New Roman"/>
          <w:color w:val="000000"/>
          <w:sz w:val="24"/>
          <w:szCs w:val="24"/>
          <w:lang w:eastAsia="en-GB"/>
        </w:rPr>
        <w:t xml:space="preserve">easonal </w:t>
      </w:r>
      <w:r w:rsidR="00A43BFD" w:rsidRPr="00E200A5">
        <w:rPr>
          <w:rFonts w:ascii="Times New Roman" w:eastAsia="Times New Roman" w:hAnsi="Times New Roman" w:cs="Times New Roman"/>
          <w:color w:val="000000"/>
          <w:sz w:val="24"/>
          <w:szCs w:val="24"/>
          <w:lang w:eastAsia="en-GB"/>
        </w:rPr>
        <w:t>f</w:t>
      </w:r>
      <w:r w:rsidR="00D60154" w:rsidRPr="00E200A5">
        <w:rPr>
          <w:rFonts w:ascii="Times New Roman" w:eastAsia="Times New Roman" w:hAnsi="Times New Roman" w:cs="Times New Roman"/>
          <w:color w:val="000000"/>
          <w:sz w:val="24"/>
          <w:szCs w:val="24"/>
          <w:lang w:eastAsia="en-GB"/>
        </w:rPr>
        <w:t xml:space="preserve">lu subsample was </w:t>
      </w:r>
      <w:r w:rsidR="00885B43" w:rsidRPr="00E200A5">
        <w:rPr>
          <w:rFonts w:ascii="Times New Roman" w:eastAsia="Times New Roman" w:hAnsi="Times New Roman" w:cs="Times New Roman"/>
          <w:color w:val="000000"/>
          <w:sz w:val="24"/>
          <w:szCs w:val="24"/>
          <w:lang w:eastAsia="en-GB"/>
        </w:rPr>
        <w:t>56</w:t>
      </w:r>
      <w:r w:rsidR="00D60154" w:rsidRPr="00E200A5">
        <w:rPr>
          <w:rFonts w:ascii="Times New Roman" w:eastAsia="Times New Roman" w:hAnsi="Times New Roman" w:cs="Times New Roman"/>
          <w:color w:val="000000"/>
          <w:sz w:val="24"/>
          <w:szCs w:val="24"/>
          <w:lang w:eastAsia="en-GB"/>
        </w:rPr>
        <w:t xml:space="preserve">% </w:t>
      </w:r>
      <w:r w:rsidR="00357031" w:rsidRPr="00E200A5">
        <w:rPr>
          <w:rFonts w:ascii="Times New Roman" w:eastAsia="Times New Roman" w:hAnsi="Times New Roman" w:cs="Times New Roman"/>
          <w:color w:val="000000"/>
          <w:sz w:val="24"/>
          <w:szCs w:val="24"/>
          <w:lang w:eastAsia="en-GB"/>
        </w:rPr>
        <w:t>f</w:t>
      </w:r>
      <w:r w:rsidR="00D60154" w:rsidRPr="00E200A5">
        <w:rPr>
          <w:rFonts w:ascii="Times New Roman" w:eastAsia="Times New Roman" w:hAnsi="Times New Roman" w:cs="Times New Roman"/>
          <w:color w:val="000000"/>
          <w:sz w:val="24"/>
          <w:szCs w:val="24"/>
          <w:lang w:eastAsia="en-GB"/>
        </w:rPr>
        <w:t xml:space="preserve">emale, </w:t>
      </w:r>
      <w:r w:rsidR="00357031" w:rsidRPr="00E200A5">
        <w:rPr>
          <w:rFonts w:ascii="Times New Roman" w:eastAsia="Times New Roman" w:hAnsi="Times New Roman" w:cs="Times New Roman"/>
          <w:color w:val="000000"/>
          <w:sz w:val="24"/>
          <w:szCs w:val="24"/>
          <w:lang w:eastAsia="en-GB"/>
        </w:rPr>
        <w:t xml:space="preserve">with </w:t>
      </w:r>
      <w:r w:rsidR="00D60154" w:rsidRPr="00E200A5">
        <w:rPr>
          <w:rFonts w:ascii="Times New Roman" w:eastAsia="Times New Roman" w:hAnsi="Times New Roman" w:cs="Times New Roman"/>
          <w:color w:val="000000"/>
          <w:sz w:val="24"/>
          <w:szCs w:val="24"/>
          <w:lang w:eastAsia="en-GB"/>
        </w:rPr>
        <w:t xml:space="preserve">an average of </w:t>
      </w:r>
      <w:r w:rsidR="00885B43" w:rsidRPr="00E200A5">
        <w:rPr>
          <w:rFonts w:ascii="Times New Roman" w:eastAsia="Times New Roman" w:hAnsi="Times New Roman" w:cs="Times New Roman"/>
          <w:color w:val="000000"/>
          <w:sz w:val="24"/>
          <w:szCs w:val="24"/>
          <w:lang w:eastAsia="en-GB"/>
        </w:rPr>
        <w:t xml:space="preserve">53.9 years, and </w:t>
      </w:r>
      <w:r w:rsidR="00357031" w:rsidRPr="00E200A5">
        <w:rPr>
          <w:rFonts w:ascii="Times New Roman" w:eastAsia="Times New Roman" w:hAnsi="Times New Roman" w:cs="Times New Roman"/>
          <w:color w:val="000000"/>
          <w:sz w:val="24"/>
          <w:szCs w:val="24"/>
          <w:lang w:eastAsia="en-GB"/>
        </w:rPr>
        <w:t xml:space="preserve">a </w:t>
      </w:r>
      <w:r w:rsidR="00885B43" w:rsidRPr="00E200A5">
        <w:rPr>
          <w:rFonts w:ascii="Times New Roman" w:eastAsia="Times New Roman" w:hAnsi="Times New Roman" w:cs="Times New Roman"/>
          <w:color w:val="000000"/>
          <w:sz w:val="24"/>
          <w:szCs w:val="24"/>
          <w:lang w:eastAsia="en-GB"/>
        </w:rPr>
        <w:t xml:space="preserve">median education level </w:t>
      </w:r>
      <w:r w:rsidR="00357031" w:rsidRPr="00E200A5">
        <w:rPr>
          <w:rFonts w:ascii="Times New Roman" w:eastAsia="Times New Roman" w:hAnsi="Times New Roman" w:cs="Times New Roman"/>
          <w:color w:val="000000"/>
          <w:sz w:val="24"/>
          <w:szCs w:val="24"/>
          <w:lang w:eastAsia="en-GB"/>
        </w:rPr>
        <w:t xml:space="preserve">of </w:t>
      </w:r>
      <w:r w:rsidR="00885B43" w:rsidRPr="00E200A5">
        <w:rPr>
          <w:rFonts w:ascii="Times New Roman" w:eastAsia="Times New Roman" w:hAnsi="Times New Roman" w:cs="Times New Roman"/>
          <w:color w:val="000000"/>
          <w:sz w:val="24"/>
          <w:szCs w:val="24"/>
          <w:lang w:eastAsia="en-GB"/>
        </w:rPr>
        <w:t>A-level or equivalent.</w:t>
      </w:r>
    </w:p>
    <w:p w14:paraId="310C02A7" w14:textId="7B0CA190" w:rsidR="000816E3" w:rsidRPr="00E200A5" w:rsidRDefault="000816E3" w:rsidP="00C915C8">
      <w:pPr>
        <w:spacing w:before="240" w:after="240" w:line="480" w:lineRule="auto"/>
        <w:jc w:val="both"/>
        <w:rPr>
          <w:rFonts w:ascii="Times New Roman" w:eastAsia="Times New Roman" w:hAnsi="Times New Roman" w:cs="Times New Roman"/>
          <w:b/>
          <w:bCs/>
          <w:i/>
          <w:iCs/>
          <w:color w:val="000000"/>
          <w:sz w:val="24"/>
          <w:szCs w:val="24"/>
          <w:lang w:eastAsia="en-GB"/>
        </w:rPr>
      </w:pPr>
      <w:r w:rsidRPr="00E200A5">
        <w:rPr>
          <w:rFonts w:ascii="Times New Roman" w:eastAsia="Times New Roman" w:hAnsi="Times New Roman" w:cs="Times New Roman"/>
          <w:b/>
          <w:bCs/>
          <w:i/>
          <w:iCs/>
          <w:color w:val="000000"/>
          <w:sz w:val="24"/>
          <w:szCs w:val="24"/>
          <w:lang w:eastAsia="en-GB"/>
        </w:rPr>
        <w:t>Measures</w:t>
      </w:r>
    </w:p>
    <w:p w14:paraId="34CE7DBC" w14:textId="1DA2D0B9" w:rsidR="000816E3" w:rsidRPr="00E200A5" w:rsidRDefault="000D1673" w:rsidP="00C915C8">
      <w:pPr>
        <w:spacing w:before="240" w:after="100" w:line="480" w:lineRule="auto"/>
        <w:jc w:val="both"/>
        <w:rPr>
          <w:rFonts w:ascii="Times New Roman" w:eastAsia="Times New Roman" w:hAnsi="Times New Roman" w:cs="Times New Roman"/>
          <w:b/>
          <w:bCs/>
          <w:sz w:val="24"/>
          <w:szCs w:val="24"/>
          <w:lang w:eastAsia="en-GB"/>
        </w:rPr>
      </w:pPr>
      <w:r w:rsidRPr="00E200A5">
        <w:rPr>
          <w:rFonts w:ascii="Times New Roman" w:eastAsia="Times New Roman" w:hAnsi="Times New Roman" w:cs="Times New Roman"/>
          <w:b/>
          <w:bCs/>
          <w:i/>
          <w:iCs/>
          <w:color w:val="000000"/>
          <w:sz w:val="24"/>
          <w:szCs w:val="24"/>
          <w:lang w:eastAsia="en-GB"/>
        </w:rPr>
        <w:t>COVID</w:t>
      </w:r>
      <w:r w:rsidR="00F85A48" w:rsidRPr="00E200A5">
        <w:rPr>
          <w:rFonts w:ascii="Times New Roman" w:eastAsia="Times New Roman" w:hAnsi="Times New Roman" w:cs="Times New Roman"/>
          <w:b/>
          <w:bCs/>
          <w:i/>
          <w:iCs/>
          <w:color w:val="000000"/>
          <w:sz w:val="24"/>
          <w:szCs w:val="24"/>
          <w:lang w:eastAsia="en-GB"/>
        </w:rPr>
        <w:t>-19</w:t>
      </w:r>
      <w:r w:rsidR="000816E3" w:rsidRPr="00E200A5">
        <w:rPr>
          <w:rFonts w:ascii="Times New Roman" w:eastAsia="Times New Roman" w:hAnsi="Times New Roman" w:cs="Times New Roman"/>
          <w:b/>
          <w:bCs/>
          <w:i/>
          <w:iCs/>
          <w:color w:val="000000"/>
          <w:sz w:val="24"/>
          <w:szCs w:val="24"/>
          <w:lang w:eastAsia="en-GB"/>
        </w:rPr>
        <w:t xml:space="preserve"> </w:t>
      </w:r>
      <w:r w:rsidR="00852603" w:rsidRPr="00E200A5">
        <w:rPr>
          <w:rFonts w:ascii="Times New Roman" w:eastAsia="Times New Roman" w:hAnsi="Times New Roman" w:cs="Times New Roman"/>
          <w:b/>
          <w:bCs/>
          <w:i/>
          <w:iCs/>
          <w:color w:val="000000"/>
          <w:sz w:val="24"/>
          <w:szCs w:val="24"/>
          <w:lang w:eastAsia="en-GB"/>
        </w:rPr>
        <w:t>vaccination</w:t>
      </w:r>
      <w:r w:rsidR="00C97A33" w:rsidRPr="00E200A5">
        <w:rPr>
          <w:rFonts w:ascii="Times New Roman" w:eastAsia="Times New Roman" w:hAnsi="Times New Roman" w:cs="Times New Roman"/>
          <w:b/>
          <w:bCs/>
          <w:i/>
          <w:iCs/>
          <w:color w:val="000000"/>
          <w:sz w:val="24"/>
          <w:szCs w:val="24"/>
          <w:lang w:eastAsia="en-GB"/>
        </w:rPr>
        <w:t xml:space="preserve"> hesitancy</w:t>
      </w:r>
    </w:p>
    <w:p w14:paraId="70BA708F" w14:textId="47AC61C4" w:rsidR="000816E3" w:rsidRPr="00E200A5" w:rsidRDefault="000D1673" w:rsidP="00C915C8">
      <w:pPr>
        <w:spacing w:before="240" w:after="100" w:line="480" w:lineRule="auto"/>
        <w:ind w:firstLine="720"/>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color w:val="000000"/>
          <w:sz w:val="24"/>
          <w:szCs w:val="24"/>
          <w:lang w:eastAsia="en-GB"/>
        </w:rPr>
        <w:t>COVID</w:t>
      </w:r>
      <w:r w:rsidR="00F85A48" w:rsidRPr="00E200A5">
        <w:rPr>
          <w:rFonts w:ascii="Times New Roman" w:eastAsia="Times New Roman" w:hAnsi="Times New Roman" w:cs="Times New Roman"/>
          <w:color w:val="000000"/>
          <w:sz w:val="24"/>
          <w:szCs w:val="24"/>
          <w:lang w:eastAsia="en-GB"/>
        </w:rPr>
        <w:t>-19</w:t>
      </w:r>
      <w:r w:rsidR="000816E3" w:rsidRPr="00E200A5">
        <w:rPr>
          <w:rFonts w:ascii="Times New Roman" w:eastAsia="Times New Roman" w:hAnsi="Times New Roman" w:cs="Times New Roman"/>
          <w:color w:val="000000"/>
          <w:sz w:val="24"/>
          <w:szCs w:val="24"/>
          <w:lang w:eastAsia="en-GB"/>
        </w:rPr>
        <w:t xml:space="preserve"> </w:t>
      </w:r>
      <w:r w:rsidR="00852603" w:rsidRPr="00E200A5">
        <w:rPr>
          <w:rFonts w:ascii="Times New Roman" w:eastAsia="Times New Roman" w:hAnsi="Times New Roman" w:cs="Times New Roman"/>
          <w:i/>
          <w:iCs/>
          <w:color w:val="000000"/>
          <w:sz w:val="24"/>
          <w:szCs w:val="24"/>
          <w:lang w:eastAsia="en-GB"/>
        </w:rPr>
        <w:t>vaccination</w:t>
      </w:r>
      <w:r w:rsidR="00C97A33" w:rsidRPr="00E200A5">
        <w:rPr>
          <w:rFonts w:ascii="Times New Roman" w:eastAsia="Times New Roman" w:hAnsi="Times New Roman" w:cs="Times New Roman"/>
          <w:i/>
          <w:iCs/>
          <w:color w:val="000000"/>
          <w:sz w:val="24"/>
          <w:szCs w:val="24"/>
          <w:lang w:eastAsia="en-GB"/>
        </w:rPr>
        <w:t xml:space="preserve"> hesitancy</w:t>
      </w:r>
      <w:r w:rsidR="00C97A33" w:rsidRPr="00E200A5" w:rsidDel="00C97A33">
        <w:rPr>
          <w:rFonts w:ascii="Times New Roman" w:eastAsia="Times New Roman" w:hAnsi="Times New Roman" w:cs="Times New Roman"/>
          <w:color w:val="000000"/>
          <w:sz w:val="24"/>
          <w:szCs w:val="24"/>
          <w:lang w:eastAsia="en-GB"/>
        </w:rPr>
        <w:t xml:space="preserve"> </w:t>
      </w:r>
      <w:r w:rsidR="000816E3" w:rsidRPr="00E200A5">
        <w:rPr>
          <w:rFonts w:ascii="Times New Roman" w:eastAsia="Times New Roman" w:hAnsi="Times New Roman" w:cs="Times New Roman"/>
          <w:color w:val="000000"/>
          <w:sz w:val="24"/>
          <w:szCs w:val="24"/>
          <w:lang w:eastAsia="en-GB"/>
        </w:rPr>
        <w:t xml:space="preserve">was measured using a single item. Participants were asked to respond to the question </w:t>
      </w:r>
      <w:r w:rsidR="000816E3" w:rsidRPr="00E200A5">
        <w:rPr>
          <w:rFonts w:ascii="Times New Roman" w:eastAsia="Times New Roman" w:hAnsi="Times New Roman" w:cs="Times New Roman"/>
          <w:i/>
          <w:iCs/>
          <w:color w:val="000000"/>
          <w:sz w:val="24"/>
          <w:szCs w:val="24"/>
          <w:lang w:eastAsia="en-GB"/>
        </w:rPr>
        <w:t xml:space="preserve">Imagine that a vaccine against </w:t>
      </w:r>
      <w:r w:rsidRPr="00E200A5">
        <w:rPr>
          <w:rFonts w:ascii="Times New Roman" w:eastAsia="Times New Roman" w:hAnsi="Times New Roman" w:cs="Times New Roman"/>
          <w:i/>
          <w:iCs/>
          <w:color w:val="000000"/>
          <w:sz w:val="24"/>
          <w:szCs w:val="24"/>
          <w:lang w:eastAsia="en-GB"/>
        </w:rPr>
        <w:t>COVID</w:t>
      </w:r>
      <w:r w:rsidR="000816E3" w:rsidRPr="00E200A5">
        <w:rPr>
          <w:rFonts w:ascii="Times New Roman" w:eastAsia="Times New Roman" w:hAnsi="Times New Roman" w:cs="Times New Roman"/>
          <w:i/>
          <w:iCs/>
          <w:color w:val="000000"/>
          <w:sz w:val="24"/>
          <w:szCs w:val="24"/>
          <w:lang w:eastAsia="en-GB"/>
        </w:rPr>
        <w:t>-19 was available for anyone who wanted it. How likely or unlikely would you be to take the vaccine?</w:t>
      </w:r>
      <w:r w:rsidR="000816E3" w:rsidRPr="00E200A5">
        <w:rPr>
          <w:rFonts w:ascii="Times New Roman" w:eastAsia="Times New Roman" w:hAnsi="Times New Roman" w:cs="Times New Roman"/>
          <w:color w:val="000000"/>
          <w:sz w:val="24"/>
          <w:szCs w:val="24"/>
          <w:lang w:eastAsia="en-GB"/>
        </w:rPr>
        <w:t xml:space="preserve"> </w:t>
      </w:r>
      <w:r w:rsidR="00C53173" w:rsidRPr="00E200A5">
        <w:rPr>
          <w:rFonts w:ascii="Times New Roman" w:eastAsia="Times New Roman" w:hAnsi="Times New Roman" w:cs="Times New Roman"/>
          <w:color w:val="000000"/>
          <w:sz w:val="24"/>
          <w:szCs w:val="24"/>
          <w:lang w:eastAsia="en-GB"/>
        </w:rPr>
        <w:t xml:space="preserve">Note, again, that at the point of assessment no COVID-19 vaccine had been approved for use in the UK and so the participants were responding to a hypothetical. </w:t>
      </w:r>
      <w:r w:rsidR="000816E3" w:rsidRPr="00E200A5">
        <w:rPr>
          <w:rFonts w:ascii="Times New Roman" w:eastAsia="Times New Roman" w:hAnsi="Times New Roman" w:cs="Times New Roman"/>
          <w:color w:val="000000"/>
          <w:sz w:val="24"/>
          <w:szCs w:val="24"/>
          <w:lang w:eastAsia="en-GB"/>
        </w:rPr>
        <w:t xml:space="preserve">Responses were recorded using a 4-point Likert scale, ranging from 1 = </w:t>
      </w:r>
      <w:r w:rsidR="000816E3" w:rsidRPr="00E200A5">
        <w:rPr>
          <w:rFonts w:ascii="Times New Roman" w:eastAsia="Times New Roman" w:hAnsi="Times New Roman" w:cs="Times New Roman"/>
          <w:i/>
          <w:iCs/>
          <w:color w:val="000000"/>
          <w:sz w:val="24"/>
          <w:szCs w:val="24"/>
          <w:lang w:eastAsia="en-GB"/>
        </w:rPr>
        <w:t xml:space="preserve">Very likely </w:t>
      </w:r>
      <w:r w:rsidR="000816E3" w:rsidRPr="00E200A5">
        <w:rPr>
          <w:rFonts w:ascii="Times New Roman" w:eastAsia="Times New Roman" w:hAnsi="Times New Roman" w:cs="Times New Roman"/>
          <w:color w:val="000000"/>
          <w:sz w:val="24"/>
          <w:szCs w:val="24"/>
          <w:lang w:eastAsia="en-GB"/>
        </w:rPr>
        <w:t xml:space="preserve">to 4 = </w:t>
      </w:r>
      <w:r w:rsidR="000816E3" w:rsidRPr="00E200A5">
        <w:rPr>
          <w:rFonts w:ascii="Times New Roman" w:eastAsia="Times New Roman" w:hAnsi="Times New Roman" w:cs="Times New Roman"/>
          <w:i/>
          <w:iCs/>
          <w:color w:val="000000"/>
          <w:sz w:val="24"/>
          <w:szCs w:val="24"/>
          <w:lang w:eastAsia="en-GB"/>
        </w:rPr>
        <w:t xml:space="preserve">Very unlikely. </w:t>
      </w:r>
    </w:p>
    <w:p w14:paraId="21E579D9" w14:textId="50C5E787" w:rsidR="00B72DAA" w:rsidRPr="00E200A5" w:rsidRDefault="00891DB1" w:rsidP="00C915C8">
      <w:pPr>
        <w:spacing w:after="0" w:line="480" w:lineRule="auto"/>
        <w:jc w:val="both"/>
        <w:rPr>
          <w:rFonts w:ascii="Times New Roman" w:eastAsia="Times New Roman" w:hAnsi="Times New Roman" w:cs="Times New Roman"/>
          <w:b/>
          <w:bCs/>
          <w:sz w:val="24"/>
          <w:szCs w:val="24"/>
          <w:lang w:eastAsia="en-GB"/>
        </w:rPr>
      </w:pPr>
      <w:r w:rsidRPr="00E200A5">
        <w:rPr>
          <w:rFonts w:ascii="Times New Roman" w:eastAsia="Times New Roman" w:hAnsi="Times New Roman" w:cs="Times New Roman"/>
          <w:b/>
          <w:bCs/>
          <w:i/>
          <w:iCs/>
          <w:color w:val="000000"/>
          <w:sz w:val="24"/>
          <w:szCs w:val="24"/>
          <w:lang w:eastAsia="en-GB"/>
        </w:rPr>
        <w:t>Reasons</w:t>
      </w:r>
      <w:r w:rsidRPr="00E200A5">
        <w:rPr>
          <w:rFonts w:ascii="Times New Roman" w:eastAsia="Times New Roman" w:hAnsi="Times New Roman" w:cs="Times New Roman"/>
          <w:b/>
          <w:bCs/>
          <w:color w:val="000000"/>
          <w:sz w:val="24"/>
          <w:szCs w:val="24"/>
          <w:lang w:eastAsia="en-GB"/>
        </w:rPr>
        <w:t xml:space="preserve"> </w:t>
      </w:r>
      <w:r w:rsidR="00B72DAA" w:rsidRPr="00E200A5">
        <w:rPr>
          <w:rFonts w:ascii="Times New Roman" w:eastAsia="Times New Roman" w:hAnsi="Times New Roman" w:cs="Times New Roman"/>
          <w:b/>
          <w:bCs/>
          <w:i/>
          <w:iCs/>
          <w:color w:val="000000"/>
          <w:sz w:val="24"/>
          <w:szCs w:val="24"/>
          <w:lang w:eastAsia="en-GB"/>
        </w:rPr>
        <w:t>for declining the vaccine</w:t>
      </w:r>
    </w:p>
    <w:p w14:paraId="7B803FE3" w14:textId="42D86794" w:rsidR="00B72DAA" w:rsidRPr="00E200A5" w:rsidRDefault="00B72DAA" w:rsidP="00C915C8">
      <w:pPr>
        <w:spacing w:after="0" w:line="480" w:lineRule="auto"/>
        <w:ind w:firstLine="720"/>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color w:val="000000"/>
          <w:sz w:val="24"/>
          <w:szCs w:val="24"/>
          <w:lang w:eastAsia="en-GB"/>
        </w:rPr>
        <w:t xml:space="preserve">Participants who indicated they were unlikely or very unlikely to take the vaccine were asked </w:t>
      </w:r>
      <w:r w:rsidRPr="00E200A5">
        <w:rPr>
          <w:rFonts w:ascii="Times New Roman" w:eastAsia="Times New Roman" w:hAnsi="Times New Roman" w:cs="Times New Roman"/>
          <w:i/>
          <w:iCs/>
          <w:color w:val="000000"/>
          <w:sz w:val="24"/>
          <w:szCs w:val="24"/>
          <w:lang w:eastAsia="en-GB"/>
        </w:rPr>
        <w:t>What is the main reason you would not take the vaccine?</w:t>
      </w:r>
      <w:r w:rsidRPr="00E200A5">
        <w:rPr>
          <w:rFonts w:ascii="Times New Roman" w:eastAsia="Times New Roman" w:hAnsi="Times New Roman" w:cs="Times New Roman"/>
          <w:color w:val="000000"/>
          <w:sz w:val="24"/>
          <w:szCs w:val="24"/>
          <w:lang w:eastAsia="en-GB"/>
        </w:rPr>
        <w:t xml:space="preserve"> There were 11 options given, as well as one </w:t>
      </w:r>
      <w:r w:rsidRPr="00E200A5">
        <w:rPr>
          <w:rFonts w:ascii="Times New Roman" w:eastAsia="Times New Roman" w:hAnsi="Times New Roman" w:cs="Times New Roman"/>
          <w:i/>
          <w:iCs/>
          <w:color w:val="000000"/>
          <w:sz w:val="24"/>
          <w:szCs w:val="24"/>
          <w:lang w:eastAsia="en-GB"/>
        </w:rPr>
        <w:t>Other</w:t>
      </w:r>
      <w:r w:rsidRPr="00E200A5">
        <w:rPr>
          <w:rFonts w:ascii="Times New Roman" w:eastAsia="Times New Roman" w:hAnsi="Times New Roman" w:cs="Times New Roman"/>
          <w:color w:val="000000"/>
          <w:sz w:val="24"/>
          <w:szCs w:val="24"/>
          <w:lang w:eastAsia="en-GB"/>
        </w:rPr>
        <w:t xml:space="preserve"> option. Examples include: </w:t>
      </w:r>
      <w:r w:rsidRPr="00E200A5">
        <w:rPr>
          <w:rFonts w:ascii="Times New Roman" w:eastAsia="Times New Roman" w:hAnsi="Times New Roman" w:cs="Times New Roman"/>
          <w:i/>
          <w:iCs/>
          <w:color w:val="000000"/>
          <w:sz w:val="24"/>
          <w:szCs w:val="24"/>
          <w:lang w:eastAsia="en-GB"/>
        </w:rPr>
        <w:t>The chances of me catching the coronavirus are low</w:t>
      </w:r>
      <w:r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i/>
          <w:iCs/>
          <w:color w:val="000000"/>
          <w:sz w:val="24"/>
          <w:szCs w:val="24"/>
          <w:lang w:eastAsia="en-GB"/>
        </w:rPr>
        <w:t xml:space="preserve"> </w:t>
      </w:r>
      <w:r w:rsidRPr="00E200A5">
        <w:rPr>
          <w:rFonts w:ascii="Times New Roman" w:eastAsia="Times New Roman" w:hAnsi="Times New Roman" w:cs="Times New Roman"/>
          <w:color w:val="000000"/>
          <w:sz w:val="24"/>
          <w:szCs w:val="24"/>
          <w:lang w:eastAsia="en-GB"/>
        </w:rPr>
        <w:t xml:space="preserve">and </w:t>
      </w:r>
      <w:r w:rsidRPr="00E200A5">
        <w:rPr>
          <w:rFonts w:ascii="Times New Roman" w:eastAsia="Times New Roman" w:hAnsi="Times New Roman" w:cs="Times New Roman"/>
          <w:i/>
          <w:iCs/>
          <w:color w:val="000000"/>
          <w:sz w:val="24"/>
          <w:szCs w:val="24"/>
          <w:lang w:eastAsia="en-GB"/>
        </w:rPr>
        <w:t>I am worried about unknown future effects of the vaccine</w:t>
      </w:r>
      <w:r w:rsidRPr="00E200A5">
        <w:rPr>
          <w:rFonts w:ascii="Times New Roman" w:eastAsia="Times New Roman" w:hAnsi="Times New Roman" w:cs="Times New Roman"/>
          <w:color w:val="000000"/>
          <w:sz w:val="24"/>
          <w:szCs w:val="24"/>
          <w:lang w:eastAsia="en-GB"/>
        </w:rPr>
        <w:t xml:space="preserve"> (see Table 6 for the full list of </w:t>
      </w:r>
      <w:r w:rsidR="00891DB1" w:rsidRPr="00E200A5">
        <w:rPr>
          <w:rFonts w:ascii="Times New Roman" w:eastAsia="Times New Roman" w:hAnsi="Times New Roman" w:cs="Times New Roman"/>
          <w:color w:val="000000"/>
          <w:sz w:val="24"/>
          <w:szCs w:val="24"/>
          <w:lang w:eastAsia="en-GB"/>
        </w:rPr>
        <w:t>reasons</w:t>
      </w:r>
      <w:r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i/>
          <w:iCs/>
          <w:color w:val="000000"/>
          <w:sz w:val="24"/>
          <w:szCs w:val="24"/>
          <w:lang w:eastAsia="en-GB"/>
        </w:rPr>
        <w:t>.</w:t>
      </w:r>
    </w:p>
    <w:p w14:paraId="3B7D00EE" w14:textId="211063C3" w:rsidR="000816E3" w:rsidRPr="00E200A5" w:rsidRDefault="000816E3" w:rsidP="00C915C8">
      <w:pPr>
        <w:spacing w:before="100" w:after="0" w:line="480" w:lineRule="auto"/>
        <w:jc w:val="both"/>
        <w:rPr>
          <w:rFonts w:ascii="Times New Roman" w:eastAsia="Times New Roman" w:hAnsi="Times New Roman" w:cs="Times New Roman"/>
          <w:b/>
          <w:bCs/>
          <w:sz w:val="24"/>
          <w:szCs w:val="24"/>
          <w:lang w:eastAsia="en-GB"/>
        </w:rPr>
      </w:pPr>
      <w:r w:rsidRPr="00E200A5">
        <w:rPr>
          <w:rFonts w:ascii="Times New Roman" w:eastAsia="Times New Roman" w:hAnsi="Times New Roman" w:cs="Times New Roman"/>
          <w:b/>
          <w:bCs/>
          <w:i/>
          <w:iCs/>
          <w:color w:val="000000"/>
          <w:sz w:val="24"/>
          <w:szCs w:val="24"/>
          <w:lang w:eastAsia="en-GB"/>
        </w:rPr>
        <w:t xml:space="preserve">Seasonal flu vaccination </w:t>
      </w:r>
      <w:r w:rsidR="00B274E6" w:rsidRPr="00E200A5">
        <w:rPr>
          <w:rFonts w:ascii="Times New Roman" w:eastAsia="Times New Roman" w:hAnsi="Times New Roman" w:cs="Times New Roman"/>
          <w:b/>
          <w:bCs/>
          <w:i/>
          <w:iCs/>
          <w:color w:val="000000"/>
          <w:sz w:val="24"/>
          <w:szCs w:val="24"/>
          <w:lang w:eastAsia="en-GB"/>
        </w:rPr>
        <w:t>hesitancy</w:t>
      </w:r>
    </w:p>
    <w:p w14:paraId="4599825A" w14:textId="7CF3E78E" w:rsidR="000816E3" w:rsidRPr="00E200A5" w:rsidRDefault="000816E3" w:rsidP="00C915C8">
      <w:pPr>
        <w:spacing w:before="240" w:after="100" w:line="480" w:lineRule="auto"/>
        <w:ind w:firstLine="720"/>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color w:val="000000"/>
          <w:sz w:val="24"/>
          <w:szCs w:val="24"/>
          <w:lang w:eastAsia="en-GB"/>
        </w:rPr>
        <w:t xml:space="preserve">Seasonal flu vaccination </w:t>
      </w:r>
      <w:r w:rsidR="00B274E6" w:rsidRPr="00E200A5">
        <w:rPr>
          <w:rFonts w:ascii="Times New Roman" w:eastAsia="Times New Roman" w:hAnsi="Times New Roman" w:cs="Times New Roman"/>
          <w:color w:val="000000"/>
          <w:sz w:val="24"/>
          <w:szCs w:val="24"/>
          <w:lang w:eastAsia="en-GB"/>
        </w:rPr>
        <w:t>hesitancy</w:t>
      </w:r>
      <w:r w:rsidRPr="00E200A5">
        <w:rPr>
          <w:rFonts w:ascii="Times New Roman" w:eastAsia="Times New Roman" w:hAnsi="Times New Roman" w:cs="Times New Roman"/>
          <w:color w:val="000000"/>
          <w:sz w:val="24"/>
          <w:szCs w:val="24"/>
          <w:lang w:eastAsia="en-GB"/>
        </w:rPr>
        <w:t xml:space="preserve"> was measured using a single item, which was given to participants aged 50-65</w:t>
      </w:r>
      <w:r w:rsidR="00F83BAC" w:rsidRPr="00E200A5">
        <w:rPr>
          <w:rFonts w:ascii="Times New Roman" w:eastAsia="Times New Roman" w:hAnsi="Times New Roman" w:cs="Times New Roman"/>
          <w:color w:val="000000"/>
          <w:sz w:val="24"/>
          <w:szCs w:val="24"/>
          <w:lang w:eastAsia="en-GB"/>
        </w:rPr>
        <w:t xml:space="preserve"> who</w:t>
      </w:r>
      <w:r w:rsidRPr="00E200A5">
        <w:rPr>
          <w:rFonts w:ascii="Times New Roman" w:eastAsia="Times New Roman" w:hAnsi="Times New Roman" w:cs="Times New Roman"/>
          <w:color w:val="000000"/>
          <w:sz w:val="24"/>
          <w:szCs w:val="24"/>
          <w:lang w:eastAsia="en-GB"/>
        </w:rPr>
        <w:t xml:space="preserve"> had not received the seasonal flu jab (n = 1433</w:t>
      </w:r>
      <w:r w:rsidR="00A56670" w:rsidRPr="00E200A5">
        <w:rPr>
          <w:rFonts w:ascii="Times New Roman" w:eastAsia="Times New Roman" w:hAnsi="Times New Roman" w:cs="Times New Roman"/>
          <w:color w:val="000000"/>
          <w:sz w:val="24"/>
          <w:szCs w:val="24"/>
          <w:lang w:eastAsia="en-GB"/>
        </w:rPr>
        <w:t>, after removing missing responses</w:t>
      </w:r>
      <w:r w:rsidRPr="00E200A5">
        <w:rPr>
          <w:rFonts w:ascii="Times New Roman" w:eastAsia="Times New Roman" w:hAnsi="Times New Roman" w:cs="Times New Roman"/>
          <w:color w:val="000000"/>
          <w:sz w:val="24"/>
          <w:szCs w:val="24"/>
          <w:lang w:eastAsia="en-GB"/>
        </w:rPr>
        <w:t xml:space="preserve">). Participants were asked to respond to the question </w:t>
      </w:r>
      <w:r w:rsidRPr="00E200A5">
        <w:rPr>
          <w:rFonts w:ascii="Times New Roman" w:eastAsia="Times New Roman" w:hAnsi="Times New Roman" w:cs="Times New Roman"/>
          <w:i/>
          <w:iCs/>
          <w:color w:val="000000"/>
          <w:sz w:val="24"/>
          <w:szCs w:val="24"/>
          <w:lang w:eastAsia="en-GB"/>
        </w:rPr>
        <w:t xml:space="preserve">The Government has indicated that it may offer flu jabs to all those aged 50 – 64 in November and December. If this </w:t>
      </w:r>
      <w:r w:rsidRPr="00E200A5">
        <w:rPr>
          <w:rFonts w:ascii="Times New Roman" w:eastAsia="Times New Roman" w:hAnsi="Times New Roman" w:cs="Times New Roman"/>
          <w:i/>
          <w:iCs/>
          <w:color w:val="000000"/>
          <w:sz w:val="24"/>
          <w:szCs w:val="24"/>
          <w:lang w:eastAsia="en-GB"/>
        </w:rPr>
        <w:lastRenderedPageBreak/>
        <w:t xml:space="preserve">is offered to you, how likely are you to have a flu jab this autumn/winter? </w:t>
      </w:r>
      <w:r w:rsidRPr="00E200A5">
        <w:rPr>
          <w:rFonts w:ascii="Times New Roman" w:eastAsia="Times New Roman" w:hAnsi="Times New Roman" w:cs="Times New Roman"/>
          <w:color w:val="000000"/>
          <w:sz w:val="24"/>
          <w:szCs w:val="24"/>
          <w:lang w:eastAsia="en-GB"/>
        </w:rPr>
        <w:t xml:space="preserve">Responses were recorded using a 4-point Likert scale, ranging from 1 = </w:t>
      </w:r>
      <w:r w:rsidRPr="00E200A5">
        <w:rPr>
          <w:rFonts w:ascii="Times New Roman" w:eastAsia="Times New Roman" w:hAnsi="Times New Roman" w:cs="Times New Roman"/>
          <w:i/>
          <w:iCs/>
          <w:color w:val="000000"/>
          <w:sz w:val="24"/>
          <w:szCs w:val="24"/>
          <w:lang w:eastAsia="en-GB"/>
        </w:rPr>
        <w:t xml:space="preserve">Very likely </w:t>
      </w:r>
      <w:r w:rsidRPr="00E200A5">
        <w:rPr>
          <w:rFonts w:ascii="Times New Roman" w:eastAsia="Times New Roman" w:hAnsi="Times New Roman" w:cs="Times New Roman"/>
          <w:color w:val="000000"/>
          <w:sz w:val="24"/>
          <w:szCs w:val="24"/>
          <w:lang w:eastAsia="en-GB"/>
        </w:rPr>
        <w:t xml:space="preserve">to 4 = </w:t>
      </w:r>
      <w:r w:rsidRPr="00E200A5">
        <w:rPr>
          <w:rFonts w:ascii="Times New Roman" w:eastAsia="Times New Roman" w:hAnsi="Times New Roman" w:cs="Times New Roman"/>
          <w:i/>
          <w:iCs/>
          <w:color w:val="000000"/>
          <w:sz w:val="24"/>
          <w:szCs w:val="24"/>
          <w:lang w:eastAsia="en-GB"/>
        </w:rPr>
        <w:t>Very unlikely.</w:t>
      </w:r>
    </w:p>
    <w:p w14:paraId="59B70FF9" w14:textId="0CBCAB3A" w:rsidR="00B72DAA" w:rsidRPr="00E200A5" w:rsidRDefault="009F22FD" w:rsidP="00C915C8">
      <w:pPr>
        <w:spacing w:after="0" w:line="480" w:lineRule="auto"/>
        <w:jc w:val="both"/>
        <w:rPr>
          <w:rFonts w:ascii="Times New Roman" w:eastAsia="Times New Roman" w:hAnsi="Times New Roman" w:cs="Times New Roman"/>
          <w:b/>
          <w:bCs/>
          <w:sz w:val="24"/>
          <w:szCs w:val="24"/>
          <w:lang w:eastAsia="en-GB"/>
        </w:rPr>
      </w:pPr>
      <w:r w:rsidRPr="00E200A5">
        <w:rPr>
          <w:rFonts w:ascii="Times New Roman" w:eastAsia="Times New Roman" w:hAnsi="Times New Roman" w:cs="Times New Roman"/>
          <w:b/>
          <w:bCs/>
          <w:i/>
          <w:iCs/>
          <w:color w:val="000000"/>
          <w:sz w:val="24"/>
          <w:szCs w:val="24"/>
          <w:lang w:eastAsia="en-GB"/>
        </w:rPr>
        <w:t xml:space="preserve">General </w:t>
      </w:r>
      <w:r w:rsidR="00B72DAA" w:rsidRPr="00E200A5">
        <w:rPr>
          <w:rFonts w:ascii="Times New Roman" w:eastAsia="Times New Roman" w:hAnsi="Times New Roman" w:cs="Times New Roman"/>
          <w:b/>
          <w:bCs/>
          <w:i/>
          <w:iCs/>
          <w:color w:val="000000"/>
          <w:sz w:val="24"/>
          <w:szCs w:val="24"/>
          <w:lang w:eastAsia="en-GB"/>
        </w:rPr>
        <w:t>Intelligence</w:t>
      </w:r>
    </w:p>
    <w:p w14:paraId="5EECB93E" w14:textId="143EB6A8" w:rsidR="00B72DAA" w:rsidRPr="00E200A5" w:rsidRDefault="00B72DAA" w:rsidP="00C915C8">
      <w:pPr>
        <w:spacing w:after="0" w:line="480" w:lineRule="auto"/>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i/>
          <w:iCs/>
          <w:color w:val="000000"/>
          <w:sz w:val="24"/>
          <w:szCs w:val="24"/>
          <w:lang w:eastAsia="en-GB"/>
        </w:rPr>
        <w:tab/>
      </w:r>
      <w:r w:rsidR="00D47D7A" w:rsidRPr="00E200A5">
        <w:rPr>
          <w:rFonts w:ascii="Times New Roman" w:eastAsia="Times New Roman" w:hAnsi="Times New Roman" w:cs="Times New Roman"/>
          <w:color w:val="000000"/>
          <w:sz w:val="24"/>
          <w:szCs w:val="24"/>
          <w:lang w:eastAsia="en-GB"/>
        </w:rPr>
        <w:t>In line with previous research</w:t>
      </w:r>
      <w:r w:rsidR="008D5531" w:rsidRPr="00E200A5">
        <w:rPr>
          <w:rFonts w:ascii="Times New Roman" w:eastAsia="Times New Roman" w:hAnsi="Times New Roman" w:cs="Times New Roman"/>
          <w:color w:val="000000"/>
          <w:sz w:val="24"/>
          <w:szCs w:val="24"/>
          <w:lang w:eastAsia="en-GB"/>
        </w:rPr>
        <w:t xml:space="preserve"> </w:t>
      </w:r>
      <w:r w:rsidR="008D5531"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{"citationID":"ZP6zTw1a","properties":{"formattedCitation":"(Deary et al., 2008, 2012)","plainCitation":"(Deary et al., 2008, 2012)","noteIndex":0},"citationItems":[{"id":4370,"uris":["http://zotero.org/users/5523892/items/3YN2Q8ZN"],"itemData":{"id":4370,"type":"article-journal","abstract":"Little is known about the association between measured intelligence and how people participate in democratic processes. In the 1970 British Cohort Study, we examined the association between childhood intelligence and, at age 34: whether and how people voted in the 2001 UK general election; how they intended to vote; and whether they had taken part in other political activities. People with higher childhood intelligence were more likely to vote in the 2001 election (38% increased prevalence per SD increase in intelligence), and were more likely to vote for the Green Party and the Liberal Democrats (49% and 47% increased prevalence per SD increase in intelligence, respectively). The intelligence-Green party voting association was largely accounted for by occupational social class, the intelligence-Liberal Democrat voting association was not. Similar associations between intelligence and preference for the Green Party or Liberal Democrats were found as regards voting intentions, but neither of these associations was accounted for by occupational social class. People with higher childhood intelligence were more likely to take part in rallies and demonstrations, and to sign petitions, and expressed a greater interest in politics (40%, 65%, 33%, and 58% increased prevalence per SD increase in intelligence, respectively).","container-title":"Intelligence","DOI":"10.1016/j.intell.2008.09.001","ISSN":"01602896","issue":"6","journalAbbreviation":"Intelligence","language":"en","page":"548-555","source":"DOI.org (Crossref)","title":"Childhood intelligence predicts voter turnout, voting preferences, and political involvement in adulthood: The 1970 British Cohort Study","title-short":"Childhood intelligence predicts voter turnout, voting preferences, and political involvement in adulthood","volume":"36","author":[{"family":"Deary","given":"Ian J."},{"family":"Batty","given":"G. David"},{"family":"Gale","given":"Catharine R."}],"issued":{"date-parts":[["2008",11]]},"citation-key":"dearyChildhoodIntelligencePredicts2008"}},{"id":4369,"uris":["http://zotero.org/users/5523892/items/R2C6UT7Z"],"itemData":{"id":4369,"type":"article-journal","container-title":"Nature","DOI":"10.1038/nature10781","ISSN":"0028-0836, 1476-4687","issue":"7384","journalAbbreviation":"Nature","language":"en","page":"212-215","source":"DOI.org (Crossref)","title":"Genetic contributions to stability and change in intelligence from childhood to old age","volume":"482","author":[{"family":"Deary","given":"Ian J."},{"family":"Yang","given":"Jian"},{"family":"Davies","given":"Gail"},{"family":"Harris","given":"Sarah E."},{"family":"Tenesa","given":"Albert"},{"family":"Liewald","given":"David"},{"family":"Luciano","given":"Michelle"},{"family":"Lopez","given":"Lorna M."},{"family":"Gow","given":"Alan J."},{"family":"Corley","given":"Janie"},{"family":"Redmond","given":"Paul"},{"family":"Fox","given":"Helen C."},{"family":"Rowe","given":"Suzanne J."},{"family":"Haggarty","given":"Paul"},{"family":"McNeill","given":"Geraldine"},{"family":"Goddard","given":"Michael E."},{"family":"Porteous","given":"David J."},{"family":"Whalley","given":"Lawrence J."},{"family":"Starr","given":"John M."},{"family":"Visscher","given":"Peter M."}],"issued":{"date-parts":[["2012",2]]},"citation-key":"dearyGeneticContributionsStability2012"}}],"schema":"https://github.com/citation-style-language/schema/raw/master/csl-citation.json"} </w:instrText>
      </w:r>
      <w:r w:rsidR="008D5531" w:rsidRPr="00E200A5">
        <w:rPr>
          <w:rFonts w:ascii="Times New Roman" w:eastAsia="Times New Roman" w:hAnsi="Times New Roman" w:cs="Times New Roman"/>
          <w:color w:val="000000"/>
          <w:sz w:val="24"/>
          <w:szCs w:val="24"/>
          <w:lang w:eastAsia="en-GB"/>
        </w:rPr>
        <w:fldChar w:fldCharType="separate"/>
      </w:r>
      <w:r w:rsidR="008D5531" w:rsidRPr="00E200A5">
        <w:rPr>
          <w:rFonts w:ascii="Times New Roman" w:hAnsi="Times New Roman" w:cs="Times New Roman"/>
          <w:sz w:val="24"/>
        </w:rPr>
        <w:t>(Deary et al., 2008, 2012)</w:t>
      </w:r>
      <w:r w:rsidR="008D5531" w:rsidRPr="00E200A5">
        <w:rPr>
          <w:rFonts w:ascii="Times New Roman" w:eastAsia="Times New Roman" w:hAnsi="Times New Roman" w:cs="Times New Roman"/>
          <w:color w:val="000000"/>
          <w:sz w:val="24"/>
          <w:szCs w:val="24"/>
          <w:lang w:eastAsia="en-GB"/>
        </w:rPr>
        <w:fldChar w:fldCharType="end"/>
      </w:r>
      <w:r w:rsidR="00D47D7A" w:rsidRPr="00E200A5">
        <w:rPr>
          <w:rFonts w:ascii="Times New Roman" w:eastAsia="Times New Roman" w:hAnsi="Times New Roman" w:cs="Times New Roman"/>
          <w:color w:val="000000"/>
          <w:sz w:val="24"/>
          <w:szCs w:val="24"/>
          <w:lang w:eastAsia="en-GB"/>
        </w:rPr>
        <w:t>, w</w:t>
      </w:r>
      <w:r w:rsidR="009F22FD" w:rsidRPr="00E200A5">
        <w:rPr>
          <w:rFonts w:ascii="Times New Roman" w:eastAsia="Times New Roman" w:hAnsi="Times New Roman" w:cs="Times New Roman"/>
          <w:color w:val="000000"/>
          <w:sz w:val="24"/>
          <w:szCs w:val="24"/>
          <w:lang w:eastAsia="en-GB"/>
        </w:rPr>
        <w:t>e operationalised g</w:t>
      </w:r>
      <w:r w:rsidRPr="00E200A5">
        <w:rPr>
          <w:rFonts w:ascii="Times New Roman" w:eastAsia="Times New Roman" w:hAnsi="Times New Roman" w:cs="Times New Roman"/>
          <w:color w:val="000000"/>
          <w:sz w:val="24"/>
          <w:szCs w:val="24"/>
          <w:lang w:eastAsia="en-GB"/>
        </w:rPr>
        <w:t>eneral intelligence as the first principal component (which explained .39 of the total variance) from the following cognitive tests:</w:t>
      </w:r>
    </w:p>
    <w:p w14:paraId="3A8B6E0B" w14:textId="77777777" w:rsidR="00B72DAA" w:rsidRPr="00E200A5" w:rsidRDefault="00B72DAA" w:rsidP="00C915C8">
      <w:pPr>
        <w:spacing w:after="0" w:line="480" w:lineRule="auto"/>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i/>
          <w:iCs/>
          <w:color w:val="000000"/>
          <w:sz w:val="24"/>
          <w:szCs w:val="24"/>
          <w:lang w:eastAsia="en-GB"/>
        </w:rPr>
        <w:t>Numerical ability</w:t>
      </w:r>
    </w:p>
    <w:p w14:paraId="120972C4" w14:textId="48D6CE59" w:rsidR="00B72DAA" w:rsidRPr="00E200A5" w:rsidRDefault="00B72DAA" w:rsidP="00C915C8">
      <w:pPr>
        <w:spacing w:after="0" w:line="480" w:lineRule="auto"/>
        <w:ind w:firstLine="720"/>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color w:val="000000"/>
          <w:sz w:val="24"/>
          <w:szCs w:val="24"/>
          <w:lang w:eastAsia="en-GB"/>
        </w:rPr>
        <w:t>Numerical ability was measured using a task adapted from McArdle and Woodcock (</w:t>
      </w:r>
      <w:r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{"citationID":"wtTGgYd7","properties":{"formattedCitation":"(McArdle &amp; Woodcock, 2009)","plainCitation":"(McArdle &amp; Woodcock, 2009)","dontUpdate":true,"noteIndex":0},"citationItems":[{"id":1327,"uris":["http://zotero.org/users/5523892/items/M3J9ITVK"],"itemData":{"id":1327,"type":"book","ISBN":"978-1-138-00288-3","language":"English","source":"Open WorldCat","title":"Human cognitive abilities in theory and practice","author":[{"family":"McArdle","given":"John J"},{"family":"Woodcock","given":"Richard W"}],"issued":{"date-parts":[["2009"]]},"citation-key":"mcardleHumanCognitiveAbilities2009"}}],"schema":"https://github.com/citation-style-language/schema/raw/master/csl-citation.json"} </w:instrText>
      </w:r>
      <w:r w:rsidRPr="00E200A5">
        <w:rPr>
          <w:rFonts w:ascii="Times New Roman" w:eastAsia="Times New Roman" w:hAnsi="Times New Roman" w:cs="Times New Roman"/>
          <w:color w:val="000000"/>
          <w:sz w:val="24"/>
          <w:szCs w:val="24"/>
          <w:lang w:eastAsia="en-GB"/>
        </w:rPr>
        <w:fldChar w:fldCharType="separate"/>
      </w:r>
      <w:r w:rsidRPr="00E200A5">
        <w:rPr>
          <w:rFonts w:ascii="Times New Roman" w:hAnsi="Times New Roman" w:cs="Times New Roman"/>
          <w:sz w:val="24"/>
        </w:rPr>
        <w:t>2009)</w:t>
      </w:r>
      <w:r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 xml:space="preserve">. This task consists of </w:t>
      </w:r>
      <w:r w:rsidR="00FF32BD" w:rsidRPr="00E200A5">
        <w:rPr>
          <w:rFonts w:ascii="Times New Roman" w:eastAsia="Times New Roman" w:hAnsi="Times New Roman" w:cs="Times New Roman"/>
          <w:color w:val="000000"/>
          <w:sz w:val="24"/>
          <w:szCs w:val="24"/>
          <w:lang w:eastAsia="en-GB"/>
        </w:rPr>
        <w:t>five</w:t>
      </w:r>
      <w:r w:rsidRPr="00E200A5">
        <w:rPr>
          <w:rFonts w:ascii="Times New Roman" w:eastAsia="Times New Roman" w:hAnsi="Times New Roman" w:cs="Times New Roman"/>
          <w:color w:val="000000"/>
          <w:sz w:val="24"/>
          <w:szCs w:val="24"/>
          <w:lang w:eastAsia="en-GB"/>
        </w:rPr>
        <w:t xml:space="preserve"> questions such as </w:t>
      </w:r>
      <w:r w:rsidRPr="00E200A5">
        <w:rPr>
          <w:rFonts w:ascii="Times New Roman" w:eastAsia="Times New Roman" w:hAnsi="Times New Roman" w:cs="Times New Roman"/>
          <w:i/>
          <w:iCs/>
          <w:color w:val="000000"/>
          <w:sz w:val="24"/>
          <w:szCs w:val="24"/>
          <w:lang w:eastAsia="en-GB"/>
        </w:rPr>
        <w:t xml:space="preserve">In a sale, a shop is selling all items at half price. Before the sale, a sofa costs £300. How much will it cost in the sale? </w:t>
      </w:r>
      <w:r w:rsidRPr="00E200A5">
        <w:rPr>
          <w:rFonts w:ascii="Times New Roman" w:eastAsia="Times New Roman" w:hAnsi="Times New Roman" w:cs="Times New Roman"/>
          <w:color w:val="000000"/>
          <w:sz w:val="24"/>
          <w:szCs w:val="24"/>
          <w:lang w:eastAsia="en-GB"/>
        </w:rPr>
        <w:t>The number of correct answers were used for analysis. A higher score indicated a higher level of numerical ability.</w:t>
      </w:r>
    </w:p>
    <w:p w14:paraId="0F8489B8" w14:textId="77777777" w:rsidR="00B72DAA" w:rsidRPr="00E200A5" w:rsidRDefault="00B72DAA" w:rsidP="00C915C8">
      <w:pPr>
        <w:spacing w:after="0" w:line="480" w:lineRule="auto"/>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i/>
          <w:iCs/>
          <w:color w:val="000000"/>
          <w:sz w:val="24"/>
          <w:szCs w:val="24"/>
          <w:lang w:eastAsia="en-GB"/>
        </w:rPr>
        <w:t>Verbal fluency</w:t>
      </w:r>
    </w:p>
    <w:p w14:paraId="6AA41A61" w14:textId="3BD4A752" w:rsidR="00B72DAA" w:rsidRPr="00E200A5" w:rsidRDefault="00B72DAA" w:rsidP="00C915C8">
      <w:pPr>
        <w:spacing w:after="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Verbal fluency</w:t>
      </w:r>
      <w:r w:rsidRPr="00E200A5">
        <w:rPr>
          <w:rFonts w:ascii="Times New Roman" w:eastAsia="Times New Roman" w:hAnsi="Times New Roman" w:cs="Times New Roman"/>
          <w:i/>
          <w:iCs/>
          <w:color w:val="000000"/>
          <w:sz w:val="24"/>
          <w:szCs w:val="24"/>
          <w:lang w:eastAsia="en-GB"/>
        </w:rPr>
        <w:t xml:space="preserve"> </w:t>
      </w:r>
      <w:r w:rsidRPr="00E200A5">
        <w:rPr>
          <w:rFonts w:ascii="Times New Roman" w:eastAsia="Times New Roman" w:hAnsi="Times New Roman" w:cs="Times New Roman"/>
          <w:color w:val="000000"/>
          <w:sz w:val="24"/>
          <w:szCs w:val="24"/>
          <w:lang w:eastAsia="en-GB"/>
        </w:rPr>
        <w:t>was measured using a task adapted from Strauss et al. (</w:t>
      </w:r>
      <w:r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{"citationID":"zIFuIP2M","properties":{"formattedCitation":"(Strauss et al., 2006)","plainCitation":"(Strauss et al., 2006)","dontUpdate":true,"noteIndex":0},"citationItems":[{"id":175,"uris":["http://zotero.org/users/5523892/items/9I3CIBSS"],"itemData":{"id":175,"type":"book","call-number":"RC386.6.N48 S67 2006","edition":"3rd ed","event-place":"Oxford ; New York","ISBN":"978-0-19-515957-8","publisher-place":"Oxford ; New York","source":"Library of Congress ISBN","title":"A compendium of neuropsychological tests: administration, norms, and commentary","author":[{"family":"Strauss","given":"Esther"},{"family":"Sherman","given":"Elisabeth M. S."},{"family":"Spreen","given":"Otfried"},{"family":"Spreen","given":"Otfried"}],"issued":{"date-parts":[["2006"]]},"citation-key":"straussCompendiumNeuropsychologicalTests2006"}}],"schema":"https://github.com/citation-style-language/schema/raw/master/csl-citation.json"} </w:instrText>
      </w:r>
      <w:r w:rsidRPr="00E200A5">
        <w:rPr>
          <w:rFonts w:ascii="Times New Roman" w:eastAsia="Times New Roman" w:hAnsi="Times New Roman" w:cs="Times New Roman"/>
          <w:color w:val="000000"/>
          <w:sz w:val="24"/>
          <w:szCs w:val="24"/>
          <w:lang w:eastAsia="en-GB"/>
        </w:rPr>
        <w:fldChar w:fldCharType="separate"/>
      </w:r>
      <w:r w:rsidRPr="00E200A5">
        <w:rPr>
          <w:rFonts w:ascii="Times New Roman" w:hAnsi="Times New Roman" w:cs="Times New Roman"/>
          <w:sz w:val="24"/>
        </w:rPr>
        <w:t>2006)</w:t>
      </w:r>
      <w:r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 Participants were asked to list all the animals that they could think of within 60 seconds.</w:t>
      </w:r>
      <w:r w:rsidRPr="00E200A5">
        <w:rPr>
          <w:rFonts w:ascii="Times New Roman" w:eastAsia="Times New Roman" w:hAnsi="Times New Roman" w:cs="Times New Roman"/>
          <w:i/>
          <w:iCs/>
          <w:color w:val="000000"/>
          <w:sz w:val="24"/>
          <w:szCs w:val="24"/>
          <w:lang w:eastAsia="en-GB"/>
        </w:rPr>
        <w:t xml:space="preserve"> </w:t>
      </w:r>
      <w:r w:rsidRPr="00E200A5">
        <w:rPr>
          <w:rFonts w:ascii="Times New Roman" w:eastAsia="Times New Roman" w:hAnsi="Times New Roman" w:cs="Times New Roman"/>
          <w:color w:val="000000"/>
          <w:sz w:val="24"/>
          <w:szCs w:val="24"/>
          <w:lang w:eastAsia="en-GB"/>
        </w:rPr>
        <w:t>The number of correct answers were used for analysis. A higher score indicated a higher level of verbal fluency.</w:t>
      </w:r>
    </w:p>
    <w:p w14:paraId="3494E078" w14:textId="77777777" w:rsidR="00B72DAA" w:rsidRPr="00E200A5" w:rsidRDefault="00B72DAA" w:rsidP="00C915C8">
      <w:pPr>
        <w:spacing w:after="0" w:line="480" w:lineRule="auto"/>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i/>
          <w:iCs/>
          <w:color w:val="000000"/>
          <w:sz w:val="24"/>
          <w:szCs w:val="24"/>
          <w:lang w:eastAsia="en-GB"/>
        </w:rPr>
        <w:t>Number series task</w:t>
      </w:r>
    </w:p>
    <w:p w14:paraId="4E741E48" w14:textId="4D4E9C02" w:rsidR="00B72DAA" w:rsidRPr="00E200A5" w:rsidRDefault="00B72DAA" w:rsidP="00C915C8">
      <w:pPr>
        <w:spacing w:after="0" w:line="480" w:lineRule="auto"/>
        <w:ind w:firstLine="720"/>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color w:val="000000"/>
          <w:sz w:val="24"/>
          <w:szCs w:val="24"/>
          <w:lang w:eastAsia="en-GB"/>
        </w:rPr>
        <w:t>The number series task was adapted from McArdle and Woodcock (</w:t>
      </w:r>
      <w:r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{"citationID":"NYKgro8F","properties":{"formattedCitation":"(McArdle &amp; Woodcock, 2009)","plainCitation":"(McArdle &amp; Woodcock, 2009)","dontUpdate":true,"noteIndex":0},"citationItems":[{"id":1327,"uris":["http://zotero.org/users/5523892/items/M3J9ITVK"],"itemData":{"id":1327,"type":"book","ISBN":"978-1-138-00288-3","language":"English","source":"Open WorldCat","title":"Human cognitive abilities in theory and practice","author":[{"family":"McArdle","given":"John J"},{"family":"Woodcock","given":"Richard W"}],"issued":{"date-parts":[["2009"]]},"citation-key":"mcardleHumanCognitiveAbilities2009"}}],"schema":"https://github.com/citation-style-language/schema/raw/master/csl-citation.json"} </w:instrText>
      </w:r>
      <w:r w:rsidRPr="00E200A5">
        <w:rPr>
          <w:rFonts w:ascii="Times New Roman" w:eastAsia="Times New Roman" w:hAnsi="Times New Roman" w:cs="Times New Roman"/>
          <w:color w:val="000000"/>
          <w:sz w:val="24"/>
          <w:szCs w:val="24"/>
          <w:lang w:eastAsia="en-GB"/>
        </w:rPr>
        <w:fldChar w:fldCharType="separate"/>
      </w:r>
      <w:r w:rsidRPr="00E200A5">
        <w:rPr>
          <w:rFonts w:ascii="Times New Roman" w:hAnsi="Times New Roman" w:cs="Times New Roman"/>
          <w:sz w:val="24"/>
        </w:rPr>
        <w:t>2009)</w:t>
      </w:r>
      <w:r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 xml:space="preserve">. Participants are given up to </w:t>
      </w:r>
      <w:r w:rsidR="000807A9" w:rsidRPr="00E200A5">
        <w:rPr>
          <w:rFonts w:ascii="Times New Roman" w:eastAsia="Times New Roman" w:hAnsi="Times New Roman" w:cs="Times New Roman"/>
          <w:color w:val="000000"/>
          <w:sz w:val="24"/>
          <w:szCs w:val="24"/>
          <w:lang w:eastAsia="en-GB"/>
        </w:rPr>
        <w:t>six</w:t>
      </w:r>
      <w:r w:rsidRPr="00E200A5">
        <w:rPr>
          <w:rFonts w:ascii="Times New Roman" w:eastAsia="Times New Roman" w:hAnsi="Times New Roman" w:cs="Times New Roman"/>
          <w:color w:val="000000"/>
          <w:sz w:val="24"/>
          <w:szCs w:val="24"/>
          <w:lang w:eastAsia="en-GB"/>
        </w:rPr>
        <w:t xml:space="preserve"> sequences of numbers that contain gaps that the participants are expected to fill (e.g. 2,4,?,8,10). A higher score on this measure indicates a greater quantitative reasoning ability.</w:t>
      </w:r>
    </w:p>
    <w:p w14:paraId="57BA7CF5" w14:textId="77777777" w:rsidR="00B72DAA" w:rsidRPr="00E200A5" w:rsidRDefault="00B72DAA" w:rsidP="00C915C8">
      <w:pPr>
        <w:spacing w:after="0" w:line="480" w:lineRule="auto"/>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i/>
          <w:iCs/>
          <w:color w:val="000000"/>
          <w:sz w:val="24"/>
          <w:szCs w:val="24"/>
          <w:lang w:eastAsia="en-GB"/>
        </w:rPr>
        <w:t>Subtraction</w:t>
      </w:r>
    </w:p>
    <w:p w14:paraId="2858A3D0" w14:textId="7BE55A65" w:rsidR="00B72DAA" w:rsidRPr="00E200A5" w:rsidRDefault="00B72DAA" w:rsidP="00C915C8">
      <w:pPr>
        <w:spacing w:after="0" w:line="480" w:lineRule="auto"/>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i/>
          <w:iCs/>
          <w:color w:val="000000"/>
          <w:sz w:val="24"/>
          <w:szCs w:val="24"/>
          <w:lang w:eastAsia="en-GB"/>
        </w:rPr>
        <w:tab/>
      </w:r>
      <w:r w:rsidRPr="00E200A5">
        <w:rPr>
          <w:rFonts w:ascii="Times New Roman" w:eastAsia="Times New Roman" w:hAnsi="Times New Roman" w:cs="Times New Roman"/>
          <w:color w:val="000000"/>
          <w:sz w:val="24"/>
          <w:szCs w:val="24"/>
          <w:lang w:eastAsia="en-GB"/>
        </w:rPr>
        <w:t xml:space="preserve">Participants were also issued the subtract 7 task, which is a component of the Mini-Mental State Examination (MMSE) </w:t>
      </w:r>
      <w:r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{"citationID":"pRwqTR7S","properties":{"formattedCitation":"(Folstein et al., 1975)","plainCitation":"(Folstein et al., 1975)","noteIndex":0},"citationItems":[{"id":181,"uris":["http://zotero.org/users/5523892/items/GA2BTMDS"],"itemData":{"id":181,"type":"article-journal","container-title":"Journal of psychiatric research","issue":"3","page":"189-198","title":"“Mini-mental state”: a practical method for grading the cognitive state of patients for the clinician","volume":"12","author":[{"family":"Folstein","given":"Marshal F."},{"family":"Folstein","given":"Susan E."},{"family":"McHugh","given":"Paul R."}],"issued":{"date-parts":[["1975"]]},"citation-key":"folsteinMinimentalStatePractical1975"}}],"schema":"https://github.com/citation-style-language/schema/raw/master/csl-citation.json"} </w:instrText>
      </w:r>
      <w:r w:rsidRPr="00E200A5">
        <w:rPr>
          <w:rFonts w:ascii="Times New Roman" w:eastAsia="Times New Roman" w:hAnsi="Times New Roman" w:cs="Times New Roman"/>
          <w:color w:val="000000"/>
          <w:sz w:val="24"/>
          <w:szCs w:val="24"/>
          <w:lang w:eastAsia="en-GB"/>
        </w:rPr>
        <w:fldChar w:fldCharType="separate"/>
      </w:r>
      <w:r w:rsidR="00AF0251" w:rsidRPr="00E200A5">
        <w:rPr>
          <w:rFonts w:ascii="Times New Roman" w:hAnsi="Times New Roman" w:cs="Times New Roman"/>
          <w:sz w:val="24"/>
        </w:rPr>
        <w:t>(Folstein et al., 1975)</w:t>
      </w:r>
      <w:r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 xml:space="preserve">. Participants were asked to complete </w:t>
      </w:r>
      <w:r w:rsidRPr="00E200A5">
        <w:rPr>
          <w:rFonts w:ascii="Times New Roman" w:eastAsia="Times New Roman" w:hAnsi="Times New Roman" w:cs="Times New Roman"/>
          <w:color w:val="000000"/>
          <w:sz w:val="24"/>
          <w:szCs w:val="24"/>
          <w:lang w:eastAsia="en-GB"/>
        </w:rPr>
        <w:lastRenderedPageBreak/>
        <w:t xml:space="preserve">a serial subtraction task where they </w:t>
      </w:r>
      <w:r w:rsidR="00326150" w:rsidRPr="00E200A5">
        <w:rPr>
          <w:rFonts w:ascii="Times New Roman" w:eastAsia="Times New Roman" w:hAnsi="Times New Roman" w:cs="Times New Roman"/>
          <w:color w:val="000000"/>
          <w:sz w:val="24"/>
          <w:szCs w:val="24"/>
          <w:lang w:eastAsia="en-GB"/>
        </w:rPr>
        <w:t xml:space="preserve">initially </w:t>
      </w:r>
      <w:r w:rsidRPr="00E200A5">
        <w:rPr>
          <w:rFonts w:ascii="Times New Roman" w:eastAsia="Times New Roman" w:hAnsi="Times New Roman" w:cs="Times New Roman"/>
          <w:color w:val="000000"/>
          <w:sz w:val="24"/>
          <w:szCs w:val="24"/>
          <w:lang w:eastAsia="en-GB"/>
        </w:rPr>
        <w:t xml:space="preserve">subtracted </w:t>
      </w:r>
      <w:r w:rsidR="00A92978" w:rsidRPr="00E200A5">
        <w:rPr>
          <w:rFonts w:ascii="Times New Roman" w:eastAsia="Times New Roman" w:hAnsi="Times New Roman" w:cs="Times New Roman"/>
          <w:color w:val="000000"/>
          <w:sz w:val="24"/>
          <w:szCs w:val="24"/>
          <w:lang w:eastAsia="en-GB"/>
        </w:rPr>
        <w:t>seven</w:t>
      </w:r>
      <w:r w:rsidRPr="00E200A5">
        <w:rPr>
          <w:rFonts w:ascii="Times New Roman" w:eastAsia="Times New Roman" w:hAnsi="Times New Roman" w:cs="Times New Roman"/>
          <w:color w:val="000000"/>
          <w:sz w:val="24"/>
          <w:szCs w:val="24"/>
          <w:lang w:eastAsia="en-GB"/>
        </w:rPr>
        <w:t xml:space="preserve"> from 100 </w:t>
      </w:r>
      <w:r w:rsidR="00370D52" w:rsidRPr="00E200A5">
        <w:rPr>
          <w:rFonts w:ascii="Times New Roman" w:eastAsia="Times New Roman" w:hAnsi="Times New Roman" w:cs="Times New Roman"/>
          <w:color w:val="000000"/>
          <w:sz w:val="24"/>
          <w:szCs w:val="24"/>
          <w:lang w:eastAsia="en-GB"/>
        </w:rPr>
        <w:t xml:space="preserve">and then repeated this process on the </w:t>
      </w:r>
      <w:r w:rsidR="00EB2977" w:rsidRPr="00E200A5">
        <w:rPr>
          <w:rFonts w:ascii="Times New Roman" w:eastAsia="Times New Roman" w:hAnsi="Times New Roman" w:cs="Times New Roman"/>
          <w:color w:val="000000"/>
          <w:sz w:val="24"/>
          <w:szCs w:val="24"/>
          <w:lang w:eastAsia="en-GB"/>
        </w:rPr>
        <w:t>resulting number</w:t>
      </w:r>
      <w:r w:rsidR="00906F43" w:rsidRPr="00E200A5">
        <w:rPr>
          <w:rFonts w:ascii="Times New Roman" w:eastAsia="Times New Roman" w:hAnsi="Times New Roman" w:cs="Times New Roman"/>
          <w:color w:val="000000"/>
          <w:sz w:val="24"/>
          <w:szCs w:val="24"/>
          <w:lang w:eastAsia="en-GB"/>
        </w:rPr>
        <w:t>s</w:t>
      </w:r>
      <w:r w:rsidR="00EB2977" w:rsidRPr="00E200A5">
        <w:rPr>
          <w:rFonts w:ascii="Times New Roman" w:eastAsia="Times New Roman" w:hAnsi="Times New Roman" w:cs="Times New Roman"/>
          <w:color w:val="000000"/>
          <w:sz w:val="24"/>
          <w:szCs w:val="24"/>
          <w:lang w:eastAsia="en-GB"/>
        </w:rPr>
        <w:t xml:space="preserve"> </w:t>
      </w:r>
      <w:r w:rsidRPr="00E200A5">
        <w:rPr>
          <w:rFonts w:ascii="Times New Roman" w:eastAsia="Times New Roman" w:hAnsi="Times New Roman" w:cs="Times New Roman"/>
          <w:color w:val="000000"/>
          <w:sz w:val="24"/>
          <w:szCs w:val="24"/>
          <w:lang w:eastAsia="en-GB"/>
        </w:rPr>
        <w:t xml:space="preserve">on </w:t>
      </w:r>
      <w:r w:rsidR="00826252" w:rsidRPr="00E200A5">
        <w:rPr>
          <w:rFonts w:ascii="Times New Roman" w:eastAsia="Times New Roman" w:hAnsi="Times New Roman" w:cs="Times New Roman"/>
          <w:color w:val="000000"/>
          <w:sz w:val="24"/>
          <w:szCs w:val="24"/>
          <w:lang w:eastAsia="en-GB"/>
        </w:rPr>
        <w:t>five</w:t>
      </w:r>
      <w:r w:rsidRPr="00E200A5">
        <w:rPr>
          <w:rFonts w:ascii="Times New Roman" w:eastAsia="Times New Roman" w:hAnsi="Times New Roman" w:cs="Times New Roman"/>
          <w:color w:val="000000"/>
          <w:sz w:val="24"/>
          <w:szCs w:val="24"/>
          <w:lang w:eastAsia="en-GB"/>
        </w:rPr>
        <w:t xml:space="preserve"> separate occasions</w:t>
      </w:r>
      <w:r w:rsidR="00BD2EBB" w:rsidRPr="00E200A5">
        <w:rPr>
          <w:rFonts w:ascii="Times New Roman" w:eastAsia="Times New Roman" w:hAnsi="Times New Roman" w:cs="Times New Roman"/>
          <w:color w:val="000000"/>
          <w:sz w:val="24"/>
          <w:szCs w:val="24"/>
          <w:lang w:eastAsia="en-GB"/>
        </w:rPr>
        <w:t xml:space="preserve"> (i.e. 93, 86, 79, 72, 65)</w:t>
      </w:r>
      <w:r w:rsidRPr="00E200A5">
        <w:rPr>
          <w:rFonts w:ascii="Times New Roman" w:eastAsia="Times New Roman" w:hAnsi="Times New Roman" w:cs="Times New Roman"/>
          <w:color w:val="000000"/>
          <w:sz w:val="24"/>
          <w:szCs w:val="24"/>
          <w:lang w:eastAsia="en-GB"/>
        </w:rPr>
        <w:t xml:space="preserve">. The number of correct subtractions </w:t>
      </w:r>
      <w:r w:rsidR="002A0941" w:rsidRPr="00E200A5">
        <w:rPr>
          <w:rFonts w:ascii="Times New Roman" w:eastAsia="Times New Roman" w:hAnsi="Times New Roman" w:cs="Times New Roman"/>
          <w:color w:val="000000"/>
          <w:sz w:val="24"/>
          <w:szCs w:val="24"/>
          <w:lang w:eastAsia="en-GB"/>
        </w:rPr>
        <w:t xml:space="preserve">was </w:t>
      </w:r>
      <w:r w:rsidRPr="00E200A5">
        <w:rPr>
          <w:rFonts w:ascii="Times New Roman" w:eastAsia="Times New Roman" w:hAnsi="Times New Roman" w:cs="Times New Roman"/>
          <w:color w:val="000000"/>
          <w:sz w:val="24"/>
          <w:szCs w:val="24"/>
          <w:lang w:eastAsia="en-GB"/>
        </w:rPr>
        <w:t xml:space="preserve">used for analysis. A higher </w:t>
      </w:r>
      <w:r w:rsidR="002A0941" w:rsidRPr="00E200A5">
        <w:rPr>
          <w:rFonts w:ascii="Times New Roman" w:eastAsia="Times New Roman" w:hAnsi="Times New Roman" w:cs="Times New Roman"/>
          <w:color w:val="000000"/>
          <w:sz w:val="24"/>
          <w:szCs w:val="24"/>
          <w:lang w:eastAsia="en-GB"/>
        </w:rPr>
        <w:t>score</w:t>
      </w:r>
      <w:r w:rsidRPr="00E200A5">
        <w:rPr>
          <w:rFonts w:ascii="Times New Roman" w:eastAsia="Times New Roman" w:hAnsi="Times New Roman" w:cs="Times New Roman"/>
          <w:color w:val="000000"/>
          <w:sz w:val="24"/>
          <w:szCs w:val="24"/>
          <w:lang w:eastAsia="en-GB"/>
        </w:rPr>
        <w:t xml:space="preserve"> indicates a higher level of subtraction ability.</w:t>
      </w:r>
    </w:p>
    <w:p w14:paraId="6B91301C" w14:textId="1335DA3B" w:rsidR="00B72DAA" w:rsidRPr="00E200A5" w:rsidRDefault="00B767C9" w:rsidP="00C915C8">
      <w:pPr>
        <w:spacing w:after="0" w:line="480" w:lineRule="auto"/>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i/>
          <w:iCs/>
          <w:color w:val="000000"/>
          <w:sz w:val="24"/>
          <w:szCs w:val="24"/>
          <w:lang w:eastAsia="en-GB"/>
        </w:rPr>
        <w:t>Delayed and immediate recall</w:t>
      </w:r>
    </w:p>
    <w:p w14:paraId="6CBD04E1" w14:textId="31DC2EA2" w:rsidR="009D38B0" w:rsidRPr="00E200A5" w:rsidRDefault="00B72DAA" w:rsidP="00C915C8">
      <w:pPr>
        <w:spacing w:after="0" w:line="480" w:lineRule="auto"/>
        <w:ind w:firstLine="720"/>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color w:val="000000"/>
          <w:sz w:val="24"/>
          <w:szCs w:val="24"/>
          <w:lang w:eastAsia="en-GB"/>
        </w:rPr>
        <w:t xml:space="preserve">Memory was measured using a word recall task. Participants were given the following message: </w:t>
      </w:r>
      <w:r w:rsidRPr="00E200A5">
        <w:rPr>
          <w:rFonts w:ascii="Times New Roman" w:eastAsia="Times New Roman" w:hAnsi="Times New Roman" w:cs="Times New Roman"/>
          <w:i/>
          <w:iCs/>
          <w:color w:val="000000"/>
          <w:sz w:val="24"/>
          <w:szCs w:val="24"/>
          <w:lang w:eastAsia="en-GB"/>
        </w:rPr>
        <w:t xml:space="preserve">The computer will now read a set of 10 words. I would like you to remember as many as you can. We have purposely made the list long so it will be difficult for anyone to remember all the words. Most people remember just a few. </w:t>
      </w:r>
      <w:r w:rsidRPr="00E200A5">
        <w:rPr>
          <w:rFonts w:ascii="Times New Roman" w:eastAsia="Times New Roman" w:hAnsi="Times New Roman" w:cs="Times New Roman"/>
          <w:color w:val="000000"/>
          <w:sz w:val="24"/>
          <w:szCs w:val="24"/>
          <w:lang w:eastAsia="en-GB"/>
        </w:rPr>
        <w:t>Participants were then asked to immediately recall the words they had been given. Later on, they received this message:</w:t>
      </w:r>
      <w:r w:rsidRPr="00E200A5">
        <w:rPr>
          <w:rFonts w:ascii="Times New Roman" w:eastAsia="Times New Roman" w:hAnsi="Times New Roman" w:cs="Times New Roman"/>
          <w:i/>
          <w:iCs/>
          <w:color w:val="000000"/>
          <w:sz w:val="24"/>
          <w:szCs w:val="24"/>
          <w:lang w:eastAsia="en-GB"/>
        </w:rPr>
        <w:t xml:space="preserve"> A little while ago you were read a list of words and you repeated the ones you could remember. Please tell me any of the words that you can remember now</w:t>
      </w:r>
      <w:r w:rsidRPr="00E200A5">
        <w:rPr>
          <w:rFonts w:ascii="Times New Roman" w:eastAsia="Times New Roman" w:hAnsi="Times New Roman" w:cs="Times New Roman"/>
          <w:color w:val="000000"/>
          <w:sz w:val="24"/>
          <w:szCs w:val="24"/>
          <w:lang w:eastAsia="en-GB"/>
        </w:rPr>
        <w:t xml:space="preserve"> </w:t>
      </w:r>
      <w:r w:rsidR="009D38B0" w:rsidRPr="00E200A5">
        <w:rPr>
          <w:rFonts w:ascii="Times New Roman" w:eastAsia="Times New Roman" w:hAnsi="Times New Roman" w:cs="Times New Roman"/>
          <w:color w:val="000000"/>
          <w:sz w:val="24"/>
          <w:szCs w:val="24"/>
          <w:lang w:eastAsia="en-GB"/>
        </w:rPr>
        <w:t xml:space="preserve">A higher number of correctly recalled items on each task indicated a better memory. </w:t>
      </w:r>
      <w:r w:rsidR="00E45C78" w:rsidRPr="00E200A5">
        <w:rPr>
          <w:rFonts w:ascii="Times New Roman" w:eastAsia="Times New Roman" w:hAnsi="Times New Roman" w:cs="Times New Roman"/>
          <w:color w:val="000000"/>
          <w:sz w:val="24"/>
          <w:szCs w:val="24"/>
          <w:lang w:eastAsia="en-GB"/>
        </w:rPr>
        <w:t>D</w:t>
      </w:r>
      <w:r w:rsidR="009D38B0" w:rsidRPr="00E200A5">
        <w:rPr>
          <w:rFonts w:ascii="Times New Roman" w:eastAsia="Times New Roman" w:hAnsi="Times New Roman" w:cs="Times New Roman"/>
          <w:color w:val="000000"/>
          <w:sz w:val="24"/>
          <w:szCs w:val="24"/>
          <w:lang w:eastAsia="en-GB"/>
        </w:rPr>
        <w:t>elayed and immediate recall were included as separate measures in the principal component analysis.</w:t>
      </w:r>
    </w:p>
    <w:p w14:paraId="2D2A9302" w14:textId="33C8C6AE" w:rsidR="000816E3" w:rsidRPr="00E200A5" w:rsidRDefault="000816E3" w:rsidP="00C915C8">
      <w:pPr>
        <w:spacing w:after="0" w:line="480" w:lineRule="auto"/>
        <w:jc w:val="both"/>
        <w:rPr>
          <w:rFonts w:ascii="Times New Roman" w:eastAsia="Times New Roman" w:hAnsi="Times New Roman" w:cs="Times New Roman"/>
          <w:b/>
          <w:bCs/>
          <w:sz w:val="24"/>
          <w:szCs w:val="24"/>
          <w:lang w:eastAsia="en-GB"/>
        </w:rPr>
      </w:pPr>
      <w:r w:rsidRPr="00E200A5">
        <w:rPr>
          <w:rFonts w:ascii="Times New Roman" w:eastAsia="Times New Roman" w:hAnsi="Times New Roman" w:cs="Times New Roman"/>
          <w:b/>
          <w:bCs/>
          <w:i/>
          <w:iCs/>
          <w:color w:val="000000"/>
          <w:sz w:val="24"/>
          <w:szCs w:val="24"/>
          <w:lang w:eastAsia="en-GB"/>
        </w:rPr>
        <w:t>Personality</w:t>
      </w:r>
    </w:p>
    <w:p w14:paraId="5556852C" w14:textId="7475E706" w:rsidR="000816E3" w:rsidRPr="00E200A5" w:rsidRDefault="000816E3" w:rsidP="00C915C8">
      <w:pPr>
        <w:spacing w:after="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Big 5 </w:t>
      </w:r>
      <w:r w:rsidR="00C00286" w:rsidRPr="00E200A5">
        <w:rPr>
          <w:rFonts w:ascii="Times New Roman" w:eastAsia="Times New Roman" w:hAnsi="Times New Roman" w:cs="Times New Roman"/>
          <w:color w:val="000000"/>
          <w:sz w:val="24"/>
          <w:szCs w:val="24"/>
          <w:lang w:eastAsia="en-GB"/>
        </w:rPr>
        <w:t>personali</w:t>
      </w:r>
      <w:r w:rsidR="00124FCF" w:rsidRPr="00E200A5">
        <w:rPr>
          <w:rFonts w:ascii="Times New Roman" w:eastAsia="Times New Roman" w:hAnsi="Times New Roman" w:cs="Times New Roman"/>
          <w:color w:val="000000"/>
          <w:sz w:val="24"/>
          <w:szCs w:val="24"/>
          <w:lang w:eastAsia="en-GB"/>
        </w:rPr>
        <w:t>t</w:t>
      </w:r>
      <w:r w:rsidR="00C00286" w:rsidRPr="00E200A5">
        <w:rPr>
          <w:rFonts w:ascii="Times New Roman" w:eastAsia="Times New Roman" w:hAnsi="Times New Roman" w:cs="Times New Roman"/>
          <w:color w:val="000000"/>
          <w:sz w:val="24"/>
          <w:szCs w:val="24"/>
          <w:lang w:eastAsia="en-GB"/>
        </w:rPr>
        <w:t xml:space="preserve">y </w:t>
      </w:r>
      <w:r w:rsidRPr="00E200A5">
        <w:rPr>
          <w:rFonts w:ascii="Times New Roman" w:eastAsia="Times New Roman" w:hAnsi="Times New Roman" w:cs="Times New Roman"/>
          <w:color w:val="000000"/>
          <w:sz w:val="24"/>
          <w:szCs w:val="24"/>
          <w:lang w:eastAsia="en-GB"/>
        </w:rPr>
        <w:t>traits were measured using the</w:t>
      </w:r>
      <w:r w:rsidR="004227A3" w:rsidRPr="00E200A5">
        <w:rPr>
          <w:rFonts w:ascii="Times New Roman" w:eastAsia="Times New Roman" w:hAnsi="Times New Roman" w:cs="Times New Roman"/>
          <w:color w:val="000000"/>
          <w:sz w:val="24"/>
          <w:szCs w:val="24"/>
          <w:lang w:eastAsia="en-GB"/>
        </w:rPr>
        <w:t xml:space="preserve"> </w:t>
      </w:r>
      <w:r w:rsidR="004227A3" w:rsidRPr="00E200A5">
        <w:rPr>
          <w:rFonts w:ascii="Times New Roman" w:hAnsi="Times New Roman" w:cs="Times New Roman"/>
          <w:sz w:val="24"/>
          <w:szCs w:val="24"/>
        </w:rPr>
        <w:t>short form of the Big Five Inventory–2 (</w:t>
      </w:r>
      <w:r w:rsidRPr="00E200A5">
        <w:rPr>
          <w:rFonts w:ascii="Times New Roman" w:eastAsia="Times New Roman" w:hAnsi="Times New Roman" w:cs="Times New Roman"/>
          <w:color w:val="000000"/>
          <w:sz w:val="24"/>
          <w:szCs w:val="24"/>
          <w:lang w:eastAsia="en-GB"/>
        </w:rPr>
        <w:t>BFI-2-S</w:t>
      </w:r>
      <w:r w:rsidR="004227A3"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color w:val="000000"/>
          <w:sz w:val="24"/>
          <w:szCs w:val="24"/>
          <w:lang w:eastAsia="en-GB"/>
        </w:rPr>
        <w:t xml:space="preserve"> </w:t>
      </w:r>
      <w:r w:rsidR="00322406"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{"citationID":"gtPSAeVX","properties":{"formattedCitation":"(Soto &amp; John, 2017)","plainCitation":"(Soto &amp; John, 2017)","dontUpdate":true,"noteIndex":0},"citationItems":[{"id":1658,"uris":["http://zotero.org/users/5523892/items/3KAULB5S"],"itemData":{"id":1658,"type":"article-journal","abstract":"The Big Five Inventory–2 (BFI-2) uses 60 items to hierarchically assess the Big Five personality domains and 15 more-speciﬁc facet traits. The present research develops two abbreviated forms of the BFI-2—the 30-item BFI-2-S and the 15-item BFI-2-XS—and then examines their measurement properties. At the level of the Big Five domains, we ﬁnd that the BFI-2-S and BFI-2-XS retain much of the full measure’s reliability and validity. At the facet level, we ﬁnd that the BFI-2-S may be useful for examining facet traits in reasonably large samples, whereas the BFI-2-XS should not be used to assess facets. Finally, we discuss some key tradeoffs to consider when deciding whether to administer an abbreviated form instead of the full BFI-2.","container-title":"Journal of Research in Personality","DOI":"10.1016/j.jrp.2017.02.004","ISSN":"00926566","language":"en","page":"69-81","source":"Crossref","title":"Short and extra-short forms of the big five inventory–2: the bfi-2-s and bfi-2-xs","volume":"68","author":[{"family":"Soto","given":"Christopher J."},{"family":"John","given":"Oliver P."}],"issued":{"date-parts":[["2017",6]]},"citation-key":"sotoShortExtrashortForms2017"}}],"schema":"https://github.com/citation-style-language/schema/raw/master/csl-citation.json"} </w:instrText>
      </w:r>
      <w:r w:rsidR="00322406" w:rsidRPr="00E200A5">
        <w:rPr>
          <w:rFonts w:ascii="Times New Roman" w:eastAsia="Times New Roman" w:hAnsi="Times New Roman" w:cs="Times New Roman"/>
          <w:color w:val="000000"/>
          <w:sz w:val="24"/>
          <w:szCs w:val="24"/>
          <w:lang w:eastAsia="en-GB"/>
        </w:rPr>
        <w:fldChar w:fldCharType="separate"/>
      </w:r>
      <w:r w:rsidR="00322406" w:rsidRPr="00E200A5">
        <w:rPr>
          <w:rFonts w:ascii="Times New Roman" w:hAnsi="Times New Roman" w:cs="Times New Roman"/>
          <w:sz w:val="24"/>
        </w:rPr>
        <w:t>Soto &amp; John, 2017)</w:t>
      </w:r>
      <w:r w:rsidR="00322406"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 xml:space="preserve">. This measure consists of </w:t>
      </w:r>
      <w:r w:rsidR="00A92978" w:rsidRPr="00E200A5">
        <w:rPr>
          <w:rFonts w:ascii="Times New Roman" w:eastAsia="Times New Roman" w:hAnsi="Times New Roman" w:cs="Times New Roman"/>
          <w:color w:val="000000"/>
          <w:sz w:val="24"/>
          <w:szCs w:val="24"/>
          <w:lang w:eastAsia="en-GB"/>
        </w:rPr>
        <w:t xml:space="preserve">five </w:t>
      </w:r>
      <w:r w:rsidRPr="00E200A5">
        <w:rPr>
          <w:rFonts w:ascii="Times New Roman" w:eastAsia="Times New Roman" w:hAnsi="Times New Roman" w:cs="Times New Roman"/>
          <w:color w:val="000000"/>
          <w:sz w:val="24"/>
          <w:szCs w:val="24"/>
          <w:lang w:eastAsia="en-GB"/>
        </w:rPr>
        <w:t>subscales</w:t>
      </w:r>
      <w:r w:rsidR="00CB7292" w:rsidRPr="00E200A5">
        <w:rPr>
          <w:rFonts w:ascii="Times New Roman" w:eastAsia="Times New Roman" w:hAnsi="Times New Roman" w:cs="Times New Roman"/>
          <w:color w:val="000000"/>
          <w:sz w:val="24"/>
          <w:szCs w:val="24"/>
          <w:lang w:eastAsia="en-GB"/>
        </w:rPr>
        <w:t>, one</w:t>
      </w:r>
      <w:r w:rsidRPr="00E200A5">
        <w:rPr>
          <w:rFonts w:ascii="Times New Roman" w:eastAsia="Times New Roman" w:hAnsi="Times New Roman" w:cs="Times New Roman"/>
          <w:color w:val="000000"/>
          <w:sz w:val="24"/>
          <w:szCs w:val="24"/>
          <w:lang w:eastAsia="en-GB"/>
        </w:rPr>
        <w:t xml:space="preserve"> for each of the following constructs</w:t>
      </w:r>
      <w:r w:rsidR="00A75DDE"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color w:val="000000"/>
          <w:sz w:val="24"/>
          <w:szCs w:val="24"/>
          <w:lang w:eastAsia="en-GB"/>
        </w:rPr>
        <w:t xml:space="preserve"> </w:t>
      </w:r>
      <w:r w:rsidR="00B767C9" w:rsidRPr="00E200A5">
        <w:rPr>
          <w:rFonts w:ascii="Times New Roman" w:eastAsia="Times New Roman" w:hAnsi="Times New Roman" w:cs="Times New Roman"/>
          <w:color w:val="000000"/>
          <w:sz w:val="24"/>
          <w:szCs w:val="24"/>
          <w:lang w:eastAsia="en-GB"/>
        </w:rPr>
        <w:t>agreeableness</w:t>
      </w:r>
      <w:r w:rsidRPr="00E200A5">
        <w:rPr>
          <w:rFonts w:ascii="Times New Roman" w:eastAsia="Times New Roman" w:hAnsi="Times New Roman" w:cs="Times New Roman"/>
          <w:color w:val="000000"/>
          <w:sz w:val="24"/>
          <w:szCs w:val="24"/>
          <w:lang w:eastAsia="en-GB"/>
        </w:rPr>
        <w:t xml:space="preserve">, </w:t>
      </w:r>
      <w:r w:rsidR="00B767C9" w:rsidRPr="00E200A5">
        <w:rPr>
          <w:rFonts w:ascii="Times New Roman" w:eastAsia="Times New Roman" w:hAnsi="Times New Roman" w:cs="Times New Roman"/>
          <w:color w:val="000000"/>
          <w:sz w:val="24"/>
          <w:szCs w:val="24"/>
          <w:lang w:eastAsia="en-GB"/>
        </w:rPr>
        <w:t>extraversion</w:t>
      </w:r>
      <w:r w:rsidRPr="00E200A5">
        <w:rPr>
          <w:rFonts w:ascii="Times New Roman" w:eastAsia="Times New Roman" w:hAnsi="Times New Roman" w:cs="Times New Roman"/>
          <w:color w:val="000000"/>
          <w:sz w:val="24"/>
          <w:szCs w:val="24"/>
          <w:lang w:eastAsia="en-GB"/>
        </w:rPr>
        <w:t xml:space="preserve">, </w:t>
      </w:r>
      <w:r w:rsidR="00B767C9" w:rsidRPr="00E200A5">
        <w:rPr>
          <w:rFonts w:ascii="Times New Roman" w:eastAsia="Times New Roman" w:hAnsi="Times New Roman" w:cs="Times New Roman"/>
          <w:color w:val="000000"/>
          <w:sz w:val="24"/>
          <w:szCs w:val="24"/>
          <w:lang w:eastAsia="en-GB"/>
        </w:rPr>
        <w:t>neuroticism</w:t>
      </w:r>
      <w:r w:rsidRPr="00E200A5">
        <w:rPr>
          <w:rFonts w:ascii="Times New Roman" w:eastAsia="Times New Roman" w:hAnsi="Times New Roman" w:cs="Times New Roman"/>
          <w:color w:val="000000"/>
          <w:sz w:val="24"/>
          <w:szCs w:val="24"/>
          <w:lang w:eastAsia="en-GB"/>
        </w:rPr>
        <w:t xml:space="preserve">, </w:t>
      </w:r>
      <w:r w:rsidR="00B767C9" w:rsidRPr="00E200A5">
        <w:rPr>
          <w:rFonts w:ascii="Times New Roman" w:eastAsia="Times New Roman" w:hAnsi="Times New Roman" w:cs="Times New Roman"/>
          <w:color w:val="000000"/>
          <w:sz w:val="24"/>
          <w:szCs w:val="24"/>
          <w:lang w:eastAsia="en-GB"/>
        </w:rPr>
        <w:t>openness</w:t>
      </w:r>
      <w:r w:rsidRPr="00E200A5">
        <w:rPr>
          <w:rFonts w:ascii="Times New Roman" w:eastAsia="Times New Roman" w:hAnsi="Times New Roman" w:cs="Times New Roman"/>
          <w:color w:val="000000"/>
          <w:sz w:val="24"/>
          <w:szCs w:val="24"/>
          <w:lang w:eastAsia="en-GB"/>
        </w:rPr>
        <w:t xml:space="preserve">, and </w:t>
      </w:r>
      <w:r w:rsidR="00B767C9" w:rsidRPr="00E200A5">
        <w:rPr>
          <w:rFonts w:ascii="Times New Roman" w:eastAsia="Times New Roman" w:hAnsi="Times New Roman" w:cs="Times New Roman"/>
          <w:color w:val="000000"/>
          <w:sz w:val="24"/>
          <w:szCs w:val="24"/>
          <w:lang w:eastAsia="en-GB"/>
        </w:rPr>
        <w:t>conscientiousness</w:t>
      </w:r>
      <w:r w:rsidRPr="00E200A5">
        <w:rPr>
          <w:rFonts w:ascii="Times New Roman" w:eastAsia="Times New Roman" w:hAnsi="Times New Roman" w:cs="Times New Roman"/>
          <w:color w:val="000000"/>
          <w:sz w:val="24"/>
          <w:szCs w:val="24"/>
          <w:lang w:eastAsia="en-GB"/>
        </w:rPr>
        <w:t>. Participants were asked to respond to statements</w:t>
      </w:r>
      <w:r w:rsidR="00CB7292" w:rsidRPr="00E200A5">
        <w:rPr>
          <w:rFonts w:ascii="Times New Roman" w:eastAsia="Times New Roman" w:hAnsi="Times New Roman" w:cs="Times New Roman"/>
          <w:color w:val="000000"/>
          <w:sz w:val="24"/>
          <w:szCs w:val="24"/>
          <w:lang w:eastAsia="en-GB"/>
        </w:rPr>
        <w:t xml:space="preserve"> (</w:t>
      </w:r>
      <w:r w:rsidR="00A92978" w:rsidRPr="00E200A5">
        <w:rPr>
          <w:rFonts w:ascii="Times New Roman" w:eastAsia="Times New Roman" w:hAnsi="Times New Roman" w:cs="Times New Roman"/>
          <w:color w:val="000000"/>
          <w:sz w:val="24"/>
          <w:szCs w:val="24"/>
          <w:lang w:eastAsia="en-GB"/>
        </w:rPr>
        <w:t>three</w:t>
      </w:r>
      <w:r w:rsidR="00CB7292" w:rsidRPr="00E200A5">
        <w:rPr>
          <w:rFonts w:ascii="Times New Roman" w:eastAsia="Times New Roman" w:hAnsi="Times New Roman" w:cs="Times New Roman"/>
          <w:color w:val="000000"/>
          <w:sz w:val="24"/>
          <w:szCs w:val="24"/>
          <w:lang w:eastAsia="en-GB"/>
        </w:rPr>
        <w:t xml:space="preserve"> per subscale)</w:t>
      </w:r>
      <w:r w:rsidRPr="00E200A5">
        <w:rPr>
          <w:rFonts w:ascii="Times New Roman" w:eastAsia="Times New Roman" w:hAnsi="Times New Roman" w:cs="Times New Roman"/>
          <w:color w:val="000000"/>
          <w:sz w:val="24"/>
          <w:szCs w:val="24"/>
          <w:lang w:eastAsia="en-GB"/>
        </w:rPr>
        <w:t xml:space="preserve"> such as </w:t>
      </w:r>
      <w:r w:rsidRPr="00E200A5">
        <w:rPr>
          <w:rFonts w:ascii="Times New Roman" w:eastAsia="Times New Roman" w:hAnsi="Times New Roman" w:cs="Times New Roman"/>
          <w:i/>
          <w:iCs/>
          <w:color w:val="000000"/>
          <w:sz w:val="24"/>
          <w:szCs w:val="24"/>
          <w:lang w:eastAsia="en-GB"/>
        </w:rPr>
        <w:t>I see myself as someone who is sometimes rude to others</w:t>
      </w:r>
      <w:r w:rsidRPr="00E200A5">
        <w:rPr>
          <w:rFonts w:ascii="Times New Roman" w:eastAsia="Times New Roman" w:hAnsi="Times New Roman" w:cs="Times New Roman"/>
          <w:color w:val="000000"/>
          <w:sz w:val="24"/>
          <w:szCs w:val="24"/>
          <w:lang w:eastAsia="en-GB"/>
        </w:rPr>
        <w:t xml:space="preserve"> (Agreeableness</w:t>
      </w:r>
      <w:r w:rsidR="00CB7292" w:rsidRPr="00E200A5">
        <w:rPr>
          <w:rFonts w:ascii="Times New Roman" w:eastAsia="Times New Roman" w:hAnsi="Times New Roman" w:cs="Times New Roman"/>
          <w:color w:val="000000"/>
          <w:sz w:val="24"/>
          <w:szCs w:val="24"/>
          <w:lang w:eastAsia="en-GB"/>
        </w:rPr>
        <w:t xml:space="preserve"> [reversed]</w:t>
      </w:r>
      <w:r w:rsidRPr="00E200A5">
        <w:rPr>
          <w:rFonts w:ascii="Times New Roman" w:eastAsia="Times New Roman" w:hAnsi="Times New Roman" w:cs="Times New Roman"/>
          <w:color w:val="000000"/>
          <w:sz w:val="24"/>
          <w:szCs w:val="24"/>
          <w:lang w:eastAsia="en-GB"/>
        </w:rPr>
        <w:t>)</w:t>
      </w:r>
      <w:r w:rsidR="00CB7292" w:rsidRPr="00E200A5">
        <w:rPr>
          <w:rFonts w:ascii="Times New Roman" w:eastAsia="Times New Roman" w:hAnsi="Times New Roman" w:cs="Times New Roman"/>
          <w:color w:val="000000"/>
          <w:sz w:val="24"/>
          <w:szCs w:val="24"/>
          <w:lang w:eastAsia="en-GB"/>
        </w:rPr>
        <w:t>;</w:t>
      </w:r>
      <w:r w:rsidR="00B767C9" w:rsidRPr="00E200A5">
        <w:rPr>
          <w:rFonts w:ascii="Times New Roman" w:eastAsia="Times New Roman" w:hAnsi="Times New Roman" w:cs="Times New Roman"/>
          <w:i/>
          <w:iCs/>
          <w:color w:val="000000"/>
          <w:sz w:val="24"/>
          <w:szCs w:val="24"/>
          <w:lang w:eastAsia="en-GB"/>
        </w:rPr>
        <w:t xml:space="preserve"> I see myself as someone who is outgoing, sociable </w:t>
      </w:r>
      <w:r w:rsidR="00B767C9" w:rsidRPr="00E200A5">
        <w:rPr>
          <w:rFonts w:ascii="Times New Roman" w:eastAsia="Times New Roman" w:hAnsi="Times New Roman" w:cs="Times New Roman"/>
          <w:color w:val="000000"/>
          <w:sz w:val="24"/>
          <w:szCs w:val="24"/>
          <w:lang w:eastAsia="en-GB"/>
        </w:rPr>
        <w:t>(Extraversion);</w:t>
      </w:r>
      <w:r w:rsidRPr="00E200A5">
        <w:rPr>
          <w:rFonts w:ascii="Times New Roman" w:eastAsia="Times New Roman" w:hAnsi="Times New Roman" w:cs="Times New Roman"/>
          <w:color w:val="000000"/>
          <w:sz w:val="24"/>
          <w:szCs w:val="24"/>
          <w:lang w:eastAsia="en-GB"/>
        </w:rPr>
        <w:t xml:space="preserve"> </w:t>
      </w:r>
      <w:r w:rsidRPr="00E200A5">
        <w:rPr>
          <w:rFonts w:ascii="Times New Roman" w:eastAsia="Times New Roman" w:hAnsi="Times New Roman" w:cs="Times New Roman"/>
          <w:i/>
          <w:iCs/>
          <w:color w:val="000000"/>
          <w:sz w:val="24"/>
          <w:szCs w:val="24"/>
          <w:lang w:eastAsia="en-GB"/>
        </w:rPr>
        <w:t xml:space="preserve">I see myself as someone who worries a lot </w:t>
      </w:r>
      <w:r w:rsidRPr="00E200A5">
        <w:rPr>
          <w:rFonts w:ascii="Times New Roman" w:eastAsia="Times New Roman" w:hAnsi="Times New Roman" w:cs="Times New Roman"/>
          <w:color w:val="000000"/>
          <w:sz w:val="24"/>
          <w:szCs w:val="24"/>
          <w:lang w:eastAsia="en-GB"/>
        </w:rPr>
        <w:t>(Neuroticism)</w:t>
      </w:r>
      <w:r w:rsidR="00CB7292"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color w:val="000000"/>
          <w:sz w:val="24"/>
          <w:szCs w:val="24"/>
          <w:lang w:eastAsia="en-GB"/>
        </w:rPr>
        <w:t xml:space="preserve"> </w:t>
      </w:r>
      <w:r w:rsidRPr="00E200A5">
        <w:rPr>
          <w:rFonts w:ascii="Times New Roman" w:eastAsia="Times New Roman" w:hAnsi="Times New Roman" w:cs="Times New Roman"/>
          <w:i/>
          <w:iCs/>
          <w:color w:val="000000"/>
          <w:sz w:val="24"/>
          <w:szCs w:val="24"/>
          <w:lang w:eastAsia="en-GB"/>
        </w:rPr>
        <w:t xml:space="preserve">I see myself as someone who values artistic, aesthetic experiences </w:t>
      </w:r>
      <w:r w:rsidRPr="00E200A5">
        <w:rPr>
          <w:rFonts w:ascii="Times New Roman" w:eastAsia="Times New Roman" w:hAnsi="Times New Roman" w:cs="Times New Roman"/>
          <w:color w:val="000000"/>
          <w:sz w:val="24"/>
          <w:szCs w:val="24"/>
          <w:lang w:eastAsia="en-GB"/>
        </w:rPr>
        <w:t>(Openness)</w:t>
      </w:r>
      <w:r w:rsidR="00CB7292"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color w:val="000000"/>
          <w:sz w:val="24"/>
          <w:szCs w:val="24"/>
          <w:lang w:eastAsia="en-GB"/>
        </w:rPr>
        <w:t xml:space="preserve"> </w:t>
      </w:r>
      <w:r w:rsidR="00CB7292" w:rsidRPr="00E200A5">
        <w:rPr>
          <w:rFonts w:ascii="Times New Roman" w:eastAsia="Times New Roman" w:hAnsi="Times New Roman" w:cs="Times New Roman"/>
          <w:color w:val="000000"/>
          <w:sz w:val="24"/>
          <w:szCs w:val="24"/>
          <w:lang w:eastAsia="en-GB"/>
        </w:rPr>
        <w:t>and</w:t>
      </w:r>
      <w:r w:rsidRPr="00E200A5">
        <w:rPr>
          <w:rFonts w:ascii="Times New Roman" w:eastAsia="Times New Roman" w:hAnsi="Times New Roman" w:cs="Times New Roman"/>
          <w:color w:val="000000"/>
          <w:sz w:val="24"/>
          <w:szCs w:val="24"/>
          <w:lang w:eastAsia="en-GB"/>
        </w:rPr>
        <w:t xml:space="preserve"> </w:t>
      </w:r>
      <w:r w:rsidRPr="00E200A5">
        <w:rPr>
          <w:rFonts w:ascii="Times New Roman" w:eastAsia="Times New Roman" w:hAnsi="Times New Roman" w:cs="Times New Roman"/>
          <w:i/>
          <w:iCs/>
          <w:color w:val="000000"/>
          <w:sz w:val="24"/>
          <w:szCs w:val="24"/>
          <w:lang w:eastAsia="en-GB"/>
        </w:rPr>
        <w:t xml:space="preserve">I see myself as someone who does things efficiently </w:t>
      </w:r>
      <w:r w:rsidRPr="00E200A5">
        <w:rPr>
          <w:rFonts w:ascii="Times New Roman" w:eastAsia="Times New Roman" w:hAnsi="Times New Roman" w:cs="Times New Roman"/>
          <w:color w:val="000000"/>
          <w:sz w:val="24"/>
          <w:szCs w:val="24"/>
          <w:lang w:eastAsia="en-GB"/>
        </w:rPr>
        <w:t xml:space="preserve">(Conscientiousness). Responses were recorded using a 7-point Likert scale, ranging from 1 = </w:t>
      </w:r>
      <w:r w:rsidRPr="00E200A5">
        <w:rPr>
          <w:rFonts w:ascii="Times New Roman" w:eastAsia="Times New Roman" w:hAnsi="Times New Roman" w:cs="Times New Roman"/>
          <w:i/>
          <w:iCs/>
          <w:color w:val="000000"/>
          <w:sz w:val="24"/>
          <w:szCs w:val="24"/>
          <w:lang w:eastAsia="en-GB"/>
        </w:rPr>
        <w:t xml:space="preserve">Does not apply to me at all, </w:t>
      </w:r>
      <w:r w:rsidRPr="00E200A5">
        <w:rPr>
          <w:rFonts w:ascii="Times New Roman" w:eastAsia="Times New Roman" w:hAnsi="Times New Roman" w:cs="Times New Roman"/>
          <w:color w:val="000000"/>
          <w:sz w:val="24"/>
          <w:szCs w:val="24"/>
          <w:lang w:eastAsia="en-GB"/>
        </w:rPr>
        <w:t xml:space="preserve">to 7 = </w:t>
      </w:r>
      <w:r w:rsidRPr="00E200A5">
        <w:rPr>
          <w:rFonts w:ascii="Times New Roman" w:eastAsia="Times New Roman" w:hAnsi="Times New Roman" w:cs="Times New Roman"/>
          <w:i/>
          <w:iCs/>
          <w:color w:val="000000"/>
          <w:sz w:val="24"/>
          <w:szCs w:val="24"/>
          <w:lang w:eastAsia="en-GB"/>
        </w:rPr>
        <w:t xml:space="preserve">Applies to me perfectly. </w:t>
      </w:r>
      <w:r w:rsidRPr="00E200A5">
        <w:rPr>
          <w:rFonts w:ascii="Times New Roman" w:eastAsia="Times New Roman" w:hAnsi="Times New Roman" w:cs="Times New Roman"/>
          <w:color w:val="000000"/>
          <w:sz w:val="24"/>
          <w:szCs w:val="24"/>
          <w:lang w:eastAsia="en-GB"/>
        </w:rPr>
        <w:t>The means of each subscale were used for analysis.</w:t>
      </w:r>
    </w:p>
    <w:p w14:paraId="68CFA5D2" w14:textId="47517E39" w:rsidR="00B72DAA" w:rsidRPr="00E200A5" w:rsidRDefault="00B72DAA" w:rsidP="00C915C8">
      <w:pPr>
        <w:spacing w:after="0" w:line="480" w:lineRule="auto"/>
        <w:jc w:val="both"/>
        <w:rPr>
          <w:rFonts w:ascii="Times New Roman" w:eastAsia="Times New Roman" w:hAnsi="Times New Roman" w:cs="Times New Roman"/>
          <w:b/>
          <w:bCs/>
          <w:i/>
          <w:iCs/>
          <w:color w:val="000000"/>
          <w:sz w:val="24"/>
          <w:szCs w:val="24"/>
          <w:lang w:eastAsia="en-GB"/>
        </w:rPr>
      </w:pPr>
      <w:r w:rsidRPr="00E200A5">
        <w:rPr>
          <w:rFonts w:ascii="Times New Roman" w:eastAsia="Times New Roman" w:hAnsi="Times New Roman" w:cs="Times New Roman"/>
          <w:b/>
          <w:bCs/>
          <w:i/>
          <w:iCs/>
          <w:color w:val="000000"/>
          <w:sz w:val="24"/>
          <w:szCs w:val="24"/>
          <w:lang w:eastAsia="en-GB"/>
        </w:rPr>
        <w:lastRenderedPageBreak/>
        <w:t xml:space="preserve">Self-rated </w:t>
      </w:r>
      <w:r w:rsidR="00154B87" w:rsidRPr="00E200A5">
        <w:rPr>
          <w:rFonts w:ascii="Times New Roman" w:eastAsia="Times New Roman" w:hAnsi="Times New Roman" w:cs="Times New Roman"/>
          <w:b/>
          <w:bCs/>
          <w:i/>
          <w:iCs/>
          <w:color w:val="000000"/>
          <w:sz w:val="24"/>
          <w:szCs w:val="24"/>
          <w:lang w:eastAsia="en-GB"/>
        </w:rPr>
        <w:t xml:space="preserve">COVID </w:t>
      </w:r>
      <w:r w:rsidRPr="00E200A5">
        <w:rPr>
          <w:rFonts w:ascii="Times New Roman" w:eastAsia="Times New Roman" w:hAnsi="Times New Roman" w:cs="Times New Roman"/>
          <w:b/>
          <w:bCs/>
          <w:i/>
          <w:iCs/>
          <w:color w:val="000000"/>
          <w:sz w:val="24"/>
          <w:szCs w:val="24"/>
          <w:lang w:eastAsia="en-GB"/>
        </w:rPr>
        <w:t>risk</w:t>
      </w:r>
    </w:p>
    <w:p w14:paraId="01194934" w14:textId="4EA8B3CB" w:rsidR="00B72DAA" w:rsidRPr="00E200A5" w:rsidRDefault="00B72DAA" w:rsidP="00C915C8">
      <w:pPr>
        <w:spacing w:after="0" w:line="480" w:lineRule="auto"/>
        <w:ind w:firstLine="720"/>
        <w:jc w:val="both"/>
        <w:rPr>
          <w:rFonts w:ascii="Times New Roman" w:eastAsia="Times New Roman" w:hAnsi="Times New Roman" w:cs="Times New Roman"/>
          <w:i/>
          <w:iCs/>
          <w:color w:val="000000"/>
          <w:sz w:val="24"/>
          <w:szCs w:val="24"/>
          <w:lang w:eastAsia="en-GB"/>
        </w:rPr>
      </w:pPr>
      <w:r w:rsidRPr="00E200A5">
        <w:rPr>
          <w:rFonts w:ascii="Times New Roman" w:eastAsia="Times New Roman" w:hAnsi="Times New Roman" w:cs="Times New Roman"/>
          <w:color w:val="000000"/>
          <w:sz w:val="24"/>
          <w:szCs w:val="24"/>
          <w:lang w:eastAsia="en-GB"/>
        </w:rPr>
        <w:t>Self-rated</w:t>
      </w:r>
      <w:r w:rsidR="008F5C91" w:rsidRPr="00E200A5">
        <w:rPr>
          <w:rFonts w:ascii="Times New Roman" w:eastAsia="Times New Roman" w:hAnsi="Times New Roman" w:cs="Times New Roman"/>
          <w:color w:val="000000"/>
          <w:sz w:val="24"/>
          <w:szCs w:val="24"/>
          <w:lang w:eastAsia="en-GB"/>
        </w:rPr>
        <w:t xml:space="preserve"> COVID</w:t>
      </w:r>
      <w:r w:rsidRPr="00E200A5">
        <w:rPr>
          <w:rFonts w:ascii="Times New Roman" w:eastAsia="Times New Roman" w:hAnsi="Times New Roman" w:cs="Times New Roman"/>
          <w:color w:val="000000"/>
          <w:sz w:val="24"/>
          <w:szCs w:val="24"/>
          <w:lang w:eastAsia="en-GB"/>
        </w:rPr>
        <w:t xml:space="preserve"> </w:t>
      </w:r>
      <w:r w:rsidR="002A0935" w:rsidRPr="00E200A5">
        <w:rPr>
          <w:rFonts w:ascii="Times New Roman" w:eastAsia="Times New Roman" w:hAnsi="Times New Roman" w:cs="Times New Roman"/>
          <w:color w:val="000000"/>
          <w:sz w:val="24"/>
          <w:szCs w:val="24"/>
          <w:lang w:eastAsia="en-GB"/>
        </w:rPr>
        <w:t xml:space="preserve">risk </w:t>
      </w:r>
      <w:r w:rsidRPr="00E200A5">
        <w:rPr>
          <w:rFonts w:ascii="Times New Roman" w:eastAsia="Times New Roman" w:hAnsi="Times New Roman" w:cs="Times New Roman"/>
          <w:color w:val="000000"/>
          <w:sz w:val="24"/>
          <w:szCs w:val="24"/>
          <w:lang w:eastAsia="en-GB"/>
        </w:rPr>
        <w:t xml:space="preserve">was measured using a single item. Participants were asked to answer the question: </w:t>
      </w:r>
      <w:r w:rsidRPr="00E200A5">
        <w:rPr>
          <w:rFonts w:ascii="Times New Roman" w:eastAsia="Times New Roman" w:hAnsi="Times New Roman" w:cs="Times New Roman"/>
          <w:i/>
          <w:iCs/>
          <w:color w:val="000000"/>
          <w:sz w:val="24"/>
          <w:szCs w:val="24"/>
          <w:lang w:eastAsia="en-GB"/>
        </w:rPr>
        <w:t xml:space="preserve">In your view, how likely is it that you will contract </w:t>
      </w:r>
      <w:r w:rsidR="00837185" w:rsidRPr="00E200A5">
        <w:rPr>
          <w:rFonts w:ascii="Times New Roman" w:eastAsia="Times New Roman" w:hAnsi="Times New Roman" w:cs="Times New Roman"/>
          <w:i/>
          <w:iCs/>
          <w:color w:val="000000"/>
          <w:sz w:val="24"/>
          <w:szCs w:val="24"/>
          <w:lang w:eastAsia="en-GB"/>
        </w:rPr>
        <w:t>COVID</w:t>
      </w:r>
      <w:r w:rsidRPr="00E200A5">
        <w:rPr>
          <w:rFonts w:ascii="Times New Roman" w:eastAsia="Times New Roman" w:hAnsi="Times New Roman" w:cs="Times New Roman"/>
          <w:i/>
          <w:iCs/>
          <w:color w:val="000000"/>
          <w:sz w:val="24"/>
          <w:szCs w:val="24"/>
          <w:lang w:eastAsia="en-GB"/>
        </w:rPr>
        <w:t xml:space="preserve">-19 in the next month? </w:t>
      </w:r>
      <w:r w:rsidRPr="00E200A5">
        <w:rPr>
          <w:rFonts w:ascii="Times New Roman" w:eastAsia="Times New Roman" w:hAnsi="Times New Roman" w:cs="Times New Roman"/>
          <w:color w:val="000000"/>
          <w:sz w:val="24"/>
          <w:szCs w:val="24"/>
          <w:lang w:eastAsia="en-GB"/>
        </w:rPr>
        <w:t xml:space="preserve"> Responses were recorded using a 4-point Likert scale, ranging from 1 = </w:t>
      </w:r>
      <w:r w:rsidRPr="00E200A5">
        <w:rPr>
          <w:rFonts w:ascii="Times New Roman" w:eastAsia="Times New Roman" w:hAnsi="Times New Roman" w:cs="Times New Roman"/>
          <w:i/>
          <w:iCs/>
          <w:color w:val="000000"/>
          <w:sz w:val="24"/>
          <w:szCs w:val="24"/>
          <w:lang w:eastAsia="en-GB"/>
        </w:rPr>
        <w:t xml:space="preserve">Very likely, </w:t>
      </w:r>
      <w:r w:rsidRPr="00E200A5">
        <w:rPr>
          <w:rFonts w:ascii="Times New Roman" w:eastAsia="Times New Roman" w:hAnsi="Times New Roman" w:cs="Times New Roman"/>
          <w:color w:val="000000"/>
          <w:sz w:val="24"/>
          <w:szCs w:val="24"/>
          <w:lang w:eastAsia="en-GB"/>
        </w:rPr>
        <w:t xml:space="preserve">to </w:t>
      </w:r>
      <w:r w:rsidR="00204DE1" w:rsidRPr="00E200A5">
        <w:rPr>
          <w:rFonts w:ascii="Times New Roman" w:eastAsia="Times New Roman" w:hAnsi="Times New Roman" w:cs="Times New Roman"/>
          <w:color w:val="000000"/>
          <w:sz w:val="24"/>
          <w:szCs w:val="24"/>
          <w:lang w:eastAsia="en-GB"/>
        </w:rPr>
        <w:t>4</w:t>
      </w:r>
      <w:r w:rsidRPr="00E200A5">
        <w:rPr>
          <w:rFonts w:ascii="Times New Roman" w:eastAsia="Times New Roman" w:hAnsi="Times New Roman" w:cs="Times New Roman"/>
          <w:color w:val="000000"/>
          <w:sz w:val="24"/>
          <w:szCs w:val="24"/>
          <w:lang w:eastAsia="en-GB"/>
        </w:rPr>
        <w:t xml:space="preserve"> = </w:t>
      </w:r>
      <w:r w:rsidRPr="00E200A5">
        <w:rPr>
          <w:rFonts w:ascii="Times New Roman" w:eastAsia="Times New Roman" w:hAnsi="Times New Roman" w:cs="Times New Roman"/>
          <w:i/>
          <w:iCs/>
          <w:color w:val="000000"/>
          <w:sz w:val="24"/>
          <w:szCs w:val="24"/>
          <w:lang w:eastAsia="en-GB"/>
        </w:rPr>
        <w:t>Very Unlikely</w:t>
      </w:r>
      <w:r w:rsidR="00154B87" w:rsidRPr="00E200A5">
        <w:rPr>
          <w:rFonts w:ascii="Times New Roman" w:eastAsia="Times New Roman" w:hAnsi="Times New Roman" w:cs="Times New Roman"/>
          <w:color w:val="000000"/>
          <w:sz w:val="24"/>
          <w:szCs w:val="24"/>
          <w:lang w:eastAsia="en-GB"/>
        </w:rPr>
        <w:t>, and reverse</w:t>
      </w:r>
      <w:r w:rsidR="009C42DF" w:rsidRPr="00E200A5">
        <w:rPr>
          <w:rFonts w:ascii="Times New Roman" w:eastAsia="Times New Roman" w:hAnsi="Times New Roman" w:cs="Times New Roman"/>
          <w:color w:val="000000"/>
          <w:sz w:val="24"/>
          <w:szCs w:val="24"/>
          <w:lang w:eastAsia="en-GB"/>
        </w:rPr>
        <w:t xml:space="preserve"> coded</w:t>
      </w:r>
      <w:r w:rsidR="00154B87" w:rsidRPr="00E200A5">
        <w:rPr>
          <w:rFonts w:ascii="Times New Roman" w:eastAsia="Times New Roman" w:hAnsi="Times New Roman" w:cs="Times New Roman"/>
          <w:color w:val="000000"/>
          <w:sz w:val="24"/>
          <w:szCs w:val="24"/>
          <w:lang w:eastAsia="en-GB"/>
        </w:rPr>
        <w:t xml:space="preserve"> so that a higher score </w:t>
      </w:r>
      <w:r w:rsidR="0071315E" w:rsidRPr="00E200A5">
        <w:rPr>
          <w:rFonts w:ascii="Times New Roman" w:eastAsia="Times New Roman" w:hAnsi="Times New Roman" w:cs="Times New Roman"/>
          <w:color w:val="000000"/>
          <w:sz w:val="24"/>
          <w:szCs w:val="24"/>
          <w:lang w:eastAsia="en-GB"/>
        </w:rPr>
        <w:t>indicated</w:t>
      </w:r>
      <w:r w:rsidR="00154B87" w:rsidRPr="00E200A5">
        <w:rPr>
          <w:rFonts w:ascii="Times New Roman" w:eastAsia="Times New Roman" w:hAnsi="Times New Roman" w:cs="Times New Roman"/>
          <w:color w:val="000000"/>
          <w:sz w:val="24"/>
          <w:szCs w:val="24"/>
          <w:lang w:eastAsia="en-GB"/>
        </w:rPr>
        <w:t xml:space="preserve"> a higher self-rated </w:t>
      </w:r>
      <w:r w:rsidR="008F5C91" w:rsidRPr="00E200A5">
        <w:rPr>
          <w:rFonts w:ascii="Times New Roman" w:eastAsia="Times New Roman" w:hAnsi="Times New Roman" w:cs="Times New Roman"/>
          <w:color w:val="000000"/>
          <w:sz w:val="24"/>
          <w:szCs w:val="24"/>
          <w:lang w:eastAsia="en-GB"/>
        </w:rPr>
        <w:t xml:space="preserve">COVID </w:t>
      </w:r>
      <w:r w:rsidR="00154B87" w:rsidRPr="00E200A5">
        <w:rPr>
          <w:rFonts w:ascii="Times New Roman" w:eastAsia="Times New Roman" w:hAnsi="Times New Roman" w:cs="Times New Roman"/>
          <w:color w:val="000000"/>
          <w:sz w:val="24"/>
          <w:szCs w:val="24"/>
          <w:lang w:eastAsia="en-GB"/>
        </w:rPr>
        <w:t>risk</w:t>
      </w:r>
      <w:r w:rsidRPr="00E200A5">
        <w:rPr>
          <w:rFonts w:ascii="Times New Roman" w:eastAsia="Times New Roman" w:hAnsi="Times New Roman" w:cs="Times New Roman"/>
          <w:i/>
          <w:iCs/>
          <w:color w:val="000000"/>
          <w:sz w:val="24"/>
          <w:szCs w:val="24"/>
          <w:lang w:eastAsia="en-GB"/>
        </w:rPr>
        <w:t>.</w:t>
      </w:r>
    </w:p>
    <w:p w14:paraId="5B5EA2BB" w14:textId="75C464B9" w:rsidR="00B72DAA" w:rsidRPr="00E200A5" w:rsidRDefault="00B72DAA" w:rsidP="00C915C8">
      <w:pPr>
        <w:spacing w:after="0" w:line="480" w:lineRule="auto"/>
        <w:jc w:val="both"/>
        <w:rPr>
          <w:rFonts w:ascii="Times New Roman" w:eastAsia="Times New Roman" w:hAnsi="Times New Roman" w:cs="Times New Roman"/>
          <w:b/>
          <w:bCs/>
          <w:sz w:val="24"/>
          <w:szCs w:val="24"/>
          <w:lang w:eastAsia="en-GB"/>
        </w:rPr>
      </w:pPr>
      <w:r w:rsidRPr="00E200A5">
        <w:rPr>
          <w:rFonts w:ascii="Times New Roman" w:eastAsia="Times New Roman" w:hAnsi="Times New Roman" w:cs="Times New Roman"/>
          <w:b/>
          <w:bCs/>
          <w:i/>
          <w:iCs/>
          <w:color w:val="000000"/>
          <w:sz w:val="24"/>
          <w:szCs w:val="24"/>
          <w:lang w:eastAsia="en-GB"/>
        </w:rPr>
        <w:t>Mental health</w:t>
      </w:r>
      <w:r w:rsidR="0066777C" w:rsidRPr="00E200A5">
        <w:rPr>
          <w:rFonts w:ascii="Times New Roman" w:eastAsia="Times New Roman" w:hAnsi="Times New Roman" w:cs="Times New Roman"/>
          <w:b/>
          <w:bCs/>
          <w:i/>
          <w:iCs/>
          <w:color w:val="000000"/>
          <w:sz w:val="24"/>
          <w:szCs w:val="24"/>
          <w:lang w:eastAsia="en-GB"/>
        </w:rPr>
        <w:t xml:space="preserve"> </w:t>
      </w:r>
      <w:r w:rsidR="00154819" w:rsidRPr="00E200A5">
        <w:rPr>
          <w:rFonts w:ascii="Times New Roman" w:eastAsia="Times New Roman" w:hAnsi="Times New Roman" w:cs="Times New Roman"/>
          <w:b/>
          <w:bCs/>
          <w:i/>
          <w:iCs/>
          <w:color w:val="000000"/>
          <w:sz w:val="24"/>
          <w:szCs w:val="24"/>
          <w:lang w:eastAsia="en-GB"/>
        </w:rPr>
        <w:t>problems</w:t>
      </w:r>
    </w:p>
    <w:p w14:paraId="5895D0A0" w14:textId="11B23F71" w:rsidR="00B72DAA" w:rsidRPr="00E200A5" w:rsidRDefault="00B72DAA" w:rsidP="00C915C8">
      <w:pPr>
        <w:spacing w:after="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Mental health </w:t>
      </w:r>
      <w:r w:rsidR="00154819" w:rsidRPr="00E200A5">
        <w:rPr>
          <w:rFonts w:ascii="Times New Roman" w:eastAsia="Times New Roman" w:hAnsi="Times New Roman" w:cs="Times New Roman"/>
          <w:color w:val="000000"/>
          <w:sz w:val="24"/>
          <w:szCs w:val="24"/>
          <w:lang w:eastAsia="en-GB"/>
        </w:rPr>
        <w:t>problems</w:t>
      </w:r>
      <w:r w:rsidR="0066777C" w:rsidRPr="00E200A5">
        <w:rPr>
          <w:rFonts w:ascii="Times New Roman" w:eastAsia="Times New Roman" w:hAnsi="Times New Roman" w:cs="Times New Roman"/>
          <w:color w:val="000000"/>
          <w:sz w:val="24"/>
          <w:szCs w:val="24"/>
          <w:lang w:eastAsia="en-GB"/>
        </w:rPr>
        <w:t xml:space="preserve"> </w:t>
      </w:r>
      <w:r w:rsidR="00CE18B5" w:rsidRPr="00E200A5">
        <w:rPr>
          <w:rFonts w:ascii="Times New Roman" w:eastAsia="Times New Roman" w:hAnsi="Times New Roman" w:cs="Times New Roman"/>
          <w:color w:val="000000"/>
          <w:sz w:val="24"/>
          <w:szCs w:val="24"/>
          <w:lang w:eastAsia="en-GB"/>
        </w:rPr>
        <w:t>were</w:t>
      </w:r>
      <w:r w:rsidRPr="00E200A5">
        <w:rPr>
          <w:rFonts w:ascii="Times New Roman" w:eastAsia="Times New Roman" w:hAnsi="Times New Roman" w:cs="Times New Roman"/>
          <w:color w:val="000000"/>
          <w:sz w:val="24"/>
          <w:szCs w:val="24"/>
          <w:lang w:eastAsia="en-GB"/>
        </w:rPr>
        <w:t xml:space="preserve"> measured using the scaled version of the </w:t>
      </w:r>
      <w:r w:rsidRPr="00E200A5">
        <w:rPr>
          <w:rFonts w:ascii="Times New Roman" w:hAnsi="Times New Roman" w:cs="Times New Roman"/>
          <w:sz w:val="24"/>
          <w:szCs w:val="24"/>
        </w:rPr>
        <w:t>General Health Questionnaire</w:t>
      </w:r>
      <w:r w:rsidRPr="00E200A5">
        <w:rPr>
          <w:rFonts w:ascii="Times New Roman" w:eastAsia="Times New Roman" w:hAnsi="Times New Roman" w:cs="Times New Roman"/>
          <w:color w:val="000000"/>
          <w:sz w:val="24"/>
          <w:szCs w:val="24"/>
          <w:lang w:eastAsia="en-GB"/>
        </w:rPr>
        <w:t xml:space="preserve"> (GHQ12; </w:t>
      </w:r>
      <w:r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{"citationID":"JEbHvYx6","properties":{"formattedCitation":"(Goldberg &amp; Hillier, 1979)","plainCitation":"(Goldberg &amp; Hillier, 1979)","dontUpdate":true,"noteIndex":0},"citationItems":[{"id":155,"uris":["http://zotero.org/users/5523892/items/NRXJFZMU"],"itemData":{"id":155,"type":"article-journal","container-title":"Psychological Medicine","DOI":"10.1017/S0033291700021644","ISSN":"0033-2917, 1469-8978","issue":"1","language":"en","page":"139-145","source":"Crossref","title":"A scaled version of the general health questionnaire","volume":"9","author":[{"family":"Goldberg","given":"D. P."},{"family":"Hillier","given":"V. F."}],"issued":{"date-parts":[["1979",2]]},"citation-key":"goldbergScaledVersionGeneral1979"}}],"schema":"https://github.com/citation-style-language/schema/raw/master/csl-citation.json"} </w:instrText>
      </w:r>
      <w:r w:rsidRPr="00E200A5">
        <w:rPr>
          <w:rFonts w:ascii="Times New Roman" w:eastAsia="Times New Roman" w:hAnsi="Times New Roman" w:cs="Times New Roman"/>
          <w:color w:val="000000"/>
          <w:sz w:val="24"/>
          <w:szCs w:val="24"/>
          <w:lang w:eastAsia="en-GB"/>
        </w:rPr>
        <w:fldChar w:fldCharType="separate"/>
      </w:r>
      <w:r w:rsidRPr="00E200A5">
        <w:rPr>
          <w:rFonts w:ascii="Times New Roman" w:hAnsi="Times New Roman" w:cs="Times New Roman"/>
          <w:sz w:val="24"/>
        </w:rPr>
        <w:t>Goldberg &amp; Hillier, 1979)</w:t>
      </w:r>
      <w:r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 xml:space="preserve">. This measure consists of 12 items. Participants were asked to respond to questions such as </w:t>
      </w:r>
      <w:r w:rsidRPr="00E200A5">
        <w:rPr>
          <w:rFonts w:ascii="Times New Roman" w:eastAsia="Times New Roman" w:hAnsi="Times New Roman" w:cs="Times New Roman"/>
          <w:i/>
          <w:iCs/>
          <w:color w:val="000000"/>
          <w:sz w:val="24"/>
          <w:szCs w:val="24"/>
          <w:lang w:eastAsia="en-GB"/>
        </w:rPr>
        <w:t>Have you recently felt that you were playing a useful part in things?</w:t>
      </w:r>
      <w:r w:rsidRPr="00E200A5">
        <w:rPr>
          <w:rFonts w:ascii="Times New Roman" w:eastAsia="Times New Roman" w:hAnsi="Times New Roman" w:cs="Times New Roman"/>
          <w:color w:val="000000"/>
          <w:sz w:val="24"/>
          <w:szCs w:val="24"/>
          <w:lang w:eastAsia="en-GB"/>
        </w:rPr>
        <w:t xml:space="preserve"> Responses were recorded using a 4-point Likert scale, ranging from 1 = </w:t>
      </w:r>
      <w:r w:rsidRPr="00E200A5">
        <w:rPr>
          <w:rFonts w:ascii="Times New Roman" w:eastAsia="Times New Roman" w:hAnsi="Times New Roman" w:cs="Times New Roman"/>
          <w:i/>
          <w:iCs/>
          <w:color w:val="000000"/>
          <w:sz w:val="24"/>
          <w:szCs w:val="24"/>
          <w:lang w:eastAsia="en-GB"/>
        </w:rPr>
        <w:t xml:space="preserve">More so than usual, </w:t>
      </w:r>
      <w:r w:rsidRPr="00E200A5">
        <w:rPr>
          <w:rFonts w:ascii="Times New Roman" w:eastAsia="Times New Roman" w:hAnsi="Times New Roman" w:cs="Times New Roman"/>
          <w:color w:val="000000"/>
          <w:sz w:val="24"/>
          <w:szCs w:val="24"/>
          <w:lang w:eastAsia="en-GB"/>
        </w:rPr>
        <w:t xml:space="preserve">to 4 = </w:t>
      </w:r>
      <w:r w:rsidRPr="00E200A5">
        <w:rPr>
          <w:rFonts w:ascii="Times New Roman" w:eastAsia="Times New Roman" w:hAnsi="Times New Roman" w:cs="Times New Roman"/>
          <w:i/>
          <w:iCs/>
          <w:color w:val="000000"/>
          <w:sz w:val="24"/>
          <w:szCs w:val="24"/>
          <w:lang w:eastAsia="en-GB"/>
        </w:rPr>
        <w:t xml:space="preserve">Much less than usual. </w:t>
      </w:r>
      <w:r w:rsidRPr="00E200A5">
        <w:rPr>
          <w:rFonts w:ascii="Times New Roman" w:eastAsia="Times New Roman" w:hAnsi="Times New Roman" w:cs="Times New Roman"/>
          <w:color w:val="000000"/>
          <w:sz w:val="24"/>
          <w:szCs w:val="24"/>
          <w:lang w:eastAsia="en-GB"/>
        </w:rPr>
        <w:t xml:space="preserve">The means of all the items were used for analysis. A higher score represents </w:t>
      </w:r>
      <w:r w:rsidR="007A262E" w:rsidRPr="00E200A5">
        <w:rPr>
          <w:rFonts w:ascii="Times New Roman" w:eastAsia="Times New Roman" w:hAnsi="Times New Roman" w:cs="Times New Roman"/>
          <w:color w:val="000000"/>
          <w:sz w:val="24"/>
          <w:szCs w:val="24"/>
          <w:lang w:eastAsia="en-GB"/>
        </w:rPr>
        <w:t xml:space="preserve">greater mental </w:t>
      </w:r>
      <w:r w:rsidRPr="00E200A5">
        <w:rPr>
          <w:rFonts w:ascii="Times New Roman" w:eastAsia="Times New Roman" w:hAnsi="Times New Roman" w:cs="Times New Roman"/>
          <w:color w:val="000000"/>
          <w:sz w:val="24"/>
          <w:szCs w:val="24"/>
          <w:lang w:eastAsia="en-GB"/>
        </w:rPr>
        <w:t>health</w:t>
      </w:r>
      <w:r w:rsidR="0076449D" w:rsidRPr="00E200A5">
        <w:rPr>
          <w:rFonts w:ascii="Times New Roman" w:eastAsia="Times New Roman" w:hAnsi="Times New Roman" w:cs="Times New Roman"/>
          <w:color w:val="000000"/>
          <w:sz w:val="24"/>
          <w:szCs w:val="24"/>
          <w:lang w:eastAsia="en-GB"/>
        </w:rPr>
        <w:t xml:space="preserve"> problems</w:t>
      </w:r>
      <w:r w:rsidRPr="00E200A5">
        <w:rPr>
          <w:rFonts w:ascii="Times New Roman" w:eastAsia="Times New Roman" w:hAnsi="Times New Roman" w:cs="Times New Roman"/>
          <w:color w:val="000000"/>
          <w:sz w:val="24"/>
          <w:szCs w:val="24"/>
          <w:lang w:eastAsia="en-GB"/>
        </w:rPr>
        <w:t>.</w:t>
      </w:r>
    </w:p>
    <w:p w14:paraId="388484FA" w14:textId="77777777" w:rsidR="000816E3" w:rsidRPr="00E200A5" w:rsidRDefault="000816E3" w:rsidP="00C915C8">
      <w:pPr>
        <w:spacing w:after="0" w:line="480" w:lineRule="auto"/>
        <w:jc w:val="both"/>
        <w:rPr>
          <w:rFonts w:ascii="Times New Roman" w:eastAsia="Times New Roman" w:hAnsi="Times New Roman" w:cs="Times New Roman"/>
          <w:b/>
          <w:bCs/>
          <w:sz w:val="24"/>
          <w:szCs w:val="24"/>
          <w:lang w:eastAsia="en-GB"/>
        </w:rPr>
      </w:pPr>
      <w:r w:rsidRPr="00E200A5">
        <w:rPr>
          <w:rFonts w:ascii="Times New Roman" w:eastAsia="Times New Roman" w:hAnsi="Times New Roman" w:cs="Times New Roman"/>
          <w:b/>
          <w:bCs/>
          <w:i/>
          <w:iCs/>
          <w:color w:val="000000"/>
          <w:sz w:val="24"/>
          <w:szCs w:val="24"/>
          <w:lang w:eastAsia="en-GB"/>
        </w:rPr>
        <w:t>Demographics</w:t>
      </w:r>
    </w:p>
    <w:p w14:paraId="2A283CD8" w14:textId="36732EB4" w:rsidR="00736DD4" w:rsidRPr="00E200A5" w:rsidRDefault="000816E3" w:rsidP="00C915C8">
      <w:pPr>
        <w:spacing w:after="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Participants were asked to indicate their age, sex, income, and highest level of education. Sex was coded as </w:t>
      </w:r>
      <w:r w:rsidR="00150D0D" w:rsidRPr="00E200A5">
        <w:rPr>
          <w:rFonts w:ascii="Times New Roman" w:eastAsia="Times New Roman" w:hAnsi="Times New Roman" w:cs="Times New Roman"/>
          <w:color w:val="000000"/>
          <w:sz w:val="24"/>
          <w:szCs w:val="24"/>
          <w:lang w:eastAsia="en-GB"/>
        </w:rPr>
        <w:t>Male = 0</w:t>
      </w:r>
      <w:r w:rsidRPr="00E200A5">
        <w:rPr>
          <w:rFonts w:ascii="Times New Roman" w:eastAsia="Times New Roman" w:hAnsi="Times New Roman" w:cs="Times New Roman"/>
          <w:color w:val="000000"/>
          <w:sz w:val="24"/>
          <w:szCs w:val="24"/>
          <w:lang w:eastAsia="en-GB"/>
        </w:rPr>
        <w:t xml:space="preserve"> and </w:t>
      </w:r>
      <w:r w:rsidR="00150D0D" w:rsidRPr="00E200A5">
        <w:rPr>
          <w:rFonts w:ascii="Times New Roman" w:eastAsia="Times New Roman" w:hAnsi="Times New Roman" w:cs="Times New Roman"/>
          <w:color w:val="000000"/>
          <w:sz w:val="24"/>
          <w:szCs w:val="24"/>
          <w:lang w:eastAsia="en-GB"/>
        </w:rPr>
        <w:t>Female = 1</w:t>
      </w:r>
      <w:r w:rsidRPr="00E200A5">
        <w:rPr>
          <w:rFonts w:ascii="Times New Roman" w:eastAsia="Times New Roman" w:hAnsi="Times New Roman" w:cs="Times New Roman"/>
          <w:color w:val="000000"/>
          <w:sz w:val="24"/>
          <w:szCs w:val="24"/>
          <w:lang w:eastAsia="en-GB"/>
        </w:rPr>
        <w:t xml:space="preserve">. </w:t>
      </w:r>
      <w:r w:rsidR="00150D0D" w:rsidRPr="00E200A5">
        <w:rPr>
          <w:rFonts w:ascii="Times New Roman" w:eastAsia="Times New Roman" w:hAnsi="Times New Roman" w:cs="Times New Roman"/>
          <w:color w:val="000000"/>
          <w:sz w:val="24"/>
          <w:szCs w:val="24"/>
          <w:lang w:eastAsia="en-GB"/>
        </w:rPr>
        <w:t>We collapsed education</w:t>
      </w:r>
      <w:r w:rsidRPr="00E200A5">
        <w:rPr>
          <w:rFonts w:ascii="Times New Roman" w:eastAsia="Times New Roman" w:hAnsi="Times New Roman" w:cs="Times New Roman"/>
          <w:color w:val="000000"/>
          <w:sz w:val="24"/>
          <w:szCs w:val="24"/>
          <w:lang w:eastAsia="en-GB"/>
        </w:rPr>
        <w:t xml:space="preserve"> into </w:t>
      </w:r>
      <w:r w:rsidR="006F4E2C" w:rsidRPr="00E200A5">
        <w:rPr>
          <w:rFonts w:ascii="Times New Roman" w:eastAsia="Times New Roman" w:hAnsi="Times New Roman" w:cs="Times New Roman"/>
          <w:color w:val="000000"/>
          <w:sz w:val="24"/>
          <w:szCs w:val="24"/>
          <w:lang w:eastAsia="en-GB"/>
        </w:rPr>
        <w:t xml:space="preserve">five </w:t>
      </w:r>
      <w:r w:rsidRPr="00E200A5">
        <w:rPr>
          <w:rFonts w:ascii="Times New Roman" w:eastAsia="Times New Roman" w:hAnsi="Times New Roman" w:cs="Times New Roman"/>
          <w:color w:val="000000"/>
          <w:sz w:val="24"/>
          <w:szCs w:val="24"/>
          <w:lang w:eastAsia="en-GB"/>
        </w:rPr>
        <w:t xml:space="preserve">categories; </w:t>
      </w:r>
      <w:r w:rsidRPr="00E200A5">
        <w:rPr>
          <w:rFonts w:ascii="Times New Roman" w:eastAsia="Times New Roman" w:hAnsi="Times New Roman" w:cs="Times New Roman"/>
          <w:i/>
          <w:iCs/>
          <w:color w:val="000000"/>
          <w:sz w:val="24"/>
          <w:szCs w:val="24"/>
          <w:lang w:eastAsia="en-GB"/>
        </w:rPr>
        <w:t>none</w:t>
      </w:r>
      <w:r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i/>
          <w:iCs/>
          <w:color w:val="000000"/>
          <w:sz w:val="24"/>
          <w:szCs w:val="24"/>
          <w:lang w:eastAsia="en-GB"/>
        </w:rPr>
        <w:t xml:space="preserve"> other</w:t>
      </w:r>
      <w:r w:rsidR="00150D0D" w:rsidRPr="00E200A5">
        <w:rPr>
          <w:rFonts w:ascii="Times New Roman" w:eastAsia="Times New Roman" w:hAnsi="Times New Roman" w:cs="Times New Roman"/>
          <w:i/>
          <w:iCs/>
          <w:color w:val="000000"/>
          <w:sz w:val="24"/>
          <w:szCs w:val="24"/>
          <w:lang w:eastAsia="en-GB"/>
        </w:rPr>
        <w:t xml:space="preserve"> (such as vocational qualifications</w:t>
      </w:r>
      <w:r w:rsidR="00DE6C55" w:rsidRPr="00E200A5">
        <w:rPr>
          <w:rFonts w:ascii="Times New Roman" w:eastAsia="Times New Roman" w:hAnsi="Times New Roman" w:cs="Times New Roman"/>
          <w:i/>
          <w:iCs/>
          <w:color w:val="000000"/>
          <w:sz w:val="24"/>
          <w:szCs w:val="24"/>
          <w:lang w:eastAsia="en-GB"/>
        </w:rPr>
        <w:t xml:space="preserve"> that sit between no education and GCSE</w:t>
      </w:r>
      <w:r w:rsidR="00150D0D" w:rsidRPr="00E200A5">
        <w:rPr>
          <w:rFonts w:ascii="Times New Roman" w:eastAsia="Times New Roman" w:hAnsi="Times New Roman" w:cs="Times New Roman"/>
          <w:i/>
          <w:iCs/>
          <w:color w:val="000000"/>
          <w:sz w:val="24"/>
          <w:szCs w:val="24"/>
          <w:lang w:eastAsia="en-GB"/>
        </w:rPr>
        <w:t>)</w:t>
      </w:r>
      <w:r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i/>
          <w:iCs/>
          <w:color w:val="000000"/>
          <w:sz w:val="24"/>
          <w:szCs w:val="24"/>
          <w:lang w:eastAsia="en-GB"/>
        </w:rPr>
        <w:t xml:space="preserve"> GCSE or equivalent</w:t>
      </w:r>
      <w:r w:rsidRPr="00E200A5">
        <w:rPr>
          <w:rFonts w:ascii="Times New Roman" w:eastAsia="Times New Roman" w:hAnsi="Times New Roman" w:cs="Times New Roman"/>
          <w:color w:val="000000"/>
          <w:sz w:val="24"/>
          <w:szCs w:val="24"/>
          <w:lang w:eastAsia="en-GB"/>
        </w:rPr>
        <w:t xml:space="preserve">, </w:t>
      </w:r>
      <w:r w:rsidRPr="00E200A5">
        <w:rPr>
          <w:rFonts w:ascii="Times New Roman" w:eastAsia="Times New Roman" w:hAnsi="Times New Roman" w:cs="Times New Roman"/>
          <w:i/>
          <w:iCs/>
          <w:color w:val="000000"/>
          <w:sz w:val="24"/>
          <w:szCs w:val="24"/>
          <w:lang w:eastAsia="en-GB"/>
        </w:rPr>
        <w:t>A-level or equivalent</w:t>
      </w:r>
      <w:r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i/>
          <w:iCs/>
          <w:color w:val="000000"/>
          <w:sz w:val="24"/>
          <w:szCs w:val="24"/>
          <w:lang w:eastAsia="en-GB"/>
        </w:rPr>
        <w:t xml:space="preserve"> graduate or other higher degree</w:t>
      </w:r>
      <w:r w:rsidR="005B3C59" w:rsidRPr="00E200A5">
        <w:rPr>
          <w:rFonts w:ascii="Times New Roman" w:eastAsia="Times New Roman" w:hAnsi="Times New Roman" w:cs="Times New Roman"/>
          <w:i/>
          <w:iCs/>
          <w:color w:val="000000"/>
          <w:sz w:val="24"/>
          <w:szCs w:val="24"/>
          <w:lang w:eastAsia="en-GB"/>
        </w:rPr>
        <w:t xml:space="preserve"> </w:t>
      </w:r>
      <w:r w:rsidR="005B3C59" w:rsidRPr="00E200A5">
        <w:rPr>
          <w:rFonts w:ascii="Times New Roman" w:eastAsia="Times New Roman" w:hAnsi="Times New Roman" w:cs="Times New Roman"/>
          <w:color w:val="000000"/>
          <w:sz w:val="24"/>
          <w:szCs w:val="24"/>
          <w:lang w:eastAsia="en-GB"/>
        </w:rPr>
        <w:t xml:space="preserve">(as per </w:t>
      </w:r>
      <w:r w:rsidR="005B3C59"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{"citationID":"01d7lLZW","properties":{"formattedCitation":"(Robertson, 2021)","plainCitation":"(Robertson, 2021)","dontUpdate":true,"noteIndex":0},"citationItems":[{"id":1060,"uris":["http://zotero.org/users/5523892/items/YMT6IVNN"],"itemData":{"id":1060,"type":"article-journal","abstract":"Vaccine hesitancy could undermine efforts to control COVID-19. We investigated the prevalence of COVID-19 vaccine hesitancy in the UK and identified vaccine hesitant subgroups. The ‘Understanding Society’ COVID-19 survey asked participants (n = 12,035) their likelihood of vaccine uptake and reason for hesitancy. Crosssectional analysis assessed vaccine hesitancy prevalence and logistic regression calculated odds ratios. Overall vaccine hesitancy was low (18% unlikely/very unlikely). Vaccine hesitancy was higher in women (21.0% vs 14.7%), younger age groups (26.5% in 16–24 year olds vs 4.5% in 75 + ) and those with lower education levels (18.6% no qualifications vs 13.2% degree qualified). Vaccine hesitancy was high in Black (71.8%) and Pakistani/ Bangladeshi (42.3%) ethnic groups. Odds ratios for vaccine hesitancy were 13.42 (95% CI:6.86, 26.24) in Black and 2.54 (95% CI:1.19, 5.44) in Pakistani/Bangladeshi groups (compared to White British/Irish) and 3.54 (95% CI:2.06, 6.09) for people with no qualifications versus degree. Urgent action to address hesitancy is needed for some but not all ethnic minority groups.","container-title":"Brain Behavior and Immunity","language":"en","page":"10","source":"Zotero","title":"Predictors of COVID-19 vaccine hesitancy in the UK household longitudinal study","author":[{"family":"Robertson","given":"Elaine"}],"issued":{"date-parts":[["2021"]]},"citation-key":"robertsonPredictorsCOVID19Vaccine2021"}}],"schema":"https://github.com/citation-style-language/schema/raw/master/csl-citation.json"} </w:instrText>
      </w:r>
      <w:r w:rsidR="005B3C59" w:rsidRPr="00E200A5">
        <w:rPr>
          <w:rFonts w:ascii="Times New Roman" w:eastAsia="Times New Roman" w:hAnsi="Times New Roman" w:cs="Times New Roman"/>
          <w:color w:val="000000"/>
          <w:sz w:val="24"/>
          <w:szCs w:val="24"/>
          <w:lang w:eastAsia="en-GB"/>
        </w:rPr>
        <w:fldChar w:fldCharType="separate"/>
      </w:r>
      <w:r w:rsidR="005B3C59" w:rsidRPr="00E200A5">
        <w:rPr>
          <w:rFonts w:ascii="Times New Roman" w:hAnsi="Times New Roman" w:cs="Times New Roman"/>
          <w:sz w:val="24"/>
        </w:rPr>
        <w:t>Robertson</w:t>
      </w:r>
      <w:r w:rsidR="00D57B44" w:rsidRPr="00E200A5">
        <w:rPr>
          <w:rFonts w:ascii="Times New Roman" w:hAnsi="Times New Roman" w:cs="Times New Roman"/>
          <w:sz w:val="24"/>
        </w:rPr>
        <w:t xml:space="preserve"> et al.</w:t>
      </w:r>
      <w:r w:rsidR="005B3C59" w:rsidRPr="00E200A5">
        <w:rPr>
          <w:rFonts w:ascii="Times New Roman" w:hAnsi="Times New Roman" w:cs="Times New Roman"/>
          <w:sz w:val="24"/>
        </w:rPr>
        <w:t>, 2021)</w:t>
      </w:r>
      <w:r w:rsidR="005B3C59" w:rsidRPr="00E200A5">
        <w:rPr>
          <w:rFonts w:ascii="Times New Roman" w:eastAsia="Times New Roman" w:hAnsi="Times New Roman" w:cs="Times New Roman"/>
          <w:color w:val="000000"/>
          <w:sz w:val="24"/>
          <w:szCs w:val="24"/>
          <w:lang w:eastAsia="en-GB"/>
        </w:rPr>
        <w:fldChar w:fldCharType="end"/>
      </w:r>
      <w:r w:rsidRPr="00E200A5">
        <w:rPr>
          <w:rFonts w:ascii="Times New Roman" w:eastAsia="Times New Roman" w:hAnsi="Times New Roman" w:cs="Times New Roman"/>
          <w:color w:val="000000"/>
          <w:sz w:val="24"/>
          <w:szCs w:val="24"/>
          <w:lang w:eastAsia="en-GB"/>
        </w:rPr>
        <w:t xml:space="preserve">. </w:t>
      </w:r>
      <w:r w:rsidR="004476FF" w:rsidRPr="00E200A5">
        <w:rPr>
          <w:rFonts w:ascii="Times New Roman" w:eastAsia="Times New Roman" w:hAnsi="Times New Roman" w:cs="Times New Roman"/>
          <w:color w:val="000000"/>
          <w:sz w:val="24"/>
          <w:szCs w:val="24"/>
          <w:lang w:eastAsia="en-GB"/>
        </w:rPr>
        <w:t>Participants were asked to estimate their i</w:t>
      </w:r>
      <w:r w:rsidRPr="00E200A5">
        <w:rPr>
          <w:rFonts w:ascii="Times New Roman" w:eastAsia="Times New Roman" w:hAnsi="Times New Roman" w:cs="Times New Roman"/>
          <w:color w:val="000000"/>
          <w:sz w:val="24"/>
          <w:szCs w:val="24"/>
          <w:lang w:eastAsia="en-GB"/>
        </w:rPr>
        <w:t>ncome derived from all possible sources (i.e.</w:t>
      </w:r>
      <w:r w:rsidR="00EB6A4C"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color w:val="000000"/>
          <w:sz w:val="24"/>
          <w:szCs w:val="24"/>
          <w:lang w:eastAsia="en-GB"/>
        </w:rPr>
        <w:t xml:space="preserve"> social benefit, pension, labour income, miscellaneous income, private benefit income, and investment income).</w:t>
      </w:r>
    </w:p>
    <w:p w14:paraId="6A79A5AE" w14:textId="2398156B" w:rsidR="000816E3" w:rsidRPr="00E200A5" w:rsidRDefault="000816E3" w:rsidP="00C915C8">
      <w:pPr>
        <w:spacing w:after="0" w:line="480" w:lineRule="auto"/>
        <w:jc w:val="center"/>
        <w:rPr>
          <w:rFonts w:ascii="Times New Roman" w:eastAsia="Times New Roman" w:hAnsi="Times New Roman" w:cs="Times New Roman"/>
          <w:sz w:val="24"/>
          <w:szCs w:val="24"/>
          <w:lang w:eastAsia="en-GB"/>
        </w:rPr>
      </w:pPr>
      <w:r w:rsidRPr="00E200A5">
        <w:rPr>
          <w:rFonts w:ascii="Times New Roman" w:eastAsia="Times New Roman" w:hAnsi="Times New Roman" w:cs="Times New Roman"/>
          <w:b/>
          <w:bCs/>
          <w:color w:val="000000"/>
          <w:sz w:val="24"/>
          <w:szCs w:val="24"/>
          <w:lang w:eastAsia="en-GB"/>
        </w:rPr>
        <w:t>Results</w:t>
      </w:r>
    </w:p>
    <w:p w14:paraId="5F8DA3DA" w14:textId="01ADD257" w:rsidR="00AA77D9" w:rsidRPr="00E200A5" w:rsidRDefault="000816E3" w:rsidP="00C915C8">
      <w:pPr>
        <w:spacing w:after="0" w:line="480" w:lineRule="auto"/>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Summary statistics </w:t>
      </w:r>
      <w:r w:rsidR="00CC74C3" w:rsidRPr="00E200A5">
        <w:rPr>
          <w:rFonts w:ascii="Times New Roman" w:eastAsia="Times New Roman" w:hAnsi="Times New Roman" w:cs="Times New Roman"/>
          <w:color w:val="000000"/>
          <w:sz w:val="24"/>
          <w:szCs w:val="24"/>
          <w:lang w:eastAsia="en-GB"/>
        </w:rPr>
        <w:t xml:space="preserve">for all study variables </w:t>
      </w:r>
      <w:r w:rsidRPr="00E200A5">
        <w:rPr>
          <w:rFonts w:ascii="Times New Roman" w:eastAsia="Times New Roman" w:hAnsi="Times New Roman" w:cs="Times New Roman"/>
          <w:color w:val="000000"/>
          <w:sz w:val="24"/>
          <w:szCs w:val="24"/>
          <w:lang w:eastAsia="en-GB"/>
        </w:rPr>
        <w:t>are presented in Table 1.</w:t>
      </w:r>
    </w:p>
    <w:p w14:paraId="5B034076" w14:textId="210AEE6C" w:rsidR="00AA77D9" w:rsidRPr="00E200A5" w:rsidRDefault="00AA77D9" w:rsidP="00C915C8">
      <w:pPr>
        <w:spacing w:after="0" w:line="480" w:lineRule="auto"/>
        <w:jc w:val="both"/>
        <w:rPr>
          <w:rFonts w:ascii="Times New Roman" w:eastAsia="Times New Roman" w:hAnsi="Times New Roman" w:cs="Times New Roman"/>
          <w:b/>
          <w:bCs/>
          <w:color w:val="000000"/>
          <w:sz w:val="24"/>
          <w:szCs w:val="24"/>
          <w:lang w:eastAsia="en-GB"/>
        </w:rPr>
      </w:pPr>
      <w:r w:rsidRPr="00E200A5">
        <w:rPr>
          <w:rFonts w:ascii="Times New Roman" w:eastAsia="Times New Roman" w:hAnsi="Times New Roman" w:cs="Times New Roman"/>
          <w:b/>
          <w:bCs/>
          <w:color w:val="000000"/>
          <w:sz w:val="24"/>
          <w:szCs w:val="24"/>
          <w:lang w:eastAsia="en-GB"/>
        </w:rPr>
        <w:t>Table 1. Descriptive statistics for study variables</w:t>
      </w:r>
    </w:p>
    <w:tbl>
      <w:tblPr>
        <w:tblW w:w="10591" w:type="dxa"/>
        <w:jc w:val="center"/>
        <w:tblLook w:val="04A0" w:firstRow="1" w:lastRow="0" w:firstColumn="1" w:lastColumn="0" w:noHBand="0" w:noVBand="1"/>
      </w:tblPr>
      <w:tblGrid>
        <w:gridCol w:w="3076"/>
        <w:gridCol w:w="341"/>
        <w:gridCol w:w="1365"/>
        <w:gridCol w:w="445"/>
        <w:gridCol w:w="1122"/>
        <w:gridCol w:w="1858"/>
        <w:gridCol w:w="2384"/>
      </w:tblGrid>
      <w:tr w:rsidR="00B72DAA" w:rsidRPr="00E200A5" w14:paraId="232335BF" w14:textId="77777777" w:rsidTr="00B947BE">
        <w:trPr>
          <w:trHeight w:val="266"/>
          <w:jc w:val="center"/>
        </w:trPr>
        <w:tc>
          <w:tcPr>
            <w:tcW w:w="3076" w:type="dxa"/>
            <w:tcBorders>
              <w:top w:val="single" w:sz="4" w:space="0" w:color="auto"/>
              <w:left w:val="nil"/>
              <w:bottom w:val="single" w:sz="4" w:space="0" w:color="auto"/>
              <w:right w:val="nil"/>
            </w:tcBorders>
            <w:shd w:val="clear" w:color="000000" w:fill="FFFFFF"/>
            <w:noWrap/>
            <w:vAlign w:val="center"/>
            <w:hideMark/>
          </w:tcPr>
          <w:p w14:paraId="4B013EA9" w14:textId="77777777" w:rsidR="00B72DAA" w:rsidRPr="00E200A5" w:rsidRDefault="00B72DAA" w:rsidP="00C915C8">
            <w:pPr>
              <w:spacing w:after="0" w:line="48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b/>
                <w:bCs/>
                <w:color w:val="000000"/>
                <w:lang w:eastAsia="en-GB"/>
              </w:rPr>
              <w:t> </w:t>
            </w:r>
            <w:r w:rsidRPr="00E200A5">
              <w:rPr>
                <w:rFonts w:ascii="Times New Roman" w:eastAsia="Times New Roman" w:hAnsi="Times New Roman" w:cs="Times New Roman"/>
                <w:color w:val="000000"/>
                <w:lang w:eastAsia="en-GB"/>
              </w:rPr>
              <w:t>Variable</w:t>
            </w:r>
          </w:p>
        </w:tc>
        <w:tc>
          <w:tcPr>
            <w:tcW w:w="341" w:type="dxa"/>
            <w:tcBorders>
              <w:top w:val="single" w:sz="4" w:space="0" w:color="auto"/>
              <w:left w:val="nil"/>
              <w:bottom w:val="single" w:sz="4" w:space="0" w:color="auto"/>
              <w:right w:val="nil"/>
            </w:tcBorders>
            <w:shd w:val="clear" w:color="000000" w:fill="FFFFFF"/>
            <w:vAlign w:val="center"/>
          </w:tcPr>
          <w:p w14:paraId="09CDC8E4"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p>
        </w:tc>
        <w:tc>
          <w:tcPr>
            <w:tcW w:w="1365" w:type="dxa"/>
            <w:tcBorders>
              <w:top w:val="single" w:sz="4" w:space="0" w:color="auto"/>
              <w:left w:val="nil"/>
              <w:bottom w:val="single" w:sz="4" w:space="0" w:color="auto"/>
              <w:right w:val="nil"/>
            </w:tcBorders>
            <w:shd w:val="clear" w:color="000000" w:fill="FFFFFF"/>
            <w:noWrap/>
            <w:vAlign w:val="center"/>
            <w:hideMark/>
          </w:tcPr>
          <w:p w14:paraId="36A09118"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Mean</w:t>
            </w:r>
          </w:p>
        </w:tc>
        <w:tc>
          <w:tcPr>
            <w:tcW w:w="445" w:type="dxa"/>
            <w:tcBorders>
              <w:top w:val="single" w:sz="4" w:space="0" w:color="auto"/>
              <w:left w:val="nil"/>
              <w:bottom w:val="single" w:sz="4" w:space="0" w:color="auto"/>
              <w:right w:val="nil"/>
            </w:tcBorders>
            <w:shd w:val="clear" w:color="000000" w:fill="FFFFFF"/>
            <w:noWrap/>
            <w:vAlign w:val="center"/>
            <w:hideMark/>
          </w:tcPr>
          <w:p w14:paraId="48EB1D62"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p>
        </w:tc>
        <w:tc>
          <w:tcPr>
            <w:tcW w:w="1122" w:type="dxa"/>
            <w:tcBorders>
              <w:top w:val="single" w:sz="4" w:space="0" w:color="auto"/>
              <w:left w:val="nil"/>
              <w:bottom w:val="single" w:sz="4" w:space="0" w:color="auto"/>
              <w:right w:val="nil"/>
            </w:tcBorders>
            <w:shd w:val="clear" w:color="000000" w:fill="FFFFFF"/>
            <w:noWrap/>
            <w:vAlign w:val="center"/>
            <w:hideMark/>
          </w:tcPr>
          <w:p w14:paraId="7ED3265E"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SD</w:t>
            </w:r>
          </w:p>
        </w:tc>
        <w:tc>
          <w:tcPr>
            <w:tcW w:w="1858" w:type="dxa"/>
            <w:tcBorders>
              <w:top w:val="single" w:sz="4" w:space="0" w:color="auto"/>
              <w:left w:val="nil"/>
              <w:bottom w:val="single" w:sz="4" w:space="0" w:color="auto"/>
              <w:right w:val="nil"/>
            </w:tcBorders>
            <w:shd w:val="clear" w:color="000000" w:fill="FFFFFF"/>
            <w:vAlign w:val="center"/>
          </w:tcPr>
          <w:p w14:paraId="0573E853"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Response options</w:t>
            </w:r>
          </w:p>
        </w:tc>
        <w:tc>
          <w:tcPr>
            <w:tcW w:w="2384" w:type="dxa"/>
            <w:tcBorders>
              <w:top w:val="single" w:sz="4" w:space="0" w:color="auto"/>
              <w:left w:val="nil"/>
              <w:bottom w:val="single" w:sz="4" w:space="0" w:color="auto"/>
              <w:right w:val="nil"/>
            </w:tcBorders>
            <w:shd w:val="clear" w:color="000000" w:fill="FFFFFF"/>
            <w:vAlign w:val="center"/>
          </w:tcPr>
          <w:p w14:paraId="4AA47B83"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Valid Percent</w:t>
            </w:r>
          </w:p>
        </w:tc>
      </w:tr>
      <w:tr w:rsidR="00B72DAA" w:rsidRPr="00E200A5" w14:paraId="70EFB738" w14:textId="77777777" w:rsidTr="00B947BE">
        <w:trPr>
          <w:trHeight w:val="266"/>
          <w:jc w:val="center"/>
        </w:trPr>
        <w:tc>
          <w:tcPr>
            <w:tcW w:w="3076" w:type="dxa"/>
            <w:tcBorders>
              <w:top w:val="single" w:sz="4" w:space="0" w:color="auto"/>
              <w:left w:val="nil"/>
              <w:right w:val="nil"/>
            </w:tcBorders>
            <w:shd w:val="clear" w:color="000000" w:fill="FFFFFF"/>
            <w:noWrap/>
            <w:vAlign w:val="center"/>
          </w:tcPr>
          <w:p w14:paraId="18D19C1B" w14:textId="1F4DDC9B" w:rsidR="00B72DAA" w:rsidRPr="00E200A5" w:rsidRDefault="000D1673" w:rsidP="00C915C8">
            <w:pPr>
              <w:spacing w:after="0" w:line="480" w:lineRule="auto"/>
              <w:rPr>
                <w:rFonts w:ascii="Times New Roman" w:eastAsia="Times New Roman" w:hAnsi="Times New Roman" w:cs="Times New Roman"/>
                <w:bCs/>
                <w:lang w:eastAsia="en-GB"/>
              </w:rPr>
            </w:pPr>
            <w:r w:rsidRPr="00E200A5">
              <w:rPr>
                <w:rFonts w:ascii="Times New Roman" w:eastAsia="Times New Roman" w:hAnsi="Times New Roman" w:cs="Times New Roman"/>
                <w:bCs/>
                <w:lang w:eastAsia="en-GB"/>
              </w:rPr>
              <w:lastRenderedPageBreak/>
              <w:t>COVID</w:t>
            </w:r>
            <w:r w:rsidR="00B72DAA" w:rsidRPr="00E200A5">
              <w:rPr>
                <w:rFonts w:ascii="Times New Roman" w:eastAsia="Times New Roman" w:hAnsi="Times New Roman" w:cs="Times New Roman"/>
                <w:bCs/>
                <w:lang w:eastAsia="en-GB"/>
              </w:rPr>
              <w:t xml:space="preserve">-19 </w:t>
            </w:r>
            <w:r w:rsidR="00B72DAA" w:rsidRPr="00E200A5">
              <w:rPr>
                <w:rFonts w:ascii="Times New Roman" w:eastAsia="Times New Roman" w:hAnsi="Times New Roman" w:cs="Times New Roman"/>
                <w:color w:val="000000"/>
                <w:sz w:val="24"/>
                <w:szCs w:val="24"/>
                <w:lang w:eastAsia="en-GB"/>
              </w:rPr>
              <w:t>vaccination hesitancy</w:t>
            </w:r>
          </w:p>
        </w:tc>
        <w:tc>
          <w:tcPr>
            <w:tcW w:w="341" w:type="dxa"/>
            <w:tcBorders>
              <w:top w:val="single" w:sz="4" w:space="0" w:color="auto"/>
              <w:left w:val="nil"/>
              <w:right w:val="nil"/>
            </w:tcBorders>
            <w:shd w:val="clear" w:color="000000" w:fill="FFFFFF"/>
            <w:vAlign w:val="center"/>
          </w:tcPr>
          <w:p w14:paraId="3C5E88BB"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365" w:type="dxa"/>
            <w:tcBorders>
              <w:top w:val="single" w:sz="4" w:space="0" w:color="auto"/>
              <w:left w:val="nil"/>
              <w:right w:val="nil"/>
            </w:tcBorders>
            <w:shd w:val="clear" w:color="000000" w:fill="FFFFFF"/>
            <w:noWrap/>
            <w:vAlign w:val="center"/>
          </w:tcPr>
          <w:p w14:paraId="11B04E5F"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w:t>
            </w:r>
          </w:p>
        </w:tc>
        <w:tc>
          <w:tcPr>
            <w:tcW w:w="445" w:type="dxa"/>
            <w:tcBorders>
              <w:top w:val="single" w:sz="4" w:space="0" w:color="auto"/>
              <w:left w:val="nil"/>
              <w:right w:val="nil"/>
            </w:tcBorders>
            <w:shd w:val="clear" w:color="000000" w:fill="FFFFFF"/>
            <w:noWrap/>
            <w:vAlign w:val="center"/>
          </w:tcPr>
          <w:p w14:paraId="33BB3D39"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122" w:type="dxa"/>
            <w:tcBorders>
              <w:top w:val="single" w:sz="4" w:space="0" w:color="auto"/>
              <w:left w:val="nil"/>
              <w:right w:val="nil"/>
            </w:tcBorders>
            <w:shd w:val="clear" w:color="000000" w:fill="FFFFFF"/>
            <w:noWrap/>
            <w:vAlign w:val="center"/>
          </w:tcPr>
          <w:p w14:paraId="31287BB7"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w:t>
            </w:r>
          </w:p>
        </w:tc>
        <w:tc>
          <w:tcPr>
            <w:tcW w:w="1858" w:type="dxa"/>
            <w:tcBorders>
              <w:top w:val="single" w:sz="4" w:space="0" w:color="auto"/>
              <w:left w:val="nil"/>
              <w:right w:val="nil"/>
            </w:tcBorders>
            <w:shd w:val="clear" w:color="000000" w:fill="FFFFFF"/>
            <w:vAlign w:val="center"/>
          </w:tcPr>
          <w:p w14:paraId="791EE44F"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Very Likely</w:t>
            </w:r>
          </w:p>
          <w:p w14:paraId="312999D2"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Likely</w:t>
            </w:r>
          </w:p>
          <w:p w14:paraId="23FECF27"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Unlikely</w:t>
            </w:r>
          </w:p>
          <w:p w14:paraId="015DD80C"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Very Unlikely</w:t>
            </w:r>
          </w:p>
        </w:tc>
        <w:tc>
          <w:tcPr>
            <w:tcW w:w="2384" w:type="dxa"/>
            <w:tcBorders>
              <w:top w:val="single" w:sz="4" w:space="0" w:color="auto"/>
              <w:left w:val="nil"/>
              <w:right w:val="nil"/>
            </w:tcBorders>
            <w:shd w:val="clear" w:color="000000" w:fill="FFFFFF"/>
            <w:vAlign w:val="center"/>
          </w:tcPr>
          <w:p w14:paraId="083605C7"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61.35</w:t>
            </w:r>
          </w:p>
          <w:p w14:paraId="1B88465D"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25.77</w:t>
            </w:r>
          </w:p>
          <w:p w14:paraId="56001D10"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8.13</w:t>
            </w:r>
          </w:p>
          <w:p w14:paraId="5D67C4A4"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4.75</w:t>
            </w:r>
          </w:p>
        </w:tc>
      </w:tr>
      <w:tr w:rsidR="00B72DAA" w:rsidRPr="00E200A5" w14:paraId="64D2880A" w14:textId="77777777" w:rsidTr="00B947BE">
        <w:trPr>
          <w:trHeight w:val="266"/>
          <w:jc w:val="center"/>
        </w:trPr>
        <w:tc>
          <w:tcPr>
            <w:tcW w:w="3076" w:type="dxa"/>
            <w:tcBorders>
              <w:left w:val="nil"/>
              <w:right w:val="nil"/>
            </w:tcBorders>
            <w:shd w:val="clear" w:color="000000" w:fill="FFFFFF"/>
            <w:noWrap/>
            <w:vAlign w:val="center"/>
          </w:tcPr>
          <w:p w14:paraId="3754D1E9" w14:textId="77777777" w:rsidR="00B72DAA" w:rsidRPr="00E200A5" w:rsidRDefault="00B72DAA" w:rsidP="00C915C8">
            <w:pPr>
              <w:spacing w:after="0" w:line="480" w:lineRule="auto"/>
              <w:rPr>
                <w:rFonts w:ascii="Times New Roman" w:eastAsia="Times New Roman" w:hAnsi="Times New Roman" w:cs="Times New Roman"/>
                <w:bCs/>
                <w:lang w:eastAsia="en-GB"/>
              </w:rPr>
            </w:pPr>
          </w:p>
        </w:tc>
        <w:tc>
          <w:tcPr>
            <w:tcW w:w="341" w:type="dxa"/>
            <w:tcBorders>
              <w:left w:val="nil"/>
              <w:right w:val="nil"/>
            </w:tcBorders>
            <w:shd w:val="clear" w:color="000000" w:fill="FFFFFF"/>
            <w:vAlign w:val="center"/>
          </w:tcPr>
          <w:p w14:paraId="4C05A725"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365" w:type="dxa"/>
            <w:tcBorders>
              <w:left w:val="nil"/>
              <w:right w:val="nil"/>
            </w:tcBorders>
            <w:shd w:val="clear" w:color="000000" w:fill="FFFFFF"/>
            <w:noWrap/>
            <w:vAlign w:val="center"/>
          </w:tcPr>
          <w:p w14:paraId="0FEA0592"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445" w:type="dxa"/>
            <w:tcBorders>
              <w:left w:val="nil"/>
              <w:right w:val="nil"/>
            </w:tcBorders>
            <w:shd w:val="clear" w:color="000000" w:fill="FFFFFF"/>
            <w:noWrap/>
            <w:vAlign w:val="center"/>
          </w:tcPr>
          <w:p w14:paraId="1FE45E53"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122" w:type="dxa"/>
            <w:tcBorders>
              <w:left w:val="nil"/>
              <w:right w:val="nil"/>
            </w:tcBorders>
            <w:shd w:val="clear" w:color="000000" w:fill="FFFFFF"/>
            <w:noWrap/>
            <w:vAlign w:val="center"/>
          </w:tcPr>
          <w:p w14:paraId="1703570B"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858" w:type="dxa"/>
            <w:tcBorders>
              <w:left w:val="nil"/>
              <w:right w:val="nil"/>
            </w:tcBorders>
            <w:shd w:val="clear" w:color="000000" w:fill="FFFFFF"/>
            <w:vAlign w:val="center"/>
          </w:tcPr>
          <w:p w14:paraId="762F0002"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p>
        </w:tc>
        <w:tc>
          <w:tcPr>
            <w:tcW w:w="2384" w:type="dxa"/>
            <w:tcBorders>
              <w:left w:val="nil"/>
              <w:right w:val="nil"/>
            </w:tcBorders>
            <w:shd w:val="clear" w:color="000000" w:fill="FFFFFF"/>
            <w:vAlign w:val="center"/>
          </w:tcPr>
          <w:p w14:paraId="042043B7"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r>
      <w:tr w:rsidR="00B72DAA" w:rsidRPr="00E200A5" w14:paraId="55798164" w14:textId="77777777" w:rsidTr="00B947BE">
        <w:trPr>
          <w:trHeight w:val="266"/>
          <w:jc w:val="center"/>
        </w:trPr>
        <w:tc>
          <w:tcPr>
            <w:tcW w:w="3076" w:type="dxa"/>
            <w:tcBorders>
              <w:left w:val="nil"/>
              <w:right w:val="nil"/>
            </w:tcBorders>
            <w:shd w:val="clear" w:color="000000" w:fill="FFFFFF"/>
            <w:noWrap/>
            <w:vAlign w:val="center"/>
          </w:tcPr>
          <w:p w14:paraId="7BB9C930" w14:textId="77777777" w:rsidR="00B72DAA" w:rsidRPr="00E200A5" w:rsidRDefault="00B72DAA" w:rsidP="00C915C8">
            <w:pPr>
              <w:spacing w:after="0" w:line="480" w:lineRule="auto"/>
              <w:rPr>
                <w:rFonts w:ascii="Times New Roman" w:eastAsia="Times New Roman" w:hAnsi="Times New Roman" w:cs="Times New Roman"/>
                <w:bCs/>
                <w:lang w:eastAsia="en-GB"/>
              </w:rPr>
            </w:pPr>
            <w:r w:rsidRPr="00E200A5">
              <w:rPr>
                <w:rFonts w:ascii="Times New Roman" w:eastAsia="Times New Roman" w:hAnsi="Times New Roman" w:cs="Times New Roman"/>
                <w:bCs/>
                <w:lang w:eastAsia="en-GB"/>
              </w:rPr>
              <w:t xml:space="preserve">Seasonal flu </w:t>
            </w:r>
            <w:r w:rsidRPr="00E200A5">
              <w:rPr>
                <w:rFonts w:ascii="Times New Roman" w:eastAsia="Times New Roman" w:hAnsi="Times New Roman" w:cs="Times New Roman"/>
                <w:color w:val="000000"/>
                <w:sz w:val="24"/>
                <w:szCs w:val="24"/>
                <w:lang w:eastAsia="en-GB"/>
              </w:rPr>
              <w:t>vaccination hesitancy</w:t>
            </w:r>
          </w:p>
        </w:tc>
        <w:tc>
          <w:tcPr>
            <w:tcW w:w="341" w:type="dxa"/>
            <w:tcBorders>
              <w:left w:val="nil"/>
              <w:right w:val="nil"/>
            </w:tcBorders>
            <w:shd w:val="clear" w:color="000000" w:fill="FFFFFF"/>
            <w:vAlign w:val="center"/>
          </w:tcPr>
          <w:p w14:paraId="2168234F"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365" w:type="dxa"/>
            <w:tcBorders>
              <w:left w:val="nil"/>
              <w:right w:val="nil"/>
            </w:tcBorders>
            <w:shd w:val="clear" w:color="000000" w:fill="FFFFFF"/>
            <w:noWrap/>
            <w:vAlign w:val="center"/>
          </w:tcPr>
          <w:p w14:paraId="331F64B1"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w:t>
            </w:r>
          </w:p>
        </w:tc>
        <w:tc>
          <w:tcPr>
            <w:tcW w:w="445" w:type="dxa"/>
            <w:tcBorders>
              <w:left w:val="nil"/>
              <w:right w:val="nil"/>
            </w:tcBorders>
            <w:shd w:val="clear" w:color="000000" w:fill="FFFFFF"/>
            <w:noWrap/>
            <w:vAlign w:val="center"/>
          </w:tcPr>
          <w:p w14:paraId="5666AFB8"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122" w:type="dxa"/>
            <w:tcBorders>
              <w:left w:val="nil"/>
              <w:right w:val="nil"/>
            </w:tcBorders>
            <w:shd w:val="clear" w:color="000000" w:fill="FFFFFF"/>
            <w:noWrap/>
            <w:vAlign w:val="center"/>
          </w:tcPr>
          <w:p w14:paraId="3C700261"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w:t>
            </w:r>
          </w:p>
        </w:tc>
        <w:tc>
          <w:tcPr>
            <w:tcW w:w="1858" w:type="dxa"/>
            <w:tcBorders>
              <w:left w:val="nil"/>
              <w:right w:val="nil"/>
            </w:tcBorders>
            <w:shd w:val="clear" w:color="000000" w:fill="FFFFFF"/>
            <w:vAlign w:val="center"/>
          </w:tcPr>
          <w:p w14:paraId="30182997"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Very Likely</w:t>
            </w:r>
          </w:p>
          <w:p w14:paraId="2A006457"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Likely</w:t>
            </w:r>
          </w:p>
          <w:p w14:paraId="6C163951"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Unlikely</w:t>
            </w:r>
          </w:p>
          <w:p w14:paraId="2BA1BEDB"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Very Unlikely</w:t>
            </w:r>
          </w:p>
        </w:tc>
        <w:tc>
          <w:tcPr>
            <w:tcW w:w="2384" w:type="dxa"/>
            <w:tcBorders>
              <w:left w:val="nil"/>
              <w:right w:val="nil"/>
            </w:tcBorders>
            <w:shd w:val="clear" w:color="000000" w:fill="FFFFFF"/>
            <w:vAlign w:val="center"/>
          </w:tcPr>
          <w:p w14:paraId="772396B8"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40.20</w:t>
            </w:r>
          </w:p>
          <w:p w14:paraId="2B5A15C5"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28.22</w:t>
            </w:r>
          </w:p>
          <w:p w14:paraId="3A01E309"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18.18</w:t>
            </w:r>
          </w:p>
          <w:p w14:paraId="756F9A25"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13.40</w:t>
            </w:r>
          </w:p>
        </w:tc>
      </w:tr>
      <w:tr w:rsidR="00B72DAA" w:rsidRPr="00E200A5" w14:paraId="68079002" w14:textId="77777777" w:rsidTr="00B947BE">
        <w:trPr>
          <w:trHeight w:val="266"/>
          <w:jc w:val="center"/>
        </w:trPr>
        <w:tc>
          <w:tcPr>
            <w:tcW w:w="3076" w:type="dxa"/>
            <w:tcBorders>
              <w:left w:val="nil"/>
              <w:right w:val="nil"/>
            </w:tcBorders>
            <w:shd w:val="clear" w:color="000000" w:fill="FFFFFF"/>
            <w:noWrap/>
            <w:vAlign w:val="center"/>
          </w:tcPr>
          <w:p w14:paraId="3165AE39" w14:textId="77777777" w:rsidR="00B72DAA" w:rsidRPr="00E200A5" w:rsidRDefault="00B72DAA" w:rsidP="00C915C8">
            <w:pPr>
              <w:spacing w:after="0" w:line="480" w:lineRule="auto"/>
              <w:rPr>
                <w:rFonts w:ascii="Times New Roman" w:eastAsia="Times New Roman" w:hAnsi="Times New Roman" w:cs="Times New Roman"/>
                <w:bCs/>
                <w:lang w:eastAsia="en-GB"/>
              </w:rPr>
            </w:pPr>
          </w:p>
        </w:tc>
        <w:tc>
          <w:tcPr>
            <w:tcW w:w="341" w:type="dxa"/>
            <w:tcBorders>
              <w:left w:val="nil"/>
              <w:right w:val="nil"/>
            </w:tcBorders>
            <w:shd w:val="clear" w:color="000000" w:fill="FFFFFF"/>
            <w:vAlign w:val="center"/>
          </w:tcPr>
          <w:p w14:paraId="24D992D5"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365" w:type="dxa"/>
            <w:tcBorders>
              <w:left w:val="nil"/>
              <w:right w:val="nil"/>
            </w:tcBorders>
            <w:shd w:val="clear" w:color="000000" w:fill="FFFFFF"/>
            <w:noWrap/>
            <w:vAlign w:val="center"/>
          </w:tcPr>
          <w:p w14:paraId="49E2ABDA"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445" w:type="dxa"/>
            <w:tcBorders>
              <w:left w:val="nil"/>
              <w:right w:val="nil"/>
            </w:tcBorders>
            <w:shd w:val="clear" w:color="000000" w:fill="FFFFFF"/>
            <w:noWrap/>
            <w:vAlign w:val="center"/>
          </w:tcPr>
          <w:p w14:paraId="17E7A60F"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122" w:type="dxa"/>
            <w:tcBorders>
              <w:left w:val="nil"/>
              <w:right w:val="nil"/>
            </w:tcBorders>
            <w:shd w:val="clear" w:color="000000" w:fill="FFFFFF"/>
            <w:noWrap/>
            <w:vAlign w:val="center"/>
          </w:tcPr>
          <w:p w14:paraId="2CDA5B73"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858" w:type="dxa"/>
            <w:tcBorders>
              <w:left w:val="nil"/>
              <w:right w:val="nil"/>
            </w:tcBorders>
            <w:shd w:val="clear" w:color="000000" w:fill="FFFFFF"/>
            <w:vAlign w:val="center"/>
          </w:tcPr>
          <w:p w14:paraId="4FF327FD"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p>
        </w:tc>
        <w:tc>
          <w:tcPr>
            <w:tcW w:w="2384" w:type="dxa"/>
            <w:tcBorders>
              <w:left w:val="nil"/>
              <w:right w:val="nil"/>
            </w:tcBorders>
            <w:shd w:val="clear" w:color="000000" w:fill="FFFFFF"/>
            <w:vAlign w:val="center"/>
          </w:tcPr>
          <w:p w14:paraId="3E51ED40"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r>
      <w:tr w:rsidR="00B72DAA" w:rsidRPr="00E200A5" w14:paraId="06F5EEEC" w14:textId="77777777" w:rsidTr="00B947BE">
        <w:trPr>
          <w:trHeight w:val="266"/>
          <w:jc w:val="center"/>
        </w:trPr>
        <w:tc>
          <w:tcPr>
            <w:tcW w:w="3076" w:type="dxa"/>
            <w:tcBorders>
              <w:left w:val="nil"/>
              <w:bottom w:val="nil"/>
              <w:right w:val="nil"/>
            </w:tcBorders>
            <w:shd w:val="clear" w:color="000000" w:fill="FFFFFF"/>
            <w:noWrap/>
            <w:vAlign w:val="center"/>
            <w:hideMark/>
          </w:tcPr>
          <w:p w14:paraId="052C7BD1" w14:textId="77777777" w:rsidR="00B72DAA" w:rsidRPr="00E200A5" w:rsidRDefault="00B72DAA" w:rsidP="00C915C8">
            <w:pPr>
              <w:spacing w:after="0" w:line="480" w:lineRule="auto"/>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Numerical ability</w:t>
            </w:r>
          </w:p>
        </w:tc>
        <w:tc>
          <w:tcPr>
            <w:tcW w:w="341" w:type="dxa"/>
            <w:tcBorders>
              <w:left w:val="nil"/>
              <w:bottom w:val="nil"/>
              <w:right w:val="nil"/>
            </w:tcBorders>
            <w:shd w:val="clear" w:color="000000" w:fill="FFFFFF"/>
            <w:vAlign w:val="center"/>
          </w:tcPr>
          <w:p w14:paraId="1696A14C"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365" w:type="dxa"/>
            <w:tcBorders>
              <w:left w:val="nil"/>
              <w:bottom w:val="nil"/>
              <w:right w:val="nil"/>
            </w:tcBorders>
            <w:shd w:val="clear" w:color="000000" w:fill="FFFFFF"/>
            <w:noWrap/>
            <w:vAlign w:val="center"/>
          </w:tcPr>
          <w:p w14:paraId="2BB6A612"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3.96</w:t>
            </w:r>
          </w:p>
        </w:tc>
        <w:tc>
          <w:tcPr>
            <w:tcW w:w="445" w:type="dxa"/>
            <w:tcBorders>
              <w:left w:val="nil"/>
              <w:bottom w:val="nil"/>
              <w:right w:val="nil"/>
            </w:tcBorders>
            <w:shd w:val="clear" w:color="000000" w:fill="FFFFFF"/>
            <w:noWrap/>
            <w:vAlign w:val="center"/>
          </w:tcPr>
          <w:p w14:paraId="190DC2A1"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122" w:type="dxa"/>
            <w:tcBorders>
              <w:left w:val="nil"/>
              <w:bottom w:val="nil"/>
              <w:right w:val="nil"/>
            </w:tcBorders>
            <w:shd w:val="clear" w:color="000000" w:fill="FFFFFF"/>
            <w:noWrap/>
            <w:vAlign w:val="center"/>
          </w:tcPr>
          <w:p w14:paraId="3FF055E8"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0.99</w:t>
            </w:r>
          </w:p>
        </w:tc>
        <w:tc>
          <w:tcPr>
            <w:tcW w:w="1858" w:type="dxa"/>
            <w:tcBorders>
              <w:left w:val="nil"/>
              <w:bottom w:val="nil"/>
              <w:right w:val="nil"/>
            </w:tcBorders>
            <w:shd w:val="clear" w:color="000000" w:fill="FFFFFF"/>
            <w:vAlign w:val="center"/>
          </w:tcPr>
          <w:p w14:paraId="021C80B3"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p>
        </w:tc>
        <w:tc>
          <w:tcPr>
            <w:tcW w:w="2384" w:type="dxa"/>
            <w:tcBorders>
              <w:left w:val="nil"/>
              <w:bottom w:val="nil"/>
              <w:right w:val="nil"/>
            </w:tcBorders>
            <w:shd w:val="clear" w:color="000000" w:fill="FFFFFF"/>
            <w:vAlign w:val="center"/>
          </w:tcPr>
          <w:p w14:paraId="1A81F738"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p>
        </w:tc>
      </w:tr>
      <w:tr w:rsidR="00B72DAA" w:rsidRPr="00E200A5" w14:paraId="256B67F2" w14:textId="77777777" w:rsidTr="00B947BE">
        <w:trPr>
          <w:trHeight w:val="266"/>
          <w:jc w:val="center"/>
        </w:trPr>
        <w:tc>
          <w:tcPr>
            <w:tcW w:w="3076" w:type="dxa"/>
            <w:tcBorders>
              <w:left w:val="nil"/>
              <w:bottom w:val="nil"/>
              <w:right w:val="nil"/>
            </w:tcBorders>
            <w:shd w:val="clear" w:color="000000" w:fill="FFFFFF"/>
            <w:noWrap/>
            <w:vAlign w:val="center"/>
          </w:tcPr>
          <w:p w14:paraId="23DB9A78" w14:textId="77777777" w:rsidR="00B72DAA" w:rsidRPr="00E200A5" w:rsidRDefault="00B72DAA" w:rsidP="00C915C8">
            <w:pPr>
              <w:spacing w:after="0" w:line="480" w:lineRule="auto"/>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Verbal fluency</w:t>
            </w:r>
          </w:p>
        </w:tc>
        <w:tc>
          <w:tcPr>
            <w:tcW w:w="341" w:type="dxa"/>
            <w:tcBorders>
              <w:left w:val="nil"/>
              <w:bottom w:val="nil"/>
              <w:right w:val="nil"/>
            </w:tcBorders>
            <w:shd w:val="clear" w:color="000000" w:fill="FFFFFF"/>
            <w:vAlign w:val="center"/>
          </w:tcPr>
          <w:p w14:paraId="3AC1B30E"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365" w:type="dxa"/>
            <w:tcBorders>
              <w:left w:val="nil"/>
              <w:bottom w:val="nil"/>
              <w:right w:val="nil"/>
            </w:tcBorders>
            <w:shd w:val="clear" w:color="000000" w:fill="FFFFFF"/>
            <w:noWrap/>
            <w:vAlign w:val="center"/>
          </w:tcPr>
          <w:p w14:paraId="33FEE22C"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23.8</w:t>
            </w:r>
          </w:p>
        </w:tc>
        <w:tc>
          <w:tcPr>
            <w:tcW w:w="445" w:type="dxa"/>
            <w:tcBorders>
              <w:left w:val="nil"/>
              <w:bottom w:val="nil"/>
              <w:right w:val="nil"/>
            </w:tcBorders>
            <w:shd w:val="clear" w:color="000000" w:fill="FFFFFF"/>
            <w:noWrap/>
            <w:vAlign w:val="center"/>
          </w:tcPr>
          <w:p w14:paraId="543793C4"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122" w:type="dxa"/>
            <w:tcBorders>
              <w:left w:val="nil"/>
              <w:bottom w:val="nil"/>
              <w:right w:val="nil"/>
            </w:tcBorders>
            <w:shd w:val="clear" w:color="000000" w:fill="FFFFFF"/>
            <w:noWrap/>
            <w:vAlign w:val="center"/>
          </w:tcPr>
          <w:p w14:paraId="732CA19D"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6.56</w:t>
            </w:r>
          </w:p>
        </w:tc>
        <w:tc>
          <w:tcPr>
            <w:tcW w:w="1858" w:type="dxa"/>
            <w:tcBorders>
              <w:left w:val="nil"/>
              <w:bottom w:val="nil"/>
              <w:right w:val="nil"/>
            </w:tcBorders>
            <w:shd w:val="clear" w:color="000000" w:fill="FFFFFF"/>
            <w:vAlign w:val="center"/>
          </w:tcPr>
          <w:p w14:paraId="1240F4F5"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p>
        </w:tc>
        <w:tc>
          <w:tcPr>
            <w:tcW w:w="2384" w:type="dxa"/>
            <w:tcBorders>
              <w:left w:val="nil"/>
              <w:bottom w:val="nil"/>
              <w:right w:val="nil"/>
            </w:tcBorders>
            <w:shd w:val="clear" w:color="000000" w:fill="FFFFFF"/>
            <w:vAlign w:val="center"/>
          </w:tcPr>
          <w:p w14:paraId="6102044A"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p>
        </w:tc>
      </w:tr>
      <w:tr w:rsidR="00B72DAA" w:rsidRPr="00E200A5" w14:paraId="167CCE15" w14:textId="77777777" w:rsidTr="00B947BE">
        <w:trPr>
          <w:trHeight w:val="266"/>
          <w:jc w:val="center"/>
        </w:trPr>
        <w:tc>
          <w:tcPr>
            <w:tcW w:w="3076" w:type="dxa"/>
            <w:tcBorders>
              <w:left w:val="nil"/>
              <w:bottom w:val="nil"/>
              <w:right w:val="nil"/>
            </w:tcBorders>
            <w:shd w:val="clear" w:color="000000" w:fill="FFFFFF"/>
            <w:noWrap/>
            <w:vAlign w:val="center"/>
          </w:tcPr>
          <w:p w14:paraId="247F7952" w14:textId="77777777" w:rsidR="00B72DAA" w:rsidRPr="00E200A5" w:rsidRDefault="00B72DAA" w:rsidP="00C915C8">
            <w:pPr>
              <w:spacing w:after="0" w:line="480" w:lineRule="auto"/>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Number series score</w:t>
            </w:r>
          </w:p>
        </w:tc>
        <w:tc>
          <w:tcPr>
            <w:tcW w:w="341" w:type="dxa"/>
            <w:tcBorders>
              <w:left w:val="nil"/>
              <w:bottom w:val="nil"/>
              <w:right w:val="nil"/>
            </w:tcBorders>
            <w:shd w:val="clear" w:color="000000" w:fill="FFFFFF"/>
            <w:vAlign w:val="center"/>
          </w:tcPr>
          <w:p w14:paraId="495E006D"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365" w:type="dxa"/>
            <w:tcBorders>
              <w:left w:val="nil"/>
              <w:bottom w:val="nil"/>
              <w:right w:val="nil"/>
            </w:tcBorders>
            <w:shd w:val="clear" w:color="000000" w:fill="FFFFFF"/>
            <w:noWrap/>
            <w:vAlign w:val="center"/>
          </w:tcPr>
          <w:p w14:paraId="364333EF"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2.09</w:t>
            </w:r>
          </w:p>
        </w:tc>
        <w:tc>
          <w:tcPr>
            <w:tcW w:w="445" w:type="dxa"/>
            <w:tcBorders>
              <w:left w:val="nil"/>
              <w:bottom w:val="nil"/>
              <w:right w:val="nil"/>
            </w:tcBorders>
            <w:shd w:val="clear" w:color="000000" w:fill="FFFFFF"/>
            <w:noWrap/>
            <w:vAlign w:val="center"/>
          </w:tcPr>
          <w:p w14:paraId="4B2C2599"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122" w:type="dxa"/>
            <w:tcBorders>
              <w:left w:val="nil"/>
              <w:bottom w:val="nil"/>
              <w:right w:val="nil"/>
            </w:tcBorders>
            <w:shd w:val="clear" w:color="000000" w:fill="FFFFFF"/>
            <w:noWrap/>
            <w:vAlign w:val="center"/>
          </w:tcPr>
          <w:p w14:paraId="77AB4D3F"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0.89</w:t>
            </w:r>
          </w:p>
        </w:tc>
        <w:tc>
          <w:tcPr>
            <w:tcW w:w="1858" w:type="dxa"/>
            <w:tcBorders>
              <w:left w:val="nil"/>
              <w:bottom w:val="nil"/>
              <w:right w:val="nil"/>
            </w:tcBorders>
            <w:shd w:val="clear" w:color="000000" w:fill="FFFFFF"/>
            <w:vAlign w:val="center"/>
          </w:tcPr>
          <w:p w14:paraId="01BF74F5"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p>
        </w:tc>
        <w:tc>
          <w:tcPr>
            <w:tcW w:w="2384" w:type="dxa"/>
            <w:tcBorders>
              <w:left w:val="nil"/>
              <w:bottom w:val="nil"/>
              <w:right w:val="nil"/>
            </w:tcBorders>
            <w:shd w:val="clear" w:color="000000" w:fill="FFFFFF"/>
            <w:vAlign w:val="center"/>
          </w:tcPr>
          <w:p w14:paraId="28F69347"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p>
        </w:tc>
      </w:tr>
      <w:tr w:rsidR="00B72DAA" w:rsidRPr="00E200A5" w14:paraId="6C636C8D" w14:textId="77777777" w:rsidTr="00B947BE">
        <w:trPr>
          <w:trHeight w:val="266"/>
          <w:jc w:val="center"/>
        </w:trPr>
        <w:tc>
          <w:tcPr>
            <w:tcW w:w="3076" w:type="dxa"/>
            <w:tcBorders>
              <w:left w:val="nil"/>
              <w:bottom w:val="nil"/>
              <w:right w:val="nil"/>
            </w:tcBorders>
            <w:shd w:val="clear" w:color="000000" w:fill="FFFFFF"/>
            <w:noWrap/>
            <w:vAlign w:val="center"/>
          </w:tcPr>
          <w:p w14:paraId="4CFACA74" w14:textId="77777777" w:rsidR="00B72DAA" w:rsidRPr="00E200A5" w:rsidRDefault="00B72DAA" w:rsidP="00C915C8">
            <w:pPr>
              <w:spacing w:after="0" w:line="48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lang w:eastAsia="en-GB"/>
              </w:rPr>
              <w:t>Subtraction ability</w:t>
            </w:r>
          </w:p>
        </w:tc>
        <w:tc>
          <w:tcPr>
            <w:tcW w:w="341" w:type="dxa"/>
            <w:tcBorders>
              <w:left w:val="nil"/>
              <w:bottom w:val="nil"/>
              <w:right w:val="nil"/>
            </w:tcBorders>
            <w:shd w:val="clear" w:color="000000" w:fill="FFFFFF"/>
            <w:vAlign w:val="center"/>
          </w:tcPr>
          <w:p w14:paraId="4C35A147"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365" w:type="dxa"/>
            <w:tcBorders>
              <w:left w:val="nil"/>
              <w:bottom w:val="nil"/>
              <w:right w:val="nil"/>
            </w:tcBorders>
            <w:shd w:val="clear" w:color="000000" w:fill="FFFFFF"/>
            <w:noWrap/>
            <w:vAlign w:val="center"/>
          </w:tcPr>
          <w:p w14:paraId="4078F22A"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4.63</w:t>
            </w:r>
          </w:p>
        </w:tc>
        <w:tc>
          <w:tcPr>
            <w:tcW w:w="445" w:type="dxa"/>
            <w:tcBorders>
              <w:left w:val="nil"/>
              <w:bottom w:val="nil"/>
              <w:right w:val="nil"/>
            </w:tcBorders>
            <w:shd w:val="clear" w:color="000000" w:fill="FFFFFF"/>
            <w:noWrap/>
            <w:vAlign w:val="center"/>
          </w:tcPr>
          <w:p w14:paraId="7AEF1922"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122" w:type="dxa"/>
            <w:tcBorders>
              <w:left w:val="nil"/>
              <w:bottom w:val="nil"/>
              <w:right w:val="nil"/>
            </w:tcBorders>
            <w:shd w:val="clear" w:color="000000" w:fill="FFFFFF"/>
            <w:noWrap/>
            <w:vAlign w:val="center"/>
          </w:tcPr>
          <w:p w14:paraId="41A4326D"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0.83</w:t>
            </w:r>
          </w:p>
        </w:tc>
        <w:tc>
          <w:tcPr>
            <w:tcW w:w="1858" w:type="dxa"/>
            <w:tcBorders>
              <w:left w:val="nil"/>
              <w:bottom w:val="nil"/>
              <w:right w:val="nil"/>
            </w:tcBorders>
            <w:shd w:val="clear" w:color="000000" w:fill="FFFFFF"/>
            <w:vAlign w:val="center"/>
          </w:tcPr>
          <w:p w14:paraId="532F49DA"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p>
        </w:tc>
        <w:tc>
          <w:tcPr>
            <w:tcW w:w="2384" w:type="dxa"/>
            <w:tcBorders>
              <w:left w:val="nil"/>
              <w:bottom w:val="nil"/>
              <w:right w:val="nil"/>
            </w:tcBorders>
            <w:shd w:val="clear" w:color="000000" w:fill="FFFFFF"/>
            <w:vAlign w:val="center"/>
          </w:tcPr>
          <w:p w14:paraId="58310A42"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p>
        </w:tc>
      </w:tr>
      <w:tr w:rsidR="00B72DAA" w:rsidRPr="00E200A5" w14:paraId="3DBED85E" w14:textId="77777777" w:rsidTr="00B947BE">
        <w:trPr>
          <w:trHeight w:val="266"/>
          <w:jc w:val="center"/>
        </w:trPr>
        <w:tc>
          <w:tcPr>
            <w:tcW w:w="3076" w:type="dxa"/>
            <w:tcBorders>
              <w:top w:val="nil"/>
              <w:left w:val="nil"/>
              <w:bottom w:val="nil"/>
              <w:right w:val="nil"/>
            </w:tcBorders>
            <w:shd w:val="clear" w:color="000000" w:fill="FFFFFF"/>
            <w:noWrap/>
            <w:vAlign w:val="center"/>
            <w:hideMark/>
          </w:tcPr>
          <w:p w14:paraId="3D48509D" w14:textId="77777777" w:rsidR="00B72DAA" w:rsidRPr="00E200A5" w:rsidRDefault="00B72DAA" w:rsidP="00C915C8">
            <w:pPr>
              <w:spacing w:after="0" w:line="480" w:lineRule="auto"/>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Delayed word recall</w:t>
            </w:r>
          </w:p>
        </w:tc>
        <w:tc>
          <w:tcPr>
            <w:tcW w:w="341" w:type="dxa"/>
            <w:tcBorders>
              <w:top w:val="nil"/>
              <w:left w:val="nil"/>
              <w:bottom w:val="nil"/>
              <w:right w:val="nil"/>
            </w:tcBorders>
            <w:shd w:val="clear" w:color="000000" w:fill="FFFFFF"/>
            <w:vAlign w:val="center"/>
          </w:tcPr>
          <w:p w14:paraId="1A496663"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365" w:type="dxa"/>
            <w:tcBorders>
              <w:top w:val="nil"/>
              <w:left w:val="nil"/>
              <w:bottom w:val="nil"/>
              <w:right w:val="nil"/>
            </w:tcBorders>
            <w:shd w:val="clear" w:color="000000" w:fill="FFFFFF"/>
            <w:noWrap/>
            <w:vAlign w:val="center"/>
            <w:hideMark/>
          </w:tcPr>
          <w:p w14:paraId="0CE9A528"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5.76</w:t>
            </w:r>
          </w:p>
        </w:tc>
        <w:tc>
          <w:tcPr>
            <w:tcW w:w="445" w:type="dxa"/>
            <w:tcBorders>
              <w:top w:val="nil"/>
              <w:left w:val="nil"/>
              <w:bottom w:val="nil"/>
              <w:right w:val="nil"/>
            </w:tcBorders>
            <w:shd w:val="clear" w:color="000000" w:fill="FFFFFF"/>
            <w:noWrap/>
            <w:vAlign w:val="center"/>
            <w:hideMark/>
          </w:tcPr>
          <w:p w14:paraId="7A71A40E"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122" w:type="dxa"/>
            <w:tcBorders>
              <w:top w:val="nil"/>
              <w:left w:val="nil"/>
              <w:bottom w:val="nil"/>
              <w:right w:val="nil"/>
            </w:tcBorders>
            <w:shd w:val="clear" w:color="000000" w:fill="FFFFFF"/>
            <w:noWrap/>
            <w:vAlign w:val="center"/>
            <w:hideMark/>
          </w:tcPr>
          <w:p w14:paraId="74AF9396"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1.90</w:t>
            </w:r>
          </w:p>
        </w:tc>
        <w:tc>
          <w:tcPr>
            <w:tcW w:w="1858" w:type="dxa"/>
            <w:tcBorders>
              <w:top w:val="nil"/>
              <w:left w:val="nil"/>
              <w:bottom w:val="nil"/>
              <w:right w:val="nil"/>
            </w:tcBorders>
            <w:shd w:val="clear" w:color="000000" w:fill="FFFFFF"/>
            <w:vAlign w:val="center"/>
          </w:tcPr>
          <w:p w14:paraId="0EBDCDEB"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2384" w:type="dxa"/>
            <w:tcBorders>
              <w:top w:val="nil"/>
              <w:left w:val="nil"/>
              <w:bottom w:val="nil"/>
              <w:right w:val="nil"/>
            </w:tcBorders>
            <w:shd w:val="clear" w:color="000000" w:fill="FFFFFF"/>
            <w:vAlign w:val="center"/>
          </w:tcPr>
          <w:p w14:paraId="22915D8E"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r>
      <w:tr w:rsidR="00B72DAA" w:rsidRPr="00E200A5" w14:paraId="2645FD46" w14:textId="77777777" w:rsidTr="00B947BE">
        <w:trPr>
          <w:trHeight w:val="266"/>
          <w:jc w:val="center"/>
        </w:trPr>
        <w:tc>
          <w:tcPr>
            <w:tcW w:w="3076" w:type="dxa"/>
            <w:tcBorders>
              <w:top w:val="nil"/>
              <w:left w:val="nil"/>
              <w:bottom w:val="nil"/>
              <w:right w:val="nil"/>
            </w:tcBorders>
            <w:shd w:val="clear" w:color="000000" w:fill="FFFFFF"/>
            <w:noWrap/>
            <w:vAlign w:val="center"/>
            <w:hideMark/>
          </w:tcPr>
          <w:p w14:paraId="5D7F6870" w14:textId="77777777" w:rsidR="00B72DAA" w:rsidRPr="00E200A5" w:rsidRDefault="00B72DAA" w:rsidP="00C915C8">
            <w:pPr>
              <w:spacing w:after="0" w:line="480" w:lineRule="auto"/>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Immediate word recall</w:t>
            </w:r>
          </w:p>
        </w:tc>
        <w:tc>
          <w:tcPr>
            <w:tcW w:w="341" w:type="dxa"/>
            <w:tcBorders>
              <w:top w:val="nil"/>
              <w:left w:val="nil"/>
              <w:bottom w:val="nil"/>
              <w:right w:val="nil"/>
            </w:tcBorders>
            <w:shd w:val="clear" w:color="000000" w:fill="FFFFFF"/>
            <w:vAlign w:val="center"/>
          </w:tcPr>
          <w:p w14:paraId="7BD665CD"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365" w:type="dxa"/>
            <w:tcBorders>
              <w:top w:val="nil"/>
              <w:left w:val="nil"/>
              <w:bottom w:val="nil"/>
              <w:right w:val="nil"/>
            </w:tcBorders>
            <w:shd w:val="clear" w:color="000000" w:fill="FFFFFF"/>
            <w:noWrap/>
            <w:vAlign w:val="center"/>
            <w:hideMark/>
          </w:tcPr>
          <w:p w14:paraId="6B0C76DC"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6.73</w:t>
            </w:r>
          </w:p>
        </w:tc>
        <w:tc>
          <w:tcPr>
            <w:tcW w:w="445" w:type="dxa"/>
            <w:tcBorders>
              <w:top w:val="nil"/>
              <w:left w:val="nil"/>
              <w:bottom w:val="nil"/>
              <w:right w:val="nil"/>
            </w:tcBorders>
            <w:shd w:val="clear" w:color="000000" w:fill="FFFFFF"/>
            <w:noWrap/>
            <w:vAlign w:val="center"/>
            <w:hideMark/>
          </w:tcPr>
          <w:p w14:paraId="5838CCD5"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122" w:type="dxa"/>
            <w:tcBorders>
              <w:top w:val="nil"/>
              <w:left w:val="nil"/>
              <w:bottom w:val="nil"/>
              <w:right w:val="nil"/>
            </w:tcBorders>
            <w:shd w:val="clear" w:color="000000" w:fill="FFFFFF"/>
            <w:noWrap/>
            <w:vAlign w:val="center"/>
            <w:hideMark/>
          </w:tcPr>
          <w:p w14:paraId="1616EB69"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1.49</w:t>
            </w:r>
          </w:p>
        </w:tc>
        <w:tc>
          <w:tcPr>
            <w:tcW w:w="1858" w:type="dxa"/>
            <w:tcBorders>
              <w:top w:val="nil"/>
              <w:left w:val="nil"/>
              <w:bottom w:val="nil"/>
              <w:right w:val="nil"/>
            </w:tcBorders>
            <w:shd w:val="clear" w:color="000000" w:fill="FFFFFF"/>
            <w:vAlign w:val="center"/>
          </w:tcPr>
          <w:p w14:paraId="0851E16E"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2384" w:type="dxa"/>
            <w:tcBorders>
              <w:top w:val="nil"/>
              <w:left w:val="nil"/>
              <w:bottom w:val="nil"/>
              <w:right w:val="nil"/>
            </w:tcBorders>
            <w:shd w:val="clear" w:color="000000" w:fill="FFFFFF"/>
            <w:vAlign w:val="center"/>
          </w:tcPr>
          <w:p w14:paraId="4841FAF9"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r>
      <w:tr w:rsidR="00B72DAA" w:rsidRPr="00E200A5" w14:paraId="34123B98" w14:textId="77777777" w:rsidTr="00B947BE">
        <w:trPr>
          <w:trHeight w:val="266"/>
          <w:jc w:val="center"/>
        </w:trPr>
        <w:tc>
          <w:tcPr>
            <w:tcW w:w="3076" w:type="dxa"/>
            <w:tcBorders>
              <w:top w:val="nil"/>
              <w:left w:val="nil"/>
              <w:bottom w:val="nil"/>
              <w:right w:val="nil"/>
            </w:tcBorders>
            <w:shd w:val="clear" w:color="000000" w:fill="FFFFFF"/>
            <w:noWrap/>
            <w:vAlign w:val="center"/>
            <w:hideMark/>
          </w:tcPr>
          <w:p w14:paraId="66121F99" w14:textId="77777777" w:rsidR="00B72DAA" w:rsidRPr="00E200A5" w:rsidRDefault="00B72DAA" w:rsidP="00C915C8">
            <w:pPr>
              <w:spacing w:after="0" w:line="480" w:lineRule="auto"/>
              <w:rPr>
                <w:rFonts w:ascii="Times New Roman" w:eastAsia="Times New Roman" w:hAnsi="Times New Roman" w:cs="Times New Roman"/>
                <w:lang w:eastAsia="en-GB"/>
              </w:rPr>
            </w:pPr>
            <w:r w:rsidRPr="00E200A5">
              <w:rPr>
                <w:rFonts w:ascii="Times New Roman" w:eastAsia="Times New Roman" w:hAnsi="Times New Roman" w:cs="Times New Roman"/>
                <w:color w:val="000000"/>
                <w:lang w:eastAsia="en-GB"/>
              </w:rPr>
              <w:t>Agreeableness</w:t>
            </w:r>
          </w:p>
        </w:tc>
        <w:tc>
          <w:tcPr>
            <w:tcW w:w="341" w:type="dxa"/>
            <w:tcBorders>
              <w:top w:val="nil"/>
              <w:left w:val="nil"/>
              <w:bottom w:val="nil"/>
              <w:right w:val="nil"/>
            </w:tcBorders>
            <w:shd w:val="clear" w:color="000000" w:fill="FFFFFF"/>
            <w:vAlign w:val="center"/>
          </w:tcPr>
          <w:p w14:paraId="6053211F"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365" w:type="dxa"/>
            <w:tcBorders>
              <w:top w:val="nil"/>
              <w:left w:val="nil"/>
              <w:bottom w:val="nil"/>
              <w:right w:val="nil"/>
            </w:tcBorders>
            <w:shd w:val="clear" w:color="000000" w:fill="FFFFFF"/>
            <w:noWrap/>
            <w:vAlign w:val="center"/>
            <w:hideMark/>
          </w:tcPr>
          <w:p w14:paraId="702A9BB8"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color w:val="000000"/>
                <w:lang w:eastAsia="en-GB"/>
              </w:rPr>
              <w:t>5.62</w:t>
            </w:r>
          </w:p>
        </w:tc>
        <w:tc>
          <w:tcPr>
            <w:tcW w:w="445" w:type="dxa"/>
            <w:tcBorders>
              <w:top w:val="nil"/>
              <w:left w:val="nil"/>
              <w:bottom w:val="nil"/>
              <w:right w:val="nil"/>
            </w:tcBorders>
            <w:shd w:val="clear" w:color="000000" w:fill="FFFFFF"/>
            <w:noWrap/>
            <w:vAlign w:val="center"/>
            <w:hideMark/>
          </w:tcPr>
          <w:p w14:paraId="2DA4CC8B"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122" w:type="dxa"/>
            <w:tcBorders>
              <w:top w:val="nil"/>
              <w:left w:val="nil"/>
              <w:bottom w:val="nil"/>
              <w:right w:val="nil"/>
            </w:tcBorders>
            <w:shd w:val="clear" w:color="000000" w:fill="FFFFFF"/>
            <w:noWrap/>
            <w:vAlign w:val="center"/>
            <w:hideMark/>
          </w:tcPr>
          <w:p w14:paraId="2647BD26"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color w:val="000000"/>
                <w:lang w:eastAsia="en-GB"/>
              </w:rPr>
              <w:t>0.94</w:t>
            </w:r>
          </w:p>
        </w:tc>
        <w:tc>
          <w:tcPr>
            <w:tcW w:w="1858" w:type="dxa"/>
            <w:tcBorders>
              <w:top w:val="nil"/>
              <w:left w:val="nil"/>
              <w:bottom w:val="nil"/>
              <w:right w:val="nil"/>
            </w:tcBorders>
            <w:shd w:val="clear" w:color="000000" w:fill="FFFFFF"/>
            <w:vAlign w:val="center"/>
          </w:tcPr>
          <w:p w14:paraId="29302DAD"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2384" w:type="dxa"/>
            <w:tcBorders>
              <w:top w:val="nil"/>
              <w:left w:val="nil"/>
              <w:bottom w:val="nil"/>
              <w:right w:val="nil"/>
            </w:tcBorders>
            <w:shd w:val="clear" w:color="000000" w:fill="FFFFFF"/>
            <w:vAlign w:val="center"/>
          </w:tcPr>
          <w:p w14:paraId="38551BA4"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r>
      <w:tr w:rsidR="00B72DAA" w:rsidRPr="00E200A5" w14:paraId="68F895FB" w14:textId="77777777" w:rsidTr="00B947BE">
        <w:trPr>
          <w:trHeight w:val="266"/>
          <w:jc w:val="center"/>
        </w:trPr>
        <w:tc>
          <w:tcPr>
            <w:tcW w:w="3076" w:type="dxa"/>
            <w:tcBorders>
              <w:top w:val="nil"/>
              <w:left w:val="nil"/>
              <w:bottom w:val="nil"/>
              <w:right w:val="nil"/>
            </w:tcBorders>
            <w:shd w:val="clear" w:color="000000" w:fill="FFFFFF"/>
            <w:noWrap/>
            <w:vAlign w:val="center"/>
            <w:hideMark/>
          </w:tcPr>
          <w:p w14:paraId="3A8507F7" w14:textId="77777777" w:rsidR="00B72DAA" w:rsidRPr="00E200A5" w:rsidRDefault="00B72DAA" w:rsidP="00C915C8">
            <w:pPr>
              <w:spacing w:after="0" w:line="480" w:lineRule="auto"/>
              <w:rPr>
                <w:rFonts w:ascii="Times New Roman" w:eastAsia="Times New Roman" w:hAnsi="Times New Roman" w:cs="Times New Roman"/>
                <w:lang w:eastAsia="en-GB"/>
              </w:rPr>
            </w:pPr>
            <w:r w:rsidRPr="00E200A5">
              <w:rPr>
                <w:rFonts w:ascii="Times New Roman" w:eastAsia="Times New Roman" w:hAnsi="Times New Roman" w:cs="Times New Roman"/>
                <w:color w:val="000000"/>
                <w:lang w:eastAsia="en-GB"/>
              </w:rPr>
              <w:t>Extraversion</w:t>
            </w:r>
          </w:p>
        </w:tc>
        <w:tc>
          <w:tcPr>
            <w:tcW w:w="341" w:type="dxa"/>
            <w:tcBorders>
              <w:top w:val="nil"/>
              <w:left w:val="nil"/>
              <w:bottom w:val="nil"/>
              <w:right w:val="nil"/>
            </w:tcBorders>
            <w:shd w:val="clear" w:color="000000" w:fill="FFFFFF"/>
            <w:vAlign w:val="center"/>
          </w:tcPr>
          <w:p w14:paraId="1C8F6F17"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365" w:type="dxa"/>
            <w:tcBorders>
              <w:top w:val="nil"/>
              <w:left w:val="nil"/>
              <w:bottom w:val="nil"/>
              <w:right w:val="nil"/>
            </w:tcBorders>
            <w:shd w:val="clear" w:color="000000" w:fill="FFFFFF"/>
            <w:noWrap/>
            <w:vAlign w:val="center"/>
            <w:hideMark/>
          </w:tcPr>
          <w:p w14:paraId="45A58F76"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color w:val="000000"/>
                <w:lang w:eastAsia="en-GB"/>
              </w:rPr>
              <w:t>4.54</w:t>
            </w:r>
          </w:p>
        </w:tc>
        <w:tc>
          <w:tcPr>
            <w:tcW w:w="445" w:type="dxa"/>
            <w:tcBorders>
              <w:top w:val="nil"/>
              <w:left w:val="nil"/>
              <w:bottom w:val="nil"/>
              <w:right w:val="nil"/>
            </w:tcBorders>
            <w:shd w:val="clear" w:color="000000" w:fill="FFFFFF"/>
            <w:noWrap/>
            <w:vAlign w:val="center"/>
            <w:hideMark/>
          </w:tcPr>
          <w:p w14:paraId="7B7D6DFE"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122" w:type="dxa"/>
            <w:tcBorders>
              <w:top w:val="nil"/>
              <w:left w:val="nil"/>
              <w:bottom w:val="nil"/>
              <w:right w:val="nil"/>
            </w:tcBorders>
            <w:shd w:val="clear" w:color="000000" w:fill="FFFFFF"/>
            <w:noWrap/>
            <w:vAlign w:val="center"/>
            <w:hideMark/>
          </w:tcPr>
          <w:p w14:paraId="15F19818"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color w:val="000000"/>
                <w:lang w:eastAsia="en-GB"/>
              </w:rPr>
              <w:t>1.26</w:t>
            </w:r>
          </w:p>
        </w:tc>
        <w:tc>
          <w:tcPr>
            <w:tcW w:w="1858" w:type="dxa"/>
            <w:tcBorders>
              <w:top w:val="nil"/>
              <w:left w:val="nil"/>
              <w:bottom w:val="nil"/>
              <w:right w:val="nil"/>
            </w:tcBorders>
            <w:shd w:val="clear" w:color="000000" w:fill="FFFFFF"/>
            <w:vAlign w:val="center"/>
          </w:tcPr>
          <w:p w14:paraId="70649D11"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2384" w:type="dxa"/>
            <w:tcBorders>
              <w:top w:val="nil"/>
              <w:left w:val="nil"/>
              <w:bottom w:val="nil"/>
              <w:right w:val="nil"/>
            </w:tcBorders>
            <w:shd w:val="clear" w:color="000000" w:fill="FFFFFF"/>
            <w:vAlign w:val="center"/>
          </w:tcPr>
          <w:p w14:paraId="5EEA98E6"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r>
      <w:tr w:rsidR="00B72DAA" w:rsidRPr="00E200A5" w14:paraId="25CCAB5A" w14:textId="77777777" w:rsidTr="00B947BE">
        <w:trPr>
          <w:trHeight w:val="266"/>
          <w:jc w:val="center"/>
        </w:trPr>
        <w:tc>
          <w:tcPr>
            <w:tcW w:w="3076" w:type="dxa"/>
            <w:tcBorders>
              <w:top w:val="nil"/>
              <w:left w:val="nil"/>
              <w:bottom w:val="nil"/>
              <w:right w:val="nil"/>
            </w:tcBorders>
            <w:shd w:val="clear" w:color="000000" w:fill="FFFFFF"/>
            <w:noWrap/>
            <w:vAlign w:val="center"/>
            <w:hideMark/>
          </w:tcPr>
          <w:p w14:paraId="239EA3A3" w14:textId="77777777" w:rsidR="00B72DAA" w:rsidRPr="00E200A5" w:rsidRDefault="00B72DAA" w:rsidP="00C915C8">
            <w:pPr>
              <w:spacing w:after="0" w:line="480" w:lineRule="auto"/>
              <w:rPr>
                <w:rFonts w:ascii="Times New Roman" w:eastAsia="Times New Roman" w:hAnsi="Times New Roman" w:cs="Times New Roman"/>
                <w:lang w:eastAsia="en-GB"/>
              </w:rPr>
            </w:pPr>
            <w:r w:rsidRPr="00E200A5">
              <w:rPr>
                <w:rFonts w:ascii="Times New Roman" w:eastAsia="Times New Roman" w:hAnsi="Times New Roman" w:cs="Times New Roman"/>
                <w:color w:val="000000"/>
                <w:lang w:eastAsia="en-GB"/>
              </w:rPr>
              <w:t>Neuroticism</w:t>
            </w:r>
          </w:p>
        </w:tc>
        <w:tc>
          <w:tcPr>
            <w:tcW w:w="341" w:type="dxa"/>
            <w:tcBorders>
              <w:top w:val="nil"/>
              <w:left w:val="nil"/>
              <w:bottom w:val="nil"/>
              <w:right w:val="nil"/>
            </w:tcBorders>
            <w:shd w:val="clear" w:color="000000" w:fill="FFFFFF"/>
            <w:vAlign w:val="center"/>
          </w:tcPr>
          <w:p w14:paraId="17F87BCF"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365" w:type="dxa"/>
            <w:tcBorders>
              <w:top w:val="nil"/>
              <w:left w:val="nil"/>
              <w:bottom w:val="nil"/>
              <w:right w:val="nil"/>
            </w:tcBorders>
            <w:shd w:val="clear" w:color="000000" w:fill="FFFFFF"/>
            <w:noWrap/>
            <w:vAlign w:val="center"/>
            <w:hideMark/>
          </w:tcPr>
          <w:p w14:paraId="32B274A4"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color w:val="000000"/>
                <w:lang w:eastAsia="en-GB"/>
              </w:rPr>
              <w:t>3.56</w:t>
            </w:r>
          </w:p>
        </w:tc>
        <w:tc>
          <w:tcPr>
            <w:tcW w:w="445" w:type="dxa"/>
            <w:tcBorders>
              <w:top w:val="nil"/>
              <w:left w:val="nil"/>
              <w:bottom w:val="nil"/>
              <w:right w:val="nil"/>
            </w:tcBorders>
            <w:shd w:val="clear" w:color="000000" w:fill="FFFFFF"/>
            <w:noWrap/>
            <w:vAlign w:val="center"/>
            <w:hideMark/>
          </w:tcPr>
          <w:p w14:paraId="03317326"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122" w:type="dxa"/>
            <w:tcBorders>
              <w:top w:val="nil"/>
              <w:left w:val="nil"/>
              <w:bottom w:val="nil"/>
              <w:right w:val="nil"/>
            </w:tcBorders>
            <w:shd w:val="clear" w:color="000000" w:fill="FFFFFF"/>
            <w:noWrap/>
            <w:vAlign w:val="center"/>
            <w:hideMark/>
          </w:tcPr>
          <w:p w14:paraId="1B1B3BCB"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color w:val="000000"/>
                <w:lang w:eastAsia="en-GB"/>
              </w:rPr>
              <w:t>1.36</w:t>
            </w:r>
          </w:p>
        </w:tc>
        <w:tc>
          <w:tcPr>
            <w:tcW w:w="1858" w:type="dxa"/>
            <w:tcBorders>
              <w:top w:val="nil"/>
              <w:left w:val="nil"/>
              <w:bottom w:val="nil"/>
              <w:right w:val="nil"/>
            </w:tcBorders>
            <w:shd w:val="clear" w:color="000000" w:fill="FFFFFF"/>
            <w:vAlign w:val="center"/>
          </w:tcPr>
          <w:p w14:paraId="7ED19D0E"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2384" w:type="dxa"/>
            <w:tcBorders>
              <w:top w:val="nil"/>
              <w:left w:val="nil"/>
              <w:bottom w:val="nil"/>
              <w:right w:val="nil"/>
            </w:tcBorders>
            <w:shd w:val="clear" w:color="000000" w:fill="FFFFFF"/>
            <w:vAlign w:val="center"/>
          </w:tcPr>
          <w:p w14:paraId="4A832FC6"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r>
      <w:tr w:rsidR="00B72DAA" w:rsidRPr="00E200A5" w14:paraId="6618AE2E" w14:textId="77777777" w:rsidTr="00B947BE">
        <w:trPr>
          <w:trHeight w:val="266"/>
          <w:jc w:val="center"/>
        </w:trPr>
        <w:tc>
          <w:tcPr>
            <w:tcW w:w="3076" w:type="dxa"/>
            <w:tcBorders>
              <w:top w:val="nil"/>
              <w:left w:val="nil"/>
              <w:bottom w:val="nil"/>
              <w:right w:val="nil"/>
            </w:tcBorders>
            <w:shd w:val="clear" w:color="000000" w:fill="FFFFFF"/>
            <w:noWrap/>
            <w:vAlign w:val="center"/>
            <w:hideMark/>
          </w:tcPr>
          <w:p w14:paraId="37D66F2B" w14:textId="77777777" w:rsidR="00B72DAA" w:rsidRPr="00E200A5" w:rsidRDefault="00B72DAA" w:rsidP="00C915C8">
            <w:pPr>
              <w:spacing w:after="0" w:line="480" w:lineRule="auto"/>
              <w:rPr>
                <w:rFonts w:ascii="Times New Roman" w:eastAsia="Times New Roman" w:hAnsi="Times New Roman" w:cs="Times New Roman"/>
                <w:lang w:eastAsia="en-GB"/>
              </w:rPr>
            </w:pPr>
            <w:r w:rsidRPr="00E200A5">
              <w:rPr>
                <w:rFonts w:ascii="Times New Roman" w:eastAsia="Times New Roman" w:hAnsi="Times New Roman" w:cs="Times New Roman"/>
                <w:color w:val="000000"/>
                <w:lang w:eastAsia="en-GB"/>
              </w:rPr>
              <w:t>Openness</w:t>
            </w:r>
          </w:p>
        </w:tc>
        <w:tc>
          <w:tcPr>
            <w:tcW w:w="341" w:type="dxa"/>
            <w:tcBorders>
              <w:top w:val="nil"/>
              <w:left w:val="nil"/>
              <w:bottom w:val="nil"/>
              <w:right w:val="nil"/>
            </w:tcBorders>
            <w:shd w:val="clear" w:color="000000" w:fill="FFFFFF"/>
            <w:vAlign w:val="center"/>
          </w:tcPr>
          <w:p w14:paraId="3873856F"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365" w:type="dxa"/>
            <w:tcBorders>
              <w:top w:val="nil"/>
              <w:left w:val="nil"/>
              <w:bottom w:val="nil"/>
              <w:right w:val="nil"/>
            </w:tcBorders>
            <w:shd w:val="clear" w:color="000000" w:fill="FFFFFF"/>
            <w:noWrap/>
            <w:vAlign w:val="center"/>
            <w:hideMark/>
          </w:tcPr>
          <w:p w14:paraId="42D2D1BC"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color w:val="000000"/>
                <w:lang w:eastAsia="en-GB"/>
              </w:rPr>
              <w:t>4.62</w:t>
            </w:r>
          </w:p>
        </w:tc>
        <w:tc>
          <w:tcPr>
            <w:tcW w:w="445" w:type="dxa"/>
            <w:tcBorders>
              <w:top w:val="nil"/>
              <w:left w:val="nil"/>
              <w:bottom w:val="nil"/>
              <w:right w:val="nil"/>
            </w:tcBorders>
            <w:shd w:val="clear" w:color="000000" w:fill="FFFFFF"/>
            <w:noWrap/>
            <w:vAlign w:val="center"/>
            <w:hideMark/>
          </w:tcPr>
          <w:p w14:paraId="2CC4EE0B"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1122" w:type="dxa"/>
            <w:tcBorders>
              <w:top w:val="nil"/>
              <w:left w:val="nil"/>
              <w:bottom w:val="nil"/>
              <w:right w:val="nil"/>
            </w:tcBorders>
            <w:shd w:val="clear" w:color="000000" w:fill="FFFFFF"/>
            <w:noWrap/>
            <w:vAlign w:val="center"/>
            <w:hideMark/>
          </w:tcPr>
          <w:p w14:paraId="19ECE02F"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r w:rsidRPr="00E200A5">
              <w:rPr>
                <w:rFonts w:ascii="Times New Roman" w:eastAsia="Times New Roman" w:hAnsi="Times New Roman" w:cs="Times New Roman"/>
                <w:color w:val="000000"/>
                <w:lang w:eastAsia="en-GB"/>
              </w:rPr>
              <w:t>1.17</w:t>
            </w:r>
          </w:p>
        </w:tc>
        <w:tc>
          <w:tcPr>
            <w:tcW w:w="1858" w:type="dxa"/>
            <w:tcBorders>
              <w:top w:val="nil"/>
              <w:left w:val="nil"/>
              <w:bottom w:val="nil"/>
              <w:right w:val="nil"/>
            </w:tcBorders>
            <w:shd w:val="clear" w:color="000000" w:fill="FFFFFF"/>
            <w:vAlign w:val="center"/>
          </w:tcPr>
          <w:p w14:paraId="2F6129CA"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c>
          <w:tcPr>
            <w:tcW w:w="2384" w:type="dxa"/>
            <w:tcBorders>
              <w:top w:val="nil"/>
              <w:left w:val="nil"/>
              <w:bottom w:val="nil"/>
              <w:right w:val="nil"/>
            </w:tcBorders>
            <w:shd w:val="clear" w:color="000000" w:fill="FFFFFF"/>
            <w:vAlign w:val="center"/>
          </w:tcPr>
          <w:p w14:paraId="3D8D057F" w14:textId="77777777" w:rsidR="00B72DAA" w:rsidRPr="00E200A5" w:rsidRDefault="00B72DAA" w:rsidP="00C915C8">
            <w:pPr>
              <w:spacing w:after="0" w:line="480" w:lineRule="auto"/>
              <w:jc w:val="center"/>
              <w:rPr>
                <w:rFonts w:ascii="Times New Roman" w:eastAsia="Times New Roman" w:hAnsi="Times New Roman" w:cs="Times New Roman"/>
                <w:lang w:eastAsia="en-GB"/>
              </w:rPr>
            </w:pPr>
          </w:p>
        </w:tc>
      </w:tr>
      <w:tr w:rsidR="00B72DAA" w:rsidRPr="00E200A5" w14:paraId="6246D097" w14:textId="77777777" w:rsidTr="00B947BE">
        <w:trPr>
          <w:trHeight w:val="266"/>
          <w:jc w:val="center"/>
        </w:trPr>
        <w:tc>
          <w:tcPr>
            <w:tcW w:w="3076" w:type="dxa"/>
            <w:tcBorders>
              <w:top w:val="nil"/>
              <w:left w:val="nil"/>
              <w:bottom w:val="nil"/>
              <w:right w:val="nil"/>
            </w:tcBorders>
            <w:shd w:val="clear" w:color="000000" w:fill="FFFFFF"/>
            <w:noWrap/>
            <w:vAlign w:val="center"/>
            <w:hideMark/>
          </w:tcPr>
          <w:p w14:paraId="5BDEFAC5" w14:textId="77777777" w:rsidR="00B72DAA" w:rsidRPr="00E200A5" w:rsidRDefault="00B72DAA" w:rsidP="00C915C8">
            <w:pPr>
              <w:spacing w:after="0" w:line="48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Conscientiousness</w:t>
            </w:r>
          </w:p>
        </w:tc>
        <w:tc>
          <w:tcPr>
            <w:tcW w:w="341" w:type="dxa"/>
            <w:tcBorders>
              <w:top w:val="nil"/>
              <w:left w:val="nil"/>
              <w:bottom w:val="nil"/>
              <w:right w:val="nil"/>
            </w:tcBorders>
            <w:shd w:val="clear" w:color="000000" w:fill="FFFFFF"/>
            <w:vAlign w:val="center"/>
          </w:tcPr>
          <w:p w14:paraId="14472C2A"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p>
        </w:tc>
        <w:tc>
          <w:tcPr>
            <w:tcW w:w="1365" w:type="dxa"/>
            <w:tcBorders>
              <w:top w:val="nil"/>
              <w:left w:val="nil"/>
              <w:bottom w:val="nil"/>
              <w:right w:val="nil"/>
            </w:tcBorders>
            <w:shd w:val="clear" w:color="000000" w:fill="FFFFFF"/>
            <w:noWrap/>
            <w:vAlign w:val="center"/>
            <w:hideMark/>
          </w:tcPr>
          <w:p w14:paraId="0975FD82"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5.57</w:t>
            </w:r>
          </w:p>
        </w:tc>
        <w:tc>
          <w:tcPr>
            <w:tcW w:w="445" w:type="dxa"/>
            <w:tcBorders>
              <w:top w:val="nil"/>
              <w:left w:val="nil"/>
              <w:bottom w:val="nil"/>
              <w:right w:val="nil"/>
            </w:tcBorders>
            <w:shd w:val="clear" w:color="000000" w:fill="FFFFFF"/>
            <w:noWrap/>
            <w:vAlign w:val="center"/>
            <w:hideMark/>
          </w:tcPr>
          <w:p w14:paraId="0E8B2B30"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p>
        </w:tc>
        <w:tc>
          <w:tcPr>
            <w:tcW w:w="1122" w:type="dxa"/>
            <w:tcBorders>
              <w:top w:val="nil"/>
              <w:left w:val="nil"/>
              <w:bottom w:val="nil"/>
              <w:right w:val="nil"/>
            </w:tcBorders>
            <w:shd w:val="clear" w:color="000000" w:fill="FFFFFF"/>
            <w:noWrap/>
            <w:vAlign w:val="center"/>
            <w:hideMark/>
          </w:tcPr>
          <w:p w14:paraId="0C048471"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0.97</w:t>
            </w:r>
          </w:p>
        </w:tc>
        <w:tc>
          <w:tcPr>
            <w:tcW w:w="1858" w:type="dxa"/>
            <w:tcBorders>
              <w:top w:val="nil"/>
              <w:left w:val="nil"/>
              <w:bottom w:val="nil"/>
              <w:right w:val="nil"/>
            </w:tcBorders>
            <w:shd w:val="clear" w:color="000000" w:fill="FFFFFF"/>
            <w:vAlign w:val="center"/>
          </w:tcPr>
          <w:p w14:paraId="245998C7"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p>
        </w:tc>
        <w:tc>
          <w:tcPr>
            <w:tcW w:w="2384" w:type="dxa"/>
            <w:tcBorders>
              <w:top w:val="nil"/>
              <w:left w:val="nil"/>
              <w:bottom w:val="nil"/>
              <w:right w:val="nil"/>
            </w:tcBorders>
            <w:shd w:val="clear" w:color="000000" w:fill="FFFFFF"/>
            <w:vAlign w:val="center"/>
          </w:tcPr>
          <w:p w14:paraId="1C46C6D6"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p>
        </w:tc>
      </w:tr>
      <w:tr w:rsidR="00B72DAA" w:rsidRPr="00E200A5" w14:paraId="14AE8B91" w14:textId="77777777" w:rsidTr="00B947BE">
        <w:trPr>
          <w:trHeight w:val="266"/>
          <w:jc w:val="center"/>
        </w:trPr>
        <w:tc>
          <w:tcPr>
            <w:tcW w:w="3076" w:type="dxa"/>
            <w:tcBorders>
              <w:top w:val="nil"/>
              <w:left w:val="nil"/>
              <w:bottom w:val="nil"/>
              <w:right w:val="nil"/>
            </w:tcBorders>
            <w:shd w:val="clear" w:color="000000" w:fill="FFFFFF"/>
            <w:noWrap/>
            <w:vAlign w:val="center"/>
            <w:hideMark/>
          </w:tcPr>
          <w:p w14:paraId="51BD0A52" w14:textId="0914DC30" w:rsidR="00B72DAA" w:rsidRPr="00E200A5" w:rsidRDefault="00B72DAA" w:rsidP="00C915C8">
            <w:pPr>
              <w:spacing w:after="0" w:line="48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 xml:space="preserve">Self-rated </w:t>
            </w:r>
            <w:r w:rsidR="000D1673" w:rsidRPr="00E200A5">
              <w:rPr>
                <w:rFonts w:ascii="Times New Roman" w:eastAsia="Times New Roman" w:hAnsi="Times New Roman" w:cs="Times New Roman"/>
                <w:color w:val="000000"/>
                <w:lang w:eastAsia="en-GB"/>
              </w:rPr>
              <w:t>COVID</w:t>
            </w:r>
            <w:r w:rsidR="00F85A48" w:rsidRPr="00E200A5">
              <w:rPr>
                <w:rFonts w:ascii="Times New Roman" w:eastAsia="Times New Roman" w:hAnsi="Times New Roman" w:cs="Times New Roman"/>
                <w:color w:val="000000"/>
                <w:lang w:eastAsia="en-GB"/>
              </w:rPr>
              <w:t>-19</w:t>
            </w:r>
            <w:r w:rsidRPr="00E200A5">
              <w:rPr>
                <w:rFonts w:ascii="Times New Roman" w:eastAsia="Times New Roman" w:hAnsi="Times New Roman" w:cs="Times New Roman"/>
                <w:color w:val="000000"/>
                <w:lang w:eastAsia="en-GB"/>
              </w:rPr>
              <w:t xml:space="preserve"> risk</w:t>
            </w:r>
          </w:p>
        </w:tc>
        <w:tc>
          <w:tcPr>
            <w:tcW w:w="341" w:type="dxa"/>
            <w:tcBorders>
              <w:top w:val="nil"/>
              <w:left w:val="nil"/>
              <w:bottom w:val="nil"/>
              <w:right w:val="nil"/>
            </w:tcBorders>
            <w:shd w:val="clear" w:color="000000" w:fill="FFFFFF"/>
            <w:vAlign w:val="center"/>
          </w:tcPr>
          <w:p w14:paraId="5C41C0FB"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p>
        </w:tc>
        <w:tc>
          <w:tcPr>
            <w:tcW w:w="1365" w:type="dxa"/>
            <w:tcBorders>
              <w:top w:val="nil"/>
              <w:left w:val="nil"/>
              <w:bottom w:val="nil"/>
              <w:right w:val="nil"/>
            </w:tcBorders>
            <w:shd w:val="clear" w:color="000000" w:fill="FFFFFF"/>
            <w:noWrap/>
            <w:vAlign w:val="center"/>
            <w:hideMark/>
          </w:tcPr>
          <w:p w14:paraId="61954B2D"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r w:rsidRPr="00E200A5">
              <w:rPr>
                <w:rFonts w:ascii="Times New Roman" w:eastAsia="Times New Roman" w:hAnsi="Times New Roman" w:cs="Times New Roman"/>
                <w:lang w:eastAsia="en-GB"/>
              </w:rPr>
              <w:t>-</w:t>
            </w:r>
          </w:p>
        </w:tc>
        <w:tc>
          <w:tcPr>
            <w:tcW w:w="445" w:type="dxa"/>
            <w:tcBorders>
              <w:top w:val="nil"/>
              <w:left w:val="nil"/>
              <w:bottom w:val="nil"/>
              <w:right w:val="nil"/>
            </w:tcBorders>
            <w:shd w:val="clear" w:color="000000" w:fill="FFFFFF"/>
            <w:noWrap/>
            <w:vAlign w:val="center"/>
            <w:hideMark/>
          </w:tcPr>
          <w:p w14:paraId="3771F010"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p>
        </w:tc>
        <w:tc>
          <w:tcPr>
            <w:tcW w:w="1122" w:type="dxa"/>
            <w:tcBorders>
              <w:top w:val="nil"/>
              <w:left w:val="nil"/>
              <w:bottom w:val="nil"/>
              <w:right w:val="nil"/>
            </w:tcBorders>
            <w:shd w:val="clear" w:color="000000" w:fill="FFFFFF"/>
            <w:noWrap/>
            <w:vAlign w:val="center"/>
            <w:hideMark/>
          </w:tcPr>
          <w:p w14:paraId="2913732D"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r w:rsidRPr="00E200A5">
              <w:rPr>
                <w:rFonts w:ascii="Times New Roman" w:eastAsia="Times New Roman" w:hAnsi="Times New Roman" w:cs="Times New Roman"/>
                <w:lang w:eastAsia="en-GB"/>
              </w:rPr>
              <w:t>-</w:t>
            </w:r>
          </w:p>
        </w:tc>
        <w:tc>
          <w:tcPr>
            <w:tcW w:w="1858" w:type="dxa"/>
            <w:tcBorders>
              <w:top w:val="nil"/>
              <w:left w:val="nil"/>
              <w:bottom w:val="nil"/>
              <w:right w:val="nil"/>
            </w:tcBorders>
            <w:shd w:val="clear" w:color="000000" w:fill="FFFFFF"/>
            <w:vAlign w:val="center"/>
          </w:tcPr>
          <w:p w14:paraId="6A364542"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Very Likely</w:t>
            </w:r>
          </w:p>
          <w:p w14:paraId="3F0BF2DB"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Likely</w:t>
            </w:r>
          </w:p>
          <w:p w14:paraId="48709B64"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Unlikely</w:t>
            </w:r>
          </w:p>
          <w:p w14:paraId="23063162"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r w:rsidRPr="00E200A5">
              <w:rPr>
                <w:rFonts w:ascii="Times New Roman" w:eastAsia="Times New Roman" w:hAnsi="Times New Roman" w:cs="Times New Roman"/>
                <w:lang w:eastAsia="en-GB"/>
              </w:rPr>
              <w:t>Very Unlikely</w:t>
            </w:r>
          </w:p>
        </w:tc>
        <w:tc>
          <w:tcPr>
            <w:tcW w:w="2384" w:type="dxa"/>
            <w:tcBorders>
              <w:top w:val="nil"/>
              <w:left w:val="nil"/>
              <w:bottom w:val="nil"/>
              <w:right w:val="nil"/>
            </w:tcBorders>
            <w:shd w:val="clear" w:color="000000" w:fill="FFFFFF"/>
            <w:vAlign w:val="center"/>
          </w:tcPr>
          <w:p w14:paraId="3FA13F37"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24.94</w:t>
            </w:r>
          </w:p>
          <w:p w14:paraId="2802E6D1"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66.87</w:t>
            </w:r>
          </w:p>
          <w:p w14:paraId="125D9E7E"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7.36</w:t>
            </w:r>
          </w:p>
          <w:p w14:paraId="2C9614F3"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r w:rsidRPr="00E200A5">
              <w:rPr>
                <w:rFonts w:ascii="Times New Roman" w:eastAsia="Times New Roman" w:hAnsi="Times New Roman" w:cs="Times New Roman"/>
                <w:lang w:eastAsia="en-GB"/>
              </w:rPr>
              <w:t>0.82</w:t>
            </w:r>
          </w:p>
        </w:tc>
      </w:tr>
      <w:tr w:rsidR="00B72DAA" w:rsidRPr="00E200A5" w14:paraId="07C6F9FF" w14:textId="77777777" w:rsidTr="00B947BE">
        <w:trPr>
          <w:trHeight w:val="266"/>
          <w:jc w:val="center"/>
        </w:trPr>
        <w:tc>
          <w:tcPr>
            <w:tcW w:w="3076" w:type="dxa"/>
            <w:tcBorders>
              <w:top w:val="nil"/>
              <w:left w:val="nil"/>
              <w:bottom w:val="nil"/>
              <w:right w:val="nil"/>
            </w:tcBorders>
            <w:shd w:val="clear" w:color="000000" w:fill="FFFFFF"/>
            <w:noWrap/>
            <w:vAlign w:val="center"/>
            <w:hideMark/>
          </w:tcPr>
          <w:p w14:paraId="072CF2A0" w14:textId="0576605C" w:rsidR="00B72DAA" w:rsidRPr="00E200A5" w:rsidRDefault="00B72DAA" w:rsidP="00C915C8">
            <w:pPr>
              <w:spacing w:after="0" w:line="480" w:lineRule="auto"/>
              <w:rPr>
                <w:rFonts w:ascii="Times New Roman" w:eastAsia="Times New Roman" w:hAnsi="Times New Roman" w:cs="Times New Roman"/>
                <w:color w:val="FF0000"/>
                <w:lang w:eastAsia="en-GB"/>
              </w:rPr>
            </w:pPr>
            <w:r w:rsidRPr="00E200A5">
              <w:rPr>
                <w:rFonts w:ascii="Times New Roman" w:eastAsia="Times New Roman" w:hAnsi="Times New Roman" w:cs="Times New Roman"/>
                <w:color w:val="000000"/>
                <w:lang w:eastAsia="en-GB"/>
              </w:rPr>
              <w:t>Mental health</w:t>
            </w:r>
            <w:r w:rsidR="0066777C" w:rsidRPr="00E200A5">
              <w:rPr>
                <w:rFonts w:ascii="Times New Roman" w:eastAsia="Times New Roman" w:hAnsi="Times New Roman" w:cs="Times New Roman"/>
                <w:color w:val="000000"/>
                <w:lang w:eastAsia="en-GB"/>
              </w:rPr>
              <w:t xml:space="preserve"> </w:t>
            </w:r>
            <w:r w:rsidR="00154819" w:rsidRPr="00E200A5">
              <w:rPr>
                <w:rFonts w:ascii="Times New Roman" w:eastAsia="Times New Roman" w:hAnsi="Times New Roman" w:cs="Times New Roman"/>
                <w:color w:val="000000"/>
                <w:lang w:eastAsia="en-GB"/>
              </w:rPr>
              <w:t>problems</w:t>
            </w:r>
          </w:p>
        </w:tc>
        <w:tc>
          <w:tcPr>
            <w:tcW w:w="341" w:type="dxa"/>
            <w:tcBorders>
              <w:top w:val="nil"/>
              <w:left w:val="nil"/>
              <w:bottom w:val="nil"/>
              <w:right w:val="nil"/>
            </w:tcBorders>
            <w:shd w:val="clear" w:color="000000" w:fill="FFFFFF"/>
            <w:vAlign w:val="center"/>
          </w:tcPr>
          <w:p w14:paraId="62649966" w14:textId="77777777" w:rsidR="00B72DAA" w:rsidRPr="00E200A5" w:rsidRDefault="00B72DAA" w:rsidP="00C915C8">
            <w:pPr>
              <w:spacing w:after="0" w:line="480" w:lineRule="auto"/>
              <w:jc w:val="center"/>
              <w:rPr>
                <w:rFonts w:ascii="Times New Roman" w:eastAsia="Times New Roman" w:hAnsi="Times New Roman" w:cs="Times New Roman"/>
                <w:color w:val="FF0000"/>
                <w:lang w:eastAsia="en-GB"/>
              </w:rPr>
            </w:pPr>
          </w:p>
        </w:tc>
        <w:tc>
          <w:tcPr>
            <w:tcW w:w="1365" w:type="dxa"/>
            <w:tcBorders>
              <w:top w:val="nil"/>
              <w:left w:val="nil"/>
              <w:bottom w:val="nil"/>
              <w:right w:val="nil"/>
            </w:tcBorders>
            <w:shd w:val="clear" w:color="000000" w:fill="FFFFFF"/>
            <w:noWrap/>
            <w:vAlign w:val="center"/>
            <w:hideMark/>
          </w:tcPr>
          <w:p w14:paraId="485DBD83" w14:textId="77777777" w:rsidR="00B72DAA" w:rsidRPr="00E200A5" w:rsidRDefault="00B72DAA" w:rsidP="00C915C8">
            <w:pPr>
              <w:spacing w:after="0" w:line="480" w:lineRule="auto"/>
              <w:jc w:val="center"/>
              <w:rPr>
                <w:rFonts w:ascii="Times New Roman" w:eastAsia="Times New Roman" w:hAnsi="Times New Roman" w:cs="Times New Roman"/>
                <w:color w:val="FF0000"/>
                <w:lang w:eastAsia="en-GB"/>
              </w:rPr>
            </w:pPr>
            <w:r w:rsidRPr="00E200A5">
              <w:rPr>
                <w:rFonts w:ascii="Times New Roman" w:eastAsia="Times New Roman" w:hAnsi="Times New Roman" w:cs="Times New Roman"/>
                <w:color w:val="000000"/>
                <w:lang w:eastAsia="en-GB"/>
              </w:rPr>
              <w:t>1.56</w:t>
            </w:r>
          </w:p>
        </w:tc>
        <w:tc>
          <w:tcPr>
            <w:tcW w:w="445" w:type="dxa"/>
            <w:tcBorders>
              <w:top w:val="nil"/>
              <w:left w:val="nil"/>
              <w:bottom w:val="nil"/>
              <w:right w:val="nil"/>
            </w:tcBorders>
            <w:shd w:val="clear" w:color="000000" w:fill="FFFFFF"/>
            <w:noWrap/>
            <w:vAlign w:val="center"/>
            <w:hideMark/>
          </w:tcPr>
          <w:p w14:paraId="4F3C342A" w14:textId="77777777" w:rsidR="00B72DAA" w:rsidRPr="00E200A5" w:rsidRDefault="00B72DAA" w:rsidP="00C915C8">
            <w:pPr>
              <w:spacing w:after="0" w:line="480" w:lineRule="auto"/>
              <w:jc w:val="center"/>
              <w:rPr>
                <w:rFonts w:ascii="Times New Roman" w:eastAsia="Times New Roman" w:hAnsi="Times New Roman" w:cs="Times New Roman"/>
                <w:color w:val="FF0000"/>
                <w:lang w:eastAsia="en-GB"/>
              </w:rPr>
            </w:pPr>
          </w:p>
        </w:tc>
        <w:tc>
          <w:tcPr>
            <w:tcW w:w="1122" w:type="dxa"/>
            <w:tcBorders>
              <w:top w:val="nil"/>
              <w:left w:val="nil"/>
              <w:bottom w:val="nil"/>
              <w:right w:val="nil"/>
            </w:tcBorders>
            <w:shd w:val="clear" w:color="000000" w:fill="FFFFFF"/>
            <w:noWrap/>
            <w:vAlign w:val="center"/>
            <w:hideMark/>
          </w:tcPr>
          <w:p w14:paraId="53AA0679" w14:textId="77777777" w:rsidR="00B72DAA" w:rsidRPr="00E200A5" w:rsidRDefault="00B72DAA" w:rsidP="00C915C8">
            <w:pPr>
              <w:spacing w:after="0" w:line="480" w:lineRule="auto"/>
              <w:jc w:val="center"/>
              <w:rPr>
                <w:rFonts w:ascii="Times New Roman" w:eastAsia="Times New Roman" w:hAnsi="Times New Roman" w:cs="Times New Roman"/>
                <w:color w:val="FF0000"/>
                <w:lang w:eastAsia="en-GB"/>
              </w:rPr>
            </w:pPr>
            <w:r w:rsidRPr="00E200A5">
              <w:rPr>
                <w:rFonts w:ascii="Times New Roman" w:eastAsia="Times New Roman" w:hAnsi="Times New Roman" w:cs="Times New Roman"/>
                <w:color w:val="000000"/>
                <w:lang w:eastAsia="en-GB"/>
              </w:rPr>
              <w:t>0.49</w:t>
            </w:r>
          </w:p>
        </w:tc>
        <w:tc>
          <w:tcPr>
            <w:tcW w:w="1858" w:type="dxa"/>
            <w:tcBorders>
              <w:top w:val="nil"/>
              <w:left w:val="nil"/>
              <w:bottom w:val="nil"/>
              <w:right w:val="nil"/>
            </w:tcBorders>
            <w:shd w:val="clear" w:color="000000" w:fill="FFFFFF"/>
            <w:vAlign w:val="center"/>
          </w:tcPr>
          <w:p w14:paraId="3CC73A48"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p>
        </w:tc>
        <w:tc>
          <w:tcPr>
            <w:tcW w:w="2384" w:type="dxa"/>
            <w:tcBorders>
              <w:top w:val="nil"/>
              <w:left w:val="nil"/>
              <w:bottom w:val="nil"/>
              <w:right w:val="nil"/>
            </w:tcBorders>
            <w:shd w:val="clear" w:color="000000" w:fill="FFFFFF"/>
            <w:vAlign w:val="center"/>
          </w:tcPr>
          <w:p w14:paraId="4213AC54"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p>
        </w:tc>
      </w:tr>
      <w:tr w:rsidR="00B72DAA" w:rsidRPr="00E200A5" w14:paraId="3209226A" w14:textId="77777777" w:rsidTr="00B947BE">
        <w:trPr>
          <w:trHeight w:val="266"/>
          <w:jc w:val="center"/>
        </w:trPr>
        <w:tc>
          <w:tcPr>
            <w:tcW w:w="3076" w:type="dxa"/>
            <w:tcBorders>
              <w:top w:val="nil"/>
              <w:left w:val="nil"/>
              <w:right w:val="nil"/>
            </w:tcBorders>
            <w:shd w:val="clear" w:color="000000" w:fill="FFFFFF"/>
            <w:noWrap/>
            <w:vAlign w:val="center"/>
            <w:hideMark/>
          </w:tcPr>
          <w:p w14:paraId="77715931" w14:textId="77777777" w:rsidR="00B72DAA" w:rsidRPr="00E200A5" w:rsidRDefault="00B72DAA" w:rsidP="00C915C8">
            <w:pPr>
              <w:spacing w:after="0" w:line="480" w:lineRule="auto"/>
              <w:rPr>
                <w:rFonts w:ascii="Times New Roman" w:eastAsia="Times New Roman" w:hAnsi="Times New Roman" w:cs="Times New Roman"/>
                <w:color w:val="FF0000"/>
                <w:lang w:eastAsia="en-GB"/>
              </w:rPr>
            </w:pPr>
            <w:r w:rsidRPr="00E200A5">
              <w:rPr>
                <w:rFonts w:ascii="Times New Roman" w:eastAsia="Times New Roman" w:hAnsi="Times New Roman" w:cs="Times New Roman"/>
                <w:lang w:eastAsia="en-GB"/>
              </w:rPr>
              <w:t>Education</w:t>
            </w:r>
          </w:p>
        </w:tc>
        <w:tc>
          <w:tcPr>
            <w:tcW w:w="341" w:type="dxa"/>
            <w:tcBorders>
              <w:top w:val="nil"/>
              <w:left w:val="nil"/>
              <w:right w:val="nil"/>
            </w:tcBorders>
            <w:shd w:val="clear" w:color="000000" w:fill="FFFFFF"/>
            <w:vAlign w:val="center"/>
          </w:tcPr>
          <w:p w14:paraId="5277976C" w14:textId="77777777" w:rsidR="00B72DAA" w:rsidRPr="00E200A5" w:rsidRDefault="00B72DAA" w:rsidP="00C915C8">
            <w:pPr>
              <w:spacing w:after="0" w:line="480" w:lineRule="auto"/>
              <w:jc w:val="center"/>
              <w:rPr>
                <w:rFonts w:ascii="Times New Roman" w:eastAsia="Times New Roman" w:hAnsi="Times New Roman" w:cs="Times New Roman"/>
                <w:color w:val="FF0000"/>
                <w:lang w:eastAsia="en-GB"/>
              </w:rPr>
            </w:pPr>
          </w:p>
        </w:tc>
        <w:tc>
          <w:tcPr>
            <w:tcW w:w="1365" w:type="dxa"/>
            <w:tcBorders>
              <w:top w:val="nil"/>
              <w:left w:val="nil"/>
              <w:right w:val="nil"/>
            </w:tcBorders>
            <w:shd w:val="clear" w:color="000000" w:fill="FFFFFF"/>
            <w:noWrap/>
            <w:vAlign w:val="center"/>
            <w:hideMark/>
          </w:tcPr>
          <w:p w14:paraId="50F8F65B" w14:textId="77777777" w:rsidR="00B72DAA" w:rsidRPr="00E200A5" w:rsidRDefault="00B72DAA" w:rsidP="00C915C8">
            <w:pPr>
              <w:spacing w:after="0" w:line="480" w:lineRule="auto"/>
              <w:jc w:val="center"/>
              <w:rPr>
                <w:rFonts w:ascii="Times New Roman" w:eastAsia="Times New Roman" w:hAnsi="Times New Roman" w:cs="Times New Roman"/>
                <w:color w:val="FF0000"/>
                <w:lang w:eastAsia="en-GB"/>
              </w:rPr>
            </w:pPr>
            <w:r w:rsidRPr="00E200A5">
              <w:rPr>
                <w:rFonts w:ascii="Times New Roman" w:eastAsia="Times New Roman" w:hAnsi="Times New Roman" w:cs="Times New Roman"/>
                <w:lang w:eastAsia="en-GB"/>
              </w:rPr>
              <w:t>-</w:t>
            </w:r>
          </w:p>
        </w:tc>
        <w:tc>
          <w:tcPr>
            <w:tcW w:w="445" w:type="dxa"/>
            <w:tcBorders>
              <w:top w:val="nil"/>
              <w:left w:val="nil"/>
              <w:right w:val="nil"/>
            </w:tcBorders>
            <w:shd w:val="clear" w:color="000000" w:fill="FFFFFF"/>
            <w:noWrap/>
            <w:vAlign w:val="center"/>
            <w:hideMark/>
          </w:tcPr>
          <w:p w14:paraId="7A0FDF04" w14:textId="77777777" w:rsidR="00B72DAA" w:rsidRPr="00E200A5" w:rsidRDefault="00B72DAA" w:rsidP="00C915C8">
            <w:pPr>
              <w:spacing w:after="0" w:line="480" w:lineRule="auto"/>
              <w:jc w:val="center"/>
              <w:rPr>
                <w:rFonts w:ascii="Times New Roman" w:eastAsia="Times New Roman" w:hAnsi="Times New Roman" w:cs="Times New Roman"/>
                <w:color w:val="FF0000"/>
                <w:lang w:eastAsia="en-GB"/>
              </w:rPr>
            </w:pPr>
          </w:p>
        </w:tc>
        <w:tc>
          <w:tcPr>
            <w:tcW w:w="1122" w:type="dxa"/>
            <w:tcBorders>
              <w:top w:val="nil"/>
              <w:left w:val="nil"/>
              <w:right w:val="nil"/>
            </w:tcBorders>
            <w:shd w:val="clear" w:color="000000" w:fill="FFFFFF"/>
            <w:noWrap/>
            <w:vAlign w:val="center"/>
            <w:hideMark/>
          </w:tcPr>
          <w:p w14:paraId="4DEB941D" w14:textId="77777777" w:rsidR="00B72DAA" w:rsidRPr="00E200A5" w:rsidRDefault="00B72DAA" w:rsidP="00C915C8">
            <w:pPr>
              <w:spacing w:after="0" w:line="480" w:lineRule="auto"/>
              <w:jc w:val="center"/>
              <w:rPr>
                <w:rFonts w:ascii="Times New Roman" w:eastAsia="Times New Roman" w:hAnsi="Times New Roman" w:cs="Times New Roman"/>
                <w:color w:val="FF0000"/>
                <w:lang w:eastAsia="en-GB"/>
              </w:rPr>
            </w:pPr>
            <w:r w:rsidRPr="00E200A5">
              <w:rPr>
                <w:rFonts w:ascii="Times New Roman" w:eastAsia="Times New Roman" w:hAnsi="Times New Roman" w:cs="Times New Roman"/>
                <w:lang w:eastAsia="en-GB"/>
              </w:rPr>
              <w:t>-</w:t>
            </w:r>
          </w:p>
        </w:tc>
        <w:tc>
          <w:tcPr>
            <w:tcW w:w="1858" w:type="dxa"/>
            <w:tcBorders>
              <w:top w:val="nil"/>
              <w:left w:val="nil"/>
              <w:right w:val="nil"/>
            </w:tcBorders>
            <w:shd w:val="clear" w:color="000000" w:fill="FFFFFF"/>
            <w:vAlign w:val="center"/>
          </w:tcPr>
          <w:p w14:paraId="619DF985"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None</w:t>
            </w:r>
          </w:p>
          <w:p w14:paraId="047A4D1E"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Other</w:t>
            </w:r>
          </w:p>
          <w:p w14:paraId="62ED3DA8"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 xml:space="preserve">GCSE </w:t>
            </w:r>
          </w:p>
          <w:p w14:paraId="426333FE"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 xml:space="preserve">A-level </w:t>
            </w:r>
          </w:p>
          <w:p w14:paraId="72CE6891"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r w:rsidRPr="00E200A5">
              <w:rPr>
                <w:rFonts w:ascii="Times New Roman" w:eastAsia="Times New Roman" w:hAnsi="Times New Roman" w:cs="Times New Roman"/>
                <w:lang w:eastAsia="en-GB"/>
              </w:rPr>
              <w:t xml:space="preserve">Graduate </w:t>
            </w:r>
          </w:p>
        </w:tc>
        <w:tc>
          <w:tcPr>
            <w:tcW w:w="2384" w:type="dxa"/>
            <w:tcBorders>
              <w:top w:val="nil"/>
              <w:left w:val="nil"/>
              <w:right w:val="nil"/>
            </w:tcBorders>
            <w:shd w:val="clear" w:color="000000" w:fill="FFFFFF"/>
            <w:vAlign w:val="center"/>
          </w:tcPr>
          <w:p w14:paraId="738E85F3"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17.68</w:t>
            </w:r>
          </w:p>
          <w:p w14:paraId="3DB59E1C"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1.37</w:t>
            </w:r>
          </w:p>
          <w:p w14:paraId="7B7F621F"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23.03</w:t>
            </w:r>
          </w:p>
          <w:p w14:paraId="60E44A2D" w14:textId="77777777" w:rsidR="00B72DAA" w:rsidRPr="00E200A5" w:rsidRDefault="00B72DAA" w:rsidP="00C915C8">
            <w:pPr>
              <w:spacing w:after="0" w:line="240" w:lineRule="auto"/>
              <w:contextualSpacing/>
              <w:jc w:val="center"/>
              <w:rPr>
                <w:rFonts w:ascii="Times New Roman" w:eastAsia="Times New Roman" w:hAnsi="Times New Roman" w:cs="Times New Roman"/>
                <w:lang w:eastAsia="en-GB"/>
              </w:rPr>
            </w:pPr>
            <w:r w:rsidRPr="00E200A5">
              <w:rPr>
                <w:rFonts w:ascii="Times New Roman" w:eastAsia="Times New Roman" w:hAnsi="Times New Roman" w:cs="Times New Roman"/>
                <w:lang w:eastAsia="en-GB"/>
              </w:rPr>
              <w:t>9.53</w:t>
            </w:r>
          </w:p>
          <w:p w14:paraId="30FE978F"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r w:rsidRPr="00E200A5">
              <w:rPr>
                <w:rFonts w:ascii="Times New Roman" w:eastAsia="Times New Roman" w:hAnsi="Times New Roman" w:cs="Times New Roman"/>
                <w:lang w:eastAsia="en-GB"/>
              </w:rPr>
              <w:t>48.40</w:t>
            </w:r>
          </w:p>
        </w:tc>
      </w:tr>
      <w:tr w:rsidR="00B72DAA" w:rsidRPr="00E200A5" w14:paraId="2F8D987A" w14:textId="77777777" w:rsidTr="00B947BE">
        <w:trPr>
          <w:trHeight w:val="266"/>
          <w:jc w:val="center"/>
        </w:trPr>
        <w:tc>
          <w:tcPr>
            <w:tcW w:w="3076" w:type="dxa"/>
            <w:tcBorders>
              <w:top w:val="nil"/>
              <w:left w:val="nil"/>
              <w:bottom w:val="single" w:sz="4" w:space="0" w:color="auto"/>
              <w:right w:val="nil"/>
            </w:tcBorders>
            <w:shd w:val="clear" w:color="000000" w:fill="FFFFFF"/>
            <w:noWrap/>
            <w:vAlign w:val="center"/>
            <w:hideMark/>
          </w:tcPr>
          <w:p w14:paraId="237A11B4" w14:textId="77777777" w:rsidR="00B72DAA" w:rsidRPr="00E200A5" w:rsidRDefault="00B72DAA" w:rsidP="00C915C8">
            <w:pPr>
              <w:spacing w:after="0" w:line="480" w:lineRule="auto"/>
              <w:rPr>
                <w:rFonts w:ascii="Times New Roman" w:eastAsia="Times New Roman" w:hAnsi="Times New Roman" w:cs="Times New Roman"/>
                <w:color w:val="FF0000"/>
                <w:lang w:eastAsia="en-GB"/>
              </w:rPr>
            </w:pPr>
            <w:r w:rsidRPr="00E200A5">
              <w:rPr>
                <w:rFonts w:ascii="Times New Roman" w:eastAsia="Times New Roman" w:hAnsi="Times New Roman" w:cs="Times New Roman"/>
                <w:color w:val="000000"/>
                <w:lang w:eastAsia="en-GB"/>
              </w:rPr>
              <w:t>Income (month)</w:t>
            </w:r>
          </w:p>
        </w:tc>
        <w:tc>
          <w:tcPr>
            <w:tcW w:w="341" w:type="dxa"/>
            <w:tcBorders>
              <w:top w:val="nil"/>
              <w:left w:val="nil"/>
              <w:bottom w:val="single" w:sz="4" w:space="0" w:color="auto"/>
              <w:right w:val="nil"/>
            </w:tcBorders>
            <w:shd w:val="clear" w:color="000000" w:fill="FFFFFF"/>
            <w:vAlign w:val="center"/>
          </w:tcPr>
          <w:p w14:paraId="1D05EE06" w14:textId="77777777" w:rsidR="00B72DAA" w:rsidRPr="00E200A5" w:rsidRDefault="00B72DAA" w:rsidP="00C915C8">
            <w:pPr>
              <w:spacing w:after="0" w:line="480" w:lineRule="auto"/>
              <w:jc w:val="center"/>
              <w:rPr>
                <w:rFonts w:ascii="Times New Roman" w:eastAsia="Times New Roman" w:hAnsi="Times New Roman" w:cs="Times New Roman"/>
                <w:color w:val="FF0000"/>
                <w:lang w:eastAsia="en-GB"/>
              </w:rPr>
            </w:pPr>
          </w:p>
        </w:tc>
        <w:tc>
          <w:tcPr>
            <w:tcW w:w="1365" w:type="dxa"/>
            <w:tcBorders>
              <w:top w:val="nil"/>
              <w:left w:val="nil"/>
              <w:bottom w:val="single" w:sz="4" w:space="0" w:color="auto"/>
              <w:right w:val="nil"/>
            </w:tcBorders>
            <w:shd w:val="clear" w:color="000000" w:fill="FFFFFF"/>
            <w:noWrap/>
            <w:vAlign w:val="center"/>
            <w:hideMark/>
          </w:tcPr>
          <w:p w14:paraId="07892889" w14:textId="77777777" w:rsidR="00B72DAA" w:rsidRPr="00E200A5" w:rsidRDefault="00B72DAA" w:rsidP="00C915C8">
            <w:pPr>
              <w:spacing w:after="0" w:line="480" w:lineRule="auto"/>
              <w:jc w:val="center"/>
              <w:rPr>
                <w:rFonts w:ascii="Times New Roman" w:eastAsia="Times New Roman" w:hAnsi="Times New Roman" w:cs="Times New Roman"/>
                <w:color w:val="FF0000"/>
                <w:lang w:eastAsia="en-GB"/>
              </w:rPr>
            </w:pPr>
            <w:r w:rsidRPr="00E200A5">
              <w:rPr>
                <w:rFonts w:ascii="Times New Roman" w:eastAsia="Times New Roman" w:hAnsi="Times New Roman" w:cs="Times New Roman"/>
                <w:color w:val="000000"/>
                <w:lang w:eastAsia="en-GB"/>
              </w:rPr>
              <w:t>2160.57</w:t>
            </w:r>
          </w:p>
        </w:tc>
        <w:tc>
          <w:tcPr>
            <w:tcW w:w="445" w:type="dxa"/>
            <w:tcBorders>
              <w:top w:val="nil"/>
              <w:left w:val="nil"/>
              <w:bottom w:val="single" w:sz="4" w:space="0" w:color="auto"/>
              <w:right w:val="nil"/>
            </w:tcBorders>
            <w:shd w:val="clear" w:color="000000" w:fill="FFFFFF"/>
            <w:noWrap/>
            <w:vAlign w:val="center"/>
            <w:hideMark/>
          </w:tcPr>
          <w:p w14:paraId="33E4C6C5" w14:textId="77777777" w:rsidR="00B72DAA" w:rsidRPr="00E200A5" w:rsidRDefault="00B72DAA" w:rsidP="00C915C8">
            <w:pPr>
              <w:spacing w:after="0" w:line="480" w:lineRule="auto"/>
              <w:jc w:val="center"/>
              <w:rPr>
                <w:rFonts w:ascii="Times New Roman" w:eastAsia="Times New Roman" w:hAnsi="Times New Roman" w:cs="Times New Roman"/>
                <w:color w:val="FF0000"/>
                <w:lang w:eastAsia="en-GB"/>
              </w:rPr>
            </w:pPr>
          </w:p>
        </w:tc>
        <w:tc>
          <w:tcPr>
            <w:tcW w:w="1122" w:type="dxa"/>
            <w:tcBorders>
              <w:top w:val="nil"/>
              <w:left w:val="nil"/>
              <w:bottom w:val="single" w:sz="4" w:space="0" w:color="auto"/>
              <w:right w:val="nil"/>
            </w:tcBorders>
            <w:shd w:val="clear" w:color="000000" w:fill="FFFFFF"/>
            <w:noWrap/>
            <w:vAlign w:val="center"/>
            <w:hideMark/>
          </w:tcPr>
          <w:p w14:paraId="6AAA337A" w14:textId="77777777" w:rsidR="00B72DAA" w:rsidRPr="00E200A5" w:rsidRDefault="00B72DAA" w:rsidP="00C915C8">
            <w:pPr>
              <w:spacing w:after="0" w:line="480" w:lineRule="auto"/>
              <w:jc w:val="center"/>
              <w:rPr>
                <w:rFonts w:ascii="Times New Roman" w:eastAsia="Times New Roman" w:hAnsi="Times New Roman" w:cs="Times New Roman"/>
                <w:color w:val="FF0000"/>
                <w:lang w:eastAsia="en-GB"/>
              </w:rPr>
            </w:pPr>
            <w:r w:rsidRPr="00E200A5">
              <w:rPr>
                <w:rFonts w:ascii="Times New Roman" w:eastAsia="Times New Roman" w:hAnsi="Times New Roman" w:cs="Times New Roman"/>
                <w:color w:val="000000"/>
                <w:lang w:eastAsia="en-GB"/>
              </w:rPr>
              <w:t>1743.73</w:t>
            </w:r>
          </w:p>
        </w:tc>
        <w:tc>
          <w:tcPr>
            <w:tcW w:w="1858" w:type="dxa"/>
            <w:tcBorders>
              <w:top w:val="nil"/>
              <w:left w:val="nil"/>
              <w:bottom w:val="single" w:sz="4" w:space="0" w:color="auto"/>
              <w:right w:val="nil"/>
            </w:tcBorders>
            <w:shd w:val="clear" w:color="000000" w:fill="FFFFFF"/>
            <w:vAlign w:val="center"/>
          </w:tcPr>
          <w:p w14:paraId="1E85CD34"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p>
        </w:tc>
        <w:tc>
          <w:tcPr>
            <w:tcW w:w="2384" w:type="dxa"/>
            <w:tcBorders>
              <w:top w:val="nil"/>
              <w:left w:val="nil"/>
              <w:bottom w:val="single" w:sz="4" w:space="0" w:color="auto"/>
              <w:right w:val="nil"/>
            </w:tcBorders>
            <w:shd w:val="clear" w:color="000000" w:fill="FFFFFF"/>
            <w:vAlign w:val="center"/>
          </w:tcPr>
          <w:p w14:paraId="0E1DFD5D" w14:textId="77777777" w:rsidR="00B72DAA" w:rsidRPr="00E200A5" w:rsidRDefault="00B72DAA" w:rsidP="00C915C8">
            <w:pPr>
              <w:spacing w:after="0" w:line="480" w:lineRule="auto"/>
              <w:jc w:val="center"/>
              <w:rPr>
                <w:rFonts w:ascii="Times New Roman" w:eastAsia="Times New Roman" w:hAnsi="Times New Roman" w:cs="Times New Roman"/>
                <w:color w:val="000000"/>
                <w:lang w:eastAsia="en-GB"/>
              </w:rPr>
            </w:pPr>
          </w:p>
        </w:tc>
      </w:tr>
    </w:tbl>
    <w:p w14:paraId="1F910504" w14:textId="54E621C0" w:rsidR="000816E3" w:rsidRPr="00E200A5" w:rsidRDefault="006F4E2C" w:rsidP="00C915C8">
      <w:pPr>
        <w:spacing w:after="0" w:line="480" w:lineRule="auto"/>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sz w:val="24"/>
          <w:szCs w:val="24"/>
          <w:lang w:eastAsia="en-GB"/>
        </w:rPr>
        <w:t xml:space="preserve">Note: </w:t>
      </w:r>
      <w:r w:rsidRPr="00E200A5">
        <w:rPr>
          <w:rFonts w:ascii="Times New Roman" w:eastAsia="Times New Roman" w:hAnsi="Times New Roman" w:cs="Times New Roman"/>
          <w:i/>
          <w:iCs/>
          <w:sz w:val="24"/>
          <w:szCs w:val="24"/>
          <w:lang w:eastAsia="en-GB"/>
        </w:rPr>
        <w:t>Very Likely</w:t>
      </w:r>
      <w:r w:rsidRPr="00E200A5">
        <w:rPr>
          <w:rFonts w:ascii="Times New Roman" w:eastAsia="Times New Roman" w:hAnsi="Times New Roman" w:cs="Times New Roman"/>
          <w:sz w:val="24"/>
          <w:szCs w:val="24"/>
          <w:lang w:eastAsia="en-GB"/>
        </w:rPr>
        <w:t xml:space="preserve"> indicates very likely to take the vaccine.</w:t>
      </w:r>
    </w:p>
    <w:p w14:paraId="011300A2" w14:textId="77777777" w:rsidR="009A6260" w:rsidRPr="00E200A5" w:rsidRDefault="009A6260" w:rsidP="00C915C8">
      <w:pPr>
        <w:spacing w:after="0" w:line="480" w:lineRule="auto"/>
        <w:jc w:val="both"/>
        <w:rPr>
          <w:rFonts w:ascii="Times New Roman" w:eastAsia="Times New Roman" w:hAnsi="Times New Roman" w:cs="Times New Roman"/>
          <w:b/>
          <w:bCs/>
          <w:i/>
          <w:iCs/>
          <w:sz w:val="24"/>
          <w:szCs w:val="24"/>
          <w:lang w:eastAsia="en-GB"/>
        </w:rPr>
      </w:pPr>
    </w:p>
    <w:p w14:paraId="46CE6F05" w14:textId="5EB28130" w:rsidR="004A04C6" w:rsidRPr="00E200A5" w:rsidRDefault="000D1673" w:rsidP="00C915C8">
      <w:pPr>
        <w:spacing w:after="0" w:line="480" w:lineRule="auto"/>
        <w:jc w:val="both"/>
        <w:rPr>
          <w:rFonts w:ascii="Times New Roman" w:eastAsia="Times New Roman" w:hAnsi="Times New Roman" w:cs="Times New Roman"/>
          <w:b/>
          <w:bCs/>
          <w:i/>
          <w:iCs/>
          <w:sz w:val="24"/>
          <w:szCs w:val="24"/>
          <w:lang w:eastAsia="en-GB"/>
        </w:rPr>
      </w:pPr>
      <w:r w:rsidRPr="00E200A5">
        <w:rPr>
          <w:rFonts w:ascii="Times New Roman" w:eastAsia="Times New Roman" w:hAnsi="Times New Roman" w:cs="Times New Roman"/>
          <w:b/>
          <w:bCs/>
          <w:i/>
          <w:iCs/>
          <w:sz w:val="24"/>
          <w:szCs w:val="24"/>
          <w:lang w:eastAsia="en-GB"/>
        </w:rPr>
        <w:lastRenderedPageBreak/>
        <w:t>COVID</w:t>
      </w:r>
      <w:r w:rsidR="00AA1CCD" w:rsidRPr="00E200A5">
        <w:rPr>
          <w:rFonts w:ascii="Times New Roman" w:eastAsia="Times New Roman" w:hAnsi="Times New Roman" w:cs="Times New Roman"/>
          <w:b/>
          <w:bCs/>
          <w:i/>
          <w:iCs/>
          <w:sz w:val="24"/>
          <w:szCs w:val="24"/>
          <w:lang w:eastAsia="en-GB"/>
        </w:rPr>
        <w:t>-19</w:t>
      </w:r>
      <w:r w:rsidR="004A04C6" w:rsidRPr="00E200A5">
        <w:rPr>
          <w:rFonts w:ascii="Times New Roman" w:eastAsia="Times New Roman" w:hAnsi="Times New Roman" w:cs="Times New Roman"/>
          <w:b/>
          <w:bCs/>
          <w:i/>
          <w:iCs/>
          <w:sz w:val="24"/>
          <w:szCs w:val="24"/>
          <w:lang w:eastAsia="en-GB"/>
        </w:rPr>
        <w:t xml:space="preserve"> </w:t>
      </w:r>
      <w:r w:rsidR="00852603" w:rsidRPr="00E200A5">
        <w:rPr>
          <w:rFonts w:ascii="Times New Roman" w:eastAsia="Times New Roman" w:hAnsi="Times New Roman" w:cs="Times New Roman"/>
          <w:b/>
          <w:bCs/>
          <w:i/>
          <w:iCs/>
          <w:sz w:val="24"/>
          <w:szCs w:val="24"/>
          <w:lang w:eastAsia="en-GB"/>
        </w:rPr>
        <w:t xml:space="preserve">Vaccination </w:t>
      </w:r>
      <w:r w:rsidR="004A04C6" w:rsidRPr="00E200A5">
        <w:rPr>
          <w:rFonts w:ascii="Times New Roman" w:eastAsia="Times New Roman" w:hAnsi="Times New Roman" w:cs="Times New Roman"/>
          <w:b/>
          <w:bCs/>
          <w:i/>
          <w:iCs/>
          <w:sz w:val="24"/>
          <w:szCs w:val="24"/>
          <w:lang w:eastAsia="en-GB"/>
        </w:rPr>
        <w:t>Hesitancy (full sample)</w:t>
      </w:r>
      <w:r w:rsidR="00124FCF" w:rsidRPr="00E200A5">
        <w:rPr>
          <w:rFonts w:ascii="Times New Roman" w:eastAsia="Times New Roman" w:hAnsi="Times New Roman" w:cs="Times New Roman"/>
          <w:b/>
          <w:bCs/>
          <w:i/>
          <w:iCs/>
          <w:sz w:val="24"/>
          <w:szCs w:val="24"/>
          <w:lang w:eastAsia="en-GB"/>
        </w:rPr>
        <w:tab/>
      </w:r>
    </w:p>
    <w:p w14:paraId="423FE11C" w14:textId="2A6B24DB" w:rsidR="00DC5092" w:rsidRPr="00E200A5" w:rsidRDefault="005F7FE8" w:rsidP="00C915C8">
      <w:pPr>
        <w:spacing w:after="0" w:line="480" w:lineRule="auto"/>
        <w:ind w:firstLine="720"/>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sz w:val="24"/>
          <w:szCs w:val="24"/>
          <w:lang w:eastAsia="en-GB"/>
        </w:rPr>
        <w:t>We first examined zero-order correlations for COVID-19 vaccination hesitancy. These analyses showed several significant links to COVID-19 vaccination hesitancy</w:t>
      </w:r>
      <w:r w:rsidR="00C3457E" w:rsidRPr="00E200A5">
        <w:rPr>
          <w:rFonts w:ascii="Times New Roman" w:eastAsia="Times New Roman" w:hAnsi="Times New Roman" w:cs="Times New Roman"/>
          <w:sz w:val="24"/>
          <w:szCs w:val="24"/>
          <w:lang w:eastAsia="en-GB"/>
        </w:rPr>
        <w:t>.</w:t>
      </w:r>
      <w:r w:rsidRPr="00E200A5">
        <w:rPr>
          <w:rFonts w:ascii="Times New Roman" w:eastAsia="Times New Roman" w:hAnsi="Times New Roman" w:cs="Times New Roman"/>
          <w:sz w:val="24"/>
          <w:szCs w:val="24"/>
          <w:lang w:eastAsia="en-GB"/>
        </w:rPr>
        <w:t xml:space="preserve"> </w:t>
      </w:r>
      <w:r w:rsidR="00C3457E" w:rsidRPr="00E200A5">
        <w:rPr>
          <w:rFonts w:ascii="Times New Roman" w:eastAsia="Times New Roman" w:hAnsi="Times New Roman" w:cs="Times New Roman"/>
          <w:sz w:val="24"/>
          <w:szCs w:val="24"/>
          <w:lang w:eastAsia="en-GB"/>
        </w:rPr>
        <w:t xml:space="preserve">Of the </w:t>
      </w:r>
      <w:r w:rsidR="00D97B05" w:rsidRPr="00E200A5">
        <w:rPr>
          <w:rFonts w:ascii="Times New Roman" w:eastAsia="Times New Roman" w:hAnsi="Times New Roman" w:cs="Times New Roman"/>
          <w:sz w:val="24"/>
          <w:szCs w:val="24"/>
          <w:lang w:eastAsia="en-GB"/>
        </w:rPr>
        <w:t>psychological</w:t>
      </w:r>
      <w:r w:rsidR="00C3457E" w:rsidRPr="00E200A5">
        <w:rPr>
          <w:rFonts w:ascii="Times New Roman" w:eastAsia="Times New Roman" w:hAnsi="Times New Roman" w:cs="Times New Roman"/>
          <w:sz w:val="24"/>
          <w:szCs w:val="24"/>
          <w:lang w:eastAsia="en-GB"/>
        </w:rPr>
        <w:t xml:space="preserve"> variables, </w:t>
      </w:r>
      <w:r w:rsidR="00710CEF" w:rsidRPr="00E200A5">
        <w:rPr>
          <w:rFonts w:ascii="Times New Roman" w:eastAsia="Times New Roman" w:hAnsi="Times New Roman" w:cs="Times New Roman"/>
          <w:sz w:val="24"/>
          <w:szCs w:val="24"/>
          <w:lang w:eastAsia="en-GB"/>
        </w:rPr>
        <w:t xml:space="preserve">individuals </w:t>
      </w:r>
      <w:r w:rsidR="00880671" w:rsidRPr="00E200A5">
        <w:rPr>
          <w:rFonts w:ascii="Times New Roman" w:eastAsia="Times New Roman" w:hAnsi="Times New Roman" w:cs="Times New Roman"/>
          <w:sz w:val="24"/>
          <w:szCs w:val="24"/>
          <w:lang w:eastAsia="en-GB"/>
        </w:rPr>
        <w:t>with</w:t>
      </w:r>
      <w:r w:rsidRPr="00E200A5">
        <w:rPr>
          <w:rFonts w:ascii="Times New Roman" w:eastAsia="Times New Roman" w:hAnsi="Times New Roman" w:cs="Times New Roman"/>
          <w:sz w:val="24"/>
          <w:szCs w:val="24"/>
          <w:lang w:eastAsia="en-GB"/>
        </w:rPr>
        <w:t xml:space="preserve"> lower general intelligence</w:t>
      </w:r>
      <w:r w:rsidR="00010A7F" w:rsidRPr="00E200A5">
        <w:rPr>
          <w:rFonts w:ascii="Times New Roman" w:eastAsia="Times New Roman" w:hAnsi="Times New Roman" w:cs="Times New Roman"/>
          <w:sz w:val="24"/>
          <w:szCs w:val="24"/>
          <w:lang w:eastAsia="en-GB"/>
        </w:rPr>
        <w:t xml:space="preserve"> and</w:t>
      </w:r>
      <w:r w:rsidRPr="00E200A5">
        <w:rPr>
          <w:rFonts w:ascii="Times New Roman" w:eastAsia="Times New Roman" w:hAnsi="Times New Roman" w:cs="Times New Roman"/>
          <w:sz w:val="24"/>
          <w:szCs w:val="24"/>
          <w:lang w:eastAsia="en-GB"/>
        </w:rPr>
        <w:t xml:space="preserve"> </w:t>
      </w:r>
      <w:r w:rsidR="00010A7F" w:rsidRPr="00E200A5">
        <w:rPr>
          <w:rFonts w:ascii="Times New Roman" w:eastAsia="Times New Roman" w:hAnsi="Times New Roman" w:cs="Times New Roman"/>
          <w:sz w:val="24"/>
          <w:szCs w:val="24"/>
          <w:lang w:eastAsia="en-GB"/>
        </w:rPr>
        <w:t>openness</w:t>
      </w:r>
      <w:r w:rsidRPr="00E200A5">
        <w:rPr>
          <w:rFonts w:ascii="Times New Roman" w:eastAsia="Times New Roman" w:hAnsi="Times New Roman" w:cs="Times New Roman"/>
          <w:sz w:val="24"/>
          <w:szCs w:val="24"/>
          <w:lang w:eastAsia="en-GB"/>
        </w:rPr>
        <w:t>, higher neuroticism</w:t>
      </w:r>
      <w:r w:rsidR="00913834" w:rsidRPr="00E200A5">
        <w:rPr>
          <w:rFonts w:ascii="Times New Roman" w:eastAsia="Times New Roman" w:hAnsi="Times New Roman" w:cs="Times New Roman"/>
          <w:sz w:val="24"/>
          <w:szCs w:val="24"/>
          <w:lang w:eastAsia="en-GB"/>
        </w:rPr>
        <w:t xml:space="preserve"> and</w:t>
      </w:r>
      <w:r w:rsidRPr="00E200A5">
        <w:rPr>
          <w:rFonts w:ascii="Times New Roman" w:eastAsia="Times New Roman" w:hAnsi="Times New Roman" w:cs="Times New Roman"/>
          <w:sz w:val="24"/>
          <w:szCs w:val="24"/>
          <w:lang w:eastAsia="en-GB"/>
        </w:rPr>
        <w:t xml:space="preserve"> </w:t>
      </w:r>
      <w:r w:rsidR="00DC5092" w:rsidRPr="00E200A5">
        <w:rPr>
          <w:rFonts w:ascii="Times New Roman" w:eastAsia="Times New Roman" w:hAnsi="Times New Roman" w:cs="Times New Roman"/>
          <w:sz w:val="24"/>
          <w:szCs w:val="24"/>
          <w:lang w:eastAsia="en-GB"/>
        </w:rPr>
        <w:t>s</w:t>
      </w:r>
      <w:r w:rsidR="00DC5092" w:rsidRPr="00E200A5">
        <w:rPr>
          <w:rFonts w:ascii="Times New Roman" w:eastAsia="Times New Roman" w:hAnsi="Times New Roman" w:cs="Times New Roman"/>
          <w:color w:val="000000"/>
          <w:sz w:val="24"/>
          <w:szCs w:val="24"/>
          <w:lang w:eastAsia="en-GB"/>
        </w:rPr>
        <w:t>elf-rated COVID risk</w:t>
      </w:r>
      <w:r w:rsidR="00913834" w:rsidRPr="00E200A5">
        <w:rPr>
          <w:rFonts w:ascii="Times New Roman" w:eastAsia="Times New Roman" w:hAnsi="Times New Roman" w:cs="Times New Roman"/>
          <w:color w:val="000000"/>
          <w:sz w:val="24"/>
          <w:szCs w:val="24"/>
          <w:lang w:eastAsia="en-GB"/>
        </w:rPr>
        <w:t xml:space="preserve"> and</w:t>
      </w:r>
      <w:r w:rsidR="00DC5092" w:rsidRPr="00E200A5" w:rsidDel="00852603">
        <w:rPr>
          <w:rFonts w:ascii="Times New Roman" w:eastAsia="Times New Roman" w:hAnsi="Times New Roman" w:cs="Times New Roman"/>
          <w:sz w:val="24"/>
          <w:szCs w:val="24"/>
          <w:lang w:eastAsia="en-GB"/>
        </w:rPr>
        <w:t xml:space="preserve"> </w:t>
      </w:r>
      <w:r w:rsidRPr="00E200A5">
        <w:rPr>
          <w:rFonts w:ascii="Times New Roman" w:eastAsia="Times New Roman" w:hAnsi="Times New Roman" w:cs="Times New Roman"/>
          <w:sz w:val="24"/>
          <w:szCs w:val="24"/>
          <w:lang w:eastAsia="en-GB"/>
        </w:rPr>
        <w:t>poorer mental health</w:t>
      </w:r>
      <w:r w:rsidR="00C3457E" w:rsidRPr="00E200A5">
        <w:rPr>
          <w:rFonts w:ascii="Times New Roman" w:eastAsia="Times New Roman" w:hAnsi="Times New Roman" w:cs="Times New Roman"/>
          <w:sz w:val="24"/>
          <w:szCs w:val="24"/>
          <w:lang w:eastAsia="en-GB"/>
        </w:rPr>
        <w:t xml:space="preserve"> were more likely to be vaccine hesitant. Regarding demographic variables</w:t>
      </w:r>
      <w:r w:rsidR="00A34873" w:rsidRPr="00E200A5">
        <w:rPr>
          <w:rFonts w:ascii="Times New Roman" w:eastAsia="Times New Roman" w:hAnsi="Times New Roman" w:cs="Times New Roman"/>
          <w:sz w:val="24"/>
          <w:szCs w:val="24"/>
          <w:lang w:eastAsia="en-GB"/>
        </w:rPr>
        <w:t>,</w:t>
      </w:r>
      <w:r w:rsidRPr="00E200A5">
        <w:rPr>
          <w:rFonts w:ascii="Times New Roman" w:eastAsia="Times New Roman" w:hAnsi="Times New Roman" w:cs="Times New Roman"/>
          <w:sz w:val="24"/>
          <w:szCs w:val="24"/>
          <w:lang w:eastAsia="en-GB"/>
        </w:rPr>
        <w:t xml:space="preserve"> </w:t>
      </w:r>
      <w:r w:rsidR="00DC5092" w:rsidRPr="00E200A5">
        <w:rPr>
          <w:rFonts w:ascii="Times New Roman" w:eastAsia="Times New Roman" w:hAnsi="Times New Roman" w:cs="Times New Roman"/>
          <w:sz w:val="24"/>
          <w:szCs w:val="24"/>
          <w:lang w:eastAsia="en-GB"/>
        </w:rPr>
        <w:t xml:space="preserve">younger respondents, women, </w:t>
      </w:r>
      <w:r w:rsidR="00710CEF" w:rsidRPr="00E200A5">
        <w:rPr>
          <w:rFonts w:ascii="Times New Roman" w:eastAsia="Times New Roman" w:hAnsi="Times New Roman" w:cs="Times New Roman"/>
          <w:sz w:val="24"/>
          <w:szCs w:val="24"/>
          <w:lang w:eastAsia="en-GB"/>
        </w:rPr>
        <w:t xml:space="preserve">and those with </w:t>
      </w:r>
      <w:r w:rsidR="00DC5092" w:rsidRPr="00E200A5">
        <w:rPr>
          <w:rFonts w:ascii="Times New Roman" w:eastAsia="Times New Roman" w:hAnsi="Times New Roman" w:cs="Times New Roman"/>
          <w:sz w:val="24"/>
          <w:szCs w:val="24"/>
          <w:lang w:eastAsia="en-GB"/>
        </w:rPr>
        <w:t>lower education and income were more likely to be vaccine hesitant (see Table 2 for full results).</w:t>
      </w:r>
    </w:p>
    <w:p w14:paraId="7375E7D1" w14:textId="44F20481" w:rsidR="00B0069B" w:rsidRPr="00E200A5" w:rsidRDefault="00C73E75" w:rsidP="00C915C8">
      <w:pPr>
        <w:spacing w:after="0" w:line="480" w:lineRule="auto"/>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sz w:val="24"/>
          <w:szCs w:val="24"/>
          <w:lang w:eastAsia="en-GB"/>
        </w:rPr>
        <w:tab/>
      </w:r>
      <w:r w:rsidR="00F07F3B" w:rsidRPr="00E200A5">
        <w:rPr>
          <w:rFonts w:ascii="Times New Roman" w:eastAsia="Times New Roman" w:hAnsi="Times New Roman" w:cs="Times New Roman"/>
          <w:sz w:val="24"/>
          <w:szCs w:val="24"/>
          <w:lang w:eastAsia="en-GB"/>
        </w:rPr>
        <w:t xml:space="preserve">We next </w:t>
      </w:r>
      <w:r w:rsidR="00B0069B" w:rsidRPr="00E200A5">
        <w:rPr>
          <w:rFonts w:ascii="Times New Roman" w:eastAsia="Times New Roman" w:hAnsi="Times New Roman" w:cs="Times New Roman"/>
          <w:sz w:val="24"/>
          <w:szCs w:val="24"/>
          <w:lang w:eastAsia="en-GB"/>
        </w:rPr>
        <w:t>conducted</w:t>
      </w:r>
      <w:r w:rsidR="00F07F3B" w:rsidRPr="00E200A5">
        <w:rPr>
          <w:rFonts w:ascii="Times New Roman" w:eastAsia="Times New Roman" w:hAnsi="Times New Roman" w:cs="Times New Roman"/>
          <w:sz w:val="24"/>
          <w:szCs w:val="24"/>
          <w:lang w:eastAsia="en-GB"/>
        </w:rPr>
        <w:t xml:space="preserve"> an </w:t>
      </w:r>
      <w:r w:rsidR="0079438E" w:rsidRPr="00E200A5">
        <w:rPr>
          <w:rFonts w:ascii="Times New Roman" w:eastAsia="Times New Roman" w:hAnsi="Times New Roman" w:cs="Times New Roman"/>
          <w:sz w:val="24"/>
          <w:szCs w:val="24"/>
          <w:lang w:eastAsia="en-GB"/>
        </w:rPr>
        <w:t>o</w:t>
      </w:r>
      <w:r w:rsidR="00F07F3B" w:rsidRPr="00E200A5">
        <w:rPr>
          <w:rFonts w:ascii="Times New Roman" w:eastAsia="Times New Roman" w:hAnsi="Times New Roman" w:cs="Times New Roman"/>
          <w:sz w:val="24"/>
          <w:szCs w:val="24"/>
          <w:lang w:eastAsia="en-GB"/>
        </w:rPr>
        <w:t>rdinal logistic regression analysis using COVID-19 vaccination hesitancy as the dependent variable and the full collection of demographic</w:t>
      </w:r>
      <w:r w:rsidR="00074FFE" w:rsidRPr="00E200A5">
        <w:rPr>
          <w:rFonts w:ascii="Times New Roman" w:eastAsia="Times New Roman" w:hAnsi="Times New Roman" w:cs="Times New Roman"/>
          <w:sz w:val="24"/>
          <w:szCs w:val="24"/>
          <w:lang w:eastAsia="en-GB"/>
        </w:rPr>
        <w:t xml:space="preserve">, </w:t>
      </w:r>
      <w:r w:rsidR="00CD5B94" w:rsidRPr="00E200A5">
        <w:rPr>
          <w:rFonts w:ascii="Times New Roman" w:eastAsia="Times New Roman" w:hAnsi="Times New Roman" w:cs="Times New Roman"/>
          <w:sz w:val="24"/>
          <w:szCs w:val="24"/>
          <w:lang w:eastAsia="en-GB"/>
        </w:rPr>
        <w:t>personality</w:t>
      </w:r>
      <w:r w:rsidR="00074FFE" w:rsidRPr="00E200A5">
        <w:rPr>
          <w:rFonts w:ascii="Times New Roman" w:eastAsia="Times New Roman" w:hAnsi="Times New Roman" w:cs="Times New Roman"/>
          <w:sz w:val="24"/>
          <w:szCs w:val="24"/>
          <w:lang w:eastAsia="en-GB"/>
        </w:rPr>
        <w:t xml:space="preserve">, and cognitive </w:t>
      </w:r>
      <w:r w:rsidR="00F07F3B" w:rsidRPr="00E200A5">
        <w:rPr>
          <w:rFonts w:ascii="Times New Roman" w:eastAsia="Times New Roman" w:hAnsi="Times New Roman" w:cs="Times New Roman"/>
          <w:sz w:val="24"/>
          <w:szCs w:val="24"/>
          <w:lang w:eastAsia="en-GB"/>
        </w:rPr>
        <w:t xml:space="preserve">traits as independent variables. </w:t>
      </w:r>
      <w:r w:rsidR="00CE4EA5" w:rsidRPr="00E200A5">
        <w:rPr>
          <w:rFonts w:ascii="Times New Roman" w:eastAsia="Times New Roman" w:hAnsi="Times New Roman" w:cs="Times New Roman"/>
          <w:sz w:val="24"/>
          <w:szCs w:val="24"/>
          <w:lang w:eastAsia="en-GB"/>
        </w:rPr>
        <w:t xml:space="preserve">Of the </w:t>
      </w:r>
      <w:r w:rsidR="00D97B05" w:rsidRPr="00E200A5">
        <w:rPr>
          <w:rFonts w:ascii="Times New Roman" w:eastAsia="Times New Roman" w:hAnsi="Times New Roman" w:cs="Times New Roman"/>
          <w:sz w:val="24"/>
          <w:szCs w:val="24"/>
          <w:lang w:eastAsia="en-GB"/>
        </w:rPr>
        <w:t>psychological</w:t>
      </w:r>
      <w:r w:rsidR="00CE4EA5" w:rsidRPr="00E200A5">
        <w:rPr>
          <w:rFonts w:ascii="Times New Roman" w:eastAsia="Times New Roman" w:hAnsi="Times New Roman" w:cs="Times New Roman"/>
          <w:sz w:val="24"/>
          <w:szCs w:val="24"/>
          <w:lang w:eastAsia="en-GB"/>
        </w:rPr>
        <w:t xml:space="preserve"> variables, lower intelligence and neuroticism, and worse mental health predicted greater COVID-19 vaccination hesitancy. </w:t>
      </w:r>
      <w:r w:rsidR="00B0069B" w:rsidRPr="00E200A5">
        <w:rPr>
          <w:rFonts w:ascii="Times New Roman" w:eastAsia="Times New Roman" w:hAnsi="Times New Roman" w:cs="Times New Roman"/>
          <w:sz w:val="24"/>
          <w:szCs w:val="24"/>
          <w:lang w:eastAsia="en-GB"/>
        </w:rPr>
        <w:t xml:space="preserve">Regarding demographic variables, </w:t>
      </w:r>
      <w:r w:rsidR="00BD1E5F" w:rsidRPr="00E200A5">
        <w:rPr>
          <w:rFonts w:ascii="Times New Roman" w:eastAsia="Times New Roman" w:hAnsi="Times New Roman" w:cs="Times New Roman"/>
          <w:sz w:val="24"/>
          <w:szCs w:val="24"/>
          <w:lang w:eastAsia="en-GB"/>
        </w:rPr>
        <w:t>COVID-19 vaccination</w:t>
      </w:r>
      <w:r w:rsidR="00B0069B" w:rsidRPr="00E200A5">
        <w:rPr>
          <w:rFonts w:ascii="Times New Roman" w:eastAsia="Times New Roman" w:hAnsi="Times New Roman" w:cs="Times New Roman"/>
          <w:sz w:val="24"/>
          <w:szCs w:val="24"/>
          <w:lang w:eastAsia="en-GB"/>
        </w:rPr>
        <w:t xml:space="preserve"> hesitancy was positively </w:t>
      </w:r>
      <w:r w:rsidR="0079438E" w:rsidRPr="00E200A5">
        <w:rPr>
          <w:rFonts w:ascii="Times New Roman" w:eastAsia="Times New Roman" w:hAnsi="Times New Roman" w:cs="Times New Roman"/>
          <w:sz w:val="24"/>
          <w:szCs w:val="24"/>
          <w:lang w:eastAsia="en-GB"/>
        </w:rPr>
        <w:t xml:space="preserve">and significantly </w:t>
      </w:r>
      <w:r w:rsidR="00B0069B" w:rsidRPr="00E200A5">
        <w:rPr>
          <w:rFonts w:ascii="Times New Roman" w:eastAsia="Times New Roman" w:hAnsi="Times New Roman" w:cs="Times New Roman"/>
          <w:sz w:val="24"/>
          <w:szCs w:val="24"/>
          <w:lang w:eastAsia="en-GB"/>
        </w:rPr>
        <w:t xml:space="preserve">predicted by being younger, female, </w:t>
      </w:r>
      <w:r w:rsidR="00E1771F" w:rsidRPr="00E200A5">
        <w:rPr>
          <w:rFonts w:ascii="Times New Roman" w:eastAsia="Times New Roman" w:hAnsi="Times New Roman" w:cs="Times New Roman"/>
          <w:sz w:val="24"/>
          <w:szCs w:val="24"/>
          <w:lang w:eastAsia="en-GB"/>
        </w:rPr>
        <w:t xml:space="preserve">and </w:t>
      </w:r>
      <w:r w:rsidR="00B0069B" w:rsidRPr="00E200A5">
        <w:rPr>
          <w:rFonts w:ascii="Times New Roman" w:eastAsia="Times New Roman" w:hAnsi="Times New Roman" w:cs="Times New Roman"/>
          <w:sz w:val="24"/>
          <w:szCs w:val="24"/>
          <w:lang w:eastAsia="en-GB"/>
        </w:rPr>
        <w:t xml:space="preserve">less educated, with a </w:t>
      </w:r>
      <w:r w:rsidR="00AB000D" w:rsidRPr="00E200A5">
        <w:rPr>
          <w:rFonts w:ascii="Times New Roman" w:eastAsia="Times New Roman" w:hAnsi="Times New Roman" w:cs="Times New Roman"/>
          <w:sz w:val="24"/>
          <w:szCs w:val="24"/>
          <w:lang w:eastAsia="en-GB"/>
        </w:rPr>
        <w:t xml:space="preserve">lower </w:t>
      </w:r>
      <w:r w:rsidR="00B0069B" w:rsidRPr="00E200A5">
        <w:rPr>
          <w:rFonts w:ascii="Times New Roman" w:eastAsia="Times New Roman" w:hAnsi="Times New Roman" w:cs="Times New Roman"/>
          <w:sz w:val="24"/>
          <w:szCs w:val="24"/>
          <w:lang w:eastAsia="en-GB"/>
        </w:rPr>
        <w:t xml:space="preserve">income. </w:t>
      </w:r>
      <w:r w:rsidR="00645FBC" w:rsidRPr="00E200A5">
        <w:rPr>
          <w:rFonts w:ascii="Times New Roman" w:eastAsia="Times New Roman" w:hAnsi="Times New Roman" w:cs="Times New Roman"/>
          <w:sz w:val="24"/>
          <w:szCs w:val="24"/>
          <w:lang w:eastAsia="en-GB"/>
        </w:rPr>
        <w:t xml:space="preserve">It should be noted that all of the </w:t>
      </w:r>
      <w:r w:rsidR="00D67086" w:rsidRPr="00E200A5">
        <w:rPr>
          <w:rFonts w:ascii="Times New Roman" w:eastAsia="Times New Roman" w:hAnsi="Times New Roman" w:cs="Times New Roman"/>
          <w:sz w:val="24"/>
          <w:szCs w:val="24"/>
          <w:lang w:eastAsia="en-GB"/>
        </w:rPr>
        <w:t>odd</w:t>
      </w:r>
      <w:r w:rsidR="00721043" w:rsidRPr="00E200A5">
        <w:rPr>
          <w:rFonts w:ascii="Times New Roman" w:eastAsia="Times New Roman" w:hAnsi="Times New Roman" w:cs="Times New Roman"/>
          <w:sz w:val="24"/>
          <w:szCs w:val="24"/>
          <w:lang w:eastAsia="en-GB"/>
        </w:rPr>
        <w:t>s</w:t>
      </w:r>
      <w:r w:rsidR="00D67086" w:rsidRPr="00E200A5">
        <w:rPr>
          <w:rFonts w:ascii="Times New Roman" w:eastAsia="Times New Roman" w:hAnsi="Times New Roman" w:cs="Times New Roman"/>
          <w:sz w:val="24"/>
          <w:szCs w:val="24"/>
          <w:lang w:eastAsia="en-GB"/>
        </w:rPr>
        <w:t xml:space="preserve"> ratios</w:t>
      </w:r>
      <w:r w:rsidR="00645FBC" w:rsidRPr="00E200A5">
        <w:rPr>
          <w:rFonts w:ascii="Times New Roman" w:eastAsia="Times New Roman" w:hAnsi="Times New Roman" w:cs="Times New Roman"/>
          <w:sz w:val="24"/>
          <w:szCs w:val="24"/>
          <w:lang w:eastAsia="en-GB"/>
        </w:rPr>
        <w:t xml:space="preserve"> found in the logistic regressions using intelligence, personality, and demographic variables are small in size </w:t>
      </w:r>
      <w:r w:rsidR="00645FBC" w:rsidRPr="00E200A5">
        <w:rPr>
          <w:rFonts w:ascii="Times New Roman" w:eastAsia="Times New Roman" w:hAnsi="Times New Roman" w:cs="Times New Roman"/>
          <w:sz w:val="24"/>
          <w:szCs w:val="24"/>
          <w:lang w:eastAsia="en-GB"/>
        </w:rPr>
        <w:fldChar w:fldCharType="begin"/>
      </w:r>
      <w:r w:rsidR="00285CCC" w:rsidRPr="00E200A5">
        <w:rPr>
          <w:rFonts w:ascii="Times New Roman" w:eastAsia="Times New Roman" w:hAnsi="Times New Roman" w:cs="Times New Roman"/>
          <w:sz w:val="24"/>
          <w:szCs w:val="24"/>
          <w:lang w:eastAsia="en-GB"/>
        </w:rPr>
        <w:instrText xml:space="preserve"> ADDIN ZOTERO_ITEM CSL_CITATION {"citationID":"zRQlMrvb","properties":{"formattedCitation":"(Chen et al., 2010)","plainCitation":"(Chen et al., 2010)","noteIndex":0},"citationItems":[{"id":4375,"uris":["http://zotero.org/users/5523892/items/7T2KH63W"],"itemData":{"id":4375,"type":"article-journal","container-title":"Communications in Statistics - Simulation and Computation","DOI":"10.1080/03610911003650383","ISSN":"0361-0918, 1532-4141","issue":"4","journalAbbreviation":"Communications in Statistics - Simulation and Computation","language":"en","page":"860-864","source":"DOI.org (Crossref)","title":"How Big is a Big Odds Ratio? Interpreting the Magnitudes of Odds Ratios in Epidemiological Studies","title-short":"How Big is a Big Odds Ratio?","volume":"39","author":[{"family":"Chen","given":"Henian"},{"family":"Cohen","given":"Patricia"},{"family":"Chen","given":"Sophie"}],"issued":{"date-parts":[["2010",3,31]]},"citation-key":"chenHowBigBig2010"}}],"schema":"https://github.com/citation-style-language/schema/raw/master/csl-citation.json"} </w:instrText>
      </w:r>
      <w:r w:rsidR="00645FBC" w:rsidRPr="00E200A5">
        <w:rPr>
          <w:rFonts w:ascii="Times New Roman" w:eastAsia="Times New Roman" w:hAnsi="Times New Roman" w:cs="Times New Roman"/>
          <w:sz w:val="24"/>
          <w:szCs w:val="24"/>
          <w:lang w:eastAsia="en-GB"/>
        </w:rPr>
        <w:fldChar w:fldCharType="separate"/>
      </w:r>
      <w:r w:rsidR="00645FBC" w:rsidRPr="00E200A5">
        <w:rPr>
          <w:rFonts w:ascii="Times New Roman" w:hAnsi="Times New Roman" w:cs="Times New Roman"/>
          <w:sz w:val="24"/>
        </w:rPr>
        <w:t>(Chen et al., 2010)</w:t>
      </w:r>
      <w:r w:rsidR="00645FBC" w:rsidRPr="00E200A5">
        <w:rPr>
          <w:rFonts w:ascii="Times New Roman" w:eastAsia="Times New Roman" w:hAnsi="Times New Roman" w:cs="Times New Roman"/>
          <w:sz w:val="24"/>
          <w:szCs w:val="24"/>
          <w:lang w:eastAsia="en-GB"/>
        </w:rPr>
        <w:fldChar w:fldCharType="end"/>
      </w:r>
      <w:r w:rsidR="00645FBC" w:rsidRPr="00E200A5">
        <w:rPr>
          <w:rFonts w:ascii="Times New Roman" w:eastAsia="Times New Roman" w:hAnsi="Times New Roman" w:cs="Times New Roman"/>
          <w:sz w:val="24"/>
          <w:szCs w:val="24"/>
          <w:lang w:eastAsia="en-GB"/>
        </w:rPr>
        <w:t xml:space="preserve">. </w:t>
      </w:r>
      <w:r w:rsidR="006A14B3" w:rsidRPr="00E200A5">
        <w:rPr>
          <w:rFonts w:ascii="Times New Roman" w:eastAsia="Times New Roman" w:hAnsi="Times New Roman" w:cs="Times New Roman"/>
          <w:sz w:val="24"/>
          <w:szCs w:val="24"/>
          <w:lang w:eastAsia="en-GB"/>
        </w:rPr>
        <w:t>For full information, see Table 3.</w:t>
      </w:r>
    </w:p>
    <w:p w14:paraId="2539E7DA" w14:textId="26276CC8" w:rsidR="00EA5CC7" w:rsidRPr="00E200A5" w:rsidRDefault="00EA5CC7" w:rsidP="00C915C8">
      <w:pPr>
        <w:spacing w:after="0" w:line="480" w:lineRule="auto"/>
        <w:ind w:firstLine="720"/>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sz w:val="24"/>
          <w:szCs w:val="24"/>
          <w:lang w:eastAsia="en-GB"/>
        </w:rPr>
        <w:t xml:space="preserve">The ordinal logistic regression model assumes that the link function between each predictor and each category of the dependent variable has the same shape. This can be examined with the Brant test </w:t>
      </w:r>
      <w:r w:rsidR="000F1D49" w:rsidRPr="00E200A5">
        <w:rPr>
          <w:rFonts w:ascii="Times New Roman" w:eastAsia="Times New Roman" w:hAnsi="Times New Roman" w:cs="Times New Roman"/>
          <w:sz w:val="24"/>
          <w:szCs w:val="24"/>
          <w:lang w:eastAsia="en-GB"/>
        </w:rPr>
        <w:fldChar w:fldCharType="begin"/>
      </w:r>
      <w:r w:rsidR="00285CCC" w:rsidRPr="00E200A5">
        <w:rPr>
          <w:rFonts w:ascii="Times New Roman" w:eastAsia="Times New Roman" w:hAnsi="Times New Roman" w:cs="Times New Roman"/>
          <w:sz w:val="24"/>
          <w:szCs w:val="24"/>
          <w:lang w:eastAsia="en-GB"/>
        </w:rPr>
        <w:instrText xml:space="preserve"> ADDIN ZOTERO_ITEM CSL_CITATION {"citationID":"OI88DKBf","properties":{"formattedCitation":"(Brant, 1990; Williams, 2006)","plainCitation":"(Brant, 1990; Williams, 2006)","noteIndex":0},"citationItems":[{"id":993,"uris":["http://zotero.org/users/5523892/items/62TFQLIN"],"itemData":{"id":993,"type":"article-journal","abstract":"The proportional odds model for ordinal logistic regression provides a useful extension of the binary logistic model to situations where the response variable takes on values in a set of ordered categories. The model may be represented by a series of logistic regressions for dependent binary variables, with common regression parameters reflecting the proportional odds assumption. Key to the valid application of the model is the assessment of the proportionality assumption. An approach is described arising from comparisons of the separate (correlated) fits to the binary logistic models underlying the overall model. Based on asymptotic distributional results, formal goodness-of-fit measures are constructed to supplement informal comparisons of the different fits. A number of proposals, including application of bootstrap simulation, are discussed and illustrated with a data example.","container-title":"Biometrics","DOI":"10.2307/2532457","ISSN":"0006341X","issue":"4","journalAbbreviation":"Biometrics","language":"en","page":"1171","source":"DOI.org (Crossref)","title":"Assessing Proportionality in the Proportional Odds Model for Ordinal Logistic Regression","volume":"46","author":[{"family":"Brant","given":"Rollin"}],"issued":{"date-parts":[["1990",12]]},"citation-key":"brantAssessingProportionalityProportional1990"}},{"id":992,"uris":["http://zotero.org/users/5523892/items/6A44TEMD"],"itemData":{"id":992,"type":"article-journal","abstract":"This article describes the gologit2 program for generalized ordered logit models. gologit2 is inspired by Vincent Fu’s gologit routine (Stata Technical Bulletin Reprints 8: 160–164) and is backward compatible with it but oﬀers several additional powerful options. A major strength of gologit2 is that it can ﬁt three special cases of the generalized model: the proportional odds/parallel-lines model, the partial proportional odds model, and the logistic regression model. Hence, gologit2 can ﬁt models that are less restrictive than the parallel-lines models ﬁtted by ologit (whose assumptions are often violated) but more parsimonious and interpretable than those ﬁtted by a nonordinal method, such as multinomial logistic regression (i.e., mlogit). Other key advantages of gologit2 include support for linear constraints, survey data estimation, and the computation of estimated probabilities via the predict command.","container-title":"The Stata Journal: Promoting communications on statistics and Stata","DOI":"10.1177/1536867X0600600104","ISSN":"1536-867X, 1536-8734","issue":"1","journalAbbreviation":"The Stata Journal","language":"en","page":"58-82","source":"DOI.org (Crossref)","title":"Generalized Ordered Logit/Partial Proportional Odds Models for Ordinal Dependent Variables","volume":"6","author":[{"family":"Williams","given":"Richard"}],"issued":{"date-parts":[["2006",2]]},"citation-key":"williamsGeneralizedOrderedLogit2006"}}],"schema":"https://github.com/citation-style-language/schema/raw/master/csl-citation.json"} </w:instrText>
      </w:r>
      <w:r w:rsidR="000F1D49" w:rsidRPr="00E200A5">
        <w:rPr>
          <w:rFonts w:ascii="Times New Roman" w:eastAsia="Times New Roman" w:hAnsi="Times New Roman" w:cs="Times New Roman"/>
          <w:sz w:val="24"/>
          <w:szCs w:val="24"/>
          <w:lang w:eastAsia="en-GB"/>
        </w:rPr>
        <w:fldChar w:fldCharType="separate"/>
      </w:r>
      <w:r w:rsidR="00AF0251" w:rsidRPr="00E200A5">
        <w:rPr>
          <w:rFonts w:ascii="Times New Roman" w:hAnsi="Times New Roman" w:cs="Times New Roman"/>
          <w:sz w:val="24"/>
        </w:rPr>
        <w:t>(Brant, 1990; Williams, 2006)</w:t>
      </w:r>
      <w:r w:rsidR="000F1D49" w:rsidRPr="00E200A5">
        <w:rPr>
          <w:rFonts w:ascii="Times New Roman" w:eastAsia="Times New Roman" w:hAnsi="Times New Roman" w:cs="Times New Roman"/>
          <w:sz w:val="24"/>
          <w:szCs w:val="24"/>
          <w:lang w:eastAsia="en-GB"/>
        </w:rPr>
        <w:fldChar w:fldCharType="end"/>
      </w:r>
      <w:r w:rsidR="000F1D49" w:rsidRPr="00E200A5">
        <w:rPr>
          <w:rFonts w:ascii="Times New Roman" w:eastAsia="Times New Roman" w:hAnsi="Times New Roman" w:cs="Times New Roman"/>
          <w:sz w:val="24"/>
          <w:szCs w:val="24"/>
          <w:lang w:eastAsia="en-GB"/>
        </w:rPr>
        <w:t xml:space="preserve">. </w:t>
      </w:r>
      <w:r w:rsidR="007632EA" w:rsidRPr="00E200A5">
        <w:rPr>
          <w:rFonts w:ascii="Times New Roman" w:eastAsia="Times New Roman" w:hAnsi="Times New Roman" w:cs="Times New Roman"/>
          <w:sz w:val="24"/>
          <w:szCs w:val="24"/>
          <w:lang w:eastAsia="en-GB"/>
        </w:rPr>
        <w:t xml:space="preserve">For </w:t>
      </w:r>
      <w:r w:rsidR="0079438E" w:rsidRPr="00E200A5">
        <w:rPr>
          <w:rFonts w:ascii="Times New Roman" w:eastAsia="Times New Roman" w:hAnsi="Times New Roman" w:cs="Times New Roman"/>
          <w:sz w:val="24"/>
          <w:szCs w:val="24"/>
          <w:lang w:eastAsia="en-GB"/>
        </w:rPr>
        <w:t>our key study</w:t>
      </w:r>
      <w:r w:rsidR="007632EA" w:rsidRPr="00E200A5">
        <w:rPr>
          <w:rFonts w:ascii="Times New Roman" w:eastAsia="Times New Roman" w:hAnsi="Times New Roman" w:cs="Times New Roman"/>
          <w:sz w:val="24"/>
          <w:szCs w:val="24"/>
          <w:lang w:eastAsia="en-GB"/>
        </w:rPr>
        <w:t xml:space="preserve"> variables</w:t>
      </w:r>
      <w:r w:rsidR="0079438E" w:rsidRPr="00E200A5">
        <w:rPr>
          <w:rFonts w:ascii="Times New Roman" w:eastAsia="Times New Roman" w:hAnsi="Times New Roman" w:cs="Times New Roman"/>
          <w:sz w:val="24"/>
          <w:szCs w:val="24"/>
          <w:lang w:eastAsia="en-GB"/>
        </w:rPr>
        <w:t xml:space="preserve"> (i.e.</w:t>
      </w:r>
      <w:r w:rsidR="00045A41" w:rsidRPr="00E200A5">
        <w:rPr>
          <w:rFonts w:ascii="Times New Roman" w:eastAsia="Times New Roman" w:hAnsi="Times New Roman" w:cs="Times New Roman"/>
          <w:sz w:val="24"/>
          <w:szCs w:val="24"/>
          <w:lang w:eastAsia="en-GB"/>
        </w:rPr>
        <w:t>,</w:t>
      </w:r>
      <w:r w:rsidR="0079438E" w:rsidRPr="00E200A5">
        <w:rPr>
          <w:rFonts w:ascii="Times New Roman" w:eastAsia="Times New Roman" w:hAnsi="Times New Roman" w:cs="Times New Roman"/>
          <w:sz w:val="24"/>
          <w:szCs w:val="24"/>
          <w:lang w:eastAsia="en-GB"/>
        </w:rPr>
        <w:t xml:space="preserve"> general intelligence and Big </w:t>
      </w:r>
      <w:r w:rsidR="00A34873" w:rsidRPr="00E200A5">
        <w:rPr>
          <w:rFonts w:ascii="Times New Roman" w:eastAsia="Times New Roman" w:hAnsi="Times New Roman" w:cs="Times New Roman"/>
          <w:sz w:val="24"/>
          <w:szCs w:val="24"/>
          <w:lang w:eastAsia="en-GB"/>
        </w:rPr>
        <w:t>five</w:t>
      </w:r>
      <w:r w:rsidR="0079438E" w:rsidRPr="00E200A5">
        <w:rPr>
          <w:rFonts w:ascii="Times New Roman" w:eastAsia="Times New Roman" w:hAnsi="Times New Roman" w:cs="Times New Roman"/>
          <w:sz w:val="24"/>
          <w:szCs w:val="24"/>
          <w:lang w:eastAsia="en-GB"/>
        </w:rPr>
        <w:t xml:space="preserve"> personality traits)</w:t>
      </w:r>
      <w:r w:rsidR="007632EA" w:rsidRPr="00E200A5">
        <w:rPr>
          <w:rFonts w:ascii="Times New Roman" w:eastAsia="Times New Roman" w:hAnsi="Times New Roman" w:cs="Times New Roman"/>
          <w:sz w:val="24"/>
          <w:szCs w:val="24"/>
          <w:lang w:eastAsia="en-GB"/>
        </w:rPr>
        <w:t xml:space="preserve"> we saw no evidence of assumption violations</w:t>
      </w:r>
      <w:r w:rsidRPr="00E200A5">
        <w:rPr>
          <w:rFonts w:ascii="Times New Roman" w:eastAsia="Times New Roman" w:hAnsi="Times New Roman" w:cs="Times New Roman"/>
          <w:sz w:val="24"/>
          <w:szCs w:val="24"/>
          <w:lang w:eastAsia="en-GB"/>
        </w:rPr>
        <w:t xml:space="preserve"> (all </w:t>
      </w:r>
      <w:r w:rsidRPr="00E200A5">
        <w:rPr>
          <w:rFonts w:ascii="Times New Roman" w:eastAsia="Times New Roman" w:hAnsi="Times New Roman" w:cs="Times New Roman"/>
          <w:i/>
          <w:iCs/>
          <w:sz w:val="24"/>
          <w:szCs w:val="24"/>
          <w:lang w:eastAsia="en-GB"/>
        </w:rPr>
        <w:t>p</w:t>
      </w:r>
      <w:r w:rsidR="000F51A3" w:rsidRPr="00E200A5">
        <w:rPr>
          <w:rFonts w:ascii="Times New Roman" w:eastAsia="Times New Roman" w:hAnsi="Times New Roman" w:cs="Times New Roman"/>
          <w:sz w:val="24"/>
          <w:szCs w:val="24"/>
          <w:lang w:eastAsia="en-GB"/>
        </w:rPr>
        <w:t>’s</w:t>
      </w:r>
      <w:r w:rsidRPr="00E200A5">
        <w:rPr>
          <w:rFonts w:ascii="Times New Roman" w:eastAsia="Times New Roman" w:hAnsi="Times New Roman" w:cs="Times New Roman"/>
          <w:sz w:val="24"/>
          <w:szCs w:val="24"/>
          <w:lang w:eastAsia="en-GB"/>
        </w:rPr>
        <w:t xml:space="preserve"> &gt; .05)</w:t>
      </w:r>
      <w:r w:rsidR="007632EA" w:rsidRPr="00E200A5">
        <w:rPr>
          <w:rFonts w:ascii="Times New Roman" w:eastAsia="Times New Roman" w:hAnsi="Times New Roman" w:cs="Times New Roman"/>
          <w:sz w:val="24"/>
          <w:szCs w:val="24"/>
          <w:lang w:eastAsia="en-GB"/>
        </w:rPr>
        <w:t>. However</w:t>
      </w:r>
      <w:r w:rsidRPr="00E200A5">
        <w:rPr>
          <w:rFonts w:ascii="Times New Roman" w:eastAsia="Times New Roman" w:hAnsi="Times New Roman" w:cs="Times New Roman"/>
          <w:sz w:val="24"/>
          <w:szCs w:val="24"/>
          <w:lang w:eastAsia="en-GB"/>
        </w:rPr>
        <w:t xml:space="preserve">, the test indicated potential violations for </w:t>
      </w:r>
      <w:r w:rsidR="00C10200" w:rsidRPr="00E200A5">
        <w:rPr>
          <w:rFonts w:ascii="Times New Roman" w:eastAsia="Times New Roman" w:hAnsi="Times New Roman" w:cs="Times New Roman"/>
          <w:sz w:val="24"/>
          <w:szCs w:val="24"/>
          <w:lang w:eastAsia="en-GB"/>
        </w:rPr>
        <w:t>self-rated COVID risk</w:t>
      </w:r>
      <w:r w:rsidR="00B77297" w:rsidRPr="00E200A5">
        <w:rPr>
          <w:rFonts w:ascii="Times New Roman" w:eastAsia="Times New Roman" w:hAnsi="Times New Roman" w:cs="Times New Roman"/>
          <w:sz w:val="24"/>
          <w:szCs w:val="24"/>
          <w:lang w:eastAsia="en-GB"/>
        </w:rPr>
        <w:t xml:space="preserve"> and mental health</w:t>
      </w:r>
      <w:r w:rsidR="0066777C" w:rsidRPr="00E200A5">
        <w:rPr>
          <w:rFonts w:ascii="Times New Roman" w:eastAsia="Times New Roman" w:hAnsi="Times New Roman" w:cs="Times New Roman"/>
          <w:sz w:val="24"/>
          <w:szCs w:val="24"/>
          <w:lang w:eastAsia="en-GB"/>
        </w:rPr>
        <w:t xml:space="preserve"> </w:t>
      </w:r>
      <w:r w:rsidR="00154819" w:rsidRPr="00E200A5">
        <w:rPr>
          <w:rFonts w:ascii="Times New Roman" w:eastAsia="Times New Roman" w:hAnsi="Times New Roman" w:cs="Times New Roman"/>
          <w:sz w:val="24"/>
          <w:szCs w:val="24"/>
          <w:lang w:eastAsia="en-GB"/>
        </w:rPr>
        <w:t>problems</w:t>
      </w:r>
      <w:r w:rsidR="00C10200" w:rsidRPr="00E200A5">
        <w:rPr>
          <w:rFonts w:ascii="Times New Roman" w:eastAsia="Times New Roman" w:hAnsi="Times New Roman" w:cs="Times New Roman"/>
          <w:sz w:val="24"/>
          <w:szCs w:val="24"/>
          <w:lang w:eastAsia="en-GB"/>
        </w:rPr>
        <w:t xml:space="preserve"> (χ2 </w:t>
      </w:r>
      <w:r w:rsidR="00C10200" w:rsidRPr="00E200A5">
        <w:rPr>
          <w:rFonts w:ascii="Times New Roman" w:eastAsia="Times New Roman" w:hAnsi="Times New Roman" w:cs="Times New Roman"/>
          <w:sz w:val="24"/>
          <w:szCs w:val="24"/>
          <w:vertAlign w:val="subscript"/>
          <w:lang w:eastAsia="en-GB"/>
        </w:rPr>
        <w:t>df = 2</w:t>
      </w:r>
      <w:r w:rsidR="00C10200" w:rsidRPr="00E200A5">
        <w:rPr>
          <w:rFonts w:ascii="Times New Roman" w:eastAsia="Times New Roman" w:hAnsi="Times New Roman" w:cs="Times New Roman"/>
          <w:sz w:val="24"/>
          <w:szCs w:val="24"/>
          <w:lang w:eastAsia="en-GB"/>
        </w:rPr>
        <w:t xml:space="preserve"> = 60.71,</w:t>
      </w:r>
      <w:r w:rsidR="00C10200" w:rsidRPr="00E200A5">
        <w:rPr>
          <w:rFonts w:ascii="Times New Roman" w:eastAsia="Times New Roman" w:hAnsi="Times New Roman" w:cs="Times New Roman"/>
          <w:i/>
          <w:iCs/>
          <w:sz w:val="24"/>
          <w:szCs w:val="24"/>
          <w:lang w:eastAsia="en-GB"/>
        </w:rPr>
        <w:t xml:space="preserve"> p</w:t>
      </w:r>
      <w:r w:rsidR="00C10200" w:rsidRPr="00E200A5">
        <w:rPr>
          <w:rFonts w:ascii="Times New Roman" w:eastAsia="Times New Roman" w:hAnsi="Times New Roman" w:cs="Times New Roman"/>
          <w:sz w:val="24"/>
          <w:szCs w:val="24"/>
          <w:lang w:eastAsia="en-GB"/>
        </w:rPr>
        <w:t xml:space="preserve"> &lt;.001</w:t>
      </w:r>
      <w:r w:rsidR="00B77297" w:rsidRPr="00E200A5">
        <w:rPr>
          <w:rFonts w:ascii="Times New Roman" w:eastAsia="Times New Roman" w:hAnsi="Times New Roman" w:cs="Times New Roman"/>
          <w:sz w:val="24"/>
          <w:szCs w:val="24"/>
          <w:lang w:eastAsia="en-GB"/>
        </w:rPr>
        <w:t xml:space="preserve"> and χ2 </w:t>
      </w:r>
      <w:r w:rsidR="00B77297" w:rsidRPr="00E200A5">
        <w:rPr>
          <w:rFonts w:ascii="Times New Roman" w:eastAsia="Times New Roman" w:hAnsi="Times New Roman" w:cs="Times New Roman"/>
          <w:sz w:val="24"/>
          <w:szCs w:val="24"/>
          <w:vertAlign w:val="subscript"/>
          <w:lang w:eastAsia="en-GB"/>
        </w:rPr>
        <w:t>df = 2</w:t>
      </w:r>
      <w:r w:rsidR="00B77297" w:rsidRPr="00E200A5">
        <w:rPr>
          <w:rFonts w:ascii="Times New Roman" w:eastAsia="Times New Roman" w:hAnsi="Times New Roman" w:cs="Times New Roman"/>
          <w:sz w:val="24"/>
          <w:szCs w:val="24"/>
          <w:lang w:eastAsia="en-GB"/>
        </w:rPr>
        <w:t xml:space="preserve"> = 9.41,</w:t>
      </w:r>
      <w:r w:rsidR="00B77297" w:rsidRPr="00E200A5">
        <w:rPr>
          <w:rFonts w:ascii="Times New Roman" w:eastAsia="Times New Roman" w:hAnsi="Times New Roman" w:cs="Times New Roman"/>
          <w:i/>
          <w:iCs/>
          <w:sz w:val="24"/>
          <w:szCs w:val="24"/>
          <w:lang w:eastAsia="en-GB"/>
        </w:rPr>
        <w:t xml:space="preserve"> p</w:t>
      </w:r>
      <w:r w:rsidR="00B77297" w:rsidRPr="00E200A5">
        <w:rPr>
          <w:rFonts w:ascii="Times New Roman" w:eastAsia="Times New Roman" w:hAnsi="Times New Roman" w:cs="Times New Roman"/>
          <w:sz w:val="24"/>
          <w:szCs w:val="24"/>
          <w:lang w:eastAsia="en-GB"/>
        </w:rPr>
        <w:t xml:space="preserve"> =.01</w:t>
      </w:r>
      <w:r w:rsidR="00651A4A" w:rsidRPr="00E200A5">
        <w:rPr>
          <w:rFonts w:ascii="Times New Roman" w:eastAsia="Times New Roman" w:hAnsi="Times New Roman" w:cs="Times New Roman"/>
          <w:sz w:val="24"/>
          <w:szCs w:val="24"/>
          <w:lang w:eastAsia="en-GB"/>
        </w:rPr>
        <w:t>, respectively</w:t>
      </w:r>
      <w:r w:rsidR="00C10200" w:rsidRPr="00E200A5">
        <w:rPr>
          <w:rFonts w:ascii="Times New Roman" w:eastAsia="Times New Roman" w:hAnsi="Times New Roman" w:cs="Times New Roman"/>
          <w:sz w:val="24"/>
          <w:szCs w:val="24"/>
          <w:lang w:eastAsia="en-GB"/>
        </w:rPr>
        <w:t>).</w:t>
      </w:r>
      <w:r w:rsidRPr="00E200A5">
        <w:rPr>
          <w:rFonts w:ascii="Times New Roman" w:hAnsi="Times New Roman" w:cs="Times New Roman"/>
        </w:rPr>
        <w:t xml:space="preserve"> </w:t>
      </w:r>
      <w:r w:rsidRPr="00E200A5">
        <w:rPr>
          <w:rFonts w:ascii="Times New Roman" w:eastAsia="Times New Roman" w:hAnsi="Times New Roman" w:cs="Times New Roman"/>
          <w:sz w:val="24"/>
          <w:szCs w:val="24"/>
          <w:lang w:eastAsia="en-GB"/>
        </w:rPr>
        <w:t>As such, the reported odds ratio may differ across the levels of these independent variables</w:t>
      </w:r>
      <w:r w:rsidR="00C35610" w:rsidRPr="00E200A5">
        <w:rPr>
          <w:rFonts w:ascii="Times New Roman" w:eastAsia="Times New Roman" w:hAnsi="Times New Roman" w:cs="Times New Roman"/>
          <w:sz w:val="24"/>
          <w:szCs w:val="24"/>
          <w:lang w:eastAsia="en-GB"/>
        </w:rPr>
        <w:t>.</w:t>
      </w:r>
    </w:p>
    <w:p w14:paraId="5286C616" w14:textId="77777777" w:rsidR="009A6260" w:rsidRPr="00E200A5" w:rsidRDefault="009A6260" w:rsidP="00C915C8">
      <w:pPr>
        <w:spacing w:after="0" w:line="480" w:lineRule="auto"/>
        <w:jc w:val="both"/>
        <w:rPr>
          <w:rFonts w:ascii="Times New Roman" w:eastAsia="Times New Roman" w:hAnsi="Times New Roman" w:cs="Times New Roman"/>
          <w:b/>
          <w:bCs/>
          <w:i/>
          <w:iCs/>
          <w:sz w:val="24"/>
          <w:szCs w:val="24"/>
          <w:lang w:eastAsia="en-GB"/>
        </w:rPr>
      </w:pPr>
    </w:p>
    <w:p w14:paraId="2DB58CAB" w14:textId="510BF36F" w:rsidR="004A04C6" w:rsidRPr="00E200A5" w:rsidRDefault="004A04C6" w:rsidP="00C915C8">
      <w:pPr>
        <w:spacing w:after="0" w:line="480" w:lineRule="auto"/>
        <w:jc w:val="both"/>
        <w:rPr>
          <w:rFonts w:ascii="Times New Roman" w:eastAsia="Times New Roman" w:hAnsi="Times New Roman" w:cs="Times New Roman"/>
          <w:b/>
          <w:bCs/>
          <w:i/>
          <w:iCs/>
          <w:sz w:val="24"/>
          <w:szCs w:val="24"/>
          <w:lang w:eastAsia="en-GB"/>
        </w:rPr>
      </w:pPr>
      <w:r w:rsidRPr="00E200A5">
        <w:rPr>
          <w:rFonts w:ascii="Times New Roman" w:eastAsia="Times New Roman" w:hAnsi="Times New Roman" w:cs="Times New Roman"/>
          <w:b/>
          <w:bCs/>
          <w:i/>
          <w:iCs/>
          <w:sz w:val="24"/>
          <w:szCs w:val="24"/>
          <w:lang w:eastAsia="en-GB"/>
        </w:rPr>
        <w:lastRenderedPageBreak/>
        <w:t xml:space="preserve"> Seasonal Flu and </w:t>
      </w:r>
      <w:r w:rsidR="000D1673" w:rsidRPr="00E200A5">
        <w:rPr>
          <w:rFonts w:ascii="Times New Roman" w:eastAsia="Times New Roman" w:hAnsi="Times New Roman" w:cs="Times New Roman"/>
          <w:b/>
          <w:bCs/>
          <w:i/>
          <w:iCs/>
          <w:sz w:val="24"/>
          <w:szCs w:val="24"/>
          <w:lang w:eastAsia="en-GB"/>
        </w:rPr>
        <w:t>COVID</w:t>
      </w:r>
      <w:r w:rsidR="00AA1CCD" w:rsidRPr="00E200A5">
        <w:rPr>
          <w:rFonts w:ascii="Times New Roman" w:eastAsia="Times New Roman" w:hAnsi="Times New Roman" w:cs="Times New Roman"/>
          <w:b/>
          <w:bCs/>
          <w:i/>
          <w:iCs/>
          <w:sz w:val="24"/>
          <w:szCs w:val="24"/>
          <w:lang w:eastAsia="en-GB"/>
        </w:rPr>
        <w:t>-19</w:t>
      </w:r>
      <w:r w:rsidRPr="00E200A5">
        <w:rPr>
          <w:rFonts w:ascii="Times New Roman" w:eastAsia="Times New Roman" w:hAnsi="Times New Roman" w:cs="Times New Roman"/>
          <w:b/>
          <w:bCs/>
          <w:i/>
          <w:iCs/>
          <w:sz w:val="24"/>
          <w:szCs w:val="24"/>
          <w:lang w:eastAsia="en-GB"/>
        </w:rPr>
        <w:t xml:space="preserve"> </w:t>
      </w:r>
      <w:r w:rsidR="00852603" w:rsidRPr="00E200A5">
        <w:rPr>
          <w:rFonts w:ascii="Times New Roman" w:eastAsia="Times New Roman" w:hAnsi="Times New Roman" w:cs="Times New Roman"/>
          <w:b/>
          <w:bCs/>
          <w:i/>
          <w:iCs/>
          <w:sz w:val="24"/>
          <w:szCs w:val="24"/>
          <w:lang w:eastAsia="en-GB"/>
        </w:rPr>
        <w:t xml:space="preserve">Vaccination </w:t>
      </w:r>
      <w:r w:rsidRPr="00E200A5">
        <w:rPr>
          <w:rFonts w:ascii="Times New Roman" w:eastAsia="Times New Roman" w:hAnsi="Times New Roman" w:cs="Times New Roman"/>
          <w:b/>
          <w:bCs/>
          <w:i/>
          <w:iCs/>
          <w:sz w:val="24"/>
          <w:szCs w:val="24"/>
          <w:lang w:eastAsia="en-GB"/>
        </w:rPr>
        <w:t>Hesitancy (50-65 Years Sub-sample)</w:t>
      </w:r>
    </w:p>
    <w:p w14:paraId="32E1A124" w14:textId="0133B27F" w:rsidR="00060CB5" w:rsidRPr="00E200A5" w:rsidRDefault="00C73E75" w:rsidP="00C915C8">
      <w:pPr>
        <w:spacing w:after="0" w:line="480" w:lineRule="auto"/>
        <w:ind w:firstLine="720"/>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sz w:val="24"/>
          <w:szCs w:val="24"/>
          <w:lang w:eastAsia="en-GB"/>
        </w:rPr>
        <w:t xml:space="preserve">We next moved to our sub-sample of </w:t>
      </w:r>
      <w:r w:rsidR="00FB5CAF" w:rsidRPr="00E200A5">
        <w:rPr>
          <w:rFonts w:ascii="Times New Roman" w:eastAsia="Times New Roman" w:hAnsi="Times New Roman" w:cs="Times New Roman"/>
          <w:sz w:val="24"/>
          <w:szCs w:val="24"/>
          <w:lang w:eastAsia="en-GB"/>
        </w:rPr>
        <w:t>50–65-year-olds</w:t>
      </w:r>
      <w:r w:rsidRPr="00E200A5">
        <w:rPr>
          <w:rFonts w:ascii="Times New Roman" w:eastAsia="Times New Roman" w:hAnsi="Times New Roman" w:cs="Times New Roman"/>
          <w:sz w:val="24"/>
          <w:szCs w:val="24"/>
          <w:lang w:eastAsia="en-GB"/>
        </w:rPr>
        <w:t xml:space="preserve"> for whom we had additional information on </w:t>
      </w:r>
      <w:r w:rsidR="00A43BFD" w:rsidRPr="00E200A5">
        <w:rPr>
          <w:rFonts w:ascii="Times New Roman" w:eastAsia="Times New Roman" w:hAnsi="Times New Roman" w:cs="Times New Roman"/>
          <w:sz w:val="24"/>
          <w:szCs w:val="24"/>
          <w:lang w:eastAsia="en-GB"/>
        </w:rPr>
        <w:t>s</w:t>
      </w:r>
      <w:r w:rsidRPr="00E200A5">
        <w:rPr>
          <w:rFonts w:ascii="Times New Roman" w:eastAsia="Times New Roman" w:hAnsi="Times New Roman" w:cs="Times New Roman"/>
          <w:sz w:val="24"/>
          <w:szCs w:val="24"/>
          <w:lang w:eastAsia="en-GB"/>
        </w:rPr>
        <w:t xml:space="preserve">easonal </w:t>
      </w:r>
      <w:r w:rsidR="00A43BFD" w:rsidRPr="00E200A5">
        <w:rPr>
          <w:rFonts w:ascii="Times New Roman" w:eastAsia="Times New Roman" w:hAnsi="Times New Roman" w:cs="Times New Roman"/>
          <w:sz w:val="24"/>
          <w:szCs w:val="24"/>
          <w:lang w:eastAsia="en-GB"/>
        </w:rPr>
        <w:t>f</w:t>
      </w:r>
      <w:r w:rsidRPr="00E200A5">
        <w:rPr>
          <w:rFonts w:ascii="Times New Roman" w:eastAsia="Times New Roman" w:hAnsi="Times New Roman" w:cs="Times New Roman"/>
          <w:sz w:val="24"/>
          <w:szCs w:val="24"/>
          <w:lang w:eastAsia="en-GB"/>
        </w:rPr>
        <w:t xml:space="preserve">lu </w:t>
      </w:r>
      <w:r w:rsidR="00852603" w:rsidRPr="00E200A5">
        <w:rPr>
          <w:rFonts w:ascii="Times New Roman" w:eastAsia="Times New Roman" w:hAnsi="Times New Roman" w:cs="Times New Roman"/>
          <w:sz w:val="24"/>
          <w:szCs w:val="24"/>
          <w:lang w:eastAsia="en-GB"/>
        </w:rPr>
        <w:t>vaccination hesitancy</w:t>
      </w:r>
      <w:r w:rsidRPr="00E200A5">
        <w:rPr>
          <w:rFonts w:ascii="Times New Roman" w:eastAsia="Times New Roman" w:hAnsi="Times New Roman" w:cs="Times New Roman"/>
          <w:sz w:val="24"/>
          <w:szCs w:val="24"/>
          <w:lang w:eastAsia="en-GB"/>
        </w:rPr>
        <w:t xml:space="preserve">. </w:t>
      </w:r>
      <w:r w:rsidR="00060CB5" w:rsidRPr="00E200A5">
        <w:rPr>
          <w:rFonts w:ascii="Times New Roman" w:eastAsia="Times New Roman" w:hAnsi="Times New Roman" w:cs="Times New Roman"/>
          <w:sz w:val="24"/>
          <w:szCs w:val="24"/>
          <w:lang w:eastAsia="en-GB"/>
        </w:rPr>
        <w:t>As above, w</w:t>
      </w:r>
      <w:r w:rsidRPr="00E200A5">
        <w:rPr>
          <w:rFonts w:ascii="Times New Roman" w:eastAsia="Times New Roman" w:hAnsi="Times New Roman" w:cs="Times New Roman"/>
          <w:sz w:val="24"/>
          <w:szCs w:val="24"/>
          <w:lang w:eastAsia="en-GB"/>
        </w:rPr>
        <w:t xml:space="preserve">e first examined zero-order correlations. </w:t>
      </w:r>
      <w:r w:rsidR="00060CB5" w:rsidRPr="00E200A5">
        <w:rPr>
          <w:rFonts w:ascii="Times New Roman" w:eastAsia="Times New Roman" w:hAnsi="Times New Roman" w:cs="Times New Roman"/>
          <w:sz w:val="24"/>
          <w:szCs w:val="24"/>
          <w:lang w:eastAsia="en-GB"/>
        </w:rPr>
        <w:t xml:space="preserve">These analyses showed several significant links to </w:t>
      </w:r>
      <w:r w:rsidR="00A43BFD" w:rsidRPr="00E200A5">
        <w:rPr>
          <w:rFonts w:ascii="Times New Roman" w:eastAsia="Times New Roman" w:hAnsi="Times New Roman" w:cs="Times New Roman"/>
          <w:sz w:val="24"/>
          <w:szCs w:val="24"/>
          <w:lang w:eastAsia="en-GB"/>
        </w:rPr>
        <w:t>s</w:t>
      </w:r>
      <w:r w:rsidR="00060CB5" w:rsidRPr="00E200A5">
        <w:rPr>
          <w:rFonts w:ascii="Times New Roman" w:eastAsia="Times New Roman" w:hAnsi="Times New Roman" w:cs="Times New Roman"/>
          <w:sz w:val="24"/>
          <w:szCs w:val="24"/>
          <w:lang w:eastAsia="en-GB"/>
        </w:rPr>
        <w:t xml:space="preserve">easonal </w:t>
      </w:r>
      <w:r w:rsidR="00A43BFD" w:rsidRPr="00E200A5">
        <w:rPr>
          <w:rFonts w:ascii="Times New Roman" w:eastAsia="Times New Roman" w:hAnsi="Times New Roman" w:cs="Times New Roman"/>
          <w:sz w:val="24"/>
          <w:szCs w:val="24"/>
          <w:lang w:eastAsia="en-GB"/>
        </w:rPr>
        <w:t>f</w:t>
      </w:r>
      <w:r w:rsidR="00060CB5" w:rsidRPr="00E200A5">
        <w:rPr>
          <w:rFonts w:ascii="Times New Roman" w:eastAsia="Times New Roman" w:hAnsi="Times New Roman" w:cs="Times New Roman"/>
          <w:sz w:val="24"/>
          <w:szCs w:val="24"/>
          <w:lang w:eastAsia="en-GB"/>
        </w:rPr>
        <w:t xml:space="preserve">lu </w:t>
      </w:r>
      <w:r w:rsidR="00852603" w:rsidRPr="00E200A5">
        <w:rPr>
          <w:rFonts w:ascii="Times New Roman" w:eastAsia="Times New Roman" w:hAnsi="Times New Roman" w:cs="Times New Roman"/>
          <w:sz w:val="24"/>
          <w:szCs w:val="24"/>
          <w:lang w:eastAsia="en-GB"/>
        </w:rPr>
        <w:t>vaccination hesitancy</w:t>
      </w:r>
      <w:r w:rsidR="00060CB5" w:rsidRPr="00E200A5">
        <w:rPr>
          <w:rFonts w:ascii="Times New Roman" w:eastAsia="Times New Roman" w:hAnsi="Times New Roman" w:cs="Times New Roman"/>
          <w:sz w:val="24"/>
          <w:szCs w:val="24"/>
          <w:lang w:eastAsia="en-GB"/>
        </w:rPr>
        <w:t xml:space="preserve">: specifically, younger respondents, those with lower general intelligence and education, and those with higher neuroticism and </w:t>
      </w:r>
      <w:r w:rsidR="00852603" w:rsidRPr="00E200A5">
        <w:rPr>
          <w:rFonts w:ascii="Times New Roman" w:eastAsia="Times New Roman" w:hAnsi="Times New Roman" w:cs="Times New Roman"/>
          <w:color w:val="000000"/>
          <w:sz w:val="24"/>
          <w:szCs w:val="24"/>
          <w:lang w:eastAsia="en-GB"/>
        </w:rPr>
        <w:t xml:space="preserve">self-rated </w:t>
      </w:r>
      <w:r w:rsidR="000D1673" w:rsidRPr="00E200A5">
        <w:rPr>
          <w:rFonts w:ascii="Times New Roman" w:eastAsia="Times New Roman" w:hAnsi="Times New Roman" w:cs="Times New Roman"/>
          <w:color w:val="000000"/>
          <w:sz w:val="24"/>
          <w:szCs w:val="24"/>
          <w:lang w:eastAsia="en-GB"/>
        </w:rPr>
        <w:t>COVID</w:t>
      </w:r>
      <w:r w:rsidR="00C14DBC" w:rsidRPr="00E200A5">
        <w:rPr>
          <w:rFonts w:ascii="Times New Roman" w:eastAsia="Times New Roman" w:hAnsi="Times New Roman" w:cs="Times New Roman"/>
          <w:color w:val="000000"/>
          <w:sz w:val="24"/>
          <w:szCs w:val="24"/>
          <w:lang w:eastAsia="en-GB"/>
        </w:rPr>
        <w:t>-19</w:t>
      </w:r>
      <w:r w:rsidR="00852603" w:rsidRPr="00E200A5">
        <w:rPr>
          <w:rFonts w:ascii="Times New Roman" w:eastAsia="Times New Roman" w:hAnsi="Times New Roman" w:cs="Times New Roman"/>
          <w:color w:val="000000"/>
          <w:sz w:val="24"/>
          <w:szCs w:val="24"/>
          <w:lang w:eastAsia="en-GB"/>
        </w:rPr>
        <w:t xml:space="preserve"> risk</w:t>
      </w:r>
      <w:r w:rsidR="00852603" w:rsidRPr="00E200A5" w:rsidDel="00852603">
        <w:rPr>
          <w:rFonts w:ascii="Times New Roman" w:eastAsia="Times New Roman" w:hAnsi="Times New Roman" w:cs="Times New Roman"/>
          <w:sz w:val="24"/>
          <w:szCs w:val="24"/>
          <w:lang w:eastAsia="en-GB"/>
        </w:rPr>
        <w:t xml:space="preserve"> </w:t>
      </w:r>
      <w:r w:rsidR="00786CAB" w:rsidRPr="00E200A5">
        <w:rPr>
          <w:rFonts w:ascii="Times New Roman" w:eastAsia="Times New Roman" w:hAnsi="Times New Roman" w:cs="Times New Roman"/>
          <w:sz w:val="24"/>
          <w:szCs w:val="24"/>
          <w:lang w:eastAsia="en-GB"/>
        </w:rPr>
        <w:t>were more likely to be vaccine hesitant</w:t>
      </w:r>
      <w:r w:rsidR="00060CB5" w:rsidRPr="00E200A5">
        <w:rPr>
          <w:rFonts w:ascii="Times New Roman" w:eastAsia="Times New Roman" w:hAnsi="Times New Roman" w:cs="Times New Roman"/>
          <w:sz w:val="24"/>
          <w:szCs w:val="24"/>
          <w:lang w:eastAsia="en-GB"/>
        </w:rPr>
        <w:t xml:space="preserve"> </w:t>
      </w:r>
      <w:r w:rsidRPr="00E200A5">
        <w:rPr>
          <w:rFonts w:ascii="Times New Roman" w:eastAsia="Times New Roman" w:hAnsi="Times New Roman" w:cs="Times New Roman"/>
          <w:sz w:val="24"/>
          <w:szCs w:val="24"/>
          <w:lang w:eastAsia="en-GB"/>
        </w:rPr>
        <w:t xml:space="preserve">(see Table </w:t>
      </w:r>
      <w:r w:rsidR="00CC74C3" w:rsidRPr="00E200A5">
        <w:rPr>
          <w:rFonts w:ascii="Times New Roman" w:eastAsia="Times New Roman" w:hAnsi="Times New Roman" w:cs="Times New Roman"/>
          <w:sz w:val="24"/>
          <w:szCs w:val="24"/>
          <w:lang w:eastAsia="en-GB"/>
        </w:rPr>
        <w:t>4</w:t>
      </w:r>
      <w:r w:rsidRPr="00E200A5">
        <w:rPr>
          <w:rFonts w:ascii="Times New Roman" w:eastAsia="Times New Roman" w:hAnsi="Times New Roman" w:cs="Times New Roman"/>
          <w:sz w:val="24"/>
          <w:szCs w:val="24"/>
          <w:lang w:eastAsia="en-GB"/>
        </w:rPr>
        <w:t xml:space="preserve"> for full results). We also performed these analyses for </w:t>
      </w:r>
      <w:r w:rsidR="000D1673" w:rsidRPr="00E200A5">
        <w:rPr>
          <w:rFonts w:ascii="Times New Roman" w:eastAsia="Times New Roman" w:hAnsi="Times New Roman" w:cs="Times New Roman"/>
          <w:sz w:val="24"/>
          <w:szCs w:val="24"/>
          <w:lang w:eastAsia="en-GB"/>
        </w:rPr>
        <w:t>COVID</w:t>
      </w:r>
      <w:r w:rsidR="00C14DBC" w:rsidRPr="00E200A5">
        <w:rPr>
          <w:rFonts w:ascii="Times New Roman" w:eastAsia="Times New Roman" w:hAnsi="Times New Roman" w:cs="Times New Roman"/>
          <w:sz w:val="24"/>
          <w:szCs w:val="24"/>
          <w:lang w:eastAsia="en-GB"/>
        </w:rPr>
        <w:t>-19</w:t>
      </w:r>
      <w:r w:rsidRPr="00E200A5">
        <w:rPr>
          <w:rFonts w:ascii="Times New Roman" w:eastAsia="Times New Roman" w:hAnsi="Times New Roman" w:cs="Times New Roman"/>
          <w:sz w:val="24"/>
          <w:szCs w:val="24"/>
          <w:lang w:eastAsia="en-GB"/>
        </w:rPr>
        <w:t xml:space="preserve"> </w:t>
      </w:r>
      <w:r w:rsidR="00852603" w:rsidRPr="00E200A5">
        <w:rPr>
          <w:rFonts w:ascii="Times New Roman" w:eastAsia="Times New Roman" w:hAnsi="Times New Roman" w:cs="Times New Roman"/>
          <w:sz w:val="24"/>
          <w:szCs w:val="24"/>
          <w:lang w:eastAsia="en-GB"/>
        </w:rPr>
        <w:t xml:space="preserve">vaccination </w:t>
      </w:r>
      <w:r w:rsidRPr="00E200A5">
        <w:rPr>
          <w:rFonts w:ascii="Times New Roman" w:eastAsia="Times New Roman" w:hAnsi="Times New Roman" w:cs="Times New Roman"/>
          <w:sz w:val="24"/>
          <w:szCs w:val="24"/>
          <w:lang w:eastAsia="en-GB"/>
        </w:rPr>
        <w:t xml:space="preserve">hesitancy with just the </w:t>
      </w:r>
      <w:r w:rsidR="00FB5CAF" w:rsidRPr="00E200A5">
        <w:rPr>
          <w:rFonts w:ascii="Times New Roman" w:eastAsia="Times New Roman" w:hAnsi="Times New Roman" w:cs="Times New Roman"/>
          <w:sz w:val="24"/>
          <w:szCs w:val="24"/>
          <w:lang w:eastAsia="en-GB"/>
        </w:rPr>
        <w:t>50–65-year</w:t>
      </w:r>
      <w:r w:rsidRPr="00E200A5">
        <w:rPr>
          <w:rFonts w:ascii="Times New Roman" w:eastAsia="Times New Roman" w:hAnsi="Times New Roman" w:cs="Times New Roman"/>
          <w:sz w:val="24"/>
          <w:szCs w:val="24"/>
          <w:lang w:eastAsia="en-GB"/>
        </w:rPr>
        <w:t xml:space="preserve"> sub-sample</w:t>
      </w:r>
      <w:r w:rsidR="004A04C6" w:rsidRPr="00E200A5">
        <w:rPr>
          <w:rFonts w:ascii="Times New Roman" w:eastAsia="Times New Roman" w:hAnsi="Times New Roman" w:cs="Times New Roman"/>
          <w:sz w:val="24"/>
          <w:szCs w:val="24"/>
          <w:lang w:eastAsia="en-GB"/>
        </w:rPr>
        <w:t xml:space="preserve"> to provide a direct comparison (see Table </w:t>
      </w:r>
      <w:r w:rsidR="00CC74C3" w:rsidRPr="00E200A5">
        <w:rPr>
          <w:rFonts w:ascii="Times New Roman" w:eastAsia="Times New Roman" w:hAnsi="Times New Roman" w:cs="Times New Roman"/>
          <w:sz w:val="24"/>
          <w:szCs w:val="24"/>
          <w:lang w:eastAsia="en-GB"/>
        </w:rPr>
        <w:t>4</w:t>
      </w:r>
      <w:r w:rsidR="004A04C6" w:rsidRPr="00E200A5">
        <w:rPr>
          <w:rFonts w:ascii="Times New Roman" w:eastAsia="Times New Roman" w:hAnsi="Times New Roman" w:cs="Times New Roman"/>
          <w:sz w:val="24"/>
          <w:szCs w:val="24"/>
          <w:lang w:eastAsia="en-GB"/>
        </w:rPr>
        <w:t>)</w:t>
      </w:r>
      <w:r w:rsidRPr="00E200A5">
        <w:rPr>
          <w:rFonts w:ascii="Times New Roman" w:eastAsia="Times New Roman" w:hAnsi="Times New Roman" w:cs="Times New Roman"/>
          <w:sz w:val="24"/>
          <w:szCs w:val="24"/>
          <w:lang w:eastAsia="en-GB"/>
        </w:rPr>
        <w:t>.</w:t>
      </w:r>
      <w:r w:rsidR="004A04C6" w:rsidRPr="00E200A5">
        <w:rPr>
          <w:rFonts w:ascii="Times New Roman" w:eastAsia="Times New Roman" w:hAnsi="Times New Roman" w:cs="Times New Roman"/>
          <w:sz w:val="24"/>
          <w:szCs w:val="24"/>
          <w:lang w:eastAsia="en-GB"/>
        </w:rPr>
        <w:t xml:space="preserve"> </w:t>
      </w:r>
      <w:r w:rsidR="00B4365F" w:rsidRPr="00E200A5">
        <w:rPr>
          <w:rFonts w:ascii="Times New Roman" w:eastAsia="Times New Roman" w:hAnsi="Times New Roman" w:cs="Times New Roman"/>
          <w:sz w:val="24"/>
          <w:szCs w:val="24"/>
          <w:lang w:eastAsia="en-GB"/>
        </w:rPr>
        <w:t xml:space="preserve">The </w:t>
      </w:r>
      <w:r w:rsidR="008E5A78" w:rsidRPr="00E200A5">
        <w:rPr>
          <w:rFonts w:ascii="Times New Roman" w:eastAsia="Times New Roman" w:hAnsi="Times New Roman" w:cs="Times New Roman"/>
          <w:sz w:val="24"/>
          <w:szCs w:val="24"/>
          <w:lang w:eastAsia="en-GB"/>
        </w:rPr>
        <w:t xml:space="preserve">associations between COVID-19 vaccination hesitancy and the </w:t>
      </w:r>
      <w:r w:rsidR="00B4365F" w:rsidRPr="00E200A5">
        <w:rPr>
          <w:rFonts w:ascii="Times New Roman" w:eastAsia="Times New Roman" w:hAnsi="Times New Roman" w:cs="Times New Roman"/>
          <w:sz w:val="24"/>
          <w:szCs w:val="24"/>
          <w:lang w:eastAsia="en-GB"/>
        </w:rPr>
        <w:t xml:space="preserve">demographic variables were broadly as reported in the full sample, with those who are younger, women, less educated and </w:t>
      </w:r>
      <w:r w:rsidR="001E4A67" w:rsidRPr="00E200A5">
        <w:rPr>
          <w:rFonts w:ascii="Times New Roman" w:eastAsia="Times New Roman" w:hAnsi="Times New Roman" w:cs="Times New Roman"/>
          <w:sz w:val="24"/>
          <w:szCs w:val="24"/>
          <w:lang w:eastAsia="en-GB"/>
        </w:rPr>
        <w:t xml:space="preserve">with a </w:t>
      </w:r>
      <w:r w:rsidR="00B4365F" w:rsidRPr="00E200A5">
        <w:rPr>
          <w:rFonts w:ascii="Times New Roman" w:eastAsia="Times New Roman" w:hAnsi="Times New Roman" w:cs="Times New Roman"/>
          <w:sz w:val="24"/>
          <w:szCs w:val="24"/>
          <w:lang w:eastAsia="en-GB"/>
        </w:rPr>
        <w:t xml:space="preserve">lower income being higher in COVID-19 vaccination hesitancy. Of the </w:t>
      </w:r>
      <w:r w:rsidR="00D97B05" w:rsidRPr="00E200A5">
        <w:rPr>
          <w:rFonts w:ascii="Times New Roman" w:eastAsia="Times New Roman" w:hAnsi="Times New Roman" w:cs="Times New Roman"/>
          <w:sz w:val="24"/>
          <w:szCs w:val="24"/>
          <w:lang w:eastAsia="en-GB"/>
        </w:rPr>
        <w:t>psychological</w:t>
      </w:r>
      <w:r w:rsidR="00B4365F" w:rsidRPr="00E200A5">
        <w:rPr>
          <w:rFonts w:ascii="Times New Roman" w:eastAsia="Times New Roman" w:hAnsi="Times New Roman" w:cs="Times New Roman"/>
          <w:sz w:val="24"/>
          <w:szCs w:val="24"/>
          <w:lang w:eastAsia="en-GB"/>
        </w:rPr>
        <w:t xml:space="preserve"> measures, lower intelligence and worse mental health were associated with greater vaccination hesitancy across both samples</w:t>
      </w:r>
      <w:r w:rsidR="004A04C6" w:rsidRPr="00E200A5">
        <w:rPr>
          <w:rFonts w:ascii="Times New Roman" w:eastAsia="Times New Roman" w:hAnsi="Times New Roman" w:cs="Times New Roman"/>
          <w:sz w:val="24"/>
          <w:szCs w:val="24"/>
          <w:lang w:eastAsia="en-GB"/>
        </w:rPr>
        <w:t>.</w:t>
      </w:r>
      <w:r w:rsidR="00111443" w:rsidRPr="00E200A5">
        <w:rPr>
          <w:rFonts w:ascii="Times New Roman" w:eastAsia="Times New Roman" w:hAnsi="Times New Roman" w:cs="Times New Roman"/>
          <w:sz w:val="24"/>
          <w:szCs w:val="24"/>
          <w:lang w:eastAsia="en-GB"/>
        </w:rPr>
        <w:t xml:space="preserve"> However, self-rated COVID</w:t>
      </w:r>
      <w:r w:rsidR="00C14DBC" w:rsidRPr="00E200A5">
        <w:rPr>
          <w:rFonts w:ascii="Times New Roman" w:eastAsia="Times New Roman" w:hAnsi="Times New Roman" w:cs="Times New Roman"/>
          <w:sz w:val="24"/>
          <w:szCs w:val="24"/>
          <w:lang w:eastAsia="en-GB"/>
        </w:rPr>
        <w:t>-19</w:t>
      </w:r>
      <w:r w:rsidR="00111443" w:rsidRPr="00E200A5">
        <w:rPr>
          <w:rFonts w:ascii="Times New Roman" w:eastAsia="Times New Roman" w:hAnsi="Times New Roman" w:cs="Times New Roman"/>
          <w:sz w:val="24"/>
          <w:szCs w:val="24"/>
          <w:lang w:eastAsia="en-GB"/>
        </w:rPr>
        <w:t xml:space="preserve"> risk was </w:t>
      </w:r>
      <w:r w:rsidR="0042372A" w:rsidRPr="00E200A5">
        <w:rPr>
          <w:rFonts w:ascii="Times New Roman" w:eastAsia="Times New Roman" w:hAnsi="Times New Roman" w:cs="Times New Roman"/>
          <w:sz w:val="24"/>
          <w:szCs w:val="24"/>
          <w:lang w:eastAsia="en-GB"/>
        </w:rPr>
        <w:t xml:space="preserve">not </w:t>
      </w:r>
      <w:r w:rsidR="00111443" w:rsidRPr="00E200A5">
        <w:rPr>
          <w:rFonts w:ascii="Times New Roman" w:eastAsia="Times New Roman" w:hAnsi="Times New Roman" w:cs="Times New Roman"/>
          <w:sz w:val="24"/>
          <w:szCs w:val="24"/>
          <w:lang w:eastAsia="en-GB"/>
        </w:rPr>
        <w:t>significant</w:t>
      </w:r>
      <w:r w:rsidR="00EF5AC9" w:rsidRPr="00E200A5">
        <w:rPr>
          <w:rFonts w:ascii="Times New Roman" w:eastAsia="Times New Roman" w:hAnsi="Times New Roman" w:cs="Times New Roman"/>
          <w:sz w:val="24"/>
          <w:szCs w:val="24"/>
          <w:lang w:eastAsia="en-GB"/>
        </w:rPr>
        <w:t>ly associated</w:t>
      </w:r>
      <w:r w:rsidR="00111443" w:rsidRPr="00E200A5">
        <w:rPr>
          <w:rFonts w:ascii="Times New Roman" w:eastAsia="Times New Roman" w:hAnsi="Times New Roman" w:cs="Times New Roman"/>
          <w:sz w:val="24"/>
          <w:szCs w:val="24"/>
          <w:lang w:eastAsia="en-GB"/>
        </w:rPr>
        <w:t xml:space="preserve"> </w:t>
      </w:r>
      <w:r w:rsidR="001833FD" w:rsidRPr="00E200A5">
        <w:rPr>
          <w:rFonts w:ascii="Times New Roman" w:eastAsia="Times New Roman" w:hAnsi="Times New Roman" w:cs="Times New Roman"/>
          <w:sz w:val="24"/>
          <w:szCs w:val="24"/>
          <w:lang w:eastAsia="en-GB"/>
        </w:rPr>
        <w:t xml:space="preserve">with COVID-19 vaccination hesitancy </w:t>
      </w:r>
      <w:r w:rsidR="00111443" w:rsidRPr="00E200A5">
        <w:rPr>
          <w:rFonts w:ascii="Times New Roman" w:eastAsia="Times New Roman" w:hAnsi="Times New Roman" w:cs="Times New Roman"/>
          <w:sz w:val="24"/>
          <w:szCs w:val="24"/>
          <w:lang w:eastAsia="en-GB"/>
        </w:rPr>
        <w:t>in the 50-65 sample</w:t>
      </w:r>
      <w:r w:rsidR="00EF5AC9" w:rsidRPr="00E200A5">
        <w:rPr>
          <w:rFonts w:ascii="Times New Roman" w:eastAsia="Times New Roman" w:hAnsi="Times New Roman" w:cs="Times New Roman"/>
          <w:sz w:val="24"/>
          <w:szCs w:val="24"/>
          <w:lang w:eastAsia="en-GB"/>
        </w:rPr>
        <w:t xml:space="preserve">, and </w:t>
      </w:r>
      <w:r w:rsidR="0094006E" w:rsidRPr="00E200A5">
        <w:rPr>
          <w:rFonts w:ascii="Times New Roman" w:eastAsia="Times New Roman" w:hAnsi="Times New Roman" w:cs="Times New Roman"/>
          <w:sz w:val="24"/>
          <w:szCs w:val="24"/>
          <w:lang w:eastAsia="en-GB"/>
        </w:rPr>
        <w:t xml:space="preserve">higher </w:t>
      </w:r>
      <w:r w:rsidR="00111443" w:rsidRPr="00E200A5">
        <w:rPr>
          <w:rFonts w:ascii="Times New Roman" w:eastAsia="Times New Roman" w:hAnsi="Times New Roman" w:cs="Times New Roman"/>
          <w:sz w:val="24"/>
          <w:szCs w:val="24"/>
          <w:lang w:eastAsia="en-GB"/>
        </w:rPr>
        <w:t xml:space="preserve">agreeableness and extraversion </w:t>
      </w:r>
      <w:r w:rsidR="00FE7356" w:rsidRPr="00E200A5">
        <w:rPr>
          <w:rFonts w:ascii="Times New Roman" w:eastAsia="Times New Roman" w:hAnsi="Times New Roman" w:cs="Times New Roman"/>
          <w:sz w:val="24"/>
          <w:szCs w:val="24"/>
          <w:lang w:eastAsia="en-GB"/>
        </w:rPr>
        <w:t>predicted greater</w:t>
      </w:r>
      <w:r w:rsidR="005041B0" w:rsidRPr="00E200A5">
        <w:rPr>
          <w:rFonts w:ascii="Times New Roman" w:eastAsia="Times New Roman" w:hAnsi="Times New Roman" w:cs="Times New Roman"/>
          <w:sz w:val="24"/>
          <w:szCs w:val="24"/>
          <w:lang w:eastAsia="en-GB"/>
        </w:rPr>
        <w:t xml:space="preserve"> COVID-19 vaccination hesitancy</w:t>
      </w:r>
      <w:r w:rsidR="008A58FF" w:rsidRPr="00E200A5">
        <w:rPr>
          <w:rFonts w:ascii="Times New Roman" w:eastAsia="Times New Roman" w:hAnsi="Times New Roman" w:cs="Times New Roman"/>
          <w:sz w:val="24"/>
          <w:szCs w:val="24"/>
          <w:lang w:eastAsia="en-GB"/>
        </w:rPr>
        <w:t>.</w:t>
      </w:r>
    </w:p>
    <w:p w14:paraId="663DF5F0" w14:textId="325588E0" w:rsidR="00AC6051" w:rsidRPr="00E200A5" w:rsidRDefault="00C73E75" w:rsidP="00C915C8">
      <w:pPr>
        <w:spacing w:after="0" w:line="480" w:lineRule="auto"/>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sz w:val="24"/>
          <w:szCs w:val="24"/>
          <w:lang w:eastAsia="en-GB"/>
        </w:rPr>
        <w:tab/>
        <w:t xml:space="preserve">We next performed </w:t>
      </w:r>
      <w:r w:rsidR="00ED749A" w:rsidRPr="00E200A5">
        <w:rPr>
          <w:rFonts w:ascii="Times New Roman" w:eastAsia="Times New Roman" w:hAnsi="Times New Roman" w:cs="Times New Roman"/>
          <w:sz w:val="24"/>
          <w:szCs w:val="24"/>
          <w:lang w:eastAsia="en-GB"/>
        </w:rPr>
        <w:t xml:space="preserve">two </w:t>
      </w:r>
      <w:r w:rsidR="0079438E" w:rsidRPr="00E200A5">
        <w:rPr>
          <w:rFonts w:ascii="Times New Roman" w:eastAsia="Times New Roman" w:hAnsi="Times New Roman" w:cs="Times New Roman"/>
          <w:sz w:val="24"/>
          <w:szCs w:val="24"/>
          <w:lang w:eastAsia="en-GB"/>
        </w:rPr>
        <w:t>o</w:t>
      </w:r>
      <w:r w:rsidR="002056FB" w:rsidRPr="00E200A5">
        <w:rPr>
          <w:rFonts w:ascii="Times New Roman" w:eastAsia="Times New Roman" w:hAnsi="Times New Roman" w:cs="Times New Roman"/>
          <w:sz w:val="24"/>
          <w:szCs w:val="24"/>
          <w:lang w:eastAsia="en-GB"/>
        </w:rPr>
        <w:t>rdinal</w:t>
      </w:r>
      <w:r w:rsidR="00463E0D" w:rsidRPr="00E200A5">
        <w:rPr>
          <w:rFonts w:ascii="Times New Roman" w:eastAsia="Times New Roman" w:hAnsi="Times New Roman" w:cs="Times New Roman"/>
          <w:sz w:val="24"/>
          <w:szCs w:val="24"/>
          <w:lang w:eastAsia="en-GB"/>
        </w:rPr>
        <w:t xml:space="preserve"> </w:t>
      </w:r>
      <w:r w:rsidRPr="00E200A5">
        <w:rPr>
          <w:rFonts w:ascii="Times New Roman" w:eastAsia="Times New Roman" w:hAnsi="Times New Roman" w:cs="Times New Roman"/>
          <w:sz w:val="24"/>
          <w:szCs w:val="24"/>
          <w:lang w:eastAsia="en-GB"/>
        </w:rPr>
        <w:t xml:space="preserve">logistic regression </w:t>
      </w:r>
      <w:r w:rsidR="00064AD6" w:rsidRPr="00E200A5">
        <w:rPr>
          <w:rFonts w:ascii="Times New Roman" w:eastAsia="Times New Roman" w:hAnsi="Times New Roman" w:cs="Times New Roman"/>
          <w:sz w:val="24"/>
          <w:szCs w:val="24"/>
          <w:lang w:eastAsia="en-GB"/>
        </w:rPr>
        <w:t>analyses</w:t>
      </w:r>
      <w:r w:rsidRPr="00E200A5">
        <w:rPr>
          <w:rFonts w:ascii="Times New Roman" w:eastAsia="Times New Roman" w:hAnsi="Times New Roman" w:cs="Times New Roman"/>
          <w:sz w:val="24"/>
          <w:szCs w:val="24"/>
          <w:lang w:eastAsia="en-GB"/>
        </w:rPr>
        <w:t xml:space="preserve"> </w:t>
      </w:r>
      <w:r w:rsidR="00ED749A" w:rsidRPr="00E200A5">
        <w:rPr>
          <w:rFonts w:ascii="Times New Roman" w:eastAsia="Times New Roman" w:hAnsi="Times New Roman" w:cs="Times New Roman"/>
          <w:sz w:val="24"/>
          <w:szCs w:val="24"/>
          <w:lang w:eastAsia="en-GB"/>
        </w:rPr>
        <w:t xml:space="preserve">with </w:t>
      </w:r>
      <w:r w:rsidR="00463E0D" w:rsidRPr="00E200A5">
        <w:rPr>
          <w:rFonts w:ascii="Times New Roman" w:eastAsia="Times New Roman" w:hAnsi="Times New Roman" w:cs="Times New Roman"/>
          <w:sz w:val="24"/>
          <w:szCs w:val="24"/>
          <w:lang w:eastAsia="en-GB"/>
        </w:rPr>
        <w:t>COVID</w:t>
      </w:r>
      <w:r w:rsidR="00C14DBC" w:rsidRPr="00E200A5">
        <w:rPr>
          <w:rFonts w:ascii="Times New Roman" w:eastAsia="Times New Roman" w:hAnsi="Times New Roman" w:cs="Times New Roman"/>
          <w:sz w:val="24"/>
          <w:szCs w:val="24"/>
          <w:lang w:eastAsia="en-GB"/>
        </w:rPr>
        <w:t>-19</w:t>
      </w:r>
      <w:r w:rsidR="00463E0D" w:rsidRPr="00E200A5">
        <w:rPr>
          <w:rFonts w:ascii="Times New Roman" w:eastAsia="Times New Roman" w:hAnsi="Times New Roman" w:cs="Times New Roman"/>
          <w:sz w:val="24"/>
          <w:szCs w:val="24"/>
          <w:lang w:eastAsia="en-GB"/>
        </w:rPr>
        <w:t xml:space="preserve"> and </w:t>
      </w:r>
      <w:r w:rsidR="00C14DBC" w:rsidRPr="00E200A5">
        <w:rPr>
          <w:rFonts w:ascii="Times New Roman" w:eastAsia="Times New Roman" w:hAnsi="Times New Roman" w:cs="Times New Roman"/>
          <w:sz w:val="24"/>
          <w:szCs w:val="24"/>
          <w:lang w:eastAsia="en-GB"/>
        </w:rPr>
        <w:t>s</w:t>
      </w:r>
      <w:r w:rsidR="00463E0D" w:rsidRPr="00E200A5">
        <w:rPr>
          <w:rFonts w:ascii="Times New Roman" w:eastAsia="Times New Roman" w:hAnsi="Times New Roman" w:cs="Times New Roman"/>
          <w:sz w:val="24"/>
          <w:szCs w:val="24"/>
          <w:lang w:eastAsia="en-GB"/>
        </w:rPr>
        <w:t xml:space="preserve">easonal </w:t>
      </w:r>
      <w:r w:rsidR="00C14DBC" w:rsidRPr="00E200A5">
        <w:rPr>
          <w:rFonts w:ascii="Times New Roman" w:eastAsia="Times New Roman" w:hAnsi="Times New Roman" w:cs="Times New Roman"/>
          <w:sz w:val="24"/>
          <w:szCs w:val="24"/>
          <w:lang w:eastAsia="en-GB"/>
        </w:rPr>
        <w:t>fl</w:t>
      </w:r>
      <w:r w:rsidR="00463E0D" w:rsidRPr="00E200A5">
        <w:rPr>
          <w:rFonts w:ascii="Times New Roman" w:eastAsia="Times New Roman" w:hAnsi="Times New Roman" w:cs="Times New Roman"/>
          <w:sz w:val="24"/>
          <w:szCs w:val="24"/>
          <w:lang w:eastAsia="en-GB"/>
        </w:rPr>
        <w:t xml:space="preserve">u vaccination </w:t>
      </w:r>
      <w:r w:rsidR="00ED749A" w:rsidRPr="00E200A5">
        <w:rPr>
          <w:rFonts w:ascii="Times New Roman" w:eastAsia="Times New Roman" w:hAnsi="Times New Roman" w:cs="Times New Roman"/>
          <w:sz w:val="24"/>
          <w:szCs w:val="24"/>
          <w:lang w:eastAsia="en-GB"/>
        </w:rPr>
        <w:t xml:space="preserve">hesitancy as the dependent variables </w:t>
      </w:r>
      <w:r w:rsidRPr="00E200A5">
        <w:rPr>
          <w:rFonts w:ascii="Times New Roman" w:eastAsia="Times New Roman" w:hAnsi="Times New Roman" w:cs="Times New Roman"/>
          <w:sz w:val="24"/>
          <w:szCs w:val="24"/>
          <w:lang w:eastAsia="en-GB"/>
        </w:rPr>
        <w:t>and the full collection of demographic</w:t>
      </w:r>
      <w:r w:rsidR="00C47884" w:rsidRPr="00E200A5">
        <w:rPr>
          <w:rFonts w:ascii="Times New Roman" w:eastAsia="Times New Roman" w:hAnsi="Times New Roman" w:cs="Times New Roman"/>
          <w:sz w:val="24"/>
          <w:szCs w:val="24"/>
          <w:lang w:eastAsia="en-GB"/>
        </w:rPr>
        <w:t xml:space="preserve"> and</w:t>
      </w:r>
      <w:r w:rsidR="008A1F2C" w:rsidRPr="00E200A5">
        <w:rPr>
          <w:rFonts w:ascii="Times New Roman" w:eastAsia="Times New Roman" w:hAnsi="Times New Roman" w:cs="Times New Roman"/>
          <w:sz w:val="24"/>
          <w:szCs w:val="24"/>
          <w:lang w:eastAsia="en-GB"/>
        </w:rPr>
        <w:t xml:space="preserve"> </w:t>
      </w:r>
      <w:r w:rsidR="00D97B05" w:rsidRPr="00E200A5">
        <w:rPr>
          <w:rFonts w:ascii="Times New Roman" w:eastAsia="Times New Roman" w:hAnsi="Times New Roman" w:cs="Times New Roman"/>
          <w:sz w:val="24"/>
          <w:szCs w:val="24"/>
          <w:lang w:eastAsia="en-GB"/>
        </w:rPr>
        <w:t>psychological</w:t>
      </w:r>
      <w:r w:rsidR="00064AD6" w:rsidRPr="00E200A5">
        <w:rPr>
          <w:rFonts w:ascii="Times New Roman" w:eastAsia="Times New Roman" w:hAnsi="Times New Roman" w:cs="Times New Roman"/>
          <w:sz w:val="24"/>
          <w:szCs w:val="24"/>
          <w:lang w:eastAsia="en-GB"/>
        </w:rPr>
        <w:t xml:space="preserve"> variables</w:t>
      </w:r>
      <w:r w:rsidR="00362F2F" w:rsidRPr="00E200A5">
        <w:rPr>
          <w:rFonts w:ascii="Times New Roman" w:eastAsia="Times New Roman" w:hAnsi="Times New Roman" w:cs="Times New Roman"/>
          <w:sz w:val="24"/>
          <w:szCs w:val="24"/>
          <w:lang w:eastAsia="en-GB"/>
        </w:rPr>
        <w:t xml:space="preserve"> </w:t>
      </w:r>
      <w:r w:rsidR="00ED749A" w:rsidRPr="00E200A5">
        <w:rPr>
          <w:rFonts w:ascii="Times New Roman" w:eastAsia="Times New Roman" w:hAnsi="Times New Roman" w:cs="Times New Roman"/>
          <w:sz w:val="24"/>
          <w:szCs w:val="24"/>
          <w:lang w:eastAsia="en-GB"/>
        </w:rPr>
        <w:t>in the 50-65 year sub-sample</w:t>
      </w:r>
      <w:r w:rsidRPr="00E200A5">
        <w:rPr>
          <w:rFonts w:ascii="Times New Roman" w:eastAsia="Times New Roman" w:hAnsi="Times New Roman" w:cs="Times New Roman"/>
          <w:sz w:val="24"/>
          <w:szCs w:val="24"/>
          <w:lang w:eastAsia="en-GB"/>
        </w:rPr>
        <w:t>.</w:t>
      </w:r>
    </w:p>
    <w:p w14:paraId="2A0FA9EE" w14:textId="0E521328" w:rsidR="00AC6051" w:rsidRPr="00E200A5" w:rsidRDefault="00AC6051" w:rsidP="00C915C8">
      <w:pPr>
        <w:spacing w:after="0" w:line="480" w:lineRule="auto"/>
        <w:jc w:val="both"/>
        <w:rPr>
          <w:rFonts w:ascii="Times New Roman" w:eastAsia="Times New Roman" w:hAnsi="Times New Roman" w:cs="Times New Roman"/>
          <w:i/>
          <w:sz w:val="24"/>
          <w:szCs w:val="24"/>
          <w:lang w:eastAsia="en-GB"/>
        </w:rPr>
      </w:pPr>
      <w:r w:rsidRPr="00E200A5">
        <w:rPr>
          <w:rFonts w:ascii="Times New Roman" w:eastAsia="Times New Roman" w:hAnsi="Times New Roman" w:cs="Times New Roman"/>
          <w:i/>
          <w:sz w:val="24"/>
          <w:szCs w:val="24"/>
          <w:lang w:eastAsia="en-GB"/>
        </w:rPr>
        <w:t>Seasonal Flu</w:t>
      </w:r>
    </w:p>
    <w:p w14:paraId="6137C7A9" w14:textId="13EB494E" w:rsidR="00ED749A" w:rsidRPr="00E200A5" w:rsidRDefault="00C90F5B" w:rsidP="00C915C8">
      <w:pPr>
        <w:spacing w:after="0" w:line="480" w:lineRule="auto"/>
        <w:ind w:firstLine="720"/>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sz w:val="24"/>
          <w:szCs w:val="24"/>
          <w:lang w:eastAsia="en-GB"/>
        </w:rPr>
        <w:t xml:space="preserve">Of the </w:t>
      </w:r>
      <w:r w:rsidR="00D97B05" w:rsidRPr="00E200A5">
        <w:rPr>
          <w:rFonts w:ascii="Times New Roman" w:eastAsia="Times New Roman" w:hAnsi="Times New Roman" w:cs="Times New Roman"/>
          <w:sz w:val="24"/>
          <w:szCs w:val="24"/>
          <w:lang w:eastAsia="en-GB"/>
        </w:rPr>
        <w:t>psychological</w:t>
      </w:r>
      <w:r w:rsidRPr="00E200A5">
        <w:rPr>
          <w:rFonts w:ascii="Times New Roman" w:eastAsia="Times New Roman" w:hAnsi="Times New Roman" w:cs="Times New Roman"/>
          <w:sz w:val="24"/>
          <w:szCs w:val="24"/>
          <w:lang w:eastAsia="en-GB"/>
        </w:rPr>
        <w:t xml:space="preserve"> variables,</w:t>
      </w:r>
      <w:r w:rsidR="008A1F2C" w:rsidRPr="00E200A5">
        <w:rPr>
          <w:rFonts w:ascii="Times New Roman" w:eastAsia="Times New Roman" w:hAnsi="Times New Roman" w:cs="Times New Roman"/>
          <w:sz w:val="24"/>
          <w:szCs w:val="24"/>
          <w:lang w:eastAsia="en-GB"/>
        </w:rPr>
        <w:t xml:space="preserve"> </w:t>
      </w:r>
      <w:r w:rsidR="00EA4506" w:rsidRPr="00E200A5">
        <w:rPr>
          <w:rFonts w:ascii="Times New Roman" w:eastAsia="Times New Roman" w:hAnsi="Times New Roman" w:cs="Times New Roman"/>
          <w:sz w:val="24"/>
          <w:szCs w:val="24"/>
          <w:lang w:eastAsia="en-GB"/>
        </w:rPr>
        <w:t xml:space="preserve">lower intelligence </w:t>
      </w:r>
      <w:r w:rsidRPr="00E200A5">
        <w:rPr>
          <w:rFonts w:ascii="Times New Roman" w:eastAsia="Times New Roman" w:hAnsi="Times New Roman" w:cs="Times New Roman"/>
          <w:sz w:val="24"/>
          <w:szCs w:val="24"/>
          <w:lang w:eastAsia="en-GB"/>
        </w:rPr>
        <w:t xml:space="preserve">and lower self-rated COVID risk predicted greater seasonal flu vaccination hesitancy. </w:t>
      </w:r>
      <w:r w:rsidR="00ED749A" w:rsidRPr="00E200A5">
        <w:rPr>
          <w:rFonts w:ascii="Times New Roman" w:eastAsia="Times New Roman" w:hAnsi="Times New Roman" w:cs="Times New Roman"/>
          <w:sz w:val="24"/>
          <w:szCs w:val="24"/>
          <w:lang w:eastAsia="en-GB"/>
        </w:rPr>
        <w:t xml:space="preserve">Regarding demographic variables, seasonal flu </w:t>
      </w:r>
      <w:r w:rsidR="00BD1E5F" w:rsidRPr="00E200A5">
        <w:rPr>
          <w:rFonts w:ascii="Times New Roman" w:eastAsia="Times New Roman" w:hAnsi="Times New Roman" w:cs="Times New Roman"/>
          <w:sz w:val="24"/>
          <w:szCs w:val="24"/>
          <w:lang w:eastAsia="en-GB"/>
        </w:rPr>
        <w:t>vaccination</w:t>
      </w:r>
      <w:r w:rsidR="00ED749A" w:rsidRPr="00E200A5">
        <w:rPr>
          <w:rFonts w:ascii="Times New Roman" w:eastAsia="Times New Roman" w:hAnsi="Times New Roman" w:cs="Times New Roman"/>
          <w:sz w:val="24"/>
          <w:szCs w:val="24"/>
          <w:lang w:eastAsia="en-GB"/>
        </w:rPr>
        <w:t xml:space="preserve"> hesitancy was positively predicted by being younger</w:t>
      </w:r>
      <w:r w:rsidR="006F51D9" w:rsidRPr="00E200A5">
        <w:rPr>
          <w:rFonts w:ascii="Times New Roman" w:eastAsia="Times New Roman" w:hAnsi="Times New Roman" w:cs="Times New Roman"/>
          <w:sz w:val="24"/>
          <w:szCs w:val="24"/>
          <w:lang w:eastAsia="en-GB"/>
        </w:rPr>
        <w:t xml:space="preserve"> </w:t>
      </w:r>
      <w:r w:rsidR="009C4EE0" w:rsidRPr="00E200A5">
        <w:rPr>
          <w:rFonts w:ascii="Times New Roman" w:eastAsia="Times New Roman" w:hAnsi="Times New Roman" w:cs="Times New Roman"/>
          <w:sz w:val="24"/>
          <w:szCs w:val="24"/>
          <w:lang w:eastAsia="en-GB"/>
        </w:rPr>
        <w:t xml:space="preserve">and </w:t>
      </w:r>
      <w:r w:rsidR="00ED749A" w:rsidRPr="00E200A5">
        <w:rPr>
          <w:rFonts w:ascii="Times New Roman" w:eastAsia="Times New Roman" w:hAnsi="Times New Roman" w:cs="Times New Roman"/>
          <w:sz w:val="24"/>
          <w:szCs w:val="24"/>
          <w:lang w:eastAsia="en-GB"/>
        </w:rPr>
        <w:t xml:space="preserve">less educated. For full information, see </w:t>
      </w:r>
      <w:r w:rsidR="00A74C69" w:rsidRPr="00E200A5">
        <w:rPr>
          <w:rFonts w:ascii="Times New Roman" w:eastAsia="Times New Roman" w:hAnsi="Times New Roman" w:cs="Times New Roman"/>
          <w:sz w:val="24"/>
          <w:szCs w:val="24"/>
          <w:lang w:eastAsia="en-GB"/>
        </w:rPr>
        <w:t>the supplementary materials</w:t>
      </w:r>
      <w:r w:rsidR="00ED749A" w:rsidRPr="00E200A5">
        <w:rPr>
          <w:rFonts w:ascii="Times New Roman" w:eastAsia="Times New Roman" w:hAnsi="Times New Roman" w:cs="Times New Roman"/>
          <w:sz w:val="24"/>
          <w:szCs w:val="24"/>
          <w:lang w:eastAsia="en-GB"/>
        </w:rPr>
        <w:t>.</w:t>
      </w:r>
    </w:p>
    <w:p w14:paraId="17A4B735" w14:textId="38D8798B" w:rsidR="00AC6051" w:rsidRPr="00E200A5" w:rsidRDefault="00AC6051" w:rsidP="00C915C8">
      <w:pPr>
        <w:spacing w:after="0" w:line="480" w:lineRule="auto"/>
        <w:jc w:val="both"/>
        <w:rPr>
          <w:rFonts w:ascii="Times New Roman" w:eastAsia="Times New Roman" w:hAnsi="Times New Roman" w:cs="Times New Roman"/>
          <w:i/>
          <w:sz w:val="24"/>
          <w:szCs w:val="24"/>
          <w:lang w:eastAsia="en-GB"/>
        </w:rPr>
      </w:pPr>
      <w:r w:rsidRPr="00E200A5">
        <w:rPr>
          <w:rFonts w:ascii="Times New Roman" w:eastAsia="Times New Roman" w:hAnsi="Times New Roman" w:cs="Times New Roman"/>
          <w:i/>
          <w:sz w:val="24"/>
          <w:szCs w:val="24"/>
          <w:lang w:eastAsia="en-GB"/>
        </w:rPr>
        <w:t>COVID-19</w:t>
      </w:r>
    </w:p>
    <w:p w14:paraId="69DA8A29" w14:textId="4C1C0059" w:rsidR="00F86FE6" w:rsidRPr="00E200A5" w:rsidRDefault="00C90F5B" w:rsidP="00C915C8">
      <w:pPr>
        <w:spacing w:after="0" w:line="480" w:lineRule="auto"/>
        <w:ind w:firstLine="720"/>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sz w:val="24"/>
          <w:szCs w:val="24"/>
          <w:lang w:eastAsia="en-GB"/>
        </w:rPr>
        <w:lastRenderedPageBreak/>
        <w:t xml:space="preserve">Of the </w:t>
      </w:r>
      <w:r w:rsidR="00D97B05" w:rsidRPr="00E200A5">
        <w:rPr>
          <w:rFonts w:ascii="Times New Roman" w:eastAsia="Times New Roman" w:hAnsi="Times New Roman" w:cs="Times New Roman"/>
          <w:sz w:val="24"/>
          <w:szCs w:val="24"/>
          <w:lang w:eastAsia="en-GB"/>
        </w:rPr>
        <w:t>psychological</w:t>
      </w:r>
      <w:r w:rsidRPr="00E200A5">
        <w:rPr>
          <w:rFonts w:ascii="Times New Roman" w:eastAsia="Times New Roman" w:hAnsi="Times New Roman" w:cs="Times New Roman"/>
          <w:sz w:val="24"/>
          <w:szCs w:val="24"/>
          <w:lang w:eastAsia="en-GB"/>
        </w:rPr>
        <w:t xml:space="preserve"> variables, lower intelligence predicted greater COVID-19 vaccination hesitancy. </w:t>
      </w:r>
      <w:r w:rsidR="00BD1E5F" w:rsidRPr="00E200A5">
        <w:rPr>
          <w:rFonts w:ascii="Times New Roman" w:eastAsia="Times New Roman" w:hAnsi="Times New Roman" w:cs="Times New Roman"/>
          <w:sz w:val="24"/>
          <w:szCs w:val="24"/>
          <w:lang w:eastAsia="en-GB"/>
        </w:rPr>
        <w:t xml:space="preserve">Regarding demographic variables, </w:t>
      </w:r>
      <w:r w:rsidR="002A0935" w:rsidRPr="00E200A5">
        <w:rPr>
          <w:rFonts w:ascii="Times New Roman" w:eastAsia="Times New Roman" w:hAnsi="Times New Roman" w:cs="Times New Roman"/>
          <w:sz w:val="24"/>
          <w:szCs w:val="24"/>
          <w:lang w:eastAsia="en-GB"/>
        </w:rPr>
        <w:t xml:space="preserve">those who were younger, and with a lower </w:t>
      </w:r>
      <w:r w:rsidR="001C4D5F" w:rsidRPr="00E200A5">
        <w:rPr>
          <w:rFonts w:ascii="Times New Roman" w:eastAsia="Times New Roman" w:hAnsi="Times New Roman" w:cs="Times New Roman"/>
          <w:sz w:val="24"/>
          <w:szCs w:val="24"/>
          <w:lang w:eastAsia="en-GB"/>
        </w:rPr>
        <w:t>education and income</w:t>
      </w:r>
      <w:r w:rsidR="002A0935" w:rsidRPr="00E200A5">
        <w:rPr>
          <w:rFonts w:ascii="Times New Roman" w:eastAsia="Times New Roman" w:hAnsi="Times New Roman" w:cs="Times New Roman"/>
          <w:sz w:val="24"/>
          <w:szCs w:val="24"/>
          <w:lang w:eastAsia="en-GB"/>
        </w:rPr>
        <w:t xml:space="preserve"> </w:t>
      </w:r>
      <w:r w:rsidR="00DB761C" w:rsidRPr="00E200A5">
        <w:rPr>
          <w:rFonts w:ascii="Times New Roman" w:eastAsia="Times New Roman" w:hAnsi="Times New Roman" w:cs="Times New Roman"/>
          <w:sz w:val="24"/>
          <w:szCs w:val="24"/>
          <w:lang w:eastAsia="en-GB"/>
        </w:rPr>
        <w:t>had greater</w:t>
      </w:r>
      <w:r w:rsidR="002A0935" w:rsidRPr="00E200A5">
        <w:rPr>
          <w:rFonts w:ascii="Times New Roman" w:eastAsia="Times New Roman" w:hAnsi="Times New Roman" w:cs="Times New Roman"/>
          <w:sz w:val="24"/>
          <w:szCs w:val="24"/>
          <w:lang w:eastAsia="en-GB"/>
        </w:rPr>
        <w:t xml:space="preserve"> </w:t>
      </w:r>
      <w:r w:rsidR="00BD1E5F" w:rsidRPr="00E200A5">
        <w:rPr>
          <w:rFonts w:ascii="Times New Roman" w:eastAsia="Times New Roman" w:hAnsi="Times New Roman" w:cs="Times New Roman"/>
          <w:sz w:val="24"/>
          <w:szCs w:val="24"/>
          <w:lang w:eastAsia="en-GB"/>
        </w:rPr>
        <w:t xml:space="preserve">COVID-19 vaccination hesitancy. For full information, see Table </w:t>
      </w:r>
      <w:r w:rsidR="004865A1" w:rsidRPr="00E200A5">
        <w:rPr>
          <w:rFonts w:ascii="Times New Roman" w:eastAsia="Times New Roman" w:hAnsi="Times New Roman" w:cs="Times New Roman"/>
          <w:sz w:val="24"/>
          <w:szCs w:val="24"/>
          <w:lang w:eastAsia="en-GB"/>
        </w:rPr>
        <w:t>4</w:t>
      </w:r>
      <w:r w:rsidR="00BD1E5F" w:rsidRPr="00E200A5">
        <w:rPr>
          <w:rFonts w:ascii="Times New Roman" w:eastAsia="Times New Roman" w:hAnsi="Times New Roman" w:cs="Times New Roman"/>
          <w:sz w:val="24"/>
          <w:szCs w:val="24"/>
          <w:lang w:eastAsia="en-GB"/>
        </w:rPr>
        <w:t>.</w:t>
      </w:r>
    </w:p>
    <w:p w14:paraId="51674C35" w14:textId="0BD0F4FE" w:rsidR="003524A0" w:rsidRPr="00E200A5" w:rsidRDefault="00F86FE6" w:rsidP="00C915C8">
      <w:pPr>
        <w:spacing w:after="0" w:line="480" w:lineRule="auto"/>
        <w:ind w:firstLine="720"/>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sz w:val="24"/>
          <w:szCs w:val="24"/>
          <w:lang w:eastAsia="en-GB"/>
        </w:rPr>
        <w:t>As before, we</w:t>
      </w:r>
      <w:r w:rsidR="00EA5CC7" w:rsidRPr="00E200A5">
        <w:rPr>
          <w:rFonts w:ascii="Times New Roman" w:eastAsia="Times New Roman" w:hAnsi="Times New Roman" w:cs="Times New Roman"/>
          <w:sz w:val="24"/>
          <w:szCs w:val="24"/>
          <w:lang w:eastAsia="en-GB"/>
        </w:rPr>
        <w:t xml:space="preserve"> tested for assumption violation using</w:t>
      </w:r>
      <w:r w:rsidRPr="00E200A5">
        <w:rPr>
          <w:rFonts w:ascii="Times New Roman" w:eastAsia="Times New Roman" w:hAnsi="Times New Roman" w:cs="Times New Roman"/>
          <w:sz w:val="24"/>
          <w:szCs w:val="24"/>
          <w:lang w:eastAsia="en-GB"/>
        </w:rPr>
        <w:t xml:space="preserve"> </w:t>
      </w:r>
      <w:r w:rsidR="00EA5CC7" w:rsidRPr="00E200A5">
        <w:rPr>
          <w:rFonts w:ascii="Times New Roman" w:eastAsia="Times New Roman" w:hAnsi="Times New Roman" w:cs="Times New Roman"/>
          <w:sz w:val="24"/>
          <w:szCs w:val="24"/>
          <w:lang w:eastAsia="en-GB"/>
        </w:rPr>
        <w:t xml:space="preserve">the </w:t>
      </w:r>
      <w:r w:rsidRPr="00E200A5">
        <w:rPr>
          <w:rFonts w:ascii="Times New Roman" w:eastAsia="Times New Roman" w:hAnsi="Times New Roman" w:cs="Times New Roman"/>
          <w:sz w:val="24"/>
          <w:szCs w:val="24"/>
          <w:lang w:eastAsia="en-GB"/>
        </w:rPr>
        <w:t>Brant test.</w:t>
      </w:r>
      <w:r w:rsidR="00EA5CC7" w:rsidRPr="00E200A5">
        <w:rPr>
          <w:rFonts w:ascii="Times New Roman" w:eastAsia="Times New Roman" w:hAnsi="Times New Roman" w:cs="Times New Roman"/>
          <w:sz w:val="24"/>
          <w:szCs w:val="24"/>
          <w:lang w:eastAsia="en-GB"/>
        </w:rPr>
        <w:t xml:space="preserve"> Across seasonal flu and COVID-19 we again saw no evidence of assumption violations for the </w:t>
      </w:r>
      <w:r w:rsidR="00F95E3A" w:rsidRPr="00E200A5">
        <w:rPr>
          <w:rFonts w:ascii="Times New Roman" w:eastAsia="Times New Roman" w:hAnsi="Times New Roman" w:cs="Times New Roman"/>
          <w:sz w:val="24"/>
          <w:szCs w:val="24"/>
          <w:lang w:eastAsia="en-GB"/>
        </w:rPr>
        <w:t>key study variables</w:t>
      </w:r>
      <w:r w:rsidR="00EA5CC7" w:rsidRPr="00E200A5">
        <w:rPr>
          <w:rFonts w:ascii="Times New Roman" w:eastAsia="Times New Roman" w:hAnsi="Times New Roman" w:cs="Times New Roman"/>
          <w:sz w:val="24"/>
          <w:szCs w:val="24"/>
          <w:lang w:eastAsia="en-GB"/>
        </w:rPr>
        <w:t xml:space="preserve"> (all p &gt; .05). However, the test indicated potential violations i</w:t>
      </w:r>
      <w:r w:rsidRPr="00E200A5">
        <w:rPr>
          <w:rFonts w:ascii="Times New Roman" w:eastAsia="Times New Roman" w:hAnsi="Times New Roman" w:cs="Times New Roman"/>
          <w:sz w:val="24"/>
          <w:szCs w:val="24"/>
          <w:lang w:eastAsia="en-GB"/>
        </w:rPr>
        <w:t>n the seasonal flu model</w:t>
      </w:r>
      <w:r w:rsidR="00EA5CC7" w:rsidRPr="00E200A5">
        <w:rPr>
          <w:rFonts w:ascii="Times New Roman" w:eastAsia="Times New Roman" w:hAnsi="Times New Roman" w:cs="Times New Roman"/>
          <w:sz w:val="24"/>
          <w:szCs w:val="24"/>
          <w:lang w:eastAsia="en-GB"/>
        </w:rPr>
        <w:t xml:space="preserve"> for </w:t>
      </w:r>
      <w:r w:rsidRPr="00E200A5">
        <w:rPr>
          <w:rFonts w:ascii="Times New Roman" w:eastAsia="Times New Roman" w:hAnsi="Times New Roman" w:cs="Times New Roman"/>
          <w:sz w:val="24"/>
          <w:szCs w:val="24"/>
          <w:lang w:eastAsia="en-GB"/>
        </w:rPr>
        <w:t xml:space="preserve">income (χ2 </w:t>
      </w:r>
      <w:r w:rsidRPr="00E200A5">
        <w:rPr>
          <w:rFonts w:ascii="Times New Roman" w:eastAsia="Times New Roman" w:hAnsi="Times New Roman" w:cs="Times New Roman"/>
          <w:sz w:val="24"/>
          <w:szCs w:val="24"/>
          <w:vertAlign w:val="subscript"/>
          <w:lang w:eastAsia="en-GB"/>
        </w:rPr>
        <w:t>df = 2</w:t>
      </w:r>
      <w:r w:rsidRPr="00E200A5">
        <w:rPr>
          <w:rFonts w:ascii="Times New Roman" w:eastAsia="Times New Roman" w:hAnsi="Times New Roman" w:cs="Times New Roman"/>
          <w:sz w:val="24"/>
          <w:szCs w:val="24"/>
          <w:lang w:eastAsia="en-GB"/>
        </w:rPr>
        <w:t xml:space="preserve"> = 6.89,</w:t>
      </w:r>
      <w:r w:rsidRPr="00E200A5">
        <w:rPr>
          <w:rFonts w:ascii="Times New Roman" w:eastAsia="Times New Roman" w:hAnsi="Times New Roman" w:cs="Times New Roman"/>
          <w:i/>
          <w:iCs/>
          <w:sz w:val="24"/>
          <w:szCs w:val="24"/>
          <w:lang w:eastAsia="en-GB"/>
        </w:rPr>
        <w:t xml:space="preserve"> p</w:t>
      </w:r>
      <w:r w:rsidRPr="00E200A5">
        <w:rPr>
          <w:rFonts w:ascii="Times New Roman" w:eastAsia="Times New Roman" w:hAnsi="Times New Roman" w:cs="Times New Roman"/>
          <w:sz w:val="24"/>
          <w:szCs w:val="24"/>
          <w:lang w:eastAsia="en-GB"/>
        </w:rPr>
        <w:t xml:space="preserve"> =.03).</w:t>
      </w:r>
      <w:r w:rsidR="006713F8" w:rsidRPr="00E200A5">
        <w:rPr>
          <w:rFonts w:ascii="Times New Roman" w:eastAsia="Times New Roman" w:hAnsi="Times New Roman" w:cs="Times New Roman"/>
          <w:sz w:val="24"/>
          <w:szCs w:val="24"/>
          <w:lang w:eastAsia="en-GB"/>
        </w:rPr>
        <w:t xml:space="preserve"> </w:t>
      </w:r>
      <w:r w:rsidR="00EA5CC7" w:rsidRPr="00E200A5">
        <w:rPr>
          <w:rFonts w:ascii="Times New Roman" w:eastAsia="Times New Roman" w:hAnsi="Times New Roman" w:cs="Times New Roman"/>
          <w:sz w:val="24"/>
          <w:szCs w:val="24"/>
          <w:lang w:eastAsia="en-GB"/>
        </w:rPr>
        <w:t>And i</w:t>
      </w:r>
      <w:r w:rsidR="006713F8" w:rsidRPr="00E200A5">
        <w:rPr>
          <w:rFonts w:ascii="Times New Roman" w:eastAsia="Times New Roman" w:hAnsi="Times New Roman" w:cs="Times New Roman"/>
          <w:sz w:val="24"/>
          <w:szCs w:val="24"/>
          <w:lang w:eastAsia="en-GB"/>
        </w:rPr>
        <w:t xml:space="preserve">n the COVID-19 model, </w:t>
      </w:r>
      <w:r w:rsidR="00EA5CC7" w:rsidRPr="00E200A5">
        <w:rPr>
          <w:rFonts w:ascii="Times New Roman" w:eastAsia="Times New Roman" w:hAnsi="Times New Roman" w:cs="Times New Roman"/>
          <w:sz w:val="24"/>
          <w:szCs w:val="24"/>
          <w:lang w:eastAsia="en-GB"/>
        </w:rPr>
        <w:t xml:space="preserve">the test indicated a potential violation for </w:t>
      </w:r>
      <w:r w:rsidR="006713F8" w:rsidRPr="00E200A5">
        <w:rPr>
          <w:rFonts w:ascii="Times New Roman" w:eastAsia="Times New Roman" w:hAnsi="Times New Roman" w:cs="Times New Roman"/>
          <w:sz w:val="24"/>
          <w:szCs w:val="24"/>
          <w:lang w:eastAsia="en-GB"/>
        </w:rPr>
        <w:t xml:space="preserve">self-rated COVID risk (χ2 </w:t>
      </w:r>
      <w:r w:rsidR="006713F8" w:rsidRPr="00E200A5">
        <w:rPr>
          <w:rFonts w:ascii="Times New Roman" w:eastAsia="Times New Roman" w:hAnsi="Times New Roman" w:cs="Times New Roman"/>
          <w:sz w:val="24"/>
          <w:szCs w:val="24"/>
          <w:vertAlign w:val="subscript"/>
          <w:lang w:eastAsia="en-GB"/>
        </w:rPr>
        <w:t>df = 2</w:t>
      </w:r>
      <w:r w:rsidR="006713F8" w:rsidRPr="00E200A5">
        <w:rPr>
          <w:rFonts w:ascii="Times New Roman" w:eastAsia="Times New Roman" w:hAnsi="Times New Roman" w:cs="Times New Roman"/>
          <w:sz w:val="24"/>
          <w:szCs w:val="24"/>
          <w:lang w:eastAsia="en-GB"/>
        </w:rPr>
        <w:t xml:space="preserve"> = 10.13,</w:t>
      </w:r>
      <w:r w:rsidR="006713F8" w:rsidRPr="00E200A5">
        <w:rPr>
          <w:rFonts w:ascii="Times New Roman" w:eastAsia="Times New Roman" w:hAnsi="Times New Roman" w:cs="Times New Roman"/>
          <w:i/>
          <w:iCs/>
          <w:sz w:val="24"/>
          <w:szCs w:val="24"/>
          <w:lang w:eastAsia="en-GB"/>
        </w:rPr>
        <w:t xml:space="preserve"> p</w:t>
      </w:r>
      <w:r w:rsidR="006713F8" w:rsidRPr="00E200A5">
        <w:rPr>
          <w:rFonts w:ascii="Times New Roman" w:eastAsia="Times New Roman" w:hAnsi="Times New Roman" w:cs="Times New Roman"/>
          <w:sz w:val="24"/>
          <w:szCs w:val="24"/>
          <w:lang w:eastAsia="en-GB"/>
        </w:rPr>
        <w:t xml:space="preserve"> </w:t>
      </w:r>
      <w:r w:rsidR="00185464" w:rsidRPr="00E200A5">
        <w:rPr>
          <w:rFonts w:ascii="Times New Roman" w:eastAsia="Times New Roman" w:hAnsi="Times New Roman" w:cs="Times New Roman"/>
          <w:sz w:val="24"/>
          <w:szCs w:val="24"/>
          <w:lang w:eastAsia="en-GB"/>
        </w:rPr>
        <w:t>=</w:t>
      </w:r>
      <w:r w:rsidR="006713F8" w:rsidRPr="00E200A5">
        <w:rPr>
          <w:rFonts w:ascii="Times New Roman" w:eastAsia="Times New Roman" w:hAnsi="Times New Roman" w:cs="Times New Roman"/>
          <w:sz w:val="24"/>
          <w:szCs w:val="24"/>
          <w:lang w:eastAsia="en-GB"/>
        </w:rPr>
        <w:t>.01)</w:t>
      </w:r>
      <w:r w:rsidR="00CE53DB" w:rsidRPr="00E200A5">
        <w:rPr>
          <w:rFonts w:ascii="Times New Roman" w:eastAsia="Times New Roman" w:hAnsi="Times New Roman" w:cs="Times New Roman"/>
          <w:sz w:val="24"/>
          <w:szCs w:val="24"/>
          <w:lang w:eastAsia="en-GB"/>
        </w:rPr>
        <w:t xml:space="preserve">. </w:t>
      </w:r>
      <w:r w:rsidR="00EA5CC7" w:rsidRPr="00E200A5">
        <w:rPr>
          <w:rFonts w:ascii="Times New Roman" w:eastAsia="Times New Roman" w:hAnsi="Times New Roman" w:cs="Times New Roman"/>
          <w:sz w:val="24"/>
          <w:szCs w:val="24"/>
          <w:lang w:eastAsia="en-GB"/>
        </w:rPr>
        <w:t>Again, the reported odds ratio may differ across the levels of these independent variables.</w:t>
      </w:r>
    </w:p>
    <w:p w14:paraId="695B791A" w14:textId="395F155A" w:rsidR="00CC74C3" w:rsidRPr="00E200A5" w:rsidRDefault="00891DB1" w:rsidP="00C915C8">
      <w:pPr>
        <w:spacing w:after="0" w:line="480" w:lineRule="auto"/>
        <w:jc w:val="both"/>
        <w:rPr>
          <w:rFonts w:ascii="Times New Roman" w:eastAsia="Times New Roman" w:hAnsi="Times New Roman" w:cs="Times New Roman"/>
          <w:b/>
          <w:bCs/>
          <w:i/>
          <w:iCs/>
          <w:sz w:val="24"/>
          <w:szCs w:val="24"/>
          <w:lang w:eastAsia="en-GB"/>
        </w:rPr>
      </w:pPr>
      <w:r w:rsidRPr="00E200A5">
        <w:rPr>
          <w:rFonts w:ascii="Times New Roman" w:eastAsia="Times New Roman" w:hAnsi="Times New Roman" w:cs="Times New Roman"/>
          <w:b/>
          <w:bCs/>
          <w:i/>
          <w:iCs/>
          <w:sz w:val="24"/>
          <w:szCs w:val="24"/>
          <w:lang w:eastAsia="en-GB"/>
        </w:rPr>
        <w:t>Reasons</w:t>
      </w:r>
      <w:r w:rsidR="00CC74C3" w:rsidRPr="00E200A5">
        <w:rPr>
          <w:rFonts w:ascii="Times New Roman" w:eastAsia="Times New Roman" w:hAnsi="Times New Roman" w:cs="Times New Roman"/>
          <w:b/>
          <w:bCs/>
          <w:i/>
          <w:iCs/>
          <w:sz w:val="24"/>
          <w:szCs w:val="24"/>
          <w:lang w:eastAsia="en-GB"/>
        </w:rPr>
        <w:t xml:space="preserve"> for </w:t>
      </w:r>
      <w:r w:rsidR="00852603" w:rsidRPr="00E200A5">
        <w:rPr>
          <w:rFonts w:ascii="Times New Roman" w:eastAsia="Times New Roman" w:hAnsi="Times New Roman" w:cs="Times New Roman"/>
          <w:b/>
          <w:bCs/>
          <w:i/>
          <w:iCs/>
          <w:sz w:val="24"/>
          <w:szCs w:val="24"/>
          <w:lang w:eastAsia="en-GB"/>
        </w:rPr>
        <w:t>Vaccination hesitancy</w:t>
      </w:r>
    </w:p>
    <w:p w14:paraId="03CE392F" w14:textId="708D6C02" w:rsidR="00C73E75" w:rsidRPr="00E200A5" w:rsidRDefault="00C73E75" w:rsidP="00C915C8">
      <w:pPr>
        <w:spacing w:after="0" w:line="480" w:lineRule="auto"/>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sz w:val="24"/>
          <w:szCs w:val="24"/>
          <w:lang w:eastAsia="en-GB"/>
        </w:rPr>
        <w:tab/>
        <w:t xml:space="preserve">In a final </w:t>
      </w:r>
      <w:r w:rsidR="00CC74C3" w:rsidRPr="00E200A5">
        <w:rPr>
          <w:rFonts w:ascii="Times New Roman" w:eastAsia="Times New Roman" w:hAnsi="Times New Roman" w:cs="Times New Roman"/>
          <w:sz w:val="24"/>
          <w:szCs w:val="24"/>
          <w:lang w:eastAsia="en-GB"/>
        </w:rPr>
        <w:t xml:space="preserve">set of </w:t>
      </w:r>
      <w:r w:rsidRPr="00E200A5">
        <w:rPr>
          <w:rFonts w:ascii="Times New Roman" w:eastAsia="Times New Roman" w:hAnsi="Times New Roman" w:cs="Times New Roman"/>
          <w:sz w:val="24"/>
          <w:szCs w:val="24"/>
          <w:lang w:eastAsia="en-GB"/>
        </w:rPr>
        <w:t>step</w:t>
      </w:r>
      <w:r w:rsidR="00CC74C3" w:rsidRPr="00E200A5">
        <w:rPr>
          <w:rFonts w:ascii="Times New Roman" w:eastAsia="Times New Roman" w:hAnsi="Times New Roman" w:cs="Times New Roman"/>
          <w:sz w:val="24"/>
          <w:szCs w:val="24"/>
          <w:lang w:eastAsia="en-GB"/>
        </w:rPr>
        <w:t>s</w:t>
      </w:r>
      <w:r w:rsidRPr="00E200A5">
        <w:rPr>
          <w:rFonts w:ascii="Times New Roman" w:eastAsia="Times New Roman" w:hAnsi="Times New Roman" w:cs="Times New Roman"/>
          <w:sz w:val="24"/>
          <w:szCs w:val="24"/>
          <w:lang w:eastAsia="en-GB"/>
        </w:rPr>
        <w:t xml:space="preserve">, we sought to understand </w:t>
      </w:r>
      <w:r w:rsidR="00CC74C3" w:rsidRPr="00E200A5">
        <w:rPr>
          <w:rFonts w:ascii="Times New Roman" w:eastAsia="Times New Roman" w:hAnsi="Times New Roman" w:cs="Times New Roman"/>
          <w:sz w:val="24"/>
          <w:szCs w:val="24"/>
          <w:lang w:eastAsia="en-GB"/>
        </w:rPr>
        <w:t xml:space="preserve">a) </w:t>
      </w:r>
      <w:r w:rsidRPr="00E200A5">
        <w:rPr>
          <w:rFonts w:ascii="Times New Roman" w:eastAsia="Times New Roman" w:hAnsi="Times New Roman" w:cs="Times New Roman"/>
          <w:sz w:val="24"/>
          <w:szCs w:val="24"/>
          <w:lang w:eastAsia="en-GB"/>
        </w:rPr>
        <w:t xml:space="preserve">the </w:t>
      </w:r>
      <w:r w:rsidR="00891DB1" w:rsidRPr="00E200A5">
        <w:rPr>
          <w:rFonts w:ascii="Times New Roman" w:eastAsia="Times New Roman" w:hAnsi="Times New Roman" w:cs="Times New Roman"/>
          <w:color w:val="000000"/>
          <w:sz w:val="24"/>
          <w:szCs w:val="24"/>
          <w:lang w:eastAsia="en-GB"/>
        </w:rPr>
        <w:t xml:space="preserve">reasons </w:t>
      </w:r>
      <w:r w:rsidRPr="00E200A5">
        <w:rPr>
          <w:rFonts w:ascii="Times New Roman" w:eastAsia="Times New Roman" w:hAnsi="Times New Roman" w:cs="Times New Roman"/>
          <w:sz w:val="24"/>
          <w:szCs w:val="24"/>
          <w:lang w:eastAsia="en-GB"/>
        </w:rPr>
        <w:t xml:space="preserve">given for </w:t>
      </w:r>
      <w:r w:rsidR="00CC74C3" w:rsidRPr="00E200A5">
        <w:rPr>
          <w:rFonts w:ascii="Times New Roman" w:eastAsia="Times New Roman" w:hAnsi="Times New Roman" w:cs="Times New Roman"/>
          <w:sz w:val="24"/>
          <w:szCs w:val="24"/>
          <w:lang w:eastAsia="en-GB"/>
        </w:rPr>
        <w:t xml:space="preserve">being </w:t>
      </w:r>
      <w:r w:rsidR="007A4EE0" w:rsidRPr="00E200A5">
        <w:rPr>
          <w:rFonts w:ascii="Times New Roman" w:eastAsia="Times New Roman" w:hAnsi="Times New Roman" w:cs="Times New Roman"/>
          <w:sz w:val="24"/>
          <w:szCs w:val="24"/>
          <w:lang w:eastAsia="en-GB"/>
        </w:rPr>
        <w:t xml:space="preserve">hesitant to take the COVID-19 </w:t>
      </w:r>
      <w:r w:rsidRPr="00E200A5">
        <w:rPr>
          <w:rFonts w:ascii="Times New Roman" w:eastAsia="Times New Roman" w:hAnsi="Times New Roman" w:cs="Times New Roman"/>
          <w:sz w:val="24"/>
          <w:szCs w:val="24"/>
          <w:lang w:eastAsia="en-GB"/>
        </w:rPr>
        <w:t xml:space="preserve">vaccine and </w:t>
      </w:r>
      <w:r w:rsidR="00CC74C3" w:rsidRPr="00E200A5">
        <w:rPr>
          <w:rFonts w:ascii="Times New Roman" w:eastAsia="Times New Roman" w:hAnsi="Times New Roman" w:cs="Times New Roman"/>
          <w:sz w:val="24"/>
          <w:szCs w:val="24"/>
          <w:lang w:eastAsia="en-GB"/>
        </w:rPr>
        <w:t xml:space="preserve">b) </w:t>
      </w:r>
      <w:r w:rsidRPr="00E200A5">
        <w:rPr>
          <w:rFonts w:ascii="Times New Roman" w:eastAsia="Times New Roman" w:hAnsi="Times New Roman" w:cs="Times New Roman"/>
          <w:sz w:val="24"/>
          <w:szCs w:val="24"/>
          <w:lang w:eastAsia="en-GB"/>
        </w:rPr>
        <w:t xml:space="preserve">whether our demographic and psychological variables showed differential prediction </w:t>
      </w:r>
      <w:r w:rsidR="005B42F9" w:rsidRPr="00E200A5">
        <w:rPr>
          <w:rFonts w:ascii="Times New Roman" w:eastAsia="Times New Roman" w:hAnsi="Times New Roman" w:cs="Times New Roman"/>
          <w:sz w:val="24"/>
          <w:szCs w:val="24"/>
          <w:lang w:eastAsia="en-GB"/>
        </w:rPr>
        <w:t>across</w:t>
      </w:r>
      <w:r w:rsidRPr="00E200A5">
        <w:rPr>
          <w:rFonts w:ascii="Times New Roman" w:eastAsia="Times New Roman" w:hAnsi="Times New Roman" w:cs="Times New Roman"/>
          <w:sz w:val="24"/>
          <w:szCs w:val="24"/>
          <w:lang w:eastAsia="en-GB"/>
        </w:rPr>
        <w:t xml:space="preserve"> these </w:t>
      </w:r>
      <w:r w:rsidR="00891DB1" w:rsidRPr="00E200A5">
        <w:rPr>
          <w:rFonts w:ascii="Times New Roman" w:eastAsia="Times New Roman" w:hAnsi="Times New Roman" w:cs="Times New Roman"/>
          <w:color w:val="000000"/>
          <w:sz w:val="24"/>
          <w:szCs w:val="24"/>
          <w:lang w:eastAsia="en-GB"/>
        </w:rPr>
        <w:t>reasons</w:t>
      </w:r>
      <w:r w:rsidRPr="00E200A5">
        <w:rPr>
          <w:rFonts w:ascii="Times New Roman" w:eastAsia="Times New Roman" w:hAnsi="Times New Roman" w:cs="Times New Roman"/>
          <w:sz w:val="24"/>
          <w:szCs w:val="24"/>
          <w:lang w:eastAsia="en-GB"/>
        </w:rPr>
        <w:t>.</w:t>
      </w:r>
    </w:p>
    <w:p w14:paraId="5586D2D2" w14:textId="58F38825" w:rsidR="00BA5CA5" w:rsidRPr="00E200A5" w:rsidRDefault="00C73E75" w:rsidP="00C915C8">
      <w:pPr>
        <w:spacing w:after="0" w:line="480" w:lineRule="auto"/>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sz w:val="24"/>
          <w:szCs w:val="24"/>
          <w:lang w:eastAsia="en-GB"/>
        </w:rPr>
        <w:tab/>
        <w:t xml:space="preserve">Table </w:t>
      </w:r>
      <w:r w:rsidR="008F1BCE" w:rsidRPr="00E200A5">
        <w:rPr>
          <w:rFonts w:ascii="Times New Roman" w:eastAsia="Times New Roman" w:hAnsi="Times New Roman" w:cs="Times New Roman"/>
          <w:sz w:val="24"/>
          <w:szCs w:val="24"/>
          <w:lang w:eastAsia="en-GB"/>
        </w:rPr>
        <w:t>6</w:t>
      </w:r>
      <w:r w:rsidRPr="00E200A5">
        <w:rPr>
          <w:rFonts w:ascii="Times New Roman" w:eastAsia="Times New Roman" w:hAnsi="Times New Roman" w:cs="Times New Roman"/>
          <w:sz w:val="24"/>
          <w:szCs w:val="24"/>
          <w:lang w:eastAsia="en-GB"/>
        </w:rPr>
        <w:t xml:space="preserve"> outlines the possible response options and the relative importance of each of these </w:t>
      </w:r>
      <w:r w:rsidR="00891DB1" w:rsidRPr="00E200A5">
        <w:rPr>
          <w:rFonts w:ascii="Times New Roman" w:eastAsia="Times New Roman" w:hAnsi="Times New Roman" w:cs="Times New Roman"/>
          <w:sz w:val="24"/>
          <w:szCs w:val="24"/>
          <w:lang w:eastAsia="en-GB"/>
        </w:rPr>
        <w:t>reasons</w:t>
      </w:r>
      <w:r w:rsidRPr="00E200A5">
        <w:rPr>
          <w:rFonts w:ascii="Times New Roman" w:eastAsia="Times New Roman" w:hAnsi="Times New Roman" w:cs="Times New Roman"/>
          <w:sz w:val="24"/>
          <w:szCs w:val="24"/>
          <w:lang w:eastAsia="en-GB"/>
        </w:rPr>
        <w:t xml:space="preserve"> for </w:t>
      </w:r>
      <w:r w:rsidR="00852603" w:rsidRPr="00E200A5">
        <w:rPr>
          <w:rFonts w:ascii="Times New Roman" w:eastAsia="Times New Roman" w:hAnsi="Times New Roman" w:cs="Times New Roman"/>
          <w:sz w:val="24"/>
          <w:szCs w:val="24"/>
          <w:lang w:eastAsia="en-GB"/>
        </w:rPr>
        <w:t>vaccination hesitancy</w:t>
      </w:r>
      <w:r w:rsidR="00BA5CA5" w:rsidRPr="00E200A5">
        <w:rPr>
          <w:rFonts w:ascii="Times New Roman" w:eastAsia="Times New Roman" w:hAnsi="Times New Roman" w:cs="Times New Roman"/>
          <w:sz w:val="24"/>
          <w:szCs w:val="24"/>
          <w:lang w:eastAsia="en-GB"/>
        </w:rPr>
        <w:t xml:space="preserve">. </w:t>
      </w:r>
      <w:r w:rsidR="00EB146D" w:rsidRPr="00E200A5">
        <w:rPr>
          <w:rFonts w:ascii="Times New Roman" w:eastAsia="Times New Roman" w:hAnsi="Times New Roman" w:cs="Times New Roman"/>
          <w:sz w:val="24"/>
          <w:szCs w:val="24"/>
          <w:lang w:eastAsia="en-GB"/>
        </w:rPr>
        <w:t xml:space="preserve">The top </w:t>
      </w:r>
      <w:r w:rsidR="00C90F5B" w:rsidRPr="00E200A5">
        <w:rPr>
          <w:rFonts w:ascii="Times New Roman" w:eastAsia="Times New Roman" w:hAnsi="Times New Roman" w:cs="Times New Roman"/>
          <w:sz w:val="24"/>
          <w:szCs w:val="24"/>
          <w:lang w:eastAsia="en-GB"/>
        </w:rPr>
        <w:t>five</w:t>
      </w:r>
      <w:r w:rsidR="007A4EE0" w:rsidRPr="00E200A5">
        <w:rPr>
          <w:rFonts w:ascii="Times New Roman" w:eastAsia="Times New Roman" w:hAnsi="Times New Roman" w:cs="Times New Roman"/>
          <w:sz w:val="24"/>
          <w:szCs w:val="24"/>
          <w:lang w:eastAsia="en-GB"/>
        </w:rPr>
        <w:t xml:space="preserve"> specific</w:t>
      </w:r>
      <w:r w:rsidR="00BA5CA5" w:rsidRPr="00E200A5">
        <w:rPr>
          <w:rFonts w:ascii="Times New Roman" w:eastAsia="Times New Roman" w:hAnsi="Times New Roman" w:cs="Times New Roman"/>
          <w:sz w:val="24"/>
          <w:szCs w:val="24"/>
          <w:lang w:eastAsia="en-GB"/>
        </w:rPr>
        <w:t xml:space="preserve"> concern</w:t>
      </w:r>
      <w:r w:rsidR="00EB146D" w:rsidRPr="00E200A5">
        <w:rPr>
          <w:rFonts w:ascii="Times New Roman" w:eastAsia="Times New Roman" w:hAnsi="Times New Roman" w:cs="Times New Roman"/>
          <w:sz w:val="24"/>
          <w:szCs w:val="24"/>
          <w:lang w:eastAsia="en-GB"/>
        </w:rPr>
        <w:t>s</w:t>
      </w:r>
      <w:r w:rsidR="00BA5CA5" w:rsidRPr="00E200A5">
        <w:rPr>
          <w:rFonts w:ascii="Times New Roman" w:eastAsia="Times New Roman" w:hAnsi="Times New Roman" w:cs="Times New Roman"/>
          <w:sz w:val="24"/>
          <w:szCs w:val="24"/>
          <w:lang w:eastAsia="en-GB"/>
        </w:rPr>
        <w:t xml:space="preserve"> </w:t>
      </w:r>
      <w:r w:rsidR="00BF4EC6" w:rsidRPr="00E200A5">
        <w:rPr>
          <w:rFonts w:ascii="Times New Roman" w:eastAsia="Times New Roman" w:hAnsi="Times New Roman" w:cs="Times New Roman"/>
          <w:sz w:val="24"/>
          <w:szCs w:val="24"/>
          <w:lang w:eastAsia="en-GB"/>
        </w:rPr>
        <w:t xml:space="preserve">(i.e., excluding “Other”) </w:t>
      </w:r>
      <w:r w:rsidR="00EB146D" w:rsidRPr="00E200A5">
        <w:rPr>
          <w:rFonts w:ascii="Times New Roman" w:eastAsia="Times New Roman" w:hAnsi="Times New Roman" w:cs="Times New Roman"/>
          <w:sz w:val="24"/>
          <w:szCs w:val="24"/>
          <w:lang w:eastAsia="en-GB"/>
        </w:rPr>
        <w:t>were:</w:t>
      </w:r>
      <w:r w:rsidR="00BA5CA5" w:rsidRPr="00E200A5">
        <w:rPr>
          <w:rFonts w:ascii="Times New Roman" w:eastAsia="Times New Roman" w:hAnsi="Times New Roman" w:cs="Times New Roman"/>
          <w:sz w:val="24"/>
          <w:szCs w:val="24"/>
          <w:lang w:eastAsia="en-GB"/>
        </w:rPr>
        <w:t xml:space="preserve"> </w:t>
      </w:r>
      <w:r w:rsidR="00EB146D" w:rsidRPr="00E200A5">
        <w:rPr>
          <w:rFonts w:ascii="Times New Roman" w:eastAsia="Times New Roman" w:hAnsi="Times New Roman" w:cs="Times New Roman"/>
          <w:i/>
          <w:iCs/>
          <w:sz w:val="24"/>
          <w:szCs w:val="24"/>
          <w:lang w:eastAsia="en-GB"/>
        </w:rPr>
        <w:t>I am worried about unknown future effects of the vaccine</w:t>
      </w:r>
      <w:r w:rsidR="00BA5CA5" w:rsidRPr="00E200A5">
        <w:rPr>
          <w:rFonts w:ascii="Times New Roman" w:eastAsia="Times New Roman" w:hAnsi="Times New Roman" w:cs="Times New Roman"/>
          <w:sz w:val="36"/>
          <w:szCs w:val="36"/>
          <w:lang w:eastAsia="en-GB"/>
        </w:rPr>
        <w:t xml:space="preserve"> </w:t>
      </w:r>
      <w:r w:rsidR="00BA5CA5" w:rsidRPr="00E200A5">
        <w:rPr>
          <w:rFonts w:ascii="Times New Roman" w:eastAsia="Times New Roman" w:hAnsi="Times New Roman" w:cs="Times New Roman"/>
          <w:sz w:val="24"/>
          <w:szCs w:val="24"/>
          <w:lang w:eastAsia="en-GB"/>
        </w:rPr>
        <w:t>(</w:t>
      </w:r>
      <w:r w:rsidR="00EB146D" w:rsidRPr="00E200A5">
        <w:rPr>
          <w:rFonts w:ascii="Times New Roman" w:eastAsia="Times New Roman" w:hAnsi="Times New Roman" w:cs="Times New Roman"/>
          <w:sz w:val="24"/>
          <w:szCs w:val="24"/>
          <w:lang w:eastAsia="en-GB"/>
        </w:rPr>
        <w:t>49.</w:t>
      </w:r>
      <w:r w:rsidR="00584D1A" w:rsidRPr="00E200A5">
        <w:rPr>
          <w:rFonts w:ascii="Times New Roman" w:eastAsia="Times New Roman" w:hAnsi="Times New Roman" w:cs="Times New Roman"/>
          <w:sz w:val="24"/>
          <w:szCs w:val="24"/>
          <w:lang w:eastAsia="en-GB"/>
        </w:rPr>
        <w:t>7</w:t>
      </w:r>
      <w:r w:rsidR="00EB146D" w:rsidRPr="00E200A5">
        <w:rPr>
          <w:rFonts w:ascii="Times New Roman" w:eastAsia="Times New Roman" w:hAnsi="Times New Roman" w:cs="Times New Roman"/>
          <w:sz w:val="24"/>
          <w:szCs w:val="24"/>
          <w:lang w:eastAsia="en-GB"/>
        </w:rPr>
        <w:t>0</w:t>
      </w:r>
      <w:r w:rsidR="00BA5CA5" w:rsidRPr="00E200A5">
        <w:rPr>
          <w:rFonts w:ascii="Times New Roman" w:eastAsia="Times New Roman" w:hAnsi="Times New Roman" w:cs="Times New Roman"/>
          <w:sz w:val="24"/>
          <w:szCs w:val="24"/>
          <w:lang w:eastAsia="en-GB"/>
        </w:rPr>
        <w:t>%)</w:t>
      </w:r>
      <w:r w:rsidR="00EB146D" w:rsidRPr="00E200A5">
        <w:rPr>
          <w:rFonts w:ascii="Times New Roman" w:eastAsia="Times New Roman" w:hAnsi="Times New Roman" w:cs="Times New Roman"/>
          <w:sz w:val="24"/>
          <w:szCs w:val="24"/>
          <w:lang w:eastAsia="en-GB"/>
        </w:rPr>
        <w:t>;</w:t>
      </w:r>
      <w:r w:rsidR="00BA5CA5" w:rsidRPr="00E200A5">
        <w:rPr>
          <w:rFonts w:ascii="Times New Roman" w:eastAsia="Times New Roman" w:hAnsi="Times New Roman" w:cs="Times New Roman"/>
          <w:sz w:val="24"/>
          <w:szCs w:val="24"/>
          <w:lang w:eastAsia="en-GB"/>
        </w:rPr>
        <w:t xml:space="preserve"> </w:t>
      </w:r>
      <w:r w:rsidR="00EB146D" w:rsidRPr="00E200A5">
        <w:rPr>
          <w:rFonts w:ascii="Times New Roman" w:eastAsia="Times New Roman" w:hAnsi="Times New Roman" w:cs="Times New Roman"/>
          <w:i/>
          <w:iCs/>
          <w:sz w:val="24"/>
          <w:szCs w:val="24"/>
          <w:lang w:eastAsia="en-GB"/>
        </w:rPr>
        <w:t>I am worried about side effects</w:t>
      </w:r>
      <w:r w:rsidR="00BA5CA5" w:rsidRPr="00E200A5">
        <w:rPr>
          <w:rFonts w:ascii="Times New Roman" w:eastAsia="Times New Roman" w:hAnsi="Times New Roman" w:cs="Times New Roman"/>
          <w:sz w:val="24"/>
          <w:szCs w:val="24"/>
          <w:lang w:eastAsia="en-GB"/>
        </w:rPr>
        <w:t xml:space="preserve"> (</w:t>
      </w:r>
      <w:r w:rsidR="00EB146D" w:rsidRPr="00E200A5">
        <w:rPr>
          <w:rFonts w:ascii="Times New Roman" w:eastAsia="Times New Roman" w:hAnsi="Times New Roman" w:cs="Times New Roman"/>
          <w:sz w:val="24"/>
          <w:szCs w:val="24"/>
          <w:lang w:eastAsia="en-GB"/>
        </w:rPr>
        <w:t>10.55</w:t>
      </w:r>
      <w:r w:rsidR="00BA5CA5" w:rsidRPr="00E200A5">
        <w:rPr>
          <w:rFonts w:ascii="Times New Roman" w:eastAsia="Times New Roman" w:hAnsi="Times New Roman" w:cs="Times New Roman"/>
          <w:sz w:val="24"/>
          <w:szCs w:val="24"/>
          <w:lang w:eastAsia="en-GB"/>
        </w:rPr>
        <w:t>%)</w:t>
      </w:r>
      <w:r w:rsidR="00EB146D" w:rsidRPr="00E200A5">
        <w:rPr>
          <w:rFonts w:ascii="Times New Roman" w:eastAsia="Times New Roman" w:hAnsi="Times New Roman" w:cs="Times New Roman"/>
          <w:sz w:val="24"/>
          <w:szCs w:val="24"/>
          <w:lang w:eastAsia="en-GB"/>
        </w:rPr>
        <w:t>;</w:t>
      </w:r>
      <w:r w:rsidR="00BA5CA5" w:rsidRPr="00E200A5">
        <w:rPr>
          <w:rFonts w:ascii="Times New Roman" w:eastAsia="Times New Roman" w:hAnsi="Times New Roman" w:cs="Times New Roman"/>
          <w:sz w:val="24"/>
          <w:szCs w:val="24"/>
          <w:lang w:eastAsia="en-GB"/>
        </w:rPr>
        <w:t xml:space="preserve"> </w:t>
      </w:r>
      <w:r w:rsidR="00EB146D" w:rsidRPr="00E200A5">
        <w:rPr>
          <w:rFonts w:ascii="Times New Roman" w:eastAsia="Times New Roman" w:hAnsi="Times New Roman" w:cs="Times New Roman"/>
          <w:i/>
          <w:iCs/>
          <w:sz w:val="24"/>
          <w:szCs w:val="24"/>
          <w:lang w:eastAsia="en-GB"/>
        </w:rPr>
        <w:t>Vaccines are limited and other people need it more than me</w:t>
      </w:r>
      <w:r w:rsidR="00BA5CA5" w:rsidRPr="00E200A5">
        <w:rPr>
          <w:rFonts w:ascii="Times New Roman" w:eastAsia="Times New Roman" w:hAnsi="Times New Roman" w:cs="Times New Roman"/>
          <w:sz w:val="36"/>
          <w:szCs w:val="36"/>
          <w:lang w:eastAsia="en-GB"/>
        </w:rPr>
        <w:t xml:space="preserve"> </w:t>
      </w:r>
      <w:r w:rsidR="00BA5CA5" w:rsidRPr="00E200A5">
        <w:rPr>
          <w:rFonts w:ascii="Times New Roman" w:eastAsia="Times New Roman" w:hAnsi="Times New Roman" w:cs="Times New Roman"/>
          <w:sz w:val="24"/>
          <w:szCs w:val="24"/>
          <w:lang w:eastAsia="en-GB"/>
        </w:rPr>
        <w:t>(</w:t>
      </w:r>
      <w:r w:rsidR="00EB146D" w:rsidRPr="00E200A5">
        <w:rPr>
          <w:rFonts w:ascii="Times New Roman" w:eastAsia="Times New Roman" w:hAnsi="Times New Roman" w:cs="Times New Roman"/>
          <w:sz w:val="24"/>
          <w:szCs w:val="24"/>
          <w:lang w:eastAsia="en-GB"/>
        </w:rPr>
        <w:t>8.64</w:t>
      </w:r>
      <w:r w:rsidR="00BA5CA5" w:rsidRPr="00E200A5">
        <w:rPr>
          <w:rFonts w:ascii="Times New Roman" w:eastAsia="Times New Roman" w:hAnsi="Times New Roman" w:cs="Times New Roman"/>
          <w:sz w:val="24"/>
          <w:szCs w:val="24"/>
          <w:lang w:eastAsia="en-GB"/>
        </w:rPr>
        <w:t>%)</w:t>
      </w:r>
      <w:r w:rsidR="00EB146D" w:rsidRPr="00E200A5">
        <w:rPr>
          <w:rFonts w:ascii="Times New Roman" w:eastAsia="Times New Roman" w:hAnsi="Times New Roman" w:cs="Times New Roman"/>
          <w:sz w:val="24"/>
          <w:szCs w:val="24"/>
          <w:lang w:eastAsia="en-GB"/>
        </w:rPr>
        <w:t xml:space="preserve">; </w:t>
      </w:r>
      <w:r w:rsidR="00EB146D" w:rsidRPr="00E200A5">
        <w:rPr>
          <w:rFonts w:ascii="Times New Roman" w:eastAsia="Times New Roman" w:hAnsi="Times New Roman" w:cs="Times New Roman"/>
          <w:i/>
          <w:iCs/>
          <w:sz w:val="24"/>
          <w:szCs w:val="24"/>
          <w:lang w:eastAsia="en-GB"/>
        </w:rPr>
        <w:t>I don't trust vaccines</w:t>
      </w:r>
      <w:r w:rsidR="00EB146D" w:rsidRPr="00E200A5">
        <w:rPr>
          <w:rFonts w:ascii="Times New Roman" w:eastAsia="Times New Roman" w:hAnsi="Times New Roman" w:cs="Times New Roman"/>
          <w:sz w:val="24"/>
          <w:szCs w:val="24"/>
          <w:lang w:eastAsia="en-GB"/>
        </w:rPr>
        <w:t xml:space="preserve"> (5.79%); and </w:t>
      </w:r>
      <w:r w:rsidR="00EB146D" w:rsidRPr="00E200A5">
        <w:rPr>
          <w:rFonts w:ascii="Times New Roman" w:eastAsia="Times New Roman" w:hAnsi="Times New Roman" w:cs="Times New Roman"/>
          <w:i/>
          <w:iCs/>
          <w:sz w:val="24"/>
          <w:szCs w:val="24"/>
          <w:lang w:eastAsia="en-GB"/>
        </w:rPr>
        <w:t>The chances of me becoming seriously unwell from the coronavirus are low</w:t>
      </w:r>
      <w:r w:rsidR="00EB146D" w:rsidRPr="00E200A5">
        <w:rPr>
          <w:rFonts w:ascii="Times New Roman" w:eastAsia="Times New Roman" w:hAnsi="Times New Roman" w:cs="Times New Roman"/>
          <w:sz w:val="24"/>
          <w:szCs w:val="24"/>
          <w:lang w:eastAsia="en-GB"/>
        </w:rPr>
        <w:t xml:space="preserve"> (5.27%)</w:t>
      </w:r>
      <w:r w:rsidR="00CC74C3" w:rsidRPr="00E200A5">
        <w:rPr>
          <w:rFonts w:ascii="Times New Roman" w:eastAsia="Times New Roman" w:hAnsi="Times New Roman" w:cs="Times New Roman"/>
          <w:sz w:val="24"/>
          <w:szCs w:val="24"/>
          <w:lang w:eastAsia="en-GB"/>
        </w:rPr>
        <w:t>.</w:t>
      </w:r>
    </w:p>
    <w:p w14:paraId="1C3FCDA1" w14:textId="41F2E2A4" w:rsidR="00EB146D" w:rsidRPr="00E200A5" w:rsidRDefault="004A04C6" w:rsidP="00C915C8">
      <w:pPr>
        <w:spacing w:after="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We next conducted a </w:t>
      </w:r>
      <w:r w:rsidR="003164E8" w:rsidRPr="00E200A5">
        <w:rPr>
          <w:rFonts w:ascii="Times New Roman" w:eastAsia="Times New Roman" w:hAnsi="Times New Roman" w:cs="Times New Roman"/>
          <w:color w:val="000000"/>
          <w:sz w:val="24"/>
          <w:szCs w:val="24"/>
          <w:lang w:eastAsia="en-GB"/>
        </w:rPr>
        <w:t>multinomial</w:t>
      </w:r>
      <w:r w:rsidRPr="00E200A5">
        <w:rPr>
          <w:rFonts w:ascii="Times New Roman" w:eastAsia="Times New Roman" w:hAnsi="Times New Roman" w:cs="Times New Roman"/>
          <w:color w:val="000000"/>
          <w:sz w:val="24"/>
          <w:szCs w:val="24"/>
          <w:lang w:eastAsia="en-GB"/>
        </w:rPr>
        <w:t xml:space="preserve"> logistic regression, with vaccine </w:t>
      </w:r>
      <w:r w:rsidR="00584D1A" w:rsidRPr="00E200A5">
        <w:rPr>
          <w:rFonts w:ascii="Times New Roman" w:eastAsia="Times New Roman" w:hAnsi="Times New Roman" w:cs="Times New Roman"/>
          <w:color w:val="000000"/>
          <w:sz w:val="24"/>
          <w:szCs w:val="24"/>
          <w:lang w:eastAsia="en-GB"/>
        </w:rPr>
        <w:t xml:space="preserve">acceptance </w:t>
      </w:r>
      <w:r w:rsidRPr="00E200A5">
        <w:rPr>
          <w:rFonts w:ascii="Times New Roman" w:eastAsia="Times New Roman" w:hAnsi="Times New Roman" w:cs="Times New Roman"/>
          <w:color w:val="000000"/>
          <w:sz w:val="24"/>
          <w:szCs w:val="24"/>
          <w:lang w:eastAsia="en-GB"/>
        </w:rPr>
        <w:t xml:space="preserve">as the reference </w:t>
      </w:r>
      <w:r w:rsidR="005E3CF3" w:rsidRPr="00E200A5">
        <w:rPr>
          <w:rFonts w:ascii="Times New Roman" w:eastAsia="Times New Roman" w:hAnsi="Times New Roman" w:cs="Times New Roman"/>
          <w:color w:val="000000"/>
          <w:sz w:val="24"/>
          <w:szCs w:val="24"/>
          <w:lang w:eastAsia="en-GB"/>
        </w:rPr>
        <w:t>outcome</w:t>
      </w:r>
      <w:r w:rsidRPr="00E200A5">
        <w:rPr>
          <w:rFonts w:ascii="Times New Roman" w:eastAsia="Times New Roman" w:hAnsi="Times New Roman" w:cs="Times New Roman"/>
          <w:color w:val="000000"/>
          <w:sz w:val="24"/>
          <w:szCs w:val="24"/>
          <w:lang w:eastAsia="en-GB"/>
        </w:rPr>
        <w:t>,</w:t>
      </w:r>
      <w:r w:rsidR="00EB146D" w:rsidRPr="00E200A5">
        <w:rPr>
          <w:rFonts w:ascii="Times New Roman" w:eastAsia="Times New Roman" w:hAnsi="Times New Roman" w:cs="Times New Roman"/>
          <w:color w:val="000000"/>
          <w:sz w:val="24"/>
          <w:szCs w:val="24"/>
          <w:lang w:eastAsia="en-GB"/>
        </w:rPr>
        <w:t xml:space="preserve"> and the top </w:t>
      </w:r>
      <w:r w:rsidR="00191A72" w:rsidRPr="00E200A5">
        <w:rPr>
          <w:rFonts w:ascii="Times New Roman" w:eastAsia="Times New Roman" w:hAnsi="Times New Roman" w:cs="Times New Roman"/>
          <w:color w:val="000000"/>
          <w:sz w:val="24"/>
          <w:szCs w:val="24"/>
          <w:lang w:eastAsia="en-GB"/>
        </w:rPr>
        <w:t>5</w:t>
      </w:r>
      <w:r w:rsidR="00EB146D" w:rsidRPr="00E200A5">
        <w:rPr>
          <w:rFonts w:ascii="Times New Roman" w:eastAsia="Times New Roman" w:hAnsi="Times New Roman" w:cs="Times New Roman"/>
          <w:color w:val="000000"/>
          <w:sz w:val="24"/>
          <w:szCs w:val="24"/>
          <w:lang w:eastAsia="en-GB"/>
        </w:rPr>
        <w:t xml:space="preserve"> </w:t>
      </w:r>
      <w:r w:rsidR="00891DB1" w:rsidRPr="00E200A5">
        <w:rPr>
          <w:rFonts w:ascii="Times New Roman" w:eastAsia="Times New Roman" w:hAnsi="Times New Roman" w:cs="Times New Roman"/>
          <w:color w:val="000000"/>
          <w:sz w:val="24"/>
          <w:szCs w:val="24"/>
          <w:lang w:eastAsia="en-GB"/>
        </w:rPr>
        <w:t>reasons</w:t>
      </w:r>
      <w:r w:rsidR="009C4EE0" w:rsidRPr="00E200A5">
        <w:rPr>
          <w:rFonts w:ascii="Times New Roman" w:eastAsia="Times New Roman" w:hAnsi="Times New Roman" w:cs="Times New Roman"/>
          <w:color w:val="000000"/>
          <w:sz w:val="24"/>
          <w:szCs w:val="24"/>
          <w:lang w:eastAsia="en-GB"/>
        </w:rPr>
        <w:t xml:space="preserve"> to decline vaccination</w:t>
      </w:r>
      <w:r w:rsidR="00402FE2" w:rsidRPr="00E200A5">
        <w:rPr>
          <w:rFonts w:ascii="Times New Roman" w:eastAsia="Times New Roman" w:hAnsi="Times New Roman" w:cs="Times New Roman"/>
          <w:color w:val="000000"/>
          <w:sz w:val="24"/>
          <w:szCs w:val="24"/>
          <w:lang w:eastAsia="en-GB"/>
        </w:rPr>
        <w:t xml:space="preserve"> as the </w:t>
      </w:r>
      <w:r w:rsidR="004E103A" w:rsidRPr="00E200A5">
        <w:rPr>
          <w:rFonts w:ascii="Times New Roman" w:eastAsia="Times New Roman" w:hAnsi="Times New Roman" w:cs="Times New Roman"/>
          <w:color w:val="000000"/>
          <w:sz w:val="24"/>
          <w:szCs w:val="24"/>
          <w:lang w:eastAsia="en-GB"/>
        </w:rPr>
        <w:t>other outcomes</w:t>
      </w:r>
      <w:r w:rsidR="009C4EE0" w:rsidRPr="00E200A5">
        <w:rPr>
          <w:rFonts w:ascii="Times New Roman" w:eastAsia="Times New Roman" w:hAnsi="Times New Roman" w:cs="Times New Roman"/>
          <w:color w:val="000000"/>
          <w:sz w:val="24"/>
          <w:szCs w:val="24"/>
          <w:lang w:eastAsia="en-GB"/>
        </w:rPr>
        <w:t xml:space="preserve"> </w:t>
      </w:r>
      <w:r w:rsidR="00EB146D" w:rsidRPr="00E200A5">
        <w:rPr>
          <w:rFonts w:ascii="Times New Roman" w:eastAsia="Times New Roman" w:hAnsi="Times New Roman" w:cs="Times New Roman"/>
          <w:color w:val="000000"/>
          <w:sz w:val="24"/>
          <w:szCs w:val="24"/>
          <w:lang w:eastAsia="en-GB"/>
        </w:rPr>
        <w:t>(</w:t>
      </w:r>
      <w:r w:rsidR="00191A72" w:rsidRPr="00E200A5">
        <w:rPr>
          <w:rFonts w:ascii="Times New Roman" w:eastAsia="Times New Roman" w:hAnsi="Times New Roman" w:cs="Times New Roman"/>
          <w:color w:val="000000"/>
          <w:sz w:val="24"/>
          <w:szCs w:val="24"/>
          <w:lang w:eastAsia="en-GB"/>
        </w:rPr>
        <w:t>which constituted ~</w:t>
      </w:r>
      <w:r w:rsidR="00584D1A" w:rsidRPr="00E200A5">
        <w:rPr>
          <w:rFonts w:ascii="Times New Roman" w:eastAsia="Times New Roman" w:hAnsi="Times New Roman" w:cs="Times New Roman"/>
          <w:color w:val="000000"/>
          <w:sz w:val="24"/>
          <w:szCs w:val="24"/>
          <w:lang w:eastAsia="en-GB"/>
        </w:rPr>
        <w:t>80</w:t>
      </w:r>
      <w:r w:rsidR="00191A72" w:rsidRPr="00E200A5">
        <w:rPr>
          <w:rFonts w:ascii="Times New Roman" w:eastAsia="Times New Roman" w:hAnsi="Times New Roman" w:cs="Times New Roman"/>
          <w:color w:val="000000"/>
          <w:sz w:val="24"/>
          <w:szCs w:val="24"/>
          <w:lang w:eastAsia="en-GB"/>
        </w:rPr>
        <w:t xml:space="preserve">% of total responses; all other response options had </w:t>
      </w:r>
      <w:r w:rsidR="00584D1A" w:rsidRPr="00E200A5">
        <w:rPr>
          <w:rFonts w:ascii="Times New Roman" w:eastAsia="Times New Roman" w:hAnsi="Times New Roman" w:cs="Times New Roman"/>
          <w:color w:val="000000"/>
          <w:sz w:val="24"/>
          <w:szCs w:val="24"/>
          <w:lang w:eastAsia="en-GB"/>
        </w:rPr>
        <w:t>&lt;4</w:t>
      </w:r>
      <w:r w:rsidR="00191A72" w:rsidRPr="00E200A5">
        <w:rPr>
          <w:rFonts w:ascii="Times New Roman" w:eastAsia="Times New Roman" w:hAnsi="Times New Roman" w:cs="Times New Roman"/>
          <w:color w:val="000000"/>
          <w:sz w:val="24"/>
          <w:szCs w:val="24"/>
          <w:lang w:eastAsia="en-GB"/>
        </w:rPr>
        <w:t>%</w:t>
      </w:r>
      <w:r w:rsidR="00C22104" w:rsidRPr="00E200A5">
        <w:rPr>
          <w:rFonts w:ascii="Times New Roman" w:eastAsia="Times New Roman" w:hAnsi="Times New Roman" w:cs="Times New Roman"/>
          <w:color w:val="000000"/>
          <w:sz w:val="24"/>
          <w:szCs w:val="24"/>
          <w:lang w:eastAsia="en-GB"/>
        </w:rPr>
        <w:t xml:space="preserve"> (excluding the “Other” responses)</w:t>
      </w:r>
      <w:r w:rsidR="00EB146D"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color w:val="000000"/>
          <w:sz w:val="24"/>
          <w:szCs w:val="24"/>
          <w:lang w:eastAsia="en-GB"/>
        </w:rPr>
        <w:t xml:space="preserve"> to examine whether our study variables predicted membership </w:t>
      </w:r>
      <w:r w:rsidR="007F4372" w:rsidRPr="00E200A5">
        <w:rPr>
          <w:rFonts w:ascii="Times New Roman" w:eastAsia="Times New Roman" w:hAnsi="Times New Roman" w:cs="Times New Roman"/>
          <w:color w:val="000000"/>
          <w:sz w:val="24"/>
          <w:szCs w:val="24"/>
          <w:lang w:eastAsia="en-GB"/>
        </w:rPr>
        <w:t xml:space="preserve">to </w:t>
      </w:r>
      <w:r w:rsidRPr="00E200A5">
        <w:rPr>
          <w:rFonts w:ascii="Times New Roman" w:eastAsia="Times New Roman" w:hAnsi="Times New Roman" w:cs="Times New Roman"/>
          <w:color w:val="000000"/>
          <w:sz w:val="24"/>
          <w:szCs w:val="24"/>
          <w:lang w:eastAsia="en-GB"/>
        </w:rPr>
        <w:t>the</w:t>
      </w:r>
      <w:r w:rsidR="00786CAB" w:rsidRPr="00E200A5">
        <w:rPr>
          <w:rFonts w:ascii="Times New Roman" w:eastAsia="Times New Roman" w:hAnsi="Times New Roman" w:cs="Times New Roman"/>
          <w:color w:val="000000"/>
          <w:sz w:val="24"/>
          <w:szCs w:val="24"/>
          <w:lang w:eastAsia="en-GB"/>
        </w:rPr>
        <w:t>se</w:t>
      </w:r>
      <w:r w:rsidRPr="00E200A5">
        <w:rPr>
          <w:rFonts w:ascii="Times New Roman" w:eastAsia="Times New Roman" w:hAnsi="Times New Roman" w:cs="Times New Roman"/>
          <w:color w:val="000000"/>
          <w:sz w:val="24"/>
          <w:szCs w:val="24"/>
          <w:lang w:eastAsia="en-GB"/>
        </w:rPr>
        <w:t xml:space="preserve"> </w:t>
      </w:r>
      <w:r w:rsidR="00852603" w:rsidRPr="00E200A5">
        <w:rPr>
          <w:rFonts w:ascii="Times New Roman" w:eastAsia="Times New Roman" w:hAnsi="Times New Roman" w:cs="Times New Roman"/>
          <w:color w:val="000000"/>
          <w:sz w:val="24"/>
          <w:szCs w:val="24"/>
          <w:lang w:eastAsia="en-GB"/>
        </w:rPr>
        <w:t>vaccination hesitancy</w:t>
      </w:r>
      <w:r w:rsidRPr="00E200A5">
        <w:rPr>
          <w:rFonts w:ascii="Times New Roman" w:eastAsia="Times New Roman" w:hAnsi="Times New Roman" w:cs="Times New Roman"/>
          <w:color w:val="000000"/>
          <w:sz w:val="24"/>
          <w:szCs w:val="24"/>
          <w:lang w:eastAsia="en-GB"/>
        </w:rPr>
        <w:t xml:space="preserve"> groups.</w:t>
      </w:r>
      <w:r w:rsidR="00CC74C3" w:rsidRPr="00E200A5">
        <w:rPr>
          <w:rFonts w:ascii="Times New Roman" w:eastAsia="Times New Roman" w:hAnsi="Times New Roman" w:cs="Times New Roman"/>
          <w:color w:val="000000"/>
          <w:sz w:val="24"/>
          <w:szCs w:val="24"/>
          <w:lang w:eastAsia="en-GB"/>
        </w:rPr>
        <w:t xml:space="preserve"> Descriptive statistics for all study variables across these six categories (i.e. </w:t>
      </w:r>
      <w:r w:rsidR="00CC74C3" w:rsidRPr="00E200A5">
        <w:rPr>
          <w:rFonts w:ascii="Times New Roman" w:eastAsia="Times New Roman" w:hAnsi="Times New Roman" w:cs="Times New Roman"/>
          <w:color w:val="000000"/>
          <w:sz w:val="24"/>
          <w:szCs w:val="24"/>
          <w:lang w:eastAsia="en-GB"/>
        </w:rPr>
        <w:lastRenderedPageBreak/>
        <w:t xml:space="preserve">vaccine acceptance and the top 5 </w:t>
      </w:r>
      <w:r w:rsidR="00891DB1" w:rsidRPr="00E200A5">
        <w:rPr>
          <w:rFonts w:ascii="Times New Roman" w:eastAsia="Times New Roman" w:hAnsi="Times New Roman" w:cs="Times New Roman"/>
          <w:color w:val="000000"/>
          <w:sz w:val="24"/>
          <w:szCs w:val="24"/>
          <w:lang w:eastAsia="en-GB"/>
        </w:rPr>
        <w:t>reasons</w:t>
      </w:r>
      <w:r w:rsidR="00CC74C3" w:rsidRPr="00E200A5">
        <w:rPr>
          <w:rFonts w:ascii="Times New Roman" w:eastAsia="Times New Roman" w:hAnsi="Times New Roman" w:cs="Times New Roman"/>
          <w:color w:val="000000"/>
          <w:sz w:val="24"/>
          <w:szCs w:val="24"/>
          <w:lang w:eastAsia="en-GB"/>
        </w:rPr>
        <w:t xml:space="preserve"> for </w:t>
      </w:r>
      <w:r w:rsidR="00852603" w:rsidRPr="00E200A5">
        <w:rPr>
          <w:rFonts w:ascii="Times New Roman" w:eastAsia="Times New Roman" w:hAnsi="Times New Roman" w:cs="Times New Roman"/>
          <w:color w:val="000000"/>
          <w:sz w:val="24"/>
          <w:szCs w:val="24"/>
          <w:lang w:eastAsia="en-GB"/>
        </w:rPr>
        <w:t>vaccination hesitancy</w:t>
      </w:r>
      <w:r w:rsidR="00CC74C3" w:rsidRPr="00E200A5">
        <w:rPr>
          <w:rFonts w:ascii="Times New Roman" w:eastAsia="Times New Roman" w:hAnsi="Times New Roman" w:cs="Times New Roman"/>
          <w:color w:val="000000"/>
          <w:sz w:val="24"/>
          <w:szCs w:val="24"/>
          <w:lang w:eastAsia="en-GB"/>
        </w:rPr>
        <w:t xml:space="preserve">) are detailed in </w:t>
      </w:r>
      <w:r w:rsidR="001D445F" w:rsidRPr="00E200A5">
        <w:rPr>
          <w:rFonts w:ascii="Times New Roman" w:eastAsia="Times New Roman" w:hAnsi="Times New Roman" w:cs="Times New Roman"/>
          <w:color w:val="000000"/>
          <w:sz w:val="24"/>
          <w:szCs w:val="24"/>
          <w:lang w:eastAsia="en-GB"/>
        </w:rPr>
        <w:t>the supplementary materials</w:t>
      </w:r>
      <w:r w:rsidR="00CC74C3" w:rsidRPr="00E200A5">
        <w:rPr>
          <w:rFonts w:ascii="Times New Roman" w:eastAsia="Times New Roman" w:hAnsi="Times New Roman" w:cs="Times New Roman"/>
          <w:color w:val="000000"/>
          <w:sz w:val="24"/>
          <w:szCs w:val="24"/>
          <w:lang w:eastAsia="en-GB"/>
        </w:rPr>
        <w:t>.</w:t>
      </w:r>
    </w:p>
    <w:p w14:paraId="034ADED4" w14:textId="60BDB899" w:rsidR="006430B2" w:rsidRPr="00E200A5" w:rsidRDefault="00DD3634" w:rsidP="00C915C8">
      <w:pPr>
        <w:spacing w:after="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Relative to the vaccine accepters, t</w:t>
      </w:r>
      <w:r w:rsidR="004A04C6" w:rsidRPr="00E200A5">
        <w:rPr>
          <w:rFonts w:ascii="Times New Roman" w:eastAsia="Times New Roman" w:hAnsi="Times New Roman" w:cs="Times New Roman"/>
          <w:color w:val="000000"/>
          <w:sz w:val="24"/>
          <w:szCs w:val="24"/>
          <w:lang w:eastAsia="en-GB"/>
        </w:rPr>
        <w:t xml:space="preserve">hose that </w:t>
      </w:r>
      <w:r w:rsidR="00EB146D" w:rsidRPr="00E200A5">
        <w:rPr>
          <w:rFonts w:ascii="Times New Roman" w:eastAsia="Times New Roman" w:hAnsi="Times New Roman" w:cs="Times New Roman"/>
          <w:color w:val="000000"/>
          <w:sz w:val="24"/>
          <w:szCs w:val="24"/>
          <w:lang w:eastAsia="en-GB"/>
        </w:rPr>
        <w:t xml:space="preserve">reported </w:t>
      </w:r>
      <w:r w:rsidR="00852603" w:rsidRPr="00E200A5">
        <w:rPr>
          <w:rFonts w:ascii="Times New Roman" w:eastAsia="Times New Roman" w:hAnsi="Times New Roman" w:cs="Times New Roman"/>
          <w:color w:val="000000"/>
          <w:sz w:val="24"/>
          <w:szCs w:val="24"/>
          <w:lang w:eastAsia="en-GB"/>
        </w:rPr>
        <w:t>vaccination hesitancy</w:t>
      </w:r>
      <w:r w:rsidR="004A04C6" w:rsidRPr="00E200A5">
        <w:rPr>
          <w:rFonts w:ascii="Times New Roman" w:eastAsia="Times New Roman" w:hAnsi="Times New Roman" w:cs="Times New Roman"/>
          <w:color w:val="000000"/>
          <w:sz w:val="24"/>
          <w:szCs w:val="24"/>
          <w:lang w:eastAsia="en-GB"/>
        </w:rPr>
        <w:t xml:space="preserve"> due to doubting </w:t>
      </w:r>
      <w:r w:rsidR="00F308D4" w:rsidRPr="00E200A5">
        <w:rPr>
          <w:rFonts w:ascii="Times New Roman" w:eastAsia="Times New Roman" w:hAnsi="Times New Roman" w:cs="Times New Roman"/>
          <w:color w:val="000000"/>
          <w:sz w:val="24"/>
          <w:szCs w:val="24"/>
          <w:lang w:eastAsia="en-GB"/>
        </w:rPr>
        <w:t xml:space="preserve">they would personally become severely unwell from </w:t>
      </w:r>
      <w:r w:rsidR="000D1673" w:rsidRPr="00E200A5">
        <w:rPr>
          <w:rFonts w:ascii="Times New Roman" w:eastAsia="Times New Roman" w:hAnsi="Times New Roman" w:cs="Times New Roman"/>
          <w:color w:val="000000"/>
          <w:sz w:val="24"/>
          <w:szCs w:val="24"/>
          <w:lang w:eastAsia="en-GB"/>
        </w:rPr>
        <w:t>COVID</w:t>
      </w:r>
      <w:r w:rsidR="004A04C6" w:rsidRPr="00E200A5">
        <w:rPr>
          <w:rFonts w:ascii="Times New Roman" w:eastAsia="Times New Roman" w:hAnsi="Times New Roman" w:cs="Times New Roman"/>
          <w:color w:val="000000"/>
          <w:sz w:val="24"/>
          <w:szCs w:val="24"/>
          <w:lang w:eastAsia="en-GB"/>
        </w:rPr>
        <w:t>-19 were significantly less agreeable and neurotic, but more conscientious</w:t>
      </w:r>
      <w:r w:rsidR="002F012E" w:rsidRPr="00E200A5">
        <w:rPr>
          <w:rFonts w:ascii="Times New Roman" w:eastAsia="Times New Roman" w:hAnsi="Times New Roman" w:cs="Times New Roman"/>
          <w:color w:val="000000"/>
          <w:sz w:val="24"/>
          <w:szCs w:val="24"/>
          <w:lang w:eastAsia="en-GB"/>
        </w:rPr>
        <w:t>,</w:t>
      </w:r>
      <w:r w:rsidR="004A04C6" w:rsidRPr="00E200A5">
        <w:rPr>
          <w:rFonts w:ascii="Times New Roman" w:eastAsia="Times New Roman" w:hAnsi="Times New Roman" w:cs="Times New Roman"/>
          <w:color w:val="000000"/>
          <w:sz w:val="24"/>
          <w:szCs w:val="24"/>
          <w:lang w:eastAsia="en-GB"/>
        </w:rPr>
        <w:t xml:space="preserve"> and </w:t>
      </w:r>
      <w:r w:rsidR="00F308D4" w:rsidRPr="00E200A5">
        <w:rPr>
          <w:rFonts w:ascii="Times New Roman" w:eastAsia="Times New Roman" w:hAnsi="Times New Roman" w:cs="Times New Roman"/>
          <w:color w:val="000000"/>
          <w:sz w:val="24"/>
          <w:szCs w:val="24"/>
          <w:lang w:eastAsia="en-GB"/>
        </w:rPr>
        <w:t xml:space="preserve">(perhaps unsurprisingly) </w:t>
      </w:r>
      <w:r w:rsidR="00852603" w:rsidRPr="00E200A5">
        <w:rPr>
          <w:rFonts w:ascii="Times New Roman" w:eastAsia="Times New Roman" w:hAnsi="Times New Roman" w:cs="Times New Roman"/>
          <w:color w:val="000000"/>
          <w:sz w:val="24"/>
          <w:szCs w:val="24"/>
          <w:lang w:eastAsia="en-GB"/>
        </w:rPr>
        <w:t xml:space="preserve">rated </w:t>
      </w:r>
      <w:r w:rsidR="004A04C6" w:rsidRPr="00E200A5">
        <w:rPr>
          <w:rFonts w:ascii="Times New Roman" w:eastAsia="Times New Roman" w:hAnsi="Times New Roman" w:cs="Times New Roman"/>
          <w:color w:val="000000"/>
          <w:sz w:val="24"/>
          <w:szCs w:val="24"/>
          <w:lang w:eastAsia="en-GB"/>
        </w:rPr>
        <w:t xml:space="preserve">themselves to be at a lower risk of catching </w:t>
      </w:r>
      <w:r w:rsidR="000D1673" w:rsidRPr="00E200A5">
        <w:rPr>
          <w:rFonts w:ascii="Times New Roman" w:eastAsia="Times New Roman" w:hAnsi="Times New Roman" w:cs="Times New Roman"/>
          <w:color w:val="000000"/>
          <w:sz w:val="24"/>
          <w:szCs w:val="24"/>
          <w:lang w:eastAsia="en-GB"/>
        </w:rPr>
        <w:t>COVID</w:t>
      </w:r>
      <w:r w:rsidR="006A5DD9" w:rsidRPr="00E200A5">
        <w:rPr>
          <w:rFonts w:ascii="Times New Roman" w:eastAsia="Times New Roman" w:hAnsi="Times New Roman" w:cs="Times New Roman"/>
          <w:color w:val="000000"/>
          <w:sz w:val="24"/>
          <w:szCs w:val="24"/>
          <w:lang w:eastAsia="en-GB"/>
        </w:rPr>
        <w:t>-19</w:t>
      </w:r>
      <w:r w:rsidR="004A04C6" w:rsidRPr="00E200A5">
        <w:rPr>
          <w:rFonts w:ascii="Times New Roman" w:eastAsia="Times New Roman" w:hAnsi="Times New Roman" w:cs="Times New Roman"/>
          <w:color w:val="000000"/>
          <w:sz w:val="24"/>
          <w:szCs w:val="24"/>
          <w:lang w:eastAsia="en-GB"/>
        </w:rPr>
        <w:t xml:space="preserve">. Those </w:t>
      </w:r>
      <w:r w:rsidR="00C77CBD" w:rsidRPr="00E200A5">
        <w:rPr>
          <w:rFonts w:ascii="Times New Roman" w:eastAsia="Times New Roman" w:hAnsi="Times New Roman" w:cs="Times New Roman"/>
          <w:color w:val="000000"/>
          <w:sz w:val="24"/>
          <w:szCs w:val="24"/>
          <w:lang w:eastAsia="en-GB"/>
        </w:rPr>
        <w:t xml:space="preserve">who </w:t>
      </w:r>
      <w:r w:rsidR="00EB146D" w:rsidRPr="00E200A5">
        <w:rPr>
          <w:rFonts w:ascii="Times New Roman" w:eastAsia="Times New Roman" w:hAnsi="Times New Roman" w:cs="Times New Roman"/>
          <w:color w:val="000000"/>
          <w:sz w:val="24"/>
          <w:szCs w:val="24"/>
          <w:lang w:eastAsia="en-GB"/>
        </w:rPr>
        <w:t xml:space="preserve">reported </w:t>
      </w:r>
      <w:r w:rsidR="00852603" w:rsidRPr="00E200A5">
        <w:rPr>
          <w:rFonts w:ascii="Times New Roman" w:eastAsia="Times New Roman" w:hAnsi="Times New Roman" w:cs="Times New Roman"/>
          <w:color w:val="000000"/>
          <w:sz w:val="24"/>
          <w:szCs w:val="24"/>
          <w:lang w:eastAsia="en-GB"/>
        </w:rPr>
        <w:t>vaccination hesitancy</w:t>
      </w:r>
      <w:r w:rsidR="00EB146D" w:rsidRPr="00E200A5">
        <w:rPr>
          <w:rFonts w:ascii="Times New Roman" w:eastAsia="Times New Roman" w:hAnsi="Times New Roman" w:cs="Times New Roman"/>
          <w:color w:val="000000"/>
          <w:sz w:val="24"/>
          <w:szCs w:val="24"/>
          <w:lang w:eastAsia="en-GB"/>
        </w:rPr>
        <w:t xml:space="preserve"> </w:t>
      </w:r>
      <w:r w:rsidR="004A04C6" w:rsidRPr="00E200A5">
        <w:rPr>
          <w:rFonts w:ascii="Times New Roman" w:eastAsia="Times New Roman" w:hAnsi="Times New Roman" w:cs="Times New Roman"/>
          <w:color w:val="000000"/>
          <w:sz w:val="24"/>
          <w:szCs w:val="24"/>
          <w:lang w:eastAsia="en-GB"/>
        </w:rPr>
        <w:t xml:space="preserve">because others need </w:t>
      </w:r>
      <w:r w:rsidR="00F308D4" w:rsidRPr="00E200A5">
        <w:rPr>
          <w:rFonts w:ascii="Times New Roman" w:eastAsia="Times New Roman" w:hAnsi="Times New Roman" w:cs="Times New Roman"/>
          <w:color w:val="000000"/>
          <w:sz w:val="24"/>
          <w:szCs w:val="24"/>
          <w:lang w:eastAsia="en-GB"/>
        </w:rPr>
        <w:t>the vaccine</w:t>
      </w:r>
      <w:r w:rsidR="004A04C6" w:rsidRPr="00E200A5">
        <w:rPr>
          <w:rFonts w:ascii="Times New Roman" w:eastAsia="Times New Roman" w:hAnsi="Times New Roman" w:cs="Times New Roman"/>
          <w:color w:val="000000"/>
          <w:sz w:val="24"/>
          <w:szCs w:val="24"/>
          <w:lang w:eastAsia="en-GB"/>
        </w:rPr>
        <w:t xml:space="preserve"> more than themselves were more likely to be young and female, significantly less neurotic, </w:t>
      </w:r>
      <w:r w:rsidR="00852603" w:rsidRPr="00E200A5">
        <w:rPr>
          <w:rFonts w:ascii="Times New Roman" w:eastAsia="Times New Roman" w:hAnsi="Times New Roman" w:cs="Times New Roman"/>
          <w:color w:val="000000"/>
          <w:sz w:val="24"/>
          <w:szCs w:val="24"/>
          <w:lang w:eastAsia="en-GB"/>
        </w:rPr>
        <w:t xml:space="preserve">rated </w:t>
      </w:r>
      <w:r w:rsidR="004A04C6" w:rsidRPr="00E200A5">
        <w:rPr>
          <w:rFonts w:ascii="Times New Roman" w:eastAsia="Times New Roman" w:hAnsi="Times New Roman" w:cs="Times New Roman"/>
          <w:color w:val="000000"/>
          <w:sz w:val="24"/>
          <w:szCs w:val="24"/>
          <w:lang w:eastAsia="en-GB"/>
        </w:rPr>
        <w:t xml:space="preserve">themselves to be at lower risk of catching </w:t>
      </w:r>
      <w:r w:rsidR="000D1673" w:rsidRPr="00E200A5">
        <w:rPr>
          <w:rFonts w:ascii="Times New Roman" w:eastAsia="Times New Roman" w:hAnsi="Times New Roman" w:cs="Times New Roman"/>
          <w:color w:val="000000"/>
          <w:sz w:val="24"/>
          <w:szCs w:val="24"/>
          <w:lang w:eastAsia="en-GB"/>
        </w:rPr>
        <w:t>COVID</w:t>
      </w:r>
      <w:r w:rsidR="004A04C6" w:rsidRPr="00E200A5">
        <w:rPr>
          <w:rFonts w:ascii="Times New Roman" w:eastAsia="Times New Roman" w:hAnsi="Times New Roman" w:cs="Times New Roman"/>
          <w:color w:val="000000"/>
          <w:sz w:val="24"/>
          <w:szCs w:val="24"/>
          <w:lang w:eastAsia="en-GB"/>
        </w:rPr>
        <w:t xml:space="preserve">-19, scored lower in intelligence, and had better mental health. Those </w:t>
      </w:r>
      <w:r w:rsidR="00C77CBD" w:rsidRPr="00E200A5">
        <w:rPr>
          <w:rFonts w:ascii="Times New Roman" w:eastAsia="Times New Roman" w:hAnsi="Times New Roman" w:cs="Times New Roman"/>
          <w:color w:val="000000"/>
          <w:sz w:val="24"/>
          <w:szCs w:val="24"/>
          <w:lang w:eastAsia="en-GB"/>
        </w:rPr>
        <w:t xml:space="preserve">who </w:t>
      </w:r>
      <w:r w:rsidR="00EB146D" w:rsidRPr="00E200A5">
        <w:rPr>
          <w:rFonts w:ascii="Times New Roman" w:eastAsia="Times New Roman" w:hAnsi="Times New Roman" w:cs="Times New Roman"/>
          <w:color w:val="000000"/>
          <w:sz w:val="24"/>
          <w:szCs w:val="24"/>
          <w:lang w:eastAsia="en-GB"/>
        </w:rPr>
        <w:t xml:space="preserve">reported </w:t>
      </w:r>
      <w:r w:rsidR="00852603" w:rsidRPr="00E200A5">
        <w:rPr>
          <w:rFonts w:ascii="Times New Roman" w:eastAsia="Times New Roman" w:hAnsi="Times New Roman" w:cs="Times New Roman"/>
          <w:color w:val="000000"/>
          <w:sz w:val="24"/>
          <w:szCs w:val="24"/>
          <w:lang w:eastAsia="en-GB"/>
        </w:rPr>
        <w:t>vaccination hesitancy</w:t>
      </w:r>
      <w:r w:rsidR="00EB146D" w:rsidRPr="00E200A5">
        <w:rPr>
          <w:rFonts w:ascii="Times New Roman" w:eastAsia="Times New Roman" w:hAnsi="Times New Roman" w:cs="Times New Roman"/>
          <w:color w:val="000000"/>
          <w:sz w:val="24"/>
          <w:szCs w:val="24"/>
          <w:lang w:eastAsia="en-GB"/>
        </w:rPr>
        <w:t xml:space="preserve"> </w:t>
      </w:r>
      <w:r w:rsidR="004A04C6" w:rsidRPr="00E200A5">
        <w:rPr>
          <w:rFonts w:ascii="Times New Roman" w:eastAsia="Times New Roman" w:hAnsi="Times New Roman" w:cs="Times New Roman"/>
          <w:color w:val="000000"/>
          <w:sz w:val="24"/>
          <w:szCs w:val="24"/>
          <w:lang w:eastAsia="en-GB"/>
        </w:rPr>
        <w:t xml:space="preserve">due to the immediate side effects of the vaccine scored lower in intelligence, </w:t>
      </w:r>
      <w:r w:rsidR="00852603" w:rsidRPr="00E200A5">
        <w:rPr>
          <w:rFonts w:ascii="Times New Roman" w:eastAsia="Times New Roman" w:hAnsi="Times New Roman" w:cs="Times New Roman"/>
          <w:color w:val="000000"/>
          <w:sz w:val="24"/>
          <w:szCs w:val="24"/>
          <w:lang w:eastAsia="en-GB"/>
        </w:rPr>
        <w:t xml:space="preserve">rated </w:t>
      </w:r>
      <w:r w:rsidR="004A04C6" w:rsidRPr="00E200A5">
        <w:rPr>
          <w:rFonts w:ascii="Times New Roman" w:eastAsia="Times New Roman" w:hAnsi="Times New Roman" w:cs="Times New Roman"/>
          <w:color w:val="000000"/>
          <w:sz w:val="24"/>
          <w:szCs w:val="24"/>
          <w:lang w:eastAsia="en-GB"/>
        </w:rPr>
        <w:t xml:space="preserve">their </w:t>
      </w:r>
      <w:r w:rsidR="000D1673" w:rsidRPr="00E200A5">
        <w:rPr>
          <w:rFonts w:ascii="Times New Roman" w:eastAsia="Times New Roman" w:hAnsi="Times New Roman" w:cs="Times New Roman"/>
          <w:color w:val="000000"/>
          <w:sz w:val="24"/>
          <w:szCs w:val="24"/>
          <w:lang w:eastAsia="en-GB"/>
        </w:rPr>
        <w:t>COVID</w:t>
      </w:r>
      <w:r w:rsidR="006A5DD9" w:rsidRPr="00E200A5">
        <w:rPr>
          <w:rFonts w:ascii="Times New Roman" w:eastAsia="Times New Roman" w:hAnsi="Times New Roman" w:cs="Times New Roman"/>
          <w:color w:val="000000"/>
          <w:sz w:val="24"/>
          <w:szCs w:val="24"/>
          <w:lang w:eastAsia="en-GB"/>
        </w:rPr>
        <w:t>-19</w:t>
      </w:r>
      <w:r w:rsidR="004A04C6" w:rsidRPr="00E200A5">
        <w:rPr>
          <w:rFonts w:ascii="Times New Roman" w:eastAsia="Times New Roman" w:hAnsi="Times New Roman" w:cs="Times New Roman"/>
          <w:color w:val="000000"/>
          <w:sz w:val="24"/>
          <w:szCs w:val="24"/>
          <w:lang w:eastAsia="en-GB"/>
        </w:rPr>
        <w:t xml:space="preserve"> risk to be lower, had worse mental health, were younger, and more likely to be female. Those </w:t>
      </w:r>
      <w:r w:rsidR="00C77CBD" w:rsidRPr="00E200A5">
        <w:rPr>
          <w:rFonts w:ascii="Times New Roman" w:eastAsia="Times New Roman" w:hAnsi="Times New Roman" w:cs="Times New Roman"/>
          <w:color w:val="000000"/>
          <w:sz w:val="24"/>
          <w:szCs w:val="24"/>
          <w:lang w:eastAsia="en-GB"/>
        </w:rPr>
        <w:t xml:space="preserve">who </w:t>
      </w:r>
      <w:r w:rsidR="00EB146D" w:rsidRPr="00E200A5">
        <w:rPr>
          <w:rFonts w:ascii="Times New Roman" w:eastAsia="Times New Roman" w:hAnsi="Times New Roman" w:cs="Times New Roman"/>
          <w:color w:val="000000"/>
          <w:sz w:val="24"/>
          <w:szCs w:val="24"/>
          <w:lang w:eastAsia="en-GB"/>
        </w:rPr>
        <w:t xml:space="preserve">reported </w:t>
      </w:r>
      <w:r w:rsidR="00852603" w:rsidRPr="00E200A5">
        <w:rPr>
          <w:rFonts w:ascii="Times New Roman" w:eastAsia="Times New Roman" w:hAnsi="Times New Roman" w:cs="Times New Roman"/>
          <w:color w:val="000000"/>
          <w:sz w:val="24"/>
          <w:szCs w:val="24"/>
          <w:lang w:eastAsia="en-GB"/>
        </w:rPr>
        <w:t>vaccination hesitancy</w:t>
      </w:r>
      <w:r w:rsidR="00EB146D" w:rsidRPr="00E200A5">
        <w:rPr>
          <w:rFonts w:ascii="Times New Roman" w:eastAsia="Times New Roman" w:hAnsi="Times New Roman" w:cs="Times New Roman"/>
          <w:color w:val="000000"/>
          <w:sz w:val="24"/>
          <w:szCs w:val="24"/>
          <w:lang w:eastAsia="en-GB"/>
        </w:rPr>
        <w:t xml:space="preserve"> because</w:t>
      </w:r>
      <w:r w:rsidR="004A04C6" w:rsidRPr="00E200A5">
        <w:rPr>
          <w:rFonts w:ascii="Times New Roman" w:eastAsia="Times New Roman" w:hAnsi="Times New Roman" w:cs="Times New Roman"/>
          <w:color w:val="000000"/>
          <w:sz w:val="24"/>
          <w:szCs w:val="24"/>
          <w:lang w:eastAsia="en-GB"/>
        </w:rPr>
        <w:t xml:space="preserve"> </w:t>
      </w:r>
      <w:r w:rsidR="00F308D4" w:rsidRPr="00E200A5">
        <w:rPr>
          <w:rFonts w:ascii="Times New Roman" w:eastAsia="Times New Roman" w:hAnsi="Times New Roman" w:cs="Times New Roman"/>
          <w:color w:val="000000"/>
          <w:sz w:val="24"/>
          <w:szCs w:val="24"/>
          <w:lang w:eastAsia="en-GB"/>
        </w:rPr>
        <w:t xml:space="preserve">they </w:t>
      </w:r>
      <w:r w:rsidR="004A04C6" w:rsidRPr="00E200A5">
        <w:rPr>
          <w:rFonts w:ascii="Times New Roman" w:eastAsia="Times New Roman" w:hAnsi="Times New Roman" w:cs="Times New Roman"/>
          <w:color w:val="000000"/>
          <w:sz w:val="24"/>
          <w:szCs w:val="24"/>
          <w:lang w:eastAsia="en-GB"/>
        </w:rPr>
        <w:t xml:space="preserve">were concerned about the future effects of the vaccine scored </w:t>
      </w:r>
      <w:r w:rsidR="00EB146D" w:rsidRPr="00E200A5">
        <w:rPr>
          <w:rFonts w:ascii="Times New Roman" w:eastAsia="Times New Roman" w:hAnsi="Times New Roman" w:cs="Times New Roman"/>
          <w:color w:val="000000"/>
          <w:sz w:val="24"/>
          <w:szCs w:val="24"/>
          <w:lang w:eastAsia="en-GB"/>
        </w:rPr>
        <w:t xml:space="preserve">significantly </w:t>
      </w:r>
      <w:r w:rsidR="004A04C6" w:rsidRPr="00E200A5">
        <w:rPr>
          <w:rFonts w:ascii="Times New Roman" w:eastAsia="Times New Roman" w:hAnsi="Times New Roman" w:cs="Times New Roman"/>
          <w:color w:val="000000"/>
          <w:sz w:val="24"/>
          <w:szCs w:val="24"/>
          <w:lang w:eastAsia="en-GB"/>
        </w:rPr>
        <w:t>lower in intelligence and extraversion</w:t>
      </w:r>
      <w:r w:rsidR="00EB146D" w:rsidRPr="00E200A5">
        <w:rPr>
          <w:rFonts w:ascii="Times New Roman" w:eastAsia="Times New Roman" w:hAnsi="Times New Roman" w:cs="Times New Roman"/>
          <w:color w:val="000000"/>
          <w:sz w:val="24"/>
          <w:szCs w:val="24"/>
          <w:lang w:eastAsia="en-GB"/>
        </w:rPr>
        <w:t xml:space="preserve">, </w:t>
      </w:r>
      <w:r w:rsidR="004A04C6" w:rsidRPr="00E200A5">
        <w:rPr>
          <w:rFonts w:ascii="Times New Roman" w:eastAsia="Times New Roman" w:hAnsi="Times New Roman" w:cs="Times New Roman"/>
          <w:color w:val="000000"/>
          <w:sz w:val="24"/>
          <w:szCs w:val="24"/>
          <w:lang w:eastAsia="en-GB"/>
        </w:rPr>
        <w:t xml:space="preserve">higher on conscientiousness, </w:t>
      </w:r>
      <w:r w:rsidR="00F308D4" w:rsidRPr="00E200A5">
        <w:rPr>
          <w:rFonts w:ascii="Times New Roman" w:eastAsia="Times New Roman" w:hAnsi="Times New Roman" w:cs="Times New Roman"/>
          <w:color w:val="000000"/>
          <w:sz w:val="24"/>
          <w:szCs w:val="24"/>
          <w:lang w:eastAsia="en-GB"/>
        </w:rPr>
        <w:t xml:space="preserve">and </w:t>
      </w:r>
      <w:r w:rsidR="004A04C6" w:rsidRPr="00E200A5">
        <w:rPr>
          <w:rFonts w:ascii="Times New Roman" w:eastAsia="Times New Roman" w:hAnsi="Times New Roman" w:cs="Times New Roman"/>
          <w:color w:val="000000"/>
          <w:sz w:val="24"/>
          <w:szCs w:val="24"/>
          <w:lang w:eastAsia="en-GB"/>
        </w:rPr>
        <w:t xml:space="preserve">were younger, less educated, and more likely to be female. Those </w:t>
      </w:r>
      <w:r w:rsidR="00C77CBD" w:rsidRPr="00E200A5">
        <w:rPr>
          <w:rFonts w:ascii="Times New Roman" w:eastAsia="Times New Roman" w:hAnsi="Times New Roman" w:cs="Times New Roman"/>
          <w:color w:val="000000"/>
          <w:sz w:val="24"/>
          <w:szCs w:val="24"/>
          <w:lang w:eastAsia="en-GB"/>
        </w:rPr>
        <w:t xml:space="preserve">who </w:t>
      </w:r>
      <w:r w:rsidR="00EB146D" w:rsidRPr="00E200A5">
        <w:rPr>
          <w:rFonts w:ascii="Times New Roman" w:eastAsia="Times New Roman" w:hAnsi="Times New Roman" w:cs="Times New Roman"/>
          <w:color w:val="000000"/>
          <w:sz w:val="24"/>
          <w:szCs w:val="24"/>
          <w:lang w:eastAsia="en-GB"/>
        </w:rPr>
        <w:t xml:space="preserve">reported </w:t>
      </w:r>
      <w:r w:rsidR="00852603" w:rsidRPr="00E200A5">
        <w:rPr>
          <w:rFonts w:ascii="Times New Roman" w:eastAsia="Times New Roman" w:hAnsi="Times New Roman" w:cs="Times New Roman"/>
          <w:color w:val="000000"/>
          <w:sz w:val="24"/>
          <w:szCs w:val="24"/>
          <w:lang w:eastAsia="en-GB"/>
        </w:rPr>
        <w:t>vaccination hesitancy</w:t>
      </w:r>
      <w:r w:rsidR="00EB146D" w:rsidRPr="00E200A5">
        <w:rPr>
          <w:rFonts w:ascii="Times New Roman" w:eastAsia="Times New Roman" w:hAnsi="Times New Roman" w:cs="Times New Roman"/>
          <w:color w:val="000000"/>
          <w:sz w:val="24"/>
          <w:szCs w:val="24"/>
          <w:lang w:eastAsia="en-GB"/>
        </w:rPr>
        <w:t xml:space="preserve"> because they</w:t>
      </w:r>
      <w:r w:rsidR="001541A1" w:rsidRPr="00E200A5">
        <w:rPr>
          <w:rFonts w:ascii="Times New Roman" w:eastAsia="Times New Roman" w:hAnsi="Times New Roman" w:cs="Times New Roman"/>
          <w:color w:val="000000"/>
          <w:sz w:val="24"/>
          <w:szCs w:val="24"/>
          <w:lang w:eastAsia="en-GB"/>
        </w:rPr>
        <w:t xml:space="preserve"> do </w:t>
      </w:r>
      <w:r w:rsidR="004A04C6" w:rsidRPr="00E200A5">
        <w:rPr>
          <w:rFonts w:ascii="Times New Roman" w:eastAsia="Times New Roman" w:hAnsi="Times New Roman" w:cs="Times New Roman"/>
          <w:color w:val="000000"/>
          <w:sz w:val="24"/>
          <w:szCs w:val="24"/>
          <w:lang w:eastAsia="en-GB"/>
        </w:rPr>
        <w:t xml:space="preserve">not trust vaccines scored </w:t>
      </w:r>
      <w:r w:rsidR="00EB146D" w:rsidRPr="00E200A5">
        <w:rPr>
          <w:rFonts w:ascii="Times New Roman" w:eastAsia="Times New Roman" w:hAnsi="Times New Roman" w:cs="Times New Roman"/>
          <w:color w:val="000000"/>
          <w:sz w:val="24"/>
          <w:szCs w:val="24"/>
          <w:lang w:eastAsia="en-GB"/>
        </w:rPr>
        <w:t xml:space="preserve">significantly </w:t>
      </w:r>
      <w:r w:rsidR="004A04C6" w:rsidRPr="00E200A5">
        <w:rPr>
          <w:rFonts w:ascii="Times New Roman" w:eastAsia="Times New Roman" w:hAnsi="Times New Roman" w:cs="Times New Roman"/>
          <w:color w:val="000000"/>
          <w:sz w:val="24"/>
          <w:szCs w:val="24"/>
          <w:lang w:eastAsia="en-GB"/>
        </w:rPr>
        <w:t xml:space="preserve">lower </w:t>
      </w:r>
      <w:r w:rsidR="00EB146D" w:rsidRPr="00E200A5">
        <w:rPr>
          <w:rFonts w:ascii="Times New Roman" w:eastAsia="Times New Roman" w:hAnsi="Times New Roman" w:cs="Times New Roman"/>
          <w:color w:val="000000"/>
          <w:sz w:val="24"/>
          <w:szCs w:val="24"/>
          <w:lang w:eastAsia="en-GB"/>
        </w:rPr>
        <w:t>o</w:t>
      </w:r>
      <w:r w:rsidR="004A04C6" w:rsidRPr="00E200A5">
        <w:rPr>
          <w:rFonts w:ascii="Times New Roman" w:eastAsia="Times New Roman" w:hAnsi="Times New Roman" w:cs="Times New Roman"/>
          <w:color w:val="000000"/>
          <w:sz w:val="24"/>
          <w:szCs w:val="24"/>
          <w:lang w:eastAsia="en-GB"/>
        </w:rPr>
        <w:t>n intelligence</w:t>
      </w:r>
      <w:r w:rsidR="00EB146D" w:rsidRPr="00E200A5">
        <w:rPr>
          <w:rFonts w:ascii="Times New Roman" w:eastAsia="Times New Roman" w:hAnsi="Times New Roman" w:cs="Times New Roman"/>
          <w:color w:val="000000"/>
          <w:sz w:val="24"/>
          <w:szCs w:val="24"/>
          <w:lang w:eastAsia="en-GB"/>
        </w:rPr>
        <w:t xml:space="preserve">, </w:t>
      </w:r>
      <w:r w:rsidR="004A04C6" w:rsidRPr="00E200A5">
        <w:rPr>
          <w:rFonts w:ascii="Times New Roman" w:eastAsia="Times New Roman" w:hAnsi="Times New Roman" w:cs="Times New Roman"/>
          <w:color w:val="000000"/>
          <w:sz w:val="24"/>
          <w:szCs w:val="24"/>
          <w:lang w:eastAsia="en-GB"/>
        </w:rPr>
        <w:t>higher in extraversion</w:t>
      </w:r>
      <w:r w:rsidR="003509D1" w:rsidRPr="00E200A5">
        <w:rPr>
          <w:rFonts w:ascii="Times New Roman" w:eastAsia="Times New Roman" w:hAnsi="Times New Roman" w:cs="Times New Roman"/>
          <w:color w:val="000000"/>
          <w:sz w:val="24"/>
          <w:szCs w:val="24"/>
          <w:lang w:eastAsia="en-GB"/>
        </w:rPr>
        <w:t xml:space="preserve"> and</w:t>
      </w:r>
      <w:r w:rsidR="004A04C6" w:rsidRPr="00E200A5">
        <w:rPr>
          <w:rFonts w:ascii="Times New Roman" w:eastAsia="Times New Roman" w:hAnsi="Times New Roman" w:cs="Times New Roman"/>
          <w:color w:val="000000"/>
          <w:sz w:val="24"/>
          <w:szCs w:val="24"/>
          <w:lang w:eastAsia="en-GB"/>
        </w:rPr>
        <w:t xml:space="preserve"> openness, had </w:t>
      </w:r>
      <w:r w:rsidR="00EB146D" w:rsidRPr="00E200A5">
        <w:rPr>
          <w:rFonts w:ascii="Times New Roman" w:eastAsia="Times New Roman" w:hAnsi="Times New Roman" w:cs="Times New Roman"/>
          <w:color w:val="000000"/>
          <w:sz w:val="24"/>
          <w:szCs w:val="24"/>
          <w:lang w:eastAsia="en-GB"/>
        </w:rPr>
        <w:t>poorer</w:t>
      </w:r>
      <w:r w:rsidR="004A04C6" w:rsidRPr="00E200A5">
        <w:rPr>
          <w:rFonts w:ascii="Times New Roman" w:eastAsia="Times New Roman" w:hAnsi="Times New Roman" w:cs="Times New Roman"/>
          <w:color w:val="000000"/>
          <w:sz w:val="24"/>
          <w:szCs w:val="24"/>
          <w:lang w:eastAsia="en-GB"/>
        </w:rPr>
        <w:t xml:space="preserve"> mental health, had a lower self-rated </w:t>
      </w:r>
      <w:r w:rsidR="000D1673" w:rsidRPr="00E200A5">
        <w:rPr>
          <w:rFonts w:ascii="Times New Roman" w:eastAsia="Times New Roman" w:hAnsi="Times New Roman" w:cs="Times New Roman"/>
          <w:color w:val="000000"/>
          <w:sz w:val="24"/>
          <w:szCs w:val="24"/>
          <w:lang w:eastAsia="en-GB"/>
        </w:rPr>
        <w:t>COVID</w:t>
      </w:r>
      <w:r w:rsidR="006A5DD9" w:rsidRPr="00E200A5">
        <w:rPr>
          <w:rFonts w:ascii="Times New Roman" w:eastAsia="Times New Roman" w:hAnsi="Times New Roman" w:cs="Times New Roman"/>
          <w:color w:val="000000"/>
          <w:sz w:val="24"/>
          <w:szCs w:val="24"/>
          <w:lang w:eastAsia="en-GB"/>
        </w:rPr>
        <w:t>-19</w:t>
      </w:r>
      <w:r w:rsidR="004A04C6" w:rsidRPr="00E200A5">
        <w:rPr>
          <w:rFonts w:ascii="Times New Roman" w:eastAsia="Times New Roman" w:hAnsi="Times New Roman" w:cs="Times New Roman"/>
          <w:color w:val="000000"/>
          <w:sz w:val="24"/>
          <w:szCs w:val="24"/>
          <w:lang w:eastAsia="en-GB"/>
        </w:rPr>
        <w:t xml:space="preserve"> risk</w:t>
      </w:r>
      <w:r w:rsidR="00EB146D" w:rsidRPr="00E200A5">
        <w:rPr>
          <w:rFonts w:ascii="Times New Roman" w:eastAsia="Times New Roman" w:hAnsi="Times New Roman" w:cs="Times New Roman"/>
          <w:color w:val="000000"/>
          <w:sz w:val="24"/>
          <w:szCs w:val="24"/>
          <w:lang w:eastAsia="en-GB"/>
        </w:rPr>
        <w:t xml:space="preserve">, </w:t>
      </w:r>
      <w:r w:rsidR="004A04C6" w:rsidRPr="00E200A5">
        <w:rPr>
          <w:rFonts w:ascii="Times New Roman" w:eastAsia="Times New Roman" w:hAnsi="Times New Roman" w:cs="Times New Roman"/>
          <w:color w:val="000000"/>
          <w:sz w:val="24"/>
          <w:szCs w:val="24"/>
          <w:lang w:eastAsia="en-GB"/>
        </w:rPr>
        <w:t>were younger, less educated, and more likely to be female.</w:t>
      </w:r>
      <w:r w:rsidR="00CC74C3" w:rsidRPr="00E200A5">
        <w:rPr>
          <w:rFonts w:ascii="Times New Roman" w:eastAsia="Times New Roman" w:hAnsi="Times New Roman" w:cs="Times New Roman"/>
          <w:color w:val="000000"/>
          <w:sz w:val="24"/>
          <w:szCs w:val="24"/>
          <w:lang w:eastAsia="en-GB"/>
        </w:rPr>
        <w:t xml:space="preserve"> Full results are detailed in </w:t>
      </w:r>
      <w:r w:rsidR="006608F8" w:rsidRPr="00E200A5">
        <w:rPr>
          <w:rFonts w:ascii="Times New Roman" w:eastAsia="Times New Roman" w:hAnsi="Times New Roman" w:cs="Times New Roman"/>
          <w:color w:val="000000"/>
          <w:sz w:val="24"/>
          <w:szCs w:val="24"/>
          <w:lang w:eastAsia="en-GB"/>
        </w:rPr>
        <w:t>T</w:t>
      </w:r>
      <w:r w:rsidR="00070F7D" w:rsidRPr="00E200A5">
        <w:rPr>
          <w:rFonts w:ascii="Times New Roman" w:eastAsia="Times New Roman" w:hAnsi="Times New Roman" w:cs="Times New Roman"/>
          <w:color w:val="000000"/>
          <w:sz w:val="24"/>
          <w:szCs w:val="24"/>
          <w:lang w:eastAsia="en-GB"/>
        </w:rPr>
        <w:t xml:space="preserve">able </w:t>
      </w:r>
      <w:r w:rsidR="004865A1" w:rsidRPr="00E200A5">
        <w:rPr>
          <w:rFonts w:ascii="Times New Roman" w:eastAsia="Times New Roman" w:hAnsi="Times New Roman" w:cs="Times New Roman"/>
          <w:color w:val="000000"/>
          <w:sz w:val="24"/>
          <w:szCs w:val="24"/>
          <w:lang w:eastAsia="en-GB"/>
        </w:rPr>
        <w:t>5</w:t>
      </w:r>
      <w:r w:rsidR="00CC74C3" w:rsidRPr="00E200A5">
        <w:rPr>
          <w:rFonts w:ascii="Times New Roman" w:eastAsia="Times New Roman" w:hAnsi="Times New Roman" w:cs="Times New Roman"/>
          <w:color w:val="000000"/>
          <w:sz w:val="24"/>
          <w:szCs w:val="24"/>
          <w:lang w:eastAsia="en-GB"/>
        </w:rPr>
        <w:t>.</w:t>
      </w:r>
    </w:p>
    <w:p w14:paraId="1121C0D3" w14:textId="56EF070A" w:rsidR="006430B2" w:rsidRPr="00E200A5" w:rsidRDefault="006430B2" w:rsidP="00C915C8">
      <w:pPr>
        <w:spacing w:after="0" w:line="480" w:lineRule="auto"/>
        <w:jc w:val="both"/>
        <w:rPr>
          <w:rFonts w:ascii="Times New Roman" w:eastAsia="Times New Roman" w:hAnsi="Times New Roman" w:cs="Times New Roman"/>
          <w:sz w:val="24"/>
          <w:szCs w:val="24"/>
          <w:lang w:eastAsia="en-GB"/>
        </w:rPr>
      </w:pPr>
    </w:p>
    <w:p w14:paraId="2AEDE0CD" w14:textId="77777777" w:rsidR="006430B2" w:rsidRPr="00E200A5" w:rsidRDefault="006430B2" w:rsidP="00C915C8">
      <w:pPr>
        <w:spacing w:after="0" w:line="480" w:lineRule="auto"/>
        <w:jc w:val="both"/>
        <w:rPr>
          <w:rFonts w:ascii="Times New Roman" w:eastAsia="Times New Roman" w:hAnsi="Times New Roman" w:cs="Times New Roman"/>
          <w:sz w:val="24"/>
          <w:szCs w:val="24"/>
          <w:lang w:eastAsia="en-GB"/>
        </w:rPr>
      </w:pPr>
    </w:p>
    <w:p w14:paraId="2FA41D47" w14:textId="77777777" w:rsidR="00E01568" w:rsidRPr="00E200A5" w:rsidRDefault="00E01568" w:rsidP="000A7EFD">
      <w:pPr>
        <w:spacing w:after="0" w:line="480" w:lineRule="auto"/>
        <w:ind w:firstLine="720"/>
        <w:contextualSpacing/>
        <w:jc w:val="both"/>
        <w:rPr>
          <w:rFonts w:ascii="Times New Roman" w:eastAsia="Times New Roman" w:hAnsi="Times New Roman" w:cs="Times New Roman"/>
          <w:b/>
          <w:bCs/>
          <w:color w:val="000000"/>
          <w:sz w:val="24"/>
          <w:szCs w:val="24"/>
          <w:lang w:eastAsia="en-GB"/>
        </w:rPr>
        <w:sectPr w:rsidR="00E01568" w:rsidRPr="00E200A5" w:rsidSect="00C915C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5EC2957B" w14:textId="1C6B60C3" w:rsidR="00B0138B" w:rsidRPr="00E200A5" w:rsidRDefault="00B0138B" w:rsidP="00C915C8">
      <w:pPr>
        <w:spacing w:after="0" w:line="480" w:lineRule="auto"/>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b/>
          <w:bCs/>
          <w:color w:val="000000"/>
          <w:sz w:val="24"/>
          <w:szCs w:val="24"/>
          <w:lang w:eastAsia="en-GB"/>
        </w:rPr>
        <w:lastRenderedPageBreak/>
        <w:t>Table 2.</w:t>
      </w:r>
      <w:r w:rsidR="007747CE" w:rsidRPr="00E200A5">
        <w:rPr>
          <w:rFonts w:ascii="Times New Roman" w:eastAsia="Times New Roman" w:hAnsi="Times New Roman" w:cs="Times New Roman"/>
          <w:b/>
          <w:bCs/>
          <w:color w:val="000000"/>
          <w:sz w:val="24"/>
          <w:szCs w:val="24"/>
          <w:lang w:eastAsia="en-GB"/>
        </w:rPr>
        <w:t xml:space="preserve"> </w:t>
      </w:r>
      <w:r w:rsidR="007747CE" w:rsidRPr="00E200A5">
        <w:rPr>
          <w:rFonts w:ascii="Times New Roman" w:eastAsia="Times New Roman" w:hAnsi="Times New Roman" w:cs="Times New Roman"/>
          <w:bCs/>
          <w:color w:val="000000"/>
          <w:sz w:val="24"/>
          <w:szCs w:val="24"/>
          <w:lang w:eastAsia="en-GB"/>
        </w:rPr>
        <w:t>Spearman c</w:t>
      </w:r>
      <w:r w:rsidRPr="00E200A5">
        <w:rPr>
          <w:rFonts w:ascii="Times New Roman" w:eastAsia="Times New Roman" w:hAnsi="Times New Roman" w:cs="Times New Roman"/>
          <w:bCs/>
          <w:color w:val="000000"/>
          <w:sz w:val="24"/>
          <w:szCs w:val="24"/>
          <w:lang w:eastAsia="en-GB"/>
        </w:rPr>
        <w:t xml:space="preserve">orrelations for </w:t>
      </w:r>
      <w:r w:rsidR="000D1673" w:rsidRPr="00E200A5">
        <w:rPr>
          <w:rFonts w:ascii="Times New Roman" w:eastAsia="Times New Roman" w:hAnsi="Times New Roman" w:cs="Times New Roman"/>
          <w:bCs/>
          <w:color w:val="000000"/>
          <w:sz w:val="24"/>
          <w:szCs w:val="24"/>
          <w:lang w:eastAsia="en-GB"/>
        </w:rPr>
        <w:t>COVID</w:t>
      </w:r>
      <w:r w:rsidRPr="00E200A5">
        <w:rPr>
          <w:rFonts w:ascii="Times New Roman" w:eastAsia="Times New Roman" w:hAnsi="Times New Roman" w:cs="Times New Roman"/>
          <w:bCs/>
          <w:color w:val="000000"/>
          <w:sz w:val="24"/>
          <w:szCs w:val="24"/>
          <w:lang w:eastAsia="en-GB"/>
        </w:rPr>
        <w:t>-19</w:t>
      </w:r>
      <w:r w:rsidR="00FE752E" w:rsidRPr="00E200A5">
        <w:rPr>
          <w:rFonts w:ascii="Times New Roman" w:eastAsia="Times New Roman" w:hAnsi="Times New Roman" w:cs="Times New Roman"/>
          <w:bCs/>
          <w:color w:val="000000"/>
          <w:sz w:val="24"/>
          <w:szCs w:val="24"/>
          <w:lang w:eastAsia="en-GB"/>
        </w:rPr>
        <w:t xml:space="preserve"> vaccination</w:t>
      </w:r>
      <w:r w:rsidRPr="00E200A5">
        <w:rPr>
          <w:rFonts w:ascii="Times New Roman" w:eastAsia="Times New Roman" w:hAnsi="Times New Roman" w:cs="Times New Roman"/>
          <w:bCs/>
          <w:color w:val="000000"/>
          <w:sz w:val="24"/>
          <w:szCs w:val="24"/>
          <w:lang w:eastAsia="en-GB"/>
        </w:rPr>
        <w:t xml:space="preserve"> </w:t>
      </w:r>
      <w:r w:rsidR="00B274E6" w:rsidRPr="00E200A5">
        <w:rPr>
          <w:rFonts w:ascii="Times New Roman" w:eastAsia="Times New Roman" w:hAnsi="Times New Roman" w:cs="Times New Roman"/>
          <w:bCs/>
          <w:color w:val="000000"/>
          <w:sz w:val="24"/>
          <w:szCs w:val="24"/>
          <w:lang w:eastAsia="en-GB"/>
        </w:rPr>
        <w:t>hesitancy</w:t>
      </w:r>
      <w:r w:rsidR="00A66CB4" w:rsidRPr="00E200A5">
        <w:rPr>
          <w:rFonts w:ascii="Times New Roman" w:eastAsia="Times New Roman" w:hAnsi="Times New Roman" w:cs="Times New Roman"/>
          <w:bCs/>
          <w:color w:val="000000"/>
          <w:sz w:val="24"/>
          <w:szCs w:val="24"/>
          <w:lang w:eastAsia="en-GB"/>
        </w:rPr>
        <w:t xml:space="preserve"> using the full sample</w:t>
      </w:r>
      <w:r w:rsidR="00751603" w:rsidRPr="00E200A5">
        <w:rPr>
          <w:rFonts w:ascii="Times New Roman" w:eastAsia="Times New Roman" w:hAnsi="Times New Roman" w:cs="Times New Roman"/>
          <w:bCs/>
          <w:color w:val="000000"/>
          <w:sz w:val="24"/>
          <w:szCs w:val="24"/>
          <w:lang w:eastAsia="en-GB"/>
        </w:rPr>
        <w:t>.</w:t>
      </w:r>
    </w:p>
    <w:tbl>
      <w:tblPr>
        <w:tblW w:w="16033" w:type="dxa"/>
        <w:jc w:val="center"/>
        <w:tblLook w:val="04A0" w:firstRow="1" w:lastRow="0" w:firstColumn="1" w:lastColumn="0" w:noHBand="0" w:noVBand="1"/>
      </w:tblPr>
      <w:tblGrid>
        <w:gridCol w:w="1938"/>
        <w:gridCol w:w="1283"/>
        <w:gridCol w:w="1132"/>
        <w:gridCol w:w="1351"/>
        <w:gridCol w:w="1247"/>
        <w:gridCol w:w="1184"/>
        <w:gridCol w:w="979"/>
        <w:gridCol w:w="1654"/>
        <w:gridCol w:w="1225"/>
        <w:gridCol w:w="1049"/>
        <w:gridCol w:w="992"/>
        <w:gridCol w:w="992"/>
        <w:gridCol w:w="1007"/>
      </w:tblGrid>
      <w:tr w:rsidR="00B0138B" w:rsidRPr="00E200A5" w14:paraId="4CC506DA" w14:textId="77777777" w:rsidTr="00C87B9B">
        <w:trPr>
          <w:trHeight w:val="414"/>
          <w:jc w:val="center"/>
        </w:trPr>
        <w:tc>
          <w:tcPr>
            <w:tcW w:w="1938" w:type="dxa"/>
            <w:tcBorders>
              <w:top w:val="single" w:sz="4" w:space="0" w:color="auto"/>
              <w:left w:val="nil"/>
              <w:bottom w:val="single" w:sz="4" w:space="0" w:color="auto"/>
              <w:right w:val="nil"/>
            </w:tcBorders>
            <w:shd w:val="clear" w:color="000000" w:fill="FFFFFF"/>
            <w:noWrap/>
            <w:vAlign w:val="center"/>
            <w:hideMark/>
          </w:tcPr>
          <w:p w14:paraId="42C62F86" w14:textId="77777777" w:rsidR="00B0138B" w:rsidRPr="00E200A5" w:rsidRDefault="00B0138B" w:rsidP="00C915C8">
            <w:pPr>
              <w:spacing w:after="0" w:line="240" w:lineRule="auto"/>
              <w:rPr>
                <w:rFonts w:ascii="Times New Roman" w:eastAsia="Times New Roman" w:hAnsi="Times New Roman" w:cs="Times New Roman"/>
                <w:color w:val="000000"/>
                <w:sz w:val="18"/>
                <w:szCs w:val="18"/>
                <w:lang w:eastAsia="en-GB"/>
              </w:rPr>
            </w:pPr>
            <w:bookmarkStart w:id="1" w:name="_Hlk84918008"/>
            <w:r w:rsidRPr="00E200A5">
              <w:rPr>
                <w:rFonts w:ascii="Times New Roman" w:eastAsia="Times New Roman" w:hAnsi="Times New Roman" w:cs="Times New Roman"/>
                <w:color w:val="000000"/>
                <w:sz w:val="18"/>
                <w:szCs w:val="18"/>
                <w:lang w:eastAsia="en-GB"/>
              </w:rPr>
              <w:t> </w:t>
            </w:r>
          </w:p>
        </w:tc>
        <w:tc>
          <w:tcPr>
            <w:tcW w:w="1283" w:type="dxa"/>
            <w:tcBorders>
              <w:top w:val="single" w:sz="4" w:space="0" w:color="auto"/>
              <w:left w:val="nil"/>
              <w:bottom w:val="single" w:sz="4" w:space="0" w:color="auto"/>
              <w:right w:val="nil"/>
            </w:tcBorders>
            <w:shd w:val="clear" w:color="000000" w:fill="FFFFFF"/>
            <w:noWrap/>
            <w:vAlign w:val="center"/>
            <w:hideMark/>
          </w:tcPr>
          <w:p w14:paraId="481A09D6" w14:textId="5E6BD169" w:rsidR="00B0138B" w:rsidRPr="00E200A5" w:rsidRDefault="000D1673" w:rsidP="00C915C8">
            <w:pPr>
              <w:spacing w:after="0" w:line="240" w:lineRule="auto"/>
              <w:jc w:val="center"/>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COVID</w:t>
            </w:r>
            <w:r w:rsidR="00B0138B" w:rsidRPr="00E200A5">
              <w:rPr>
                <w:rFonts w:ascii="Times New Roman" w:eastAsia="Times New Roman" w:hAnsi="Times New Roman" w:cs="Times New Roman"/>
                <w:b/>
                <w:bCs/>
                <w:color w:val="000000"/>
                <w:sz w:val="18"/>
                <w:szCs w:val="18"/>
                <w:lang w:eastAsia="en-GB"/>
              </w:rPr>
              <w:t xml:space="preserve"> vaccination</w:t>
            </w:r>
            <w:r w:rsidR="00E60BA1" w:rsidRPr="00E200A5">
              <w:rPr>
                <w:rFonts w:ascii="Times New Roman" w:eastAsia="Times New Roman" w:hAnsi="Times New Roman" w:cs="Times New Roman"/>
                <w:b/>
                <w:bCs/>
                <w:color w:val="000000"/>
                <w:sz w:val="18"/>
                <w:szCs w:val="18"/>
                <w:lang w:eastAsia="en-GB"/>
              </w:rPr>
              <w:t xml:space="preserve"> </w:t>
            </w:r>
            <w:r w:rsidR="00B274E6" w:rsidRPr="00E200A5">
              <w:rPr>
                <w:rFonts w:ascii="Times New Roman" w:eastAsia="Times New Roman" w:hAnsi="Times New Roman" w:cs="Times New Roman"/>
                <w:b/>
                <w:bCs/>
                <w:color w:val="000000"/>
                <w:sz w:val="18"/>
                <w:szCs w:val="18"/>
                <w:lang w:eastAsia="en-GB"/>
              </w:rPr>
              <w:t>hesitancy</w:t>
            </w:r>
          </w:p>
        </w:tc>
        <w:tc>
          <w:tcPr>
            <w:tcW w:w="1132" w:type="dxa"/>
            <w:tcBorders>
              <w:top w:val="single" w:sz="4" w:space="0" w:color="auto"/>
              <w:left w:val="nil"/>
              <w:bottom w:val="single" w:sz="4" w:space="0" w:color="auto"/>
              <w:right w:val="nil"/>
            </w:tcBorders>
            <w:shd w:val="clear" w:color="000000" w:fill="FFFFFF"/>
            <w:noWrap/>
            <w:vAlign w:val="center"/>
            <w:hideMark/>
          </w:tcPr>
          <w:p w14:paraId="29F82EA2" w14:textId="77777777" w:rsidR="00B0138B" w:rsidRPr="00E200A5" w:rsidRDefault="00B0138B" w:rsidP="00C915C8">
            <w:pPr>
              <w:spacing w:after="0" w:line="240" w:lineRule="auto"/>
              <w:jc w:val="center"/>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Intelligence</w:t>
            </w:r>
          </w:p>
        </w:tc>
        <w:tc>
          <w:tcPr>
            <w:tcW w:w="1351" w:type="dxa"/>
            <w:tcBorders>
              <w:top w:val="single" w:sz="4" w:space="0" w:color="auto"/>
              <w:left w:val="nil"/>
              <w:bottom w:val="single" w:sz="4" w:space="0" w:color="auto"/>
              <w:right w:val="nil"/>
            </w:tcBorders>
            <w:shd w:val="clear" w:color="000000" w:fill="FFFFFF"/>
            <w:noWrap/>
            <w:vAlign w:val="center"/>
            <w:hideMark/>
          </w:tcPr>
          <w:p w14:paraId="3121D92A" w14:textId="77777777" w:rsidR="00B0138B" w:rsidRPr="00E200A5" w:rsidRDefault="00B0138B" w:rsidP="00C915C8">
            <w:pPr>
              <w:spacing w:after="0" w:line="240" w:lineRule="auto"/>
              <w:jc w:val="center"/>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Agreeableness</w:t>
            </w:r>
          </w:p>
        </w:tc>
        <w:tc>
          <w:tcPr>
            <w:tcW w:w="1247" w:type="dxa"/>
            <w:tcBorders>
              <w:top w:val="single" w:sz="4" w:space="0" w:color="auto"/>
              <w:left w:val="nil"/>
              <w:bottom w:val="single" w:sz="4" w:space="0" w:color="auto"/>
              <w:right w:val="nil"/>
            </w:tcBorders>
            <w:shd w:val="clear" w:color="000000" w:fill="FFFFFF"/>
            <w:noWrap/>
            <w:vAlign w:val="center"/>
            <w:hideMark/>
          </w:tcPr>
          <w:p w14:paraId="7A94F1B4" w14:textId="77777777" w:rsidR="00B0138B" w:rsidRPr="00E200A5" w:rsidRDefault="00B0138B" w:rsidP="00C915C8">
            <w:pPr>
              <w:spacing w:after="0" w:line="240" w:lineRule="auto"/>
              <w:jc w:val="center"/>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Extraversion</w:t>
            </w:r>
          </w:p>
        </w:tc>
        <w:tc>
          <w:tcPr>
            <w:tcW w:w="1184" w:type="dxa"/>
            <w:tcBorders>
              <w:top w:val="single" w:sz="4" w:space="0" w:color="auto"/>
              <w:left w:val="nil"/>
              <w:bottom w:val="single" w:sz="4" w:space="0" w:color="auto"/>
              <w:right w:val="nil"/>
            </w:tcBorders>
            <w:shd w:val="clear" w:color="000000" w:fill="FFFFFF"/>
            <w:noWrap/>
            <w:vAlign w:val="center"/>
            <w:hideMark/>
          </w:tcPr>
          <w:p w14:paraId="3F09713D" w14:textId="77777777" w:rsidR="00B0138B" w:rsidRPr="00E200A5" w:rsidRDefault="00B0138B" w:rsidP="00C915C8">
            <w:pPr>
              <w:spacing w:after="0" w:line="240" w:lineRule="auto"/>
              <w:jc w:val="center"/>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Neuroticism</w:t>
            </w:r>
          </w:p>
        </w:tc>
        <w:tc>
          <w:tcPr>
            <w:tcW w:w="979" w:type="dxa"/>
            <w:tcBorders>
              <w:top w:val="single" w:sz="4" w:space="0" w:color="auto"/>
              <w:left w:val="nil"/>
              <w:bottom w:val="single" w:sz="4" w:space="0" w:color="auto"/>
              <w:right w:val="nil"/>
            </w:tcBorders>
            <w:shd w:val="clear" w:color="000000" w:fill="FFFFFF"/>
            <w:noWrap/>
            <w:vAlign w:val="center"/>
            <w:hideMark/>
          </w:tcPr>
          <w:p w14:paraId="684A0BE5" w14:textId="77777777" w:rsidR="00B0138B" w:rsidRPr="00E200A5" w:rsidRDefault="00B0138B" w:rsidP="00C915C8">
            <w:pPr>
              <w:spacing w:after="0" w:line="240" w:lineRule="auto"/>
              <w:jc w:val="center"/>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Openness</w:t>
            </w:r>
          </w:p>
        </w:tc>
        <w:tc>
          <w:tcPr>
            <w:tcW w:w="1654" w:type="dxa"/>
            <w:tcBorders>
              <w:top w:val="single" w:sz="4" w:space="0" w:color="auto"/>
              <w:left w:val="nil"/>
              <w:bottom w:val="single" w:sz="4" w:space="0" w:color="auto"/>
              <w:right w:val="nil"/>
            </w:tcBorders>
            <w:shd w:val="clear" w:color="000000" w:fill="FFFFFF"/>
            <w:noWrap/>
            <w:vAlign w:val="center"/>
            <w:hideMark/>
          </w:tcPr>
          <w:p w14:paraId="7BB74F1E" w14:textId="77777777" w:rsidR="00B0138B" w:rsidRPr="00E200A5" w:rsidRDefault="00B0138B" w:rsidP="00C915C8">
            <w:pPr>
              <w:spacing w:after="0" w:line="240" w:lineRule="auto"/>
              <w:jc w:val="center"/>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Conscientiousness</w:t>
            </w:r>
          </w:p>
        </w:tc>
        <w:tc>
          <w:tcPr>
            <w:tcW w:w="1225" w:type="dxa"/>
            <w:tcBorders>
              <w:top w:val="single" w:sz="4" w:space="0" w:color="auto"/>
              <w:left w:val="nil"/>
              <w:bottom w:val="single" w:sz="4" w:space="0" w:color="auto"/>
              <w:right w:val="nil"/>
            </w:tcBorders>
            <w:shd w:val="clear" w:color="000000" w:fill="FFFFFF"/>
            <w:noWrap/>
            <w:vAlign w:val="center"/>
            <w:hideMark/>
          </w:tcPr>
          <w:p w14:paraId="42632690" w14:textId="02420AB9" w:rsidR="00B0138B" w:rsidRPr="00E200A5" w:rsidRDefault="004875CC" w:rsidP="00C915C8">
            <w:pPr>
              <w:spacing w:after="0" w:line="240" w:lineRule="auto"/>
              <w:jc w:val="center"/>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 xml:space="preserve">Self-rated </w:t>
            </w:r>
            <w:r w:rsidR="000D1673" w:rsidRPr="00E200A5">
              <w:rPr>
                <w:rFonts w:ascii="Times New Roman" w:eastAsia="Times New Roman" w:hAnsi="Times New Roman" w:cs="Times New Roman"/>
                <w:b/>
                <w:bCs/>
                <w:color w:val="000000"/>
                <w:sz w:val="18"/>
                <w:szCs w:val="18"/>
                <w:lang w:eastAsia="en-GB"/>
              </w:rPr>
              <w:t>COVID</w:t>
            </w:r>
            <w:r w:rsidR="00B0138B" w:rsidRPr="00E200A5">
              <w:rPr>
                <w:rFonts w:ascii="Times New Roman" w:eastAsia="Times New Roman" w:hAnsi="Times New Roman" w:cs="Times New Roman"/>
                <w:b/>
                <w:bCs/>
                <w:color w:val="000000"/>
                <w:sz w:val="18"/>
                <w:szCs w:val="18"/>
                <w:lang w:eastAsia="en-GB"/>
              </w:rPr>
              <w:t xml:space="preserve"> risk</w:t>
            </w:r>
          </w:p>
        </w:tc>
        <w:tc>
          <w:tcPr>
            <w:tcW w:w="1049" w:type="dxa"/>
            <w:tcBorders>
              <w:top w:val="single" w:sz="4" w:space="0" w:color="auto"/>
              <w:left w:val="nil"/>
              <w:bottom w:val="single" w:sz="4" w:space="0" w:color="auto"/>
              <w:right w:val="nil"/>
            </w:tcBorders>
            <w:shd w:val="clear" w:color="000000" w:fill="FFFFFF"/>
            <w:noWrap/>
            <w:vAlign w:val="center"/>
            <w:hideMark/>
          </w:tcPr>
          <w:p w14:paraId="70CB351B" w14:textId="2B3B7CB1" w:rsidR="00B0138B" w:rsidRPr="00E200A5" w:rsidRDefault="00B0138B" w:rsidP="00C915C8">
            <w:pPr>
              <w:spacing w:after="0" w:line="240" w:lineRule="auto"/>
              <w:jc w:val="center"/>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Mental health</w:t>
            </w:r>
            <w:r w:rsidR="0066777C" w:rsidRPr="00E200A5">
              <w:rPr>
                <w:rFonts w:ascii="Times New Roman" w:eastAsia="Times New Roman" w:hAnsi="Times New Roman" w:cs="Times New Roman"/>
                <w:b/>
                <w:bCs/>
                <w:color w:val="000000"/>
                <w:sz w:val="18"/>
                <w:szCs w:val="18"/>
                <w:lang w:eastAsia="en-GB"/>
              </w:rPr>
              <w:t xml:space="preserve"> </w:t>
            </w:r>
            <w:r w:rsidR="00154819" w:rsidRPr="00E200A5">
              <w:rPr>
                <w:rFonts w:ascii="Times New Roman" w:eastAsia="Times New Roman" w:hAnsi="Times New Roman" w:cs="Times New Roman"/>
                <w:b/>
                <w:bCs/>
                <w:color w:val="000000"/>
                <w:sz w:val="18"/>
                <w:szCs w:val="18"/>
                <w:lang w:eastAsia="en-GB"/>
              </w:rPr>
              <w:t>problems</w:t>
            </w:r>
          </w:p>
        </w:tc>
        <w:tc>
          <w:tcPr>
            <w:tcW w:w="992" w:type="dxa"/>
            <w:tcBorders>
              <w:top w:val="single" w:sz="4" w:space="0" w:color="auto"/>
              <w:left w:val="nil"/>
              <w:bottom w:val="single" w:sz="4" w:space="0" w:color="auto"/>
              <w:right w:val="nil"/>
            </w:tcBorders>
            <w:shd w:val="clear" w:color="000000" w:fill="FFFFFF"/>
            <w:noWrap/>
            <w:vAlign w:val="center"/>
            <w:hideMark/>
          </w:tcPr>
          <w:p w14:paraId="3EC141FF" w14:textId="77777777" w:rsidR="00B0138B" w:rsidRPr="00E200A5" w:rsidRDefault="00B0138B" w:rsidP="00C915C8">
            <w:pPr>
              <w:spacing w:after="0" w:line="240" w:lineRule="auto"/>
              <w:jc w:val="center"/>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Age</w:t>
            </w:r>
          </w:p>
        </w:tc>
        <w:tc>
          <w:tcPr>
            <w:tcW w:w="992" w:type="dxa"/>
            <w:tcBorders>
              <w:top w:val="single" w:sz="4" w:space="0" w:color="auto"/>
              <w:left w:val="nil"/>
              <w:bottom w:val="single" w:sz="4" w:space="0" w:color="auto"/>
              <w:right w:val="nil"/>
            </w:tcBorders>
            <w:shd w:val="clear" w:color="000000" w:fill="FFFFFF"/>
            <w:noWrap/>
            <w:vAlign w:val="center"/>
            <w:hideMark/>
          </w:tcPr>
          <w:p w14:paraId="170DB0C7" w14:textId="77777777" w:rsidR="00B0138B" w:rsidRPr="00E200A5" w:rsidRDefault="00B0138B" w:rsidP="00C915C8">
            <w:pPr>
              <w:spacing w:after="0" w:line="240" w:lineRule="auto"/>
              <w:jc w:val="center"/>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Sex</w:t>
            </w:r>
          </w:p>
        </w:tc>
        <w:tc>
          <w:tcPr>
            <w:tcW w:w="1007" w:type="dxa"/>
            <w:tcBorders>
              <w:top w:val="single" w:sz="4" w:space="0" w:color="auto"/>
              <w:left w:val="nil"/>
              <w:bottom w:val="single" w:sz="4" w:space="0" w:color="auto"/>
              <w:right w:val="nil"/>
            </w:tcBorders>
            <w:shd w:val="clear" w:color="000000" w:fill="FFFFFF"/>
            <w:noWrap/>
            <w:vAlign w:val="center"/>
            <w:hideMark/>
          </w:tcPr>
          <w:p w14:paraId="03436D4E" w14:textId="77777777" w:rsidR="00B0138B" w:rsidRPr="00E200A5" w:rsidRDefault="00B0138B" w:rsidP="00C915C8">
            <w:pPr>
              <w:spacing w:after="0" w:line="240" w:lineRule="auto"/>
              <w:jc w:val="center"/>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Education</w:t>
            </w:r>
          </w:p>
        </w:tc>
      </w:tr>
      <w:tr w:rsidR="00C87B9B" w:rsidRPr="00E200A5" w14:paraId="79EFF2D9" w14:textId="77777777" w:rsidTr="00C87B9B">
        <w:trPr>
          <w:trHeight w:val="414"/>
          <w:jc w:val="center"/>
        </w:trPr>
        <w:tc>
          <w:tcPr>
            <w:tcW w:w="1938" w:type="dxa"/>
            <w:tcBorders>
              <w:top w:val="nil"/>
              <w:left w:val="nil"/>
              <w:bottom w:val="nil"/>
              <w:right w:val="nil"/>
            </w:tcBorders>
            <w:shd w:val="clear" w:color="000000" w:fill="FFFFFF"/>
            <w:noWrap/>
            <w:vAlign w:val="center"/>
            <w:hideMark/>
          </w:tcPr>
          <w:p w14:paraId="3DA4B7E8" w14:textId="5E72E609" w:rsidR="00C87B9B" w:rsidRPr="00E200A5" w:rsidRDefault="000D1673" w:rsidP="00C915C8">
            <w:pPr>
              <w:spacing w:after="0" w:line="240" w:lineRule="auto"/>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COVID</w:t>
            </w:r>
          </w:p>
        </w:tc>
        <w:tc>
          <w:tcPr>
            <w:tcW w:w="1283" w:type="dxa"/>
            <w:tcBorders>
              <w:top w:val="nil"/>
              <w:left w:val="nil"/>
              <w:bottom w:val="nil"/>
              <w:right w:val="nil"/>
            </w:tcBorders>
            <w:shd w:val="clear" w:color="000000" w:fill="FFFFFF"/>
            <w:vAlign w:val="center"/>
            <w:hideMark/>
          </w:tcPr>
          <w:p w14:paraId="73302089" w14:textId="057DAD09"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132" w:type="dxa"/>
            <w:tcBorders>
              <w:top w:val="nil"/>
              <w:left w:val="nil"/>
              <w:bottom w:val="nil"/>
              <w:right w:val="nil"/>
            </w:tcBorders>
            <w:shd w:val="clear" w:color="000000" w:fill="FFFFFF"/>
            <w:vAlign w:val="center"/>
            <w:hideMark/>
          </w:tcPr>
          <w:p w14:paraId="185D1F22" w14:textId="4163D4A9"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351" w:type="dxa"/>
            <w:tcBorders>
              <w:top w:val="nil"/>
              <w:left w:val="nil"/>
              <w:bottom w:val="nil"/>
              <w:right w:val="nil"/>
            </w:tcBorders>
            <w:shd w:val="clear" w:color="000000" w:fill="FFFFFF"/>
            <w:vAlign w:val="center"/>
            <w:hideMark/>
          </w:tcPr>
          <w:p w14:paraId="47801C77" w14:textId="2DE23F8C"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247" w:type="dxa"/>
            <w:tcBorders>
              <w:top w:val="nil"/>
              <w:left w:val="nil"/>
              <w:bottom w:val="nil"/>
              <w:right w:val="nil"/>
            </w:tcBorders>
            <w:shd w:val="clear" w:color="000000" w:fill="FFFFFF"/>
            <w:vAlign w:val="center"/>
            <w:hideMark/>
          </w:tcPr>
          <w:p w14:paraId="18D0D527" w14:textId="5BACA3C4"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184" w:type="dxa"/>
            <w:tcBorders>
              <w:top w:val="nil"/>
              <w:left w:val="nil"/>
              <w:bottom w:val="nil"/>
              <w:right w:val="nil"/>
            </w:tcBorders>
            <w:shd w:val="clear" w:color="000000" w:fill="FFFFFF"/>
            <w:vAlign w:val="center"/>
            <w:hideMark/>
          </w:tcPr>
          <w:p w14:paraId="1E8DFD6E" w14:textId="0913821B"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79" w:type="dxa"/>
            <w:tcBorders>
              <w:top w:val="nil"/>
              <w:left w:val="nil"/>
              <w:bottom w:val="nil"/>
              <w:right w:val="nil"/>
            </w:tcBorders>
            <w:shd w:val="clear" w:color="000000" w:fill="FFFFFF"/>
            <w:vAlign w:val="center"/>
            <w:hideMark/>
          </w:tcPr>
          <w:p w14:paraId="48402AA5" w14:textId="4C72E880"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654" w:type="dxa"/>
            <w:tcBorders>
              <w:top w:val="nil"/>
              <w:left w:val="nil"/>
              <w:bottom w:val="nil"/>
              <w:right w:val="nil"/>
            </w:tcBorders>
            <w:shd w:val="clear" w:color="000000" w:fill="FFFFFF"/>
            <w:vAlign w:val="center"/>
            <w:hideMark/>
          </w:tcPr>
          <w:p w14:paraId="60B0D2EE" w14:textId="6F4E5428"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225" w:type="dxa"/>
            <w:tcBorders>
              <w:top w:val="nil"/>
              <w:left w:val="nil"/>
              <w:bottom w:val="nil"/>
              <w:right w:val="nil"/>
            </w:tcBorders>
            <w:shd w:val="clear" w:color="000000" w:fill="FFFFFF"/>
            <w:vAlign w:val="center"/>
            <w:hideMark/>
          </w:tcPr>
          <w:p w14:paraId="7A98F03D" w14:textId="2AFF84AF"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49" w:type="dxa"/>
            <w:tcBorders>
              <w:top w:val="nil"/>
              <w:left w:val="nil"/>
              <w:bottom w:val="nil"/>
              <w:right w:val="nil"/>
            </w:tcBorders>
            <w:shd w:val="clear" w:color="000000" w:fill="FFFFFF"/>
            <w:vAlign w:val="center"/>
            <w:hideMark/>
          </w:tcPr>
          <w:p w14:paraId="5845570F" w14:textId="2791F4AF"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7729C0E0" w14:textId="25649F83"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17D936D5" w14:textId="20483870"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07" w:type="dxa"/>
            <w:tcBorders>
              <w:top w:val="nil"/>
              <w:left w:val="nil"/>
              <w:bottom w:val="nil"/>
              <w:right w:val="nil"/>
            </w:tcBorders>
            <w:shd w:val="clear" w:color="000000" w:fill="FFFFFF"/>
            <w:vAlign w:val="center"/>
            <w:hideMark/>
          </w:tcPr>
          <w:p w14:paraId="03193AC3" w14:textId="0DA9DDFB"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r>
      <w:tr w:rsidR="00C87B9B" w:rsidRPr="00E200A5" w14:paraId="55D518AC" w14:textId="77777777" w:rsidTr="00C87B9B">
        <w:trPr>
          <w:trHeight w:val="414"/>
          <w:jc w:val="center"/>
        </w:trPr>
        <w:tc>
          <w:tcPr>
            <w:tcW w:w="1938" w:type="dxa"/>
            <w:tcBorders>
              <w:top w:val="nil"/>
              <w:left w:val="nil"/>
              <w:bottom w:val="nil"/>
              <w:right w:val="nil"/>
            </w:tcBorders>
            <w:shd w:val="clear" w:color="000000" w:fill="FFFFFF"/>
            <w:noWrap/>
            <w:vAlign w:val="center"/>
            <w:hideMark/>
          </w:tcPr>
          <w:p w14:paraId="05446EE4" w14:textId="570BF8CC" w:rsidR="00C87B9B" w:rsidRPr="00E200A5" w:rsidRDefault="00C87B9B" w:rsidP="00C915C8">
            <w:pPr>
              <w:spacing w:after="0" w:line="240" w:lineRule="auto"/>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Intelligence</w:t>
            </w:r>
          </w:p>
        </w:tc>
        <w:tc>
          <w:tcPr>
            <w:tcW w:w="1283" w:type="dxa"/>
            <w:tcBorders>
              <w:top w:val="nil"/>
              <w:left w:val="nil"/>
              <w:bottom w:val="nil"/>
              <w:right w:val="nil"/>
            </w:tcBorders>
            <w:shd w:val="clear" w:color="000000" w:fill="FFFFFF"/>
            <w:vAlign w:val="center"/>
            <w:hideMark/>
          </w:tcPr>
          <w:p w14:paraId="2D5ED534" w14:textId="6378D825" w:rsidR="00C87B9B" w:rsidRPr="00E200A5" w:rsidRDefault="00B274E6"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w:t>
            </w:r>
            <w:r w:rsidR="00C87B9B" w:rsidRPr="00E200A5">
              <w:rPr>
                <w:rFonts w:ascii="Times New Roman" w:hAnsi="Times New Roman" w:cs="Times New Roman"/>
              </w:rPr>
              <w:t>0.09**</w:t>
            </w:r>
          </w:p>
        </w:tc>
        <w:tc>
          <w:tcPr>
            <w:tcW w:w="1132" w:type="dxa"/>
            <w:tcBorders>
              <w:top w:val="nil"/>
              <w:left w:val="nil"/>
              <w:bottom w:val="nil"/>
              <w:right w:val="nil"/>
            </w:tcBorders>
            <w:shd w:val="clear" w:color="000000" w:fill="FFFFFF"/>
            <w:vAlign w:val="center"/>
            <w:hideMark/>
          </w:tcPr>
          <w:p w14:paraId="2A260475" w14:textId="4EEA3AFB"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351" w:type="dxa"/>
            <w:tcBorders>
              <w:top w:val="nil"/>
              <w:left w:val="nil"/>
              <w:bottom w:val="nil"/>
              <w:right w:val="nil"/>
            </w:tcBorders>
            <w:shd w:val="clear" w:color="000000" w:fill="FFFFFF"/>
            <w:vAlign w:val="center"/>
            <w:hideMark/>
          </w:tcPr>
          <w:p w14:paraId="0F85CACF" w14:textId="0AE5A067"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247" w:type="dxa"/>
            <w:tcBorders>
              <w:top w:val="nil"/>
              <w:left w:val="nil"/>
              <w:bottom w:val="nil"/>
              <w:right w:val="nil"/>
            </w:tcBorders>
            <w:shd w:val="clear" w:color="000000" w:fill="FFFFFF"/>
            <w:vAlign w:val="center"/>
            <w:hideMark/>
          </w:tcPr>
          <w:p w14:paraId="1AC2138F" w14:textId="26475481"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184" w:type="dxa"/>
            <w:tcBorders>
              <w:top w:val="nil"/>
              <w:left w:val="nil"/>
              <w:bottom w:val="nil"/>
              <w:right w:val="nil"/>
            </w:tcBorders>
            <w:shd w:val="clear" w:color="000000" w:fill="FFFFFF"/>
            <w:vAlign w:val="center"/>
            <w:hideMark/>
          </w:tcPr>
          <w:p w14:paraId="22751CCF" w14:textId="19819E79"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79" w:type="dxa"/>
            <w:tcBorders>
              <w:top w:val="nil"/>
              <w:left w:val="nil"/>
              <w:bottom w:val="nil"/>
              <w:right w:val="nil"/>
            </w:tcBorders>
            <w:shd w:val="clear" w:color="000000" w:fill="FFFFFF"/>
            <w:vAlign w:val="center"/>
            <w:hideMark/>
          </w:tcPr>
          <w:p w14:paraId="01DEEC19" w14:textId="1CA957FC"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654" w:type="dxa"/>
            <w:tcBorders>
              <w:top w:val="nil"/>
              <w:left w:val="nil"/>
              <w:bottom w:val="nil"/>
              <w:right w:val="nil"/>
            </w:tcBorders>
            <w:shd w:val="clear" w:color="000000" w:fill="FFFFFF"/>
            <w:vAlign w:val="center"/>
            <w:hideMark/>
          </w:tcPr>
          <w:p w14:paraId="601425B7" w14:textId="27A111BA"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225" w:type="dxa"/>
            <w:tcBorders>
              <w:top w:val="nil"/>
              <w:left w:val="nil"/>
              <w:bottom w:val="nil"/>
              <w:right w:val="nil"/>
            </w:tcBorders>
            <w:shd w:val="clear" w:color="000000" w:fill="FFFFFF"/>
            <w:vAlign w:val="center"/>
            <w:hideMark/>
          </w:tcPr>
          <w:p w14:paraId="7FF7C4E1" w14:textId="6931C25E"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49" w:type="dxa"/>
            <w:tcBorders>
              <w:top w:val="nil"/>
              <w:left w:val="nil"/>
              <w:bottom w:val="nil"/>
              <w:right w:val="nil"/>
            </w:tcBorders>
            <w:shd w:val="clear" w:color="000000" w:fill="FFFFFF"/>
            <w:vAlign w:val="center"/>
            <w:hideMark/>
          </w:tcPr>
          <w:p w14:paraId="5F48F60E" w14:textId="34FA7A06"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0D145CEB" w14:textId="082804E9"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613D5113" w14:textId="02511220"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07" w:type="dxa"/>
            <w:tcBorders>
              <w:top w:val="nil"/>
              <w:left w:val="nil"/>
              <w:bottom w:val="nil"/>
              <w:right w:val="nil"/>
            </w:tcBorders>
            <w:shd w:val="clear" w:color="000000" w:fill="FFFFFF"/>
            <w:vAlign w:val="center"/>
            <w:hideMark/>
          </w:tcPr>
          <w:p w14:paraId="085C3E77" w14:textId="7B3100EE"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r>
      <w:tr w:rsidR="00C87B9B" w:rsidRPr="00E200A5" w14:paraId="512E69A2" w14:textId="77777777" w:rsidTr="00C87B9B">
        <w:trPr>
          <w:trHeight w:val="414"/>
          <w:jc w:val="center"/>
        </w:trPr>
        <w:tc>
          <w:tcPr>
            <w:tcW w:w="1938" w:type="dxa"/>
            <w:tcBorders>
              <w:top w:val="nil"/>
              <w:left w:val="nil"/>
              <w:bottom w:val="nil"/>
              <w:right w:val="nil"/>
            </w:tcBorders>
            <w:shd w:val="clear" w:color="000000" w:fill="FFFFFF"/>
            <w:noWrap/>
            <w:vAlign w:val="center"/>
            <w:hideMark/>
          </w:tcPr>
          <w:p w14:paraId="6B205639" w14:textId="263F25F2" w:rsidR="00C87B9B" w:rsidRPr="00E200A5" w:rsidRDefault="00C87B9B" w:rsidP="00C915C8">
            <w:pPr>
              <w:spacing w:after="0" w:line="240" w:lineRule="auto"/>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Agreeableness</w:t>
            </w:r>
          </w:p>
        </w:tc>
        <w:tc>
          <w:tcPr>
            <w:tcW w:w="1283" w:type="dxa"/>
            <w:tcBorders>
              <w:top w:val="nil"/>
              <w:left w:val="nil"/>
              <w:bottom w:val="nil"/>
              <w:right w:val="nil"/>
            </w:tcBorders>
            <w:shd w:val="clear" w:color="000000" w:fill="FFFFFF"/>
            <w:vAlign w:val="center"/>
            <w:hideMark/>
          </w:tcPr>
          <w:p w14:paraId="5298BD72" w14:textId="436D83BA" w:rsidR="00C87B9B" w:rsidRPr="00E200A5" w:rsidRDefault="007E514F"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&lt;0.01</w:t>
            </w:r>
          </w:p>
        </w:tc>
        <w:tc>
          <w:tcPr>
            <w:tcW w:w="1132" w:type="dxa"/>
            <w:tcBorders>
              <w:top w:val="nil"/>
              <w:left w:val="nil"/>
              <w:bottom w:val="nil"/>
              <w:right w:val="nil"/>
            </w:tcBorders>
            <w:shd w:val="clear" w:color="000000" w:fill="FFFFFF"/>
            <w:vAlign w:val="center"/>
            <w:hideMark/>
          </w:tcPr>
          <w:p w14:paraId="48A89841" w14:textId="09839D38"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-0.08**</w:t>
            </w:r>
          </w:p>
        </w:tc>
        <w:tc>
          <w:tcPr>
            <w:tcW w:w="1351" w:type="dxa"/>
            <w:tcBorders>
              <w:top w:val="nil"/>
              <w:left w:val="nil"/>
              <w:bottom w:val="nil"/>
              <w:right w:val="nil"/>
            </w:tcBorders>
            <w:shd w:val="clear" w:color="000000" w:fill="FFFFFF"/>
            <w:vAlign w:val="center"/>
            <w:hideMark/>
          </w:tcPr>
          <w:p w14:paraId="06E5C74A" w14:textId="57162B85"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247" w:type="dxa"/>
            <w:tcBorders>
              <w:top w:val="nil"/>
              <w:left w:val="nil"/>
              <w:bottom w:val="nil"/>
              <w:right w:val="nil"/>
            </w:tcBorders>
            <w:shd w:val="clear" w:color="000000" w:fill="FFFFFF"/>
            <w:vAlign w:val="center"/>
            <w:hideMark/>
          </w:tcPr>
          <w:p w14:paraId="381B14E9" w14:textId="0890813C"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184" w:type="dxa"/>
            <w:tcBorders>
              <w:top w:val="nil"/>
              <w:left w:val="nil"/>
              <w:bottom w:val="nil"/>
              <w:right w:val="nil"/>
            </w:tcBorders>
            <w:shd w:val="clear" w:color="000000" w:fill="FFFFFF"/>
            <w:vAlign w:val="center"/>
            <w:hideMark/>
          </w:tcPr>
          <w:p w14:paraId="01FDFCE0" w14:textId="2ABA8E33"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79" w:type="dxa"/>
            <w:tcBorders>
              <w:top w:val="nil"/>
              <w:left w:val="nil"/>
              <w:bottom w:val="nil"/>
              <w:right w:val="nil"/>
            </w:tcBorders>
            <w:shd w:val="clear" w:color="000000" w:fill="FFFFFF"/>
            <w:vAlign w:val="center"/>
            <w:hideMark/>
          </w:tcPr>
          <w:p w14:paraId="07DAC2C5" w14:textId="51EE053B"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654" w:type="dxa"/>
            <w:tcBorders>
              <w:top w:val="nil"/>
              <w:left w:val="nil"/>
              <w:bottom w:val="nil"/>
              <w:right w:val="nil"/>
            </w:tcBorders>
            <w:shd w:val="clear" w:color="000000" w:fill="FFFFFF"/>
            <w:vAlign w:val="center"/>
            <w:hideMark/>
          </w:tcPr>
          <w:p w14:paraId="6E6EA52E" w14:textId="334B85F2"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225" w:type="dxa"/>
            <w:tcBorders>
              <w:top w:val="nil"/>
              <w:left w:val="nil"/>
              <w:bottom w:val="nil"/>
              <w:right w:val="nil"/>
            </w:tcBorders>
            <w:shd w:val="clear" w:color="000000" w:fill="FFFFFF"/>
            <w:vAlign w:val="center"/>
            <w:hideMark/>
          </w:tcPr>
          <w:p w14:paraId="25C3CD97" w14:textId="735E62C3"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49" w:type="dxa"/>
            <w:tcBorders>
              <w:top w:val="nil"/>
              <w:left w:val="nil"/>
              <w:bottom w:val="nil"/>
              <w:right w:val="nil"/>
            </w:tcBorders>
            <w:shd w:val="clear" w:color="000000" w:fill="FFFFFF"/>
            <w:vAlign w:val="center"/>
            <w:hideMark/>
          </w:tcPr>
          <w:p w14:paraId="63B2D62C" w14:textId="06FFC87B"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5ECF384A" w14:textId="1DBAD10E"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4EAF54B6" w14:textId="22F2CCAC"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07" w:type="dxa"/>
            <w:tcBorders>
              <w:top w:val="nil"/>
              <w:left w:val="nil"/>
              <w:bottom w:val="nil"/>
              <w:right w:val="nil"/>
            </w:tcBorders>
            <w:shd w:val="clear" w:color="000000" w:fill="FFFFFF"/>
            <w:vAlign w:val="center"/>
            <w:hideMark/>
          </w:tcPr>
          <w:p w14:paraId="37519E30" w14:textId="57A29A01"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r>
      <w:tr w:rsidR="00C87B9B" w:rsidRPr="00E200A5" w14:paraId="1AB5E64E" w14:textId="77777777" w:rsidTr="00C87B9B">
        <w:trPr>
          <w:trHeight w:val="414"/>
          <w:jc w:val="center"/>
        </w:trPr>
        <w:tc>
          <w:tcPr>
            <w:tcW w:w="1938" w:type="dxa"/>
            <w:tcBorders>
              <w:top w:val="nil"/>
              <w:left w:val="nil"/>
              <w:bottom w:val="nil"/>
              <w:right w:val="nil"/>
            </w:tcBorders>
            <w:shd w:val="clear" w:color="000000" w:fill="FFFFFF"/>
            <w:noWrap/>
            <w:vAlign w:val="center"/>
            <w:hideMark/>
          </w:tcPr>
          <w:p w14:paraId="7C974FA7" w14:textId="04EFB96A" w:rsidR="00C87B9B" w:rsidRPr="00E200A5" w:rsidRDefault="00C87B9B" w:rsidP="00C915C8">
            <w:pPr>
              <w:spacing w:after="0" w:line="240" w:lineRule="auto"/>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Extraversion</w:t>
            </w:r>
          </w:p>
        </w:tc>
        <w:tc>
          <w:tcPr>
            <w:tcW w:w="1283" w:type="dxa"/>
            <w:tcBorders>
              <w:top w:val="nil"/>
              <w:left w:val="nil"/>
              <w:bottom w:val="nil"/>
              <w:right w:val="nil"/>
            </w:tcBorders>
            <w:shd w:val="clear" w:color="000000" w:fill="FFFFFF"/>
            <w:vAlign w:val="center"/>
            <w:hideMark/>
          </w:tcPr>
          <w:p w14:paraId="53D7B7C5" w14:textId="0B9AC31F" w:rsidR="00C87B9B" w:rsidRPr="00E200A5" w:rsidRDefault="007E514F"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&lt;0.01</w:t>
            </w:r>
          </w:p>
        </w:tc>
        <w:tc>
          <w:tcPr>
            <w:tcW w:w="1132" w:type="dxa"/>
            <w:tcBorders>
              <w:top w:val="nil"/>
              <w:left w:val="nil"/>
              <w:bottom w:val="nil"/>
              <w:right w:val="nil"/>
            </w:tcBorders>
            <w:shd w:val="clear" w:color="000000" w:fill="FFFFFF"/>
            <w:vAlign w:val="center"/>
            <w:hideMark/>
          </w:tcPr>
          <w:p w14:paraId="15B1F562" w14:textId="6141FD56" w:rsidR="00C87B9B" w:rsidRPr="00E200A5" w:rsidRDefault="007E514F"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&lt;0.01</w:t>
            </w:r>
          </w:p>
        </w:tc>
        <w:tc>
          <w:tcPr>
            <w:tcW w:w="1351" w:type="dxa"/>
            <w:tcBorders>
              <w:top w:val="nil"/>
              <w:left w:val="nil"/>
              <w:bottom w:val="nil"/>
              <w:right w:val="nil"/>
            </w:tcBorders>
            <w:shd w:val="clear" w:color="000000" w:fill="FFFFFF"/>
            <w:vAlign w:val="center"/>
            <w:hideMark/>
          </w:tcPr>
          <w:p w14:paraId="671F6AE5" w14:textId="5700C6AC"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0.19**</w:t>
            </w:r>
          </w:p>
        </w:tc>
        <w:tc>
          <w:tcPr>
            <w:tcW w:w="1247" w:type="dxa"/>
            <w:tcBorders>
              <w:top w:val="nil"/>
              <w:left w:val="nil"/>
              <w:bottom w:val="nil"/>
              <w:right w:val="nil"/>
            </w:tcBorders>
            <w:shd w:val="clear" w:color="000000" w:fill="FFFFFF"/>
            <w:vAlign w:val="center"/>
            <w:hideMark/>
          </w:tcPr>
          <w:p w14:paraId="3B54B92B" w14:textId="6CDBDE6E"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184" w:type="dxa"/>
            <w:tcBorders>
              <w:top w:val="nil"/>
              <w:left w:val="nil"/>
              <w:bottom w:val="nil"/>
              <w:right w:val="nil"/>
            </w:tcBorders>
            <w:shd w:val="clear" w:color="000000" w:fill="FFFFFF"/>
            <w:vAlign w:val="center"/>
            <w:hideMark/>
          </w:tcPr>
          <w:p w14:paraId="3C5088A1" w14:textId="49F11D38"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79" w:type="dxa"/>
            <w:tcBorders>
              <w:top w:val="nil"/>
              <w:left w:val="nil"/>
              <w:bottom w:val="nil"/>
              <w:right w:val="nil"/>
            </w:tcBorders>
            <w:shd w:val="clear" w:color="000000" w:fill="FFFFFF"/>
            <w:vAlign w:val="center"/>
            <w:hideMark/>
          </w:tcPr>
          <w:p w14:paraId="78965270" w14:textId="41FABF8A"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654" w:type="dxa"/>
            <w:tcBorders>
              <w:top w:val="nil"/>
              <w:left w:val="nil"/>
              <w:bottom w:val="nil"/>
              <w:right w:val="nil"/>
            </w:tcBorders>
            <w:shd w:val="clear" w:color="000000" w:fill="FFFFFF"/>
            <w:vAlign w:val="center"/>
            <w:hideMark/>
          </w:tcPr>
          <w:p w14:paraId="39E59D9B" w14:textId="4B92F4F0"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225" w:type="dxa"/>
            <w:tcBorders>
              <w:top w:val="nil"/>
              <w:left w:val="nil"/>
              <w:bottom w:val="nil"/>
              <w:right w:val="nil"/>
            </w:tcBorders>
            <w:shd w:val="clear" w:color="000000" w:fill="FFFFFF"/>
            <w:vAlign w:val="center"/>
            <w:hideMark/>
          </w:tcPr>
          <w:p w14:paraId="38DC1428" w14:textId="5FCB72ED"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49" w:type="dxa"/>
            <w:tcBorders>
              <w:top w:val="nil"/>
              <w:left w:val="nil"/>
              <w:bottom w:val="nil"/>
              <w:right w:val="nil"/>
            </w:tcBorders>
            <w:shd w:val="clear" w:color="000000" w:fill="FFFFFF"/>
            <w:vAlign w:val="center"/>
            <w:hideMark/>
          </w:tcPr>
          <w:p w14:paraId="6DFE1BFE" w14:textId="1B04E2D7"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4884DAD4" w14:textId="257F056F"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2BCBE516" w14:textId="15003710"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07" w:type="dxa"/>
            <w:tcBorders>
              <w:top w:val="nil"/>
              <w:left w:val="nil"/>
              <w:bottom w:val="nil"/>
              <w:right w:val="nil"/>
            </w:tcBorders>
            <w:shd w:val="clear" w:color="000000" w:fill="FFFFFF"/>
            <w:vAlign w:val="center"/>
            <w:hideMark/>
          </w:tcPr>
          <w:p w14:paraId="48205050" w14:textId="444D1C15"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r>
      <w:tr w:rsidR="00C87B9B" w:rsidRPr="00E200A5" w14:paraId="4C408677" w14:textId="77777777" w:rsidTr="00C87B9B">
        <w:trPr>
          <w:trHeight w:val="414"/>
          <w:jc w:val="center"/>
        </w:trPr>
        <w:tc>
          <w:tcPr>
            <w:tcW w:w="1938" w:type="dxa"/>
            <w:tcBorders>
              <w:top w:val="nil"/>
              <w:left w:val="nil"/>
              <w:bottom w:val="nil"/>
              <w:right w:val="nil"/>
            </w:tcBorders>
            <w:shd w:val="clear" w:color="000000" w:fill="FFFFFF"/>
            <w:noWrap/>
            <w:vAlign w:val="center"/>
            <w:hideMark/>
          </w:tcPr>
          <w:p w14:paraId="4F50FEA0" w14:textId="15E492B2" w:rsidR="00C87B9B" w:rsidRPr="00E200A5" w:rsidRDefault="00C87B9B" w:rsidP="00C915C8">
            <w:pPr>
              <w:spacing w:after="0" w:line="240" w:lineRule="auto"/>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Neuroticism</w:t>
            </w:r>
          </w:p>
        </w:tc>
        <w:tc>
          <w:tcPr>
            <w:tcW w:w="1283" w:type="dxa"/>
            <w:tcBorders>
              <w:top w:val="nil"/>
              <w:left w:val="nil"/>
              <w:bottom w:val="nil"/>
              <w:right w:val="nil"/>
            </w:tcBorders>
            <w:shd w:val="clear" w:color="000000" w:fill="FFFFFF"/>
            <w:vAlign w:val="center"/>
            <w:hideMark/>
          </w:tcPr>
          <w:p w14:paraId="7145141E" w14:textId="2E08E60C"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0.06**</w:t>
            </w:r>
          </w:p>
        </w:tc>
        <w:tc>
          <w:tcPr>
            <w:tcW w:w="1132" w:type="dxa"/>
            <w:tcBorders>
              <w:top w:val="nil"/>
              <w:left w:val="nil"/>
              <w:bottom w:val="nil"/>
              <w:right w:val="nil"/>
            </w:tcBorders>
            <w:shd w:val="clear" w:color="000000" w:fill="FFFFFF"/>
            <w:vAlign w:val="center"/>
            <w:hideMark/>
          </w:tcPr>
          <w:p w14:paraId="0221B47E" w14:textId="3603237D"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-0.02</w:t>
            </w:r>
          </w:p>
        </w:tc>
        <w:tc>
          <w:tcPr>
            <w:tcW w:w="1351" w:type="dxa"/>
            <w:tcBorders>
              <w:top w:val="nil"/>
              <w:left w:val="nil"/>
              <w:bottom w:val="nil"/>
              <w:right w:val="nil"/>
            </w:tcBorders>
            <w:shd w:val="clear" w:color="000000" w:fill="FFFFFF"/>
            <w:vAlign w:val="center"/>
            <w:hideMark/>
          </w:tcPr>
          <w:p w14:paraId="62160755" w14:textId="15D98A31"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-0.09**</w:t>
            </w:r>
          </w:p>
        </w:tc>
        <w:tc>
          <w:tcPr>
            <w:tcW w:w="1247" w:type="dxa"/>
            <w:tcBorders>
              <w:top w:val="nil"/>
              <w:left w:val="nil"/>
              <w:bottom w:val="nil"/>
              <w:right w:val="nil"/>
            </w:tcBorders>
            <w:shd w:val="clear" w:color="000000" w:fill="FFFFFF"/>
            <w:vAlign w:val="center"/>
            <w:hideMark/>
          </w:tcPr>
          <w:p w14:paraId="0224459D" w14:textId="25AAB7B5"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-0.20**</w:t>
            </w:r>
          </w:p>
        </w:tc>
        <w:tc>
          <w:tcPr>
            <w:tcW w:w="1184" w:type="dxa"/>
            <w:tcBorders>
              <w:top w:val="nil"/>
              <w:left w:val="nil"/>
              <w:bottom w:val="nil"/>
              <w:right w:val="nil"/>
            </w:tcBorders>
            <w:shd w:val="clear" w:color="000000" w:fill="FFFFFF"/>
            <w:vAlign w:val="center"/>
            <w:hideMark/>
          </w:tcPr>
          <w:p w14:paraId="448F5A92" w14:textId="7469F57D"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79" w:type="dxa"/>
            <w:tcBorders>
              <w:top w:val="nil"/>
              <w:left w:val="nil"/>
              <w:bottom w:val="nil"/>
              <w:right w:val="nil"/>
            </w:tcBorders>
            <w:shd w:val="clear" w:color="000000" w:fill="FFFFFF"/>
            <w:vAlign w:val="center"/>
            <w:hideMark/>
          </w:tcPr>
          <w:p w14:paraId="4A927845" w14:textId="1FFBB0A0"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654" w:type="dxa"/>
            <w:tcBorders>
              <w:top w:val="nil"/>
              <w:left w:val="nil"/>
              <w:bottom w:val="nil"/>
              <w:right w:val="nil"/>
            </w:tcBorders>
            <w:shd w:val="clear" w:color="000000" w:fill="FFFFFF"/>
            <w:vAlign w:val="center"/>
            <w:hideMark/>
          </w:tcPr>
          <w:p w14:paraId="701CC8C1" w14:textId="15B3B97A"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225" w:type="dxa"/>
            <w:tcBorders>
              <w:top w:val="nil"/>
              <w:left w:val="nil"/>
              <w:bottom w:val="nil"/>
              <w:right w:val="nil"/>
            </w:tcBorders>
            <w:shd w:val="clear" w:color="000000" w:fill="FFFFFF"/>
            <w:vAlign w:val="center"/>
            <w:hideMark/>
          </w:tcPr>
          <w:p w14:paraId="1B4E7E37" w14:textId="2ADF3E82"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49" w:type="dxa"/>
            <w:tcBorders>
              <w:top w:val="nil"/>
              <w:left w:val="nil"/>
              <w:bottom w:val="nil"/>
              <w:right w:val="nil"/>
            </w:tcBorders>
            <w:shd w:val="clear" w:color="000000" w:fill="FFFFFF"/>
            <w:vAlign w:val="center"/>
            <w:hideMark/>
          </w:tcPr>
          <w:p w14:paraId="2D4CBF40" w14:textId="516DDC1D"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7451C7B9" w14:textId="7EA22B09"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0067FD5F" w14:textId="2E59E4B1"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07" w:type="dxa"/>
            <w:tcBorders>
              <w:top w:val="nil"/>
              <w:left w:val="nil"/>
              <w:bottom w:val="nil"/>
              <w:right w:val="nil"/>
            </w:tcBorders>
            <w:shd w:val="clear" w:color="000000" w:fill="FFFFFF"/>
            <w:vAlign w:val="center"/>
            <w:hideMark/>
          </w:tcPr>
          <w:p w14:paraId="306FCE0D" w14:textId="49A72DD8"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r>
      <w:tr w:rsidR="00C87B9B" w:rsidRPr="00E200A5" w14:paraId="72A8FA73" w14:textId="77777777" w:rsidTr="00C87B9B">
        <w:trPr>
          <w:trHeight w:val="414"/>
          <w:jc w:val="center"/>
        </w:trPr>
        <w:tc>
          <w:tcPr>
            <w:tcW w:w="1938" w:type="dxa"/>
            <w:tcBorders>
              <w:top w:val="nil"/>
              <w:left w:val="nil"/>
              <w:bottom w:val="nil"/>
              <w:right w:val="nil"/>
            </w:tcBorders>
            <w:shd w:val="clear" w:color="000000" w:fill="FFFFFF"/>
            <w:noWrap/>
            <w:vAlign w:val="center"/>
            <w:hideMark/>
          </w:tcPr>
          <w:p w14:paraId="62735EDE" w14:textId="3033E97E" w:rsidR="00C87B9B" w:rsidRPr="00E200A5" w:rsidRDefault="00C87B9B" w:rsidP="00C915C8">
            <w:pPr>
              <w:spacing w:after="0" w:line="240" w:lineRule="auto"/>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Openness</w:t>
            </w:r>
          </w:p>
        </w:tc>
        <w:tc>
          <w:tcPr>
            <w:tcW w:w="1283" w:type="dxa"/>
            <w:tcBorders>
              <w:top w:val="nil"/>
              <w:left w:val="nil"/>
              <w:bottom w:val="nil"/>
              <w:right w:val="nil"/>
            </w:tcBorders>
            <w:shd w:val="clear" w:color="000000" w:fill="FFFFFF"/>
            <w:vAlign w:val="center"/>
            <w:hideMark/>
          </w:tcPr>
          <w:p w14:paraId="7F0B4A1B" w14:textId="266E35B3" w:rsidR="00C87B9B" w:rsidRPr="00E200A5" w:rsidRDefault="00B274E6"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w:t>
            </w:r>
            <w:r w:rsidR="00C87B9B" w:rsidRPr="00E200A5">
              <w:rPr>
                <w:rFonts w:ascii="Times New Roman" w:hAnsi="Times New Roman" w:cs="Times New Roman"/>
              </w:rPr>
              <w:t>0.06**</w:t>
            </w:r>
          </w:p>
        </w:tc>
        <w:tc>
          <w:tcPr>
            <w:tcW w:w="1132" w:type="dxa"/>
            <w:tcBorders>
              <w:top w:val="nil"/>
              <w:left w:val="nil"/>
              <w:bottom w:val="nil"/>
              <w:right w:val="nil"/>
            </w:tcBorders>
            <w:shd w:val="clear" w:color="000000" w:fill="FFFFFF"/>
            <w:vAlign w:val="center"/>
            <w:hideMark/>
          </w:tcPr>
          <w:p w14:paraId="6F26D761" w14:textId="33210345"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0.13**</w:t>
            </w:r>
          </w:p>
        </w:tc>
        <w:tc>
          <w:tcPr>
            <w:tcW w:w="1351" w:type="dxa"/>
            <w:tcBorders>
              <w:top w:val="nil"/>
              <w:left w:val="nil"/>
              <w:bottom w:val="nil"/>
              <w:right w:val="nil"/>
            </w:tcBorders>
            <w:shd w:val="clear" w:color="000000" w:fill="FFFFFF"/>
            <w:vAlign w:val="center"/>
            <w:hideMark/>
          </w:tcPr>
          <w:p w14:paraId="4021A1E5" w14:textId="2396AFB3"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0.20**</w:t>
            </w:r>
          </w:p>
        </w:tc>
        <w:tc>
          <w:tcPr>
            <w:tcW w:w="1247" w:type="dxa"/>
            <w:tcBorders>
              <w:top w:val="nil"/>
              <w:left w:val="nil"/>
              <w:bottom w:val="nil"/>
              <w:right w:val="nil"/>
            </w:tcBorders>
            <w:shd w:val="clear" w:color="000000" w:fill="FFFFFF"/>
            <w:vAlign w:val="center"/>
            <w:hideMark/>
          </w:tcPr>
          <w:p w14:paraId="654C9931" w14:textId="193B2C05"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0.25**</w:t>
            </w:r>
          </w:p>
        </w:tc>
        <w:tc>
          <w:tcPr>
            <w:tcW w:w="1184" w:type="dxa"/>
            <w:tcBorders>
              <w:top w:val="nil"/>
              <w:left w:val="nil"/>
              <w:bottom w:val="nil"/>
              <w:right w:val="nil"/>
            </w:tcBorders>
            <w:shd w:val="clear" w:color="000000" w:fill="FFFFFF"/>
            <w:vAlign w:val="center"/>
            <w:hideMark/>
          </w:tcPr>
          <w:p w14:paraId="469DE62F" w14:textId="418E1B74"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-0.11**</w:t>
            </w:r>
          </w:p>
        </w:tc>
        <w:tc>
          <w:tcPr>
            <w:tcW w:w="979" w:type="dxa"/>
            <w:tcBorders>
              <w:top w:val="nil"/>
              <w:left w:val="nil"/>
              <w:bottom w:val="nil"/>
              <w:right w:val="nil"/>
            </w:tcBorders>
            <w:shd w:val="clear" w:color="000000" w:fill="FFFFFF"/>
            <w:vAlign w:val="center"/>
            <w:hideMark/>
          </w:tcPr>
          <w:p w14:paraId="32947CCE" w14:textId="35AADA0F"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654" w:type="dxa"/>
            <w:tcBorders>
              <w:top w:val="nil"/>
              <w:left w:val="nil"/>
              <w:bottom w:val="nil"/>
              <w:right w:val="nil"/>
            </w:tcBorders>
            <w:shd w:val="clear" w:color="000000" w:fill="FFFFFF"/>
            <w:vAlign w:val="center"/>
            <w:hideMark/>
          </w:tcPr>
          <w:p w14:paraId="0584BB9D" w14:textId="767C42AB"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225" w:type="dxa"/>
            <w:tcBorders>
              <w:top w:val="nil"/>
              <w:left w:val="nil"/>
              <w:bottom w:val="nil"/>
              <w:right w:val="nil"/>
            </w:tcBorders>
            <w:shd w:val="clear" w:color="000000" w:fill="FFFFFF"/>
            <w:vAlign w:val="center"/>
            <w:hideMark/>
          </w:tcPr>
          <w:p w14:paraId="501E222B" w14:textId="1816966E"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49" w:type="dxa"/>
            <w:tcBorders>
              <w:top w:val="nil"/>
              <w:left w:val="nil"/>
              <w:bottom w:val="nil"/>
              <w:right w:val="nil"/>
            </w:tcBorders>
            <w:shd w:val="clear" w:color="000000" w:fill="FFFFFF"/>
            <w:vAlign w:val="center"/>
            <w:hideMark/>
          </w:tcPr>
          <w:p w14:paraId="2F11A4F0" w14:textId="3595BAA0"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52F15272" w14:textId="4C255C99"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0EF4AF4A" w14:textId="505E3691"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07" w:type="dxa"/>
            <w:tcBorders>
              <w:top w:val="nil"/>
              <w:left w:val="nil"/>
              <w:bottom w:val="nil"/>
              <w:right w:val="nil"/>
            </w:tcBorders>
            <w:shd w:val="clear" w:color="000000" w:fill="FFFFFF"/>
            <w:vAlign w:val="center"/>
            <w:hideMark/>
          </w:tcPr>
          <w:p w14:paraId="5BF5757C" w14:textId="49604279"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r>
      <w:tr w:rsidR="00C87B9B" w:rsidRPr="00E200A5" w14:paraId="04DFCC60" w14:textId="77777777" w:rsidTr="00C87B9B">
        <w:trPr>
          <w:trHeight w:val="414"/>
          <w:jc w:val="center"/>
        </w:trPr>
        <w:tc>
          <w:tcPr>
            <w:tcW w:w="1938" w:type="dxa"/>
            <w:tcBorders>
              <w:top w:val="nil"/>
              <w:left w:val="nil"/>
              <w:bottom w:val="nil"/>
              <w:right w:val="nil"/>
            </w:tcBorders>
            <w:shd w:val="clear" w:color="000000" w:fill="FFFFFF"/>
            <w:noWrap/>
            <w:vAlign w:val="center"/>
            <w:hideMark/>
          </w:tcPr>
          <w:p w14:paraId="579CF6E7" w14:textId="2A40663B" w:rsidR="00C87B9B" w:rsidRPr="00E200A5" w:rsidRDefault="00C87B9B" w:rsidP="00C915C8">
            <w:pPr>
              <w:spacing w:after="0" w:line="240" w:lineRule="auto"/>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Conscientiousness</w:t>
            </w:r>
          </w:p>
        </w:tc>
        <w:tc>
          <w:tcPr>
            <w:tcW w:w="1283" w:type="dxa"/>
            <w:tcBorders>
              <w:top w:val="nil"/>
              <w:left w:val="nil"/>
              <w:bottom w:val="nil"/>
              <w:right w:val="nil"/>
            </w:tcBorders>
            <w:shd w:val="clear" w:color="000000" w:fill="FFFFFF"/>
            <w:vAlign w:val="center"/>
            <w:hideMark/>
          </w:tcPr>
          <w:p w14:paraId="3BB8CFC3" w14:textId="6D0ED79C" w:rsidR="00C87B9B" w:rsidRPr="00E200A5" w:rsidRDefault="00B274E6"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w:t>
            </w:r>
            <w:r w:rsidR="00C87B9B" w:rsidRPr="00E200A5">
              <w:rPr>
                <w:rFonts w:ascii="Times New Roman" w:hAnsi="Times New Roman" w:cs="Times New Roman"/>
              </w:rPr>
              <w:t>0.01</w:t>
            </w:r>
          </w:p>
        </w:tc>
        <w:tc>
          <w:tcPr>
            <w:tcW w:w="1132" w:type="dxa"/>
            <w:tcBorders>
              <w:top w:val="nil"/>
              <w:left w:val="nil"/>
              <w:bottom w:val="nil"/>
              <w:right w:val="nil"/>
            </w:tcBorders>
            <w:shd w:val="clear" w:color="000000" w:fill="FFFFFF"/>
            <w:vAlign w:val="center"/>
            <w:hideMark/>
          </w:tcPr>
          <w:p w14:paraId="3C074F7F" w14:textId="773EAA33"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-0.04*</w:t>
            </w:r>
          </w:p>
        </w:tc>
        <w:tc>
          <w:tcPr>
            <w:tcW w:w="1351" w:type="dxa"/>
            <w:tcBorders>
              <w:top w:val="nil"/>
              <w:left w:val="nil"/>
              <w:bottom w:val="nil"/>
              <w:right w:val="nil"/>
            </w:tcBorders>
            <w:shd w:val="clear" w:color="000000" w:fill="FFFFFF"/>
            <w:vAlign w:val="center"/>
            <w:hideMark/>
          </w:tcPr>
          <w:p w14:paraId="7F8184F0" w14:textId="3BF522D6"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0.33**</w:t>
            </w:r>
          </w:p>
        </w:tc>
        <w:tc>
          <w:tcPr>
            <w:tcW w:w="1247" w:type="dxa"/>
            <w:tcBorders>
              <w:top w:val="nil"/>
              <w:left w:val="nil"/>
              <w:bottom w:val="nil"/>
              <w:right w:val="nil"/>
            </w:tcBorders>
            <w:shd w:val="clear" w:color="000000" w:fill="FFFFFF"/>
            <w:vAlign w:val="center"/>
            <w:hideMark/>
          </w:tcPr>
          <w:p w14:paraId="26D5E82B" w14:textId="0FCBA39B"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0.21**</w:t>
            </w:r>
          </w:p>
        </w:tc>
        <w:tc>
          <w:tcPr>
            <w:tcW w:w="1184" w:type="dxa"/>
            <w:tcBorders>
              <w:top w:val="nil"/>
              <w:left w:val="nil"/>
              <w:bottom w:val="nil"/>
              <w:right w:val="nil"/>
            </w:tcBorders>
            <w:shd w:val="clear" w:color="000000" w:fill="FFFFFF"/>
            <w:vAlign w:val="center"/>
            <w:hideMark/>
          </w:tcPr>
          <w:p w14:paraId="7738928F" w14:textId="2B34FB70"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-0.16**</w:t>
            </w:r>
          </w:p>
        </w:tc>
        <w:tc>
          <w:tcPr>
            <w:tcW w:w="979" w:type="dxa"/>
            <w:tcBorders>
              <w:top w:val="nil"/>
              <w:left w:val="nil"/>
              <w:bottom w:val="nil"/>
              <w:right w:val="nil"/>
            </w:tcBorders>
            <w:shd w:val="clear" w:color="000000" w:fill="FFFFFF"/>
            <w:vAlign w:val="center"/>
            <w:hideMark/>
          </w:tcPr>
          <w:p w14:paraId="505B6917" w14:textId="283DEC36"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0.17**</w:t>
            </w:r>
          </w:p>
        </w:tc>
        <w:tc>
          <w:tcPr>
            <w:tcW w:w="1654" w:type="dxa"/>
            <w:tcBorders>
              <w:top w:val="nil"/>
              <w:left w:val="nil"/>
              <w:bottom w:val="nil"/>
              <w:right w:val="nil"/>
            </w:tcBorders>
            <w:shd w:val="clear" w:color="000000" w:fill="FFFFFF"/>
            <w:vAlign w:val="center"/>
            <w:hideMark/>
          </w:tcPr>
          <w:p w14:paraId="5DDB7BFC" w14:textId="6A300383"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225" w:type="dxa"/>
            <w:tcBorders>
              <w:top w:val="nil"/>
              <w:left w:val="nil"/>
              <w:bottom w:val="nil"/>
              <w:right w:val="nil"/>
            </w:tcBorders>
            <w:shd w:val="clear" w:color="000000" w:fill="FFFFFF"/>
            <w:vAlign w:val="center"/>
            <w:hideMark/>
          </w:tcPr>
          <w:p w14:paraId="48304A36" w14:textId="4F03B26C"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49" w:type="dxa"/>
            <w:tcBorders>
              <w:top w:val="nil"/>
              <w:left w:val="nil"/>
              <w:bottom w:val="nil"/>
              <w:right w:val="nil"/>
            </w:tcBorders>
            <w:shd w:val="clear" w:color="000000" w:fill="FFFFFF"/>
            <w:vAlign w:val="center"/>
            <w:hideMark/>
          </w:tcPr>
          <w:p w14:paraId="7F9BE762" w14:textId="5BE0C069"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1B089EC7" w14:textId="58425A8E"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34BFFBA8" w14:textId="0498CE55"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07" w:type="dxa"/>
            <w:tcBorders>
              <w:top w:val="nil"/>
              <w:left w:val="nil"/>
              <w:bottom w:val="nil"/>
              <w:right w:val="nil"/>
            </w:tcBorders>
            <w:shd w:val="clear" w:color="000000" w:fill="FFFFFF"/>
            <w:vAlign w:val="center"/>
            <w:hideMark/>
          </w:tcPr>
          <w:p w14:paraId="44261AD2" w14:textId="75305710"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r>
      <w:tr w:rsidR="00C87B9B" w:rsidRPr="00E200A5" w14:paraId="337B7F3B" w14:textId="77777777" w:rsidTr="00C87B9B">
        <w:trPr>
          <w:trHeight w:val="414"/>
          <w:jc w:val="center"/>
        </w:trPr>
        <w:tc>
          <w:tcPr>
            <w:tcW w:w="1938" w:type="dxa"/>
            <w:tcBorders>
              <w:top w:val="nil"/>
              <w:left w:val="nil"/>
              <w:bottom w:val="nil"/>
              <w:right w:val="nil"/>
            </w:tcBorders>
            <w:shd w:val="clear" w:color="000000" w:fill="FFFFFF"/>
            <w:noWrap/>
            <w:vAlign w:val="center"/>
            <w:hideMark/>
          </w:tcPr>
          <w:p w14:paraId="18B02970" w14:textId="5DF6B687" w:rsidR="00C87B9B" w:rsidRPr="00E200A5" w:rsidRDefault="00852603" w:rsidP="00C915C8">
            <w:pPr>
              <w:spacing w:after="0" w:line="240" w:lineRule="auto"/>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 xml:space="preserve">Self-rated </w:t>
            </w:r>
            <w:r w:rsidR="000D1673" w:rsidRPr="00E200A5">
              <w:rPr>
                <w:rFonts w:ascii="Times New Roman" w:eastAsia="Times New Roman" w:hAnsi="Times New Roman" w:cs="Times New Roman"/>
                <w:b/>
                <w:bCs/>
                <w:color w:val="000000"/>
                <w:sz w:val="18"/>
                <w:szCs w:val="18"/>
                <w:lang w:eastAsia="en-GB"/>
              </w:rPr>
              <w:t>COVID</w:t>
            </w:r>
            <w:r w:rsidRPr="00E200A5">
              <w:rPr>
                <w:rFonts w:ascii="Times New Roman" w:eastAsia="Times New Roman" w:hAnsi="Times New Roman" w:cs="Times New Roman"/>
                <w:b/>
                <w:bCs/>
                <w:color w:val="000000"/>
                <w:sz w:val="18"/>
                <w:szCs w:val="18"/>
                <w:lang w:eastAsia="en-GB"/>
              </w:rPr>
              <w:t xml:space="preserve"> risk</w:t>
            </w:r>
          </w:p>
        </w:tc>
        <w:tc>
          <w:tcPr>
            <w:tcW w:w="1283" w:type="dxa"/>
            <w:tcBorders>
              <w:top w:val="nil"/>
              <w:left w:val="nil"/>
              <w:bottom w:val="nil"/>
              <w:right w:val="nil"/>
            </w:tcBorders>
            <w:shd w:val="clear" w:color="000000" w:fill="FFFFFF"/>
            <w:vAlign w:val="center"/>
            <w:hideMark/>
          </w:tcPr>
          <w:p w14:paraId="393267C2" w14:textId="6D7275BA"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0.04**</w:t>
            </w:r>
          </w:p>
        </w:tc>
        <w:tc>
          <w:tcPr>
            <w:tcW w:w="1132" w:type="dxa"/>
            <w:tcBorders>
              <w:top w:val="nil"/>
              <w:left w:val="nil"/>
              <w:bottom w:val="nil"/>
              <w:right w:val="nil"/>
            </w:tcBorders>
            <w:shd w:val="clear" w:color="000000" w:fill="FFFFFF"/>
            <w:vAlign w:val="center"/>
            <w:hideMark/>
          </w:tcPr>
          <w:p w14:paraId="5DC34E8C" w14:textId="33E5B35D"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0.04*</w:t>
            </w:r>
          </w:p>
        </w:tc>
        <w:tc>
          <w:tcPr>
            <w:tcW w:w="1351" w:type="dxa"/>
            <w:tcBorders>
              <w:top w:val="nil"/>
              <w:left w:val="nil"/>
              <w:bottom w:val="nil"/>
              <w:right w:val="nil"/>
            </w:tcBorders>
            <w:shd w:val="clear" w:color="000000" w:fill="FFFFFF"/>
            <w:vAlign w:val="center"/>
            <w:hideMark/>
          </w:tcPr>
          <w:p w14:paraId="28A93F3B" w14:textId="25B1F0E5"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-0.02</w:t>
            </w:r>
          </w:p>
        </w:tc>
        <w:tc>
          <w:tcPr>
            <w:tcW w:w="1247" w:type="dxa"/>
            <w:tcBorders>
              <w:top w:val="nil"/>
              <w:left w:val="nil"/>
              <w:bottom w:val="nil"/>
              <w:right w:val="nil"/>
            </w:tcBorders>
            <w:shd w:val="clear" w:color="000000" w:fill="FFFFFF"/>
            <w:vAlign w:val="center"/>
            <w:hideMark/>
          </w:tcPr>
          <w:p w14:paraId="7FEB8343" w14:textId="505E6E7A"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-0.04**</w:t>
            </w:r>
          </w:p>
        </w:tc>
        <w:tc>
          <w:tcPr>
            <w:tcW w:w="1184" w:type="dxa"/>
            <w:tcBorders>
              <w:top w:val="nil"/>
              <w:left w:val="nil"/>
              <w:bottom w:val="nil"/>
              <w:right w:val="nil"/>
            </w:tcBorders>
            <w:shd w:val="clear" w:color="000000" w:fill="FFFFFF"/>
            <w:vAlign w:val="center"/>
            <w:hideMark/>
          </w:tcPr>
          <w:p w14:paraId="09179076" w14:textId="7758939B"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0.11**</w:t>
            </w:r>
          </w:p>
        </w:tc>
        <w:tc>
          <w:tcPr>
            <w:tcW w:w="979" w:type="dxa"/>
            <w:tcBorders>
              <w:top w:val="nil"/>
              <w:left w:val="nil"/>
              <w:bottom w:val="nil"/>
              <w:right w:val="nil"/>
            </w:tcBorders>
            <w:shd w:val="clear" w:color="000000" w:fill="FFFFFF"/>
            <w:vAlign w:val="center"/>
            <w:hideMark/>
          </w:tcPr>
          <w:p w14:paraId="680DC0BA" w14:textId="1EFD84A5"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-0.04*</w:t>
            </w:r>
          </w:p>
        </w:tc>
        <w:tc>
          <w:tcPr>
            <w:tcW w:w="1654" w:type="dxa"/>
            <w:tcBorders>
              <w:top w:val="nil"/>
              <w:left w:val="nil"/>
              <w:bottom w:val="nil"/>
              <w:right w:val="nil"/>
            </w:tcBorders>
            <w:shd w:val="clear" w:color="000000" w:fill="FFFFFF"/>
            <w:vAlign w:val="center"/>
            <w:hideMark/>
          </w:tcPr>
          <w:p w14:paraId="72A792CF" w14:textId="04B41165"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-0.06**</w:t>
            </w:r>
          </w:p>
        </w:tc>
        <w:tc>
          <w:tcPr>
            <w:tcW w:w="1225" w:type="dxa"/>
            <w:tcBorders>
              <w:top w:val="nil"/>
              <w:left w:val="nil"/>
              <w:bottom w:val="nil"/>
              <w:right w:val="nil"/>
            </w:tcBorders>
            <w:shd w:val="clear" w:color="000000" w:fill="FFFFFF"/>
            <w:vAlign w:val="center"/>
            <w:hideMark/>
          </w:tcPr>
          <w:p w14:paraId="21B7F6FA" w14:textId="04013B36"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49" w:type="dxa"/>
            <w:tcBorders>
              <w:top w:val="nil"/>
              <w:left w:val="nil"/>
              <w:bottom w:val="nil"/>
              <w:right w:val="nil"/>
            </w:tcBorders>
            <w:shd w:val="clear" w:color="000000" w:fill="FFFFFF"/>
            <w:vAlign w:val="center"/>
            <w:hideMark/>
          </w:tcPr>
          <w:p w14:paraId="298A9E54" w14:textId="3E49434F"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45E8B742" w14:textId="1BA80C7C"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0BCB4867" w14:textId="18F3C246"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07" w:type="dxa"/>
            <w:tcBorders>
              <w:top w:val="nil"/>
              <w:left w:val="nil"/>
              <w:bottom w:val="nil"/>
              <w:right w:val="nil"/>
            </w:tcBorders>
            <w:shd w:val="clear" w:color="000000" w:fill="FFFFFF"/>
            <w:vAlign w:val="center"/>
            <w:hideMark/>
          </w:tcPr>
          <w:p w14:paraId="10A560B3" w14:textId="5A70A702"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r>
      <w:tr w:rsidR="00C87B9B" w:rsidRPr="00E200A5" w14:paraId="7FCC45A4" w14:textId="77777777" w:rsidTr="00C87B9B">
        <w:trPr>
          <w:trHeight w:val="414"/>
          <w:jc w:val="center"/>
        </w:trPr>
        <w:tc>
          <w:tcPr>
            <w:tcW w:w="1938" w:type="dxa"/>
            <w:tcBorders>
              <w:top w:val="nil"/>
              <w:left w:val="nil"/>
              <w:bottom w:val="nil"/>
              <w:right w:val="nil"/>
            </w:tcBorders>
            <w:shd w:val="clear" w:color="000000" w:fill="FFFFFF"/>
            <w:noWrap/>
            <w:vAlign w:val="center"/>
            <w:hideMark/>
          </w:tcPr>
          <w:p w14:paraId="23CCC9DC" w14:textId="2C03CAC0" w:rsidR="00C87B9B" w:rsidRPr="00E200A5" w:rsidRDefault="00C87B9B" w:rsidP="00C915C8">
            <w:pPr>
              <w:spacing w:after="0" w:line="240" w:lineRule="auto"/>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Mental health</w:t>
            </w:r>
            <w:r w:rsidR="0066777C" w:rsidRPr="00E200A5">
              <w:rPr>
                <w:rFonts w:ascii="Times New Roman" w:eastAsia="Times New Roman" w:hAnsi="Times New Roman" w:cs="Times New Roman"/>
                <w:b/>
                <w:bCs/>
                <w:color w:val="000000"/>
                <w:sz w:val="18"/>
                <w:szCs w:val="18"/>
                <w:lang w:eastAsia="en-GB"/>
              </w:rPr>
              <w:t xml:space="preserve"> </w:t>
            </w:r>
            <w:r w:rsidR="00154819" w:rsidRPr="00E200A5">
              <w:rPr>
                <w:rFonts w:ascii="Times New Roman" w:eastAsia="Times New Roman" w:hAnsi="Times New Roman" w:cs="Times New Roman"/>
                <w:b/>
                <w:bCs/>
                <w:color w:val="000000"/>
                <w:sz w:val="18"/>
                <w:szCs w:val="18"/>
                <w:lang w:eastAsia="en-GB"/>
              </w:rPr>
              <w:t>problems</w:t>
            </w:r>
          </w:p>
        </w:tc>
        <w:tc>
          <w:tcPr>
            <w:tcW w:w="1283" w:type="dxa"/>
            <w:tcBorders>
              <w:top w:val="nil"/>
              <w:left w:val="nil"/>
              <w:bottom w:val="nil"/>
              <w:right w:val="nil"/>
            </w:tcBorders>
            <w:shd w:val="clear" w:color="000000" w:fill="FFFFFF"/>
            <w:vAlign w:val="center"/>
            <w:hideMark/>
          </w:tcPr>
          <w:p w14:paraId="0268C515" w14:textId="5B1B5CBA"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0.09**</w:t>
            </w:r>
          </w:p>
        </w:tc>
        <w:tc>
          <w:tcPr>
            <w:tcW w:w="1132" w:type="dxa"/>
            <w:tcBorders>
              <w:top w:val="nil"/>
              <w:left w:val="nil"/>
              <w:bottom w:val="nil"/>
              <w:right w:val="nil"/>
            </w:tcBorders>
            <w:shd w:val="clear" w:color="000000" w:fill="FFFFFF"/>
            <w:vAlign w:val="center"/>
            <w:hideMark/>
          </w:tcPr>
          <w:p w14:paraId="085D6709" w14:textId="1F57CB0D" w:rsidR="00C87B9B" w:rsidRPr="00E200A5" w:rsidRDefault="007E514F"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&lt;0.01</w:t>
            </w:r>
          </w:p>
        </w:tc>
        <w:tc>
          <w:tcPr>
            <w:tcW w:w="1351" w:type="dxa"/>
            <w:tcBorders>
              <w:top w:val="nil"/>
              <w:left w:val="nil"/>
              <w:bottom w:val="nil"/>
              <w:right w:val="nil"/>
            </w:tcBorders>
            <w:shd w:val="clear" w:color="000000" w:fill="FFFFFF"/>
            <w:vAlign w:val="center"/>
            <w:hideMark/>
          </w:tcPr>
          <w:p w14:paraId="024684CA" w14:textId="360130DF"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-0.02*</w:t>
            </w:r>
          </w:p>
        </w:tc>
        <w:tc>
          <w:tcPr>
            <w:tcW w:w="1247" w:type="dxa"/>
            <w:tcBorders>
              <w:top w:val="nil"/>
              <w:left w:val="nil"/>
              <w:bottom w:val="nil"/>
              <w:right w:val="nil"/>
            </w:tcBorders>
            <w:shd w:val="clear" w:color="000000" w:fill="FFFFFF"/>
            <w:vAlign w:val="center"/>
            <w:hideMark/>
          </w:tcPr>
          <w:p w14:paraId="6660EC8C" w14:textId="0C3C22AB"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-0.07**</w:t>
            </w:r>
          </w:p>
        </w:tc>
        <w:tc>
          <w:tcPr>
            <w:tcW w:w="1184" w:type="dxa"/>
            <w:tcBorders>
              <w:top w:val="nil"/>
              <w:left w:val="nil"/>
              <w:bottom w:val="nil"/>
              <w:right w:val="nil"/>
            </w:tcBorders>
            <w:shd w:val="clear" w:color="000000" w:fill="FFFFFF"/>
            <w:vAlign w:val="center"/>
            <w:hideMark/>
          </w:tcPr>
          <w:p w14:paraId="2F5FAA22" w14:textId="09927726"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0.35**</w:t>
            </w:r>
          </w:p>
        </w:tc>
        <w:tc>
          <w:tcPr>
            <w:tcW w:w="979" w:type="dxa"/>
            <w:tcBorders>
              <w:top w:val="nil"/>
              <w:left w:val="nil"/>
              <w:bottom w:val="nil"/>
              <w:right w:val="nil"/>
            </w:tcBorders>
            <w:shd w:val="clear" w:color="000000" w:fill="FFFFFF"/>
            <w:vAlign w:val="center"/>
            <w:hideMark/>
          </w:tcPr>
          <w:p w14:paraId="040E93D3" w14:textId="6211FA9C"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-0.01</w:t>
            </w:r>
          </w:p>
        </w:tc>
        <w:tc>
          <w:tcPr>
            <w:tcW w:w="1654" w:type="dxa"/>
            <w:tcBorders>
              <w:top w:val="nil"/>
              <w:left w:val="nil"/>
              <w:bottom w:val="nil"/>
              <w:right w:val="nil"/>
            </w:tcBorders>
            <w:shd w:val="clear" w:color="000000" w:fill="FFFFFF"/>
            <w:vAlign w:val="center"/>
            <w:hideMark/>
          </w:tcPr>
          <w:p w14:paraId="3E49C558" w14:textId="1D731B3E"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-0.11**</w:t>
            </w:r>
          </w:p>
        </w:tc>
        <w:tc>
          <w:tcPr>
            <w:tcW w:w="1225" w:type="dxa"/>
            <w:tcBorders>
              <w:top w:val="nil"/>
              <w:left w:val="nil"/>
              <w:bottom w:val="nil"/>
              <w:right w:val="nil"/>
            </w:tcBorders>
            <w:shd w:val="clear" w:color="000000" w:fill="FFFFFF"/>
            <w:vAlign w:val="center"/>
            <w:hideMark/>
          </w:tcPr>
          <w:p w14:paraId="2F248395" w14:textId="7494901A"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0.14**</w:t>
            </w:r>
          </w:p>
        </w:tc>
        <w:tc>
          <w:tcPr>
            <w:tcW w:w="1049" w:type="dxa"/>
            <w:tcBorders>
              <w:top w:val="nil"/>
              <w:left w:val="nil"/>
              <w:bottom w:val="nil"/>
              <w:right w:val="nil"/>
            </w:tcBorders>
            <w:shd w:val="clear" w:color="000000" w:fill="FFFFFF"/>
            <w:vAlign w:val="center"/>
            <w:hideMark/>
          </w:tcPr>
          <w:p w14:paraId="26D8B0F7" w14:textId="24626C3F"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6209B24B" w14:textId="6EDF695A"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2909DACA" w14:textId="0BD991F1"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07" w:type="dxa"/>
            <w:tcBorders>
              <w:top w:val="nil"/>
              <w:left w:val="nil"/>
              <w:bottom w:val="nil"/>
              <w:right w:val="nil"/>
            </w:tcBorders>
            <w:shd w:val="clear" w:color="000000" w:fill="FFFFFF"/>
            <w:vAlign w:val="center"/>
            <w:hideMark/>
          </w:tcPr>
          <w:p w14:paraId="7A1B2E4D" w14:textId="34C081EC"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r>
      <w:tr w:rsidR="00C87B9B" w:rsidRPr="00E200A5" w14:paraId="3BDBB86A" w14:textId="77777777" w:rsidTr="00C87B9B">
        <w:trPr>
          <w:trHeight w:val="414"/>
          <w:jc w:val="center"/>
        </w:trPr>
        <w:tc>
          <w:tcPr>
            <w:tcW w:w="1938" w:type="dxa"/>
            <w:tcBorders>
              <w:top w:val="nil"/>
              <w:left w:val="nil"/>
              <w:bottom w:val="nil"/>
              <w:right w:val="nil"/>
            </w:tcBorders>
            <w:shd w:val="clear" w:color="000000" w:fill="FFFFFF"/>
            <w:noWrap/>
            <w:vAlign w:val="center"/>
            <w:hideMark/>
          </w:tcPr>
          <w:p w14:paraId="5A98A694" w14:textId="28E6323F" w:rsidR="00C87B9B" w:rsidRPr="00E200A5" w:rsidRDefault="00C87B9B" w:rsidP="00C915C8">
            <w:pPr>
              <w:spacing w:after="0" w:line="240" w:lineRule="auto"/>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Age</w:t>
            </w:r>
          </w:p>
        </w:tc>
        <w:tc>
          <w:tcPr>
            <w:tcW w:w="1283" w:type="dxa"/>
            <w:tcBorders>
              <w:top w:val="nil"/>
              <w:left w:val="nil"/>
              <w:bottom w:val="nil"/>
              <w:right w:val="nil"/>
            </w:tcBorders>
            <w:shd w:val="clear" w:color="000000" w:fill="FFFFFF"/>
            <w:vAlign w:val="center"/>
            <w:hideMark/>
          </w:tcPr>
          <w:p w14:paraId="2D3B5B4D" w14:textId="43C124A9" w:rsidR="00C87B9B" w:rsidRPr="00E200A5" w:rsidRDefault="00B274E6"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w:t>
            </w:r>
            <w:r w:rsidR="00C87B9B" w:rsidRPr="00E200A5">
              <w:rPr>
                <w:rFonts w:ascii="Times New Roman" w:hAnsi="Times New Roman" w:cs="Times New Roman"/>
              </w:rPr>
              <w:t>0.31**</w:t>
            </w:r>
          </w:p>
        </w:tc>
        <w:tc>
          <w:tcPr>
            <w:tcW w:w="1132" w:type="dxa"/>
            <w:tcBorders>
              <w:top w:val="nil"/>
              <w:left w:val="nil"/>
              <w:bottom w:val="nil"/>
              <w:right w:val="nil"/>
            </w:tcBorders>
            <w:shd w:val="clear" w:color="000000" w:fill="FFFFFF"/>
            <w:vAlign w:val="center"/>
            <w:hideMark/>
          </w:tcPr>
          <w:p w14:paraId="592A6327" w14:textId="35ED44D4"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-0.16**</w:t>
            </w:r>
          </w:p>
        </w:tc>
        <w:tc>
          <w:tcPr>
            <w:tcW w:w="1351" w:type="dxa"/>
            <w:tcBorders>
              <w:top w:val="nil"/>
              <w:left w:val="nil"/>
              <w:bottom w:val="nil"/>
              <w:right w:val="nil"/>
            </w:tcBorders>
            <w:shd w:val="clear" w:color="000000" w:fill="FFFFFF"/>
            <w:vAlign w:val="center"/>
            <w:hideMark/>
          </w:tcPr>
          <w:p w14:paraId="4A2AA243" w14:textId="5AE93372"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0.04*</w:t>
            </w:r>
          </w:p>
        </w:tc>
        <w:tc>
          <w:tcPr>
            <w:tcW w:w="1247" w:type="dxa"/>
            <w:tcBorders>
              <w:top w:val="nil"/>
              <w:left w:val="nil"/>
              <w:bottom w:val="nil"/>
              <w:right w:val="nil"/>
            </w:tcBorders>
            <w:shd w:val="clear" w:color="000000" w:fill="FFFFFF"/>
            <w:vAlign w:val="center"/>
            <w:hideMark/>
          </w:tcPr>
          <w:p w14:paraId="609FCF09" w14:textId="21BD9C51"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-0.02</w:t>
            </w:r>
          </w:p>
        </w:tc>
        <w:tc>
          <w:tcPr>
            <w:tcW w:w="1184" w:type="dxa"/>
            <w:tcBorders>
              <w:top w:val="nil"/>
              <w:left w:val="nil"/>
              <w:bottom w:val="nil"/>
              <w:right w:val="nil"/>
            </w:tcBorders>
            <w:shd w:val="clear" w:color="000000" w:fill="FFFFFF"/>
            <w:vAlign w:val="center"/>
            <w:hideMark/>
          </w:tcPr>
          <w:p w14:paraId="6DD67F48" w14:textId="57CB7370"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-0.18**</w:t>
            </w:r>
          </w:p>
        </w:tc>
        <w:tc>
          <w:tcPr>
            <w:tcW w:w="979" w:type="dxa"/>
            <w:tcBorders>
              <w:top w:val="nil"/>
              <w:left w:val="nil"/>
              <w:bottom w:val="nil"/>
              <w:right w:val="nil"/>
            </w:tcBorders>
            <w:shd w:val="clear" w:color="000000" w:fill="FFFFFF"/>
            <w:vAlign w:val="center"/>
            <w:hideMark/>
          </w:tcPr>
          <w:p w14:paraId="58DDE664" w14:textId="3F677CEC"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0.03*</w:t>
            </w:r>
          </w:p>
        </w:tc>
        <w:tc>
          <w:tcPr>
            <w:tcW w:w="1654" w:type="dxa"/>
            <w:tcBorders>
              <w:top w:val="nil"/>
              <w:left w:val="nil"/>
              <w:bottom w:val="nil"/>
              <w:right w:val="nil"/>
            </w:tcBorders>
            <w:shd w:val="clear" w:color="000000" w:fill="FFFFFF"/>
            <w:vAlign w:val="center"/>
            <w:hideMark/>
          </w:tcPr>
          <w:p w14:paraId="53DC6045" w14:textId="4B69E825"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0.07**</w:t>
            </w:r>
          </w:p>
        </w:tc>
        <w:tc>
          <w:tcPr>
            <w:tcW w:w="1225" w:type="dxa"/>
            <w:tcBorders>
              <w:top w:val="nil"/>
              <w:left w:val="nil"/>
              <w:bottom w:val="nil"/>
              <w:right w:val="nil"/>
            </w:tcBorders>
            <w:shd w:val="clear" w:color="000000" w:fill="FFFFFF"/>
            <w:vAlign w:val="center"/>
            <w:hideMark/>
          </w:tcPr>
          <w:p w14:paraId="48661E05" w14:textId="2A6CF23E"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-0.17**</w:t>
            </w:r>
          </w:p>
        </w:tc>
        <w:tc>
          <w:tcPr>
            <w:tcW w:w="1049" w:type="dxa"/>
            <w:tcBorders>
              <w:top w:val="nil"/>
              <w:left w:val="nil"/>
              <w:bottom w:val="nil"/>
              <w:right w:val="nil"/>
            </w:tcBorders>
            <w:shd w:val="clear" w:color="000000" w:fill="FFFFFF"/>
            <w:vAlign w:val="center"/>
            <w:hideMark/>
          </w:tcPr>
          <w:p w14:paraId="109A6F53" w14:textId="06C62211"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-0.18**</w:t>
            </w:r>
          </w:p>
        </w:tc>
        <w:tc>
          <w:tcPr>
            <w:tcW w:w="992" w:type="dxa"/>
            <w:tcBorders>
              <w:top w:val="nil"/>
              <w:left w:val="nil"/>
              <w:bottom w:val="nil"/>
              <w:right w:val="nil"/>
            </w:tcBorders>
            <w:shd w:val="clear" w:color="000000" w:fill="FFFFFF"/>
            <w:vAlign w:val="center"/>
            <w:hideMark/>
          </w:tcPr>
          <w:p w14:paraId="0FAD7DE6" w14:textId="797179BA"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992" w:type="dxa"/>
            <w:tcBorders>
              <w:top w:val="nil"/>
              <w:left w:val="nil"/>
              <w:bottom w:val="nil"/>
              <w:right w:val="nil"/>
            </w:tcBorders>
            <w:shd w:val="clear" w:color="000000" w:fill="FFFFFF"/>
            <w:vAlign w:val="center"/>
            <w:hideMark/>
          </w:tcPr>
          <w:p w14:paraId="0DC3A39E" w14:textId="1157D347"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07" w:type="dxa"/>
            <w:tcBorders>
              <w:top w:val="nil"/>
              <w:left w:val="nil"/>
              <w:bottom w:val="nil"/>
              <w:right w:val="nil"/>
            </w:tcBorders>
            <w:shd w:val="clear" w:color="000000" w:fill="FFFFFF"/>
            <w:vAlign w:val="center"/>
            <w:hideMark/>
          </w:tcPr>
          <w:p w14:paraId="2568ADAE" w14:textId="71510443"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r>
      <w:tr w:rsidR="00C87B9B" w:rsidRPr="00E200A5" w14:paraId="7A197186" w14:textId="77777777" w:rsidTr="00C87B9B">
        <w:trPr>
          <w:trHeight w:val="414"/>
          <w:jc w:val="center"/>
        </w:trPr>
        <w:tc>
          <w:tcPr>
            <w:tcW w:w="1938" w:type="dxa"/>
            <w:tcBorders>
              <w:top w:val="nil"/>
              <w:left w:val="nil"/>
              <w:bottom w:val="nil"/>
              <w:right w:val="nil"/>
            </w:tcBorders>
            <w:shd w:val="clear" w:color="000000" w:fill="FFFFFF"/>
            <w:noWrap/>
            <w:vAlign w:val="center"/>
            <w:hideMark/>
          </w:tcPr>
          <w:p w14:paraId="773E89EE" w14:textId="1A61493C" w:rsidR="00C87B9B" w:rsidRPr="00E200A5" w:rsidRDefault="00C87B9B" w:rsidP="00C915C8">
            <w:pPr>
              <w:spacing w:after="0" w:line="240" w:lineRule="auto"/>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Sex</w:t>
            </w:r>
          </w:p>
        </w:tc>
        <w:tc>
          <w:tcPr>
            <w:tcW w:w="1283" w:type="dxa"/>
            <w:tcBorders>
              <w:top w:val="nil"/>
              <w:left w:val="nil"/>
              <w:bottom w:val="nil"/>
              <w:right w:val="nil"/>
            </w:tcBorders>
            <w:shd w:val="clear" w:color="000000" w:fill="FFFFFF"/>
            <w:vAlign w:val="center"/>
            <w:hideMark/>
          </w:tcPr>
          <w:p w14:paraId="353E5DFB" w14:textId="63A8401C"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0.13**</w:t>
            </w:r>
          </w:p>
        </w:tc>
        <w:tc>
          <w:tcPr>
            <w:tcW w:w="1132" w:type="dxa"/>
            <w:tcBorders>
              <w:top w:val="nil"/>
              <w:left w:val="nil"/>
              <w:bottom w:val="nil"/>
              <w:right w:val="nil"/>
            </w:tcBorders>
            <w:shd w:val="clear" w:color="000000" w:fill="FFFFFF"/>
            <w:vAlign w:val="center"/>
            <w:hideMark/>
          </w:tcPr>
          <w:p w14:paraId="34A83D07" w14:textId="3A4DDE84"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-0.04*</w:t>
            </w:r>
          </w:p>
        </w:tc>
        <w:tc>
          <w:tcPr>
            <w:tcW w:w="1351" w:type="dxa"/>
            <w:tcBorders>
              <w:top w:val="nil"/>
              <w:left w:val="nil"/>
              <w:bottom w:val="nil"/>
              <w:right w:val="nil"/>
            </w:tcBorders>
            <w:shd w:val="clear" w:color="000000" w:fill="FFFFFF"/>
            <w:vAlign w:val="center"/>
            <w:hideMark/>
          </w:tcPr>
          <w:p w14:paraId="3539FD07" w14:textId="33C14ABF"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0.17**</w:t>
            </w:r>
          </w:p>
        </w:tc>
        <w:tc>
          <w:tcPr>
            <w:tcW w:w="1247" w:type="dxa"/>
            <w:tcBorders>
              <w:top w:val="nil"/>
              <w:left w:val="nil"/>
              <w:bottom w:val="nil"/>
              <w:right w:val="nil"/>
            </w:tcBorders>
            <w:shd w:val="clear" w:color="000000" w:fill="FFFFFF"/>
            <w:vAlign w:val="center"/>
            <w:hideMark/>
          </w:tcPr>
          <w:p w14:paraId="0CACB3F6" w14:textId="2D0E96EB"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0.13**</w:t>
            </w:r>
          </w:p>
        </w:tc>
        <w:tc>
          <w:tcPr>
            <w:tcW w:w="1184" w:type="dxa"/>
            <w:tcBorders>
              <w:top w:val="nil"/>
              <w:left w:val="nil"/>
              <w:bottom w:val="nil"/>
              <w:right w:val="nil"/>
            </w:tcBorders>
            <w:shd w:val="clear" w:color="000000" w:fill="FFFFFF"/>
            <w:vAlign w:val="center"/>
            <w:hideMark/>
          </w:tcPr>
          <w:p w14:paraId="5880A39B" w14:textId="2926CBA0"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0.20**</w:t>
            </w:r>
          </w:p>
        </w:tc>
        <w:tc>
          <w:tcPr>
            <w:tcW w:w="979" w:type="dxa"/>
            <w:tcBorders>
              <w:top w:val="nil"/>
              <w:left w:val="nil"/>
              <w:bottom w:val="nil"/>
              <w:right w:val="nil"/>
            </w:tcBorders>
            <w:shd w:val="clear" w:color="000000" w:fill="FFFFFF"/>
            <w:vAlign w:val="center"/>
            <w:hideMark/>
          </w:tcPr>
          <w:p w14:paraId="5A1156D6" w14:textId="53398D71"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-0.08**</w:t>
            </w:r>
          </w:p>
        </w:tc>
        <w:tc>
          <w:tcPr>
            <w:tcW w:w="1654" w:type="dxa"/>
            <w:tcBorders>
              <w:top w:val="nil"/>
              <w:left w:val="nil"/>
              <w:bottom w:val="nil"/>
              <w:right w:val="nil"/>
            </w:tcBorders>
            <w:shd w:val="clear" w:color="000000" w:fill="FFFFFF"/>
            <w:vAlign w:val="center"/>
            <w:hideMark/>
          </w:tcPr>
          <w:p w14:paraId="663D2E4D" w14:textId="6A4C8A3D"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0.12**</w:t>
            </w:r>
          </w:p>
        </w:tc>
        <w:tc>
          <w:tcPr>
            <w:tcW w:w="1225" w:type="dxa"/>
            <w:tcBorders>
              <w:top w:val="nil"/>
              <w:left w:val="nil"/>
              <w:bottom w:val="nil"/>
              <w:right w:val="nil"/>
            </w:tcBorders>
            <w:shd w:val="clear" w:color="000000" w:fill="FFFFFF"/>
            <w:vAlign w:val="center"/>
            <w:hideMark/>
          </w:tcPr>
          <w:p w14:paraId="542622A7" w14:textId="25845CFB"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0.07**</w:t>
            </w:r>
          </w:p>
        </w:tc>
        <w:tc>
          <w:tcPr>
            <w:tcW w:w="1049" w:type="dxa"/>
            <w:tcBorders>
              <w:top w:val="nil"/>
              <w:left w:val="nil"/>
              <w:bottom w:val="nil"/>
              <w:right w:val="nil"/>
            </w:tcBorders>
            <w:shd w:val="clear" w:color="000000" w:fill="FFFFFF"/>
            <w:vAlign w:val="center"/>
            <w:hideMark/>
          </w:tcPr>
          <w:p w14:paraId="560C42F9" w14:textId="49BFFC0B"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0.16**</w:t>
            </w:r>
          </w:p>
        </w:tc>
        <w:tc>
          <w:tcPr>
            <w:tcW w:w="992" w:type="dxa"/>
            <w:tcBorders>
              <w:top w:val="nil"/>
              <w:left w:val="nil"/>
              <w:bottom w:val="nil"/>
              <w:right w:val="nil"/>
            </w:tcBorders>
            <w:shd w:val="clear" w:color="000000" w:fill="FFFFFF"/>
            <w:vAlign w:val="center"/>
            <w:hideMark/>
          </w:tcPr>
          <w:p w14:paraId="2F723049" w14:textId="3EC36609"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-0.11**</w:t>
            </w:r>
          </w:p>
        </w:tc>
        <w:tc>
          <w:tcPr>
            <w:tcW w:w="992" w:type="dxa"/>
            <w:tcBorders>
              <w:top w:val="nil"/>
              <w:left w:val="nil"/>
              <w:bottom w:val="nil"/>
              <w:right w:val="nil"/>
            </w:tcBorders>
            <w:shd w:val="clear" w:color="000000" w:fill="FFFFFF"/>
            <w:vAlign w:val="center"/>
            <w:hideMark/>
          </w:tcPr>
          <w:p w14:paraId="4AB33497" w14:textId="074BB707"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c>
          <w:tcPr>
            <w:tcW w:w="1007" w:type="dxa"/>
            <w:tcBorders>
              <w:top w:val="nil"/>
              <w:left w:val="nil"/>
              <w:bottom w:val="nil"/>
              <w:right w:val="nil"/>
            </w:tcBorders>
            <w:shd w:val="clear" w:color="000000" w:fill="FFFFFF"/>
            <w:vAlign w:val="center"/>
            <w:hideMark/>
          </w:tcPr>
          <w:p w14:paraId="57F5570D" w14:textId="7EB932A0"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r>
      <w:tr w:rsidR="00C87B9B" w:rsidRPr="00E200A5" w14:paraId="2E198B5C" w14:textId="77777777" w:rsidTr="00C87B9B">
        <w:trPr>
          <w:trHeight w:val="414"/>
          <w:jc w:val="center"/>
        </w:trPr>
        <w:tc>
          <w:tcPr>
            <w:tcW w:w="1938" w:type="dxa"/>
            <w:tcBorders>
              <w:top w:val="nil"/>
              <w:left w:val="nil"/>
              <w:bottom w:val="nil"/>
              <w:right w:val="nil"/>
            </w:tcBorders>
            <w:shd w:val="clear" w:color="000000" w:fill="FFFFFF"/>
            <w:noWrap/>
            <w:vAlign w:val="center"/>
            <w:hideMark/>
          </w:tcPr>
          <w:p w14:paraId="3D251FC9" w14:textId="2B82E1B9" w:rsidR="00C87B9B" w:rsidRPr="00E200A5" w:rsidRDefault="00C87B9B" w:rsidP="00C915C8">
            <w:pPr>
              <w:spacing w:after="0" w:line="240" w:lineRule="auto"/>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Education</w:t>
            </w:r>
          </w:p>
        </w:tc>
        <w:tc>
          <w:tcPr>
            <w:tcW w:w="1283" w:type="dxa"/>
            <w:tcBorders>
              <w:top w:val="nil"/>
              <w:left w:val="nil"/>
              <w:bottom w:val="nil"/>
              <w:right w:val="nil"/>
            </w:tcBorders>
            <w:shd w:val="clear" w:color="000000" w:fill="FFFFFF"/>
            <w:vAlign w:val="center"/>
            <w:hideMark/>
          </w:tcPr>
          <w:p w14:paraId="54413078" w14:textId="48B04E69" w:rsidR="00C87B9B" w:rsidRPr="00E200A5" w:rsidRDefault="00B274E6"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w:t>
            </w:r>
            <w:r w:rsidR="00C87B9B" w:rsidRPr="00E200A5">
              <w:rPr>
                <w:rFonts w:ascii="Times New Roman" w:hAnsi="Times New Roman" w:cs="Times New Roman"/>
              </w:rPr>
              <w:t>0.06**</w:t>
            </w:r>
          </w:p>
        </w:tc>
        <w:tc>
          <w:tcPr>
            <w:tcW w:w="1132" w:type="dxa"/>
            <w:tcBorders>
              <w:top w:val="nil"/>
              <w:left w:val="nil"/>
              <w:bottom w:val="nil"/>
              <w:right w:val="nil"/>
            </w:tcBorders>
            <w:shd w:val="clear" w:color="000000" w:fill="FFFFFF"/>
            <w:vAlign w:val="center"/>
            <w:hideMark/>
          </w:tcPr>
          <w:p w14:paraId="63ED4C40" w14:textId="7A6DC0BD"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0.32**</w:t>
            </w:r>
          </w:p>
        </w:tc>
        <w:tc>
          <w:tcPr>
            <w:tcW w:w="1351" w:type="dxa"/>
            <w:tcBorders>
              <w:top w:val="nil"/>
              <w:left w:val="nil"/>
              <w:bottom w:val="nil"/>
              <w:right w:val="nil"/>
            </w:tcBorders>
            <w:shd w:val="clear" w:color="000000" w:fill="FFFFFF"/>
            <w:vAlign w:val="center"/>
            <w:hideMark/>
          </w:tcPr>
          <w:p w14:paraId="2193193B" w14:textId="013A4631"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-0.06**</w:t>
            </w:r>
          </w:p>
        </w:tc>
        <w:tc>
          <w:tcPr>
            <w:tcW w:w="1247" w:type="dxa"/>
            <w:tcBorders>
              <w:top w:val="nil"/>
              <w:left w:val="nil"/>
              <w:bottom w:val="nil"/>
              <w:right w:val="nil"/>
            </w:tcBorders>
            <w:shd w:val="clear" w:color="000000" w:fill="FFFFFF"/>
            <w:vAlign w:val="center"/>
            <w:hideMark/>
          </w:tcPr>
          <w:p w14:paraId="233BA814" w14:textId="566E5A39"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-0.01</w:t>
            </w:r>
          </w:p>
        </w:tc>
        <w:tc>
          <w:tcPr>
            <w:tcW w:w="1184" w:type="dxa"/>
            <w:tcBorders>
              <w:top w:val="nil"/>
              <w:left w:val="nil"/>
              <w:bottom w:val="nil"/>
              <w:right w:val="nil"/>
            </w:tcBorders>
            <w:shd w:val="clear" w:color="000000" w:fill="FFFFFF"/>
            <w:vAlign w:val="center"/>
            <w:hideMark/>
          </w:tcPr>
          <w:p w14:paraId="42ABD138" w14:textId="1A5A0496"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0.02</w:t>
            </w:r>
          </w:p>
        </w:tc>
        <w:tc>
          <w:tcPr>
            <w:tcW w:w="979" w:type="dxa"/>
            <w:tcBorders>
              <w:top w:val="nil"/>
              <w:left w:val="nil"/>
              <w:bottom w:val="nil"/>
              <w:right w:val="nil"/>
            </w:tcBorders>
            <w:shd w:val="clear" w:color="000000" w:fill="FFFFFF"/>
            <w:vAlign w:val="center"/>
            <w:hideMark/>
          </w:tcPr>
          <w:p w14:paraId="548635E6" w14:textId="22FA38C0"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0.15**</w:t>
            </w:r>
          </w:p>
        </w:tc>
        <w:tc>
          <w:tcPr>
            <w:tcW w:w="1654" w:type="dxa"/>
            <w:tcBorders>
              <w:top w:val="nil"/>
              <w:left w:val="nil"/>
              <w:bottom w:val="nil"/>
              <w:right w:val="nil"/>
            </w:tcBorders>
            <w:shd w:val="clear" w:color="000000" w:fill="FFFFFF"/>
            <w:vAlign w:val="center"/>
            <w:hideMark/>
          </w:tcPr>
          <w:p w14:paraId="3BCE8941" w14:textId="1E3339EB"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-0.05**</w:t>
            </w:r>
          </w:p>
        </w:tc>
        <w:tc>
          <w:tcPr>
            <w:tcW w:w="1225" w:type="dxa"/>
            <w:tcBorders>
              <w:top w:val="nil"/>
              <w:left w:val="nil"/>
              <w:bottom w:val="nil"/>
              <w:right w:val="nil"/>
            </w:tcBorders>
            <w:shd w:val="clear" w:color="000000" w:fill="FFFFFF"/>
            <w:vAlign w:val="center"/>
            <w:hideMark/>
          </w:tcPr>
          <w:p w14:paraId="7D744E23" w14:textId="003041C8"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0.03*</w:t>
            </w:r>
          </w:p>
        </w:tc>
        <w:tc>
          <w:tcPr>
            <w:tcW w:w="1049" w:type="dxa"/>
            <w:tcBorders>
              <w:top w:val="nil"/>
              <w:left w:val="nil"/>
              <w:bottom w:val="nil"/>
              <w:right w:val="nil"/>
            </w:tcBorders>
            <w:shd w:val="clear" w:color="000000" w:fill="FFFFFF"/>
            <w:vAlign w:val="center"/>
            <w:hideMark/>
          </w:tcPr>
          <w:p w14:paraId="71E69883" w14:textId="270594DA"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0.05**</w:t>
            </w:r>
          </w:p>
        </w:tc>
        <w:tc>
          <w:tcPr>
            <w:tcW w:w="992" w:type="dxa"/>
            <w:tcBorders>
              <w:top w:val="nil"/>
              <w:left w:val="nil"/>
              <w:bottom w:val="nil"/>
              <w:right w:val="nil"/>
            </w:tcBorders>
            <w:shd w:val="clear" w:color="000000" w:fill="FFFFFF"/>
            <w:vAlign w:val="center"/>
            <w:hideMark/>
          </w:tcPr>
          <w:p w14:paraId="3675C6E9" w14:textId="64ED2A23"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-0.16**</w:t>
            </w:r>
          </w:p>
        </w:tc>
        <w:tc>
          <w:tcPr>
            <w:tcW w:w="992" w:type="dxa"/>
            <w:tcBorders>
              <w:top w:val="nil"/>
              <w:left w:val="nil"/>
              <w:bottom w:val="nil"/>
              <w:right w:val="nil"/>
            </w:tcBorders>
            <w:shd w:val="clear" w:color="000000" w:fill="FFFFFF"/>
            <w:vAlign w:val="center"/>
            <w:hideMark/>
          </w:tcPr>
          <w:p w14:paraId="5F5CB315" w14:textId="4E5FB588"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0.04*</w:t>
            </w:r>
          </w:p>
        </w:tc>
        <w:tc>
          <w:tcPr>
            <w:tcW w:w="1007" w:type="dxa"/>
            <w:tcBorders>
              <w:top w:val="nil"/>
              <w:left w:val="nil"/>
              <w:bottom w:val="nil"/>
              <w:right w:val="nil"/>
            </w:tcBorders>
            <w:shd w:val="clear" w:color="000000" w:fill="FFFFFF"/>
            <w:vAlign w:val="center"/>
            <w:hideMark/>
          </w:tcPr>
          <w:p w14:paraId="024F0FB0" w14:textId="4C5B6C63"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p>
        </w:tc>
      </w:tr>
      <w:tr w:rsidR="00C87B9B" w:rsidRPr="00E200A5" w14:paraId="683ECA55" w14:textId="77777777" w:rsidTr="00C87B9B">
        <w:trPr>
          <w:trHeight w:val="414"/>
          <w:jc w:val="center"/>
        </w:trPr>
        <w:tc>
          <w:tcPr>
            <w:tcW w:w="1938" w:type="dxa"/>
            <w:tcBorders>
              <w:top w:val="nil"/>
              <w:left w:val="nil"/>
              <w:bottom w:val="single" w:sz="4" w:space="0" w:color="auto"/>
              <w:right w:val="nil"/>
            </w:tcBorders>
            <w:shd w:val="clear" w:color="000000" w:fill="FFFFFF"/>
            <w:noWrap/>
            <w:vAlign w:val="center"/>
            <w:hideMark/>
          </w:tcPr>
          <w:p w14:paraId="250419A6" w14:textId="24D18CD0" w:rsidR="00C87B9B" w:rsidRPr="00E200A5" w:rsidRDefault="00C87B9B" w:rsidP="00C915C8">
            <w:pPr>
              <w:spacing w:after="0" w:line="240" w:lineRule="auto"/>
              <w:rPr>
                <w:rFonts w:ascii="Times New Roman" w:eastAsia="Times New Roman" w:hAnsi="Times New Roman" w:cs="Times New Roman"/>
                <w:b/>
                <w:bCs/>
                <w:color w:val="000000"/>
                <w:sz w:val="18"/>
                <w:szCs w:val="18"/>
                <w:lang w:eastAsia="en-GB"/>
              </w:rPr>
            </w:pPr>
            <w:r w:rsidRPr="00E200A5">
              <w:rPr>
                <w:rFonts w:ascii="Times New Roman" w:eastAsia="Times New Roman" w:hAnsi="Times New Roman" w:cs="Times New Roman"/>
                <w:b/>
                <w:bCs/>
                <w:color w:val="000000"/>
                <w:sz w:val="18"/>
                <w:szCs w:val="18"/>
                <w:lang w:eastAsia="en-GB"/>
              </w:rPr>
              <w:t>Income</w:t>
            </w:r>
          </w:p>
        </w:tc>
        <w:tc>
          <w:tcPr>
            <w:tcW w:w="1283" w:type="dxa"/>
            <w:tcBorders>
              <w:top w:val="nil"/>
              <w:left w:val="nil"/>
              <w:bottom w:val="single" w:sz="4" w:space="0" w:color="auto"/>
              <w:right w:val="nil"/>
            </w:tcBorders>
            <w:shd w:val="clear" w:color="000000" w:fill="FFFFFF"/>
            <w:vAlign w:val="center"/>
            <w:hideMark/>
          </w:tcPr>
          <w:p w14:paraId="2958BBE4" w14:textId="2EBCDCA0" w:rsidR="00C87B9B" w:rsidRPr="00E200A5" w:rsidRDefault="00B274E6"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w:t>
            </w:r>
            <w:r w:rsidR="00C87B9B" w:rsidRPr="00E200A5">
              <w:rPr>
                <w:rFonts w:ascii="Times New Roman" w:hAnsi="Times New Roman" w:cs="Times New Roman"/>
              </w:rPr>
              <w:t>0.07**</w:t>
            </w:r>
          </w:p>
        </w:tc>
        <w:tc>
          <w:tcPr>
            <w:tcW w:w="1132" w:type="dxa"/>
            <w:tcBorders>
              <w:top w:val="nil"/>
              <w:left w:val="nil"/>
              <w:bottom w:val="single" w:sz="4" w:space="0" w:color="auto"/>
              <w:right w:val="nil"/>
            </w:tcBorders>
            <w:shd w:val="clear" w:color="000000" w:fill="FFFFFF"/>
            <w:vAlign w:val="center"/>
            <w:hideMark/>
          </w:tcPr>
          <w:p w14:paraId="4C2CD159" w14:textId="5EA69B27"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0.25**</w:t>
            </w:r>
          </w:p>
        </w:tc>
        <w:tc>
          <w:tcPr>
            <w:tcW w:w="1351" w:type="dxa"/>
            <w:tcBorders>
              <w:top w:val="nil"/>
              <w:left w:val="nil"/>
              <w:bottom w:val="single" w:sz="4" w:space="0" w:color="auto"/>
              <w:right w:val="nil"/>
            </w:tcBorders>
            <w:shd w:val="clear" w:color="000000" w:fill="FFFFFF"/>
            <w:vAlign w:val="center"/>
            <w:hideMark/>
          </w:tcPr>
          <w:p w14:paraId="6E683406" w14:textId="2EAD6DF3"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-0.10**</w:t>
            </w:r>
          </w:p>
        </w:tc>
        <w:tc>
          <w:tcPr>
            <w:tcW w:w="1247" w:type="dxa"/>
            <w:tcBorders>
              <w:top w:val="nil"/>
              <w:left w:val="nil"/>
              <w:bottom w:val="single" w:sz="4" w:space="0" w:color="auto"/>
              <w:right w:val="nil"/>
            </w:tcBorders>
            <w:shd w:val="clear" w:color="000000" w:fill="FFFFFF"/>
            <w:vAlign w:val="center"/>
            <w:hideMark/>
          </w:tcPr>
          <w:p w14:paraId="2EA0AB37" w14:textId="13ACD9C6"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-0.01</w:t>
            </w:r>
          </w:p>
        </w:tc>
        <w:tc>
          <w:tcPr>
            <w:tcW w:w="1184" w:type="dxa"/>
            <w:tcBorders>
              <w:top w:val="nil"/>
              <w:left w:val="nil"/>
              <w:bottom w:val="single" w:sz="4" w:space="0" w:color="auto"/>
              <w:right w:val="nil"/>
            </w:tcBorders>
            <w:shd w:val="clear" w:color="000000" w:fill="FFFFFF"/>
            <w:vAlign w:val="center"/>
            <w:hideMark/>
          </w:tcPr>
          <w:p w14:paraId="64D51925" w14:textId="4DA465BA"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-0.12**</w:t>
            </w:r>
          </w:p>
        </w:tc>
        <w:tc>
          <w:tcPr>
            <w:tcW w:w="979" w:type="dxa"/>
            <w:tcBorders>
              <w:top w:val="nil"/>
              <w:left w:val="nil"/>
              <w:bottom w:val="single" w:sz="4" w:space="0" w:color="auto"/>
              <w:right w:val="nil"/>
            </w:tcBorders>
            <w:shd w:val="clear" w:color="000000" w:fill="FFFFFF"/>
            <w:vAlign w:val="center"/>
            <w:hideMark/>
          </w:tcPr>
          <w:p w14:paraId="5E329B2C" w14:textId="34808A21"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0.05**</w:t>
            </w:r>
          </w:p>
        </w:tc>
        <w:tc>
          <w:tcPr>
            <w:tcW w:w="1654" w:type="dxa"/>
            <w:tcBorders>
              <w:top w:val="nil"/>
              <w:left w:val="nil"/>
              <w:bottom w:val="single" w:sz="4" w:space="0" w:color="auto"/>
              <w:right w:val="nil"/>
            </w:tcBorders>
            <w:shd w:val="clear" w:color="000000" w:fill="FFFFFF"/>
            <w:vAlign w:val="center"/>
            <w:hideMark/>
          </w:tcPr>
          <w:p w14:paraId="5677D50E" w14:textId="06156C2C" w:rsidR="00C87B9B" w:rsidRPr="00E200A5" w:rsidRDefault="007E514F"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&lt;</w:t>
            </w:r>
            <w:r w:rsidR="00C87B9B" w:rsidRPr="00E200A5">
              <w:rPr>
                <w:rFonts w:ascii="Times New Roman" w:hAnsi="Times New Roman" w:cs="Times New Roman"/>
              </w:rPr>
              <w:t>0</w:t>
            </w:r>
            <w:r w:rsidR="00B274E6" w:rsidRPr="00E200A5">
              <w:rPr>
                <w:rFonts w:ascii="Times New Roman" w:hAnsi="Times New Roman" w:cs="Times New Roman"/>
              </w:rPr>
              <w:t>.0</w:t>
            </w:r>
            <w:r w:rsidRPr="00E200A5">
              <w:rPr>
                <w:rFonts w:ascii="Times New Roman" w:hAnsi="Times New Roman" w:cs="Times New Roman"/>
              </w:rPr>
              <w:t>1</w:t>
            </w:r>
          </w:p>
        </w:tc>
        <w:tc>
          <w:tcPr>
            <w:tcW w:w="1225" w:type="dxa"/>
            <w:tcBorders>
              <w:top w:val="nil"/>
              <w:left w:val="nil"/>
              <w:bottom w:val="single" w:sz="4" w:space="0" w:color="auto"/>
              <w:right w:val="nil"/>
            </w:tcBorders>
            <w:shd w:val="clear" w:color="000000" w:fill="FFFFFF"/>
            <w:vAlign w:val="center"/>
            <w:hideMark/>
          </w:tcPr>
          <w:p w14:paraId="4E354D68" w14:textId="73A5B3FC"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0.02*</w:t>
            </w:r>
          </w:p>
        </w:tc>
        <w:tc>
          <w:tcPr>
            <w:tcW w:w="1049" w:type="dxa"/>
            <w:tcBorders>
              <w:top w:val="nil"/>
              <w:left w:val="nil"/>
              <w:bottom w:val="single" w:sz="4" w:space="0" w:color="auto"/>
              <w:right w:val="nil"/>
            </w:tcBorders>
            <w:shd w:val="clear" w:color="000000" w:fill="FFFFFF"/>
            <w:vAlign w:val="center"/>
            <w:hideMark/>
          </w:tcPr>
          <w:p w14:paraId="6DE76805" w14:textId="25552093"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-0.07**</w:t>
            </w:r>
          </w:p>
        </w:tc>
        <w:tc>
          <w:tcPr>
            <w:tcW w:w="992" w:type="dxa"/>
            <w:tcBorders>
              <w:top w:val="nil"/>
              <w:left w:val="nil"/>
              <w:bottom w:val="single" w:sz="4" w:space="0" w:color="auto"/>
              <w:right w:val="nil"/>
            </w:tcBorders>
            <w:shd w:val="clear" w:color="000000" w:fill="FFFFFF"/>
            <w:vAlign w:val="center"/>
            <w:hideMark/>
          </w:tcPr>
          <w:p w14:paraId="618E6E77" w14:textId="2A481419"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-0.14**</w:t>
            </w:r>
          </w:p>
        </w:tc>
        <w:tc>
          <w:tcPr>
            <w:tcW w:w="992" w:type="dxa"/>
            <w:tcBorders>
              <w:top w:val="nil"/>
              <w:left w:val="nil"/>
              <w:bottom w:val="single" w:sz="4" w:space="0" w:color="auto"/>
              <w:right w:val="nil"/>
            </w:tcBorders>
            <w:shd w:val="clear" w:color="000000" w:fill="FFFFFF"/>
            <w:vAlign w:val="center"/>
            <w:hideMark/>
          </w:tcPr>
          <w:p w14:paraId="3030C5BD" w14:textId="384C07A3"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-0.29**</w:t>
            </w:r>
          </w:p>
        </w:tc>
        <w:tc>
          <w:tcPr>
            <w:tcW w:w="1007" w:type="dxa"/>
            <w:tcBorders>
              <w:top w:val="nil"/>
              <w:left w:val="nil"/>
              <w:bottom w:val="single" w:sz="4" w:space="0" w:color="auto"/>
              <w:right w:val="nil"/>
            </w:tcBorders>
            <w:shd w:val="clear" w:color="000000" w:fill="FFFFFF"/>
            <w:vAlign w:val="center"/>
            <w:hideMark/>
          </w:tcPr>
          <w:p w14:paraId="5A1EBCD3" w14:textId="0C6DC6DE" w:rsidR="00C87B9B" w:rsidRPr="00E200A5" w:rsidRDefault="00C87B9B" w:rsidP="00C915C8">
            <w:pPr>
              <w:spacing w:after="0" w:line="240" w:lineRule="auto"/>
              <w:jc w:val="center"/>
              <w:rPr>
                <w:rFonts w:ascii="Times New Roman" w:eastAsia="Times New Roman" w:hAnsi="Times New Roman" w:cs="Times New Roman"/>
                <w:color w:val="000000"/>
                <w:sz w:val="18"/>
                <w:szCs w:val="18"/>
                <w:lang w:eastAsia="en-GB"/>
              </w:rPr>
            </w:pPr>
            <w:r w:rsidRPr="00E200A5">
              <w:rPr>
                <w:rFonts w:ascii="Times New Roman" w:hAnsi="Times New Roman" w:cs="Times New Roman"/>
              </w:rPr>
              <w:t>0.26**</w:t>
            </w:r>
          </w:p>
        </w:tc>
      </w:tr>
    </w:tbl>
    <w:bookmarkEnd w:id="1"/>
    <w:p w14:paraId="37F4465D" w14:textId="49AEEEBA" w:rsidR="004040CB" w:rsidRPr="00E200A5" w:rsidRDefault="00B0138B" w:rsidP="00C915C8">
      <w:pPr>
        <w:spacing w:after="0" w:line="480" w:lineRule="auto"/>
        <w:jc w:val="both"/>
        <w:rPr>
          <w:rFonts w:ascii="Times New Roman" w:eastAsia="Times New Roman" w:hAnsi="Times New Roman" w:cs="Times New Roman"/>
          <w:i/>
          <w:iCs/>
          <w:sz w:val="24"/>
          <w:szCs w:val="24"/>
          <w:lang w:eastAsia="en-GB"/>
        </w:rPr>
        <w:sectPr w:rsidR="004040CB" w:rsidRPr="00E200A5" w:rsidSect="00C915C8">
          <w:pgSz w:w="16838" w:h="11906" w:orient="landscape"/>
          <w:pgMar w:top="720" w:right="720" w:bottom="720" w:left="720" w:header="708" w:footer="708" w:gutter="0"/>
          <w:cols w:space="708"/>
          <w:docGrid w:linePitch="360"/>
        </w:sectPr>
      </w:pPr>
      <w:r w:rsidRPr="00E200A5">
        <w:rPr>
          <w:rFonts w:ascii="Times New Roman" w:eastAsia="Times New Roman" w:hAnsi="Times New Roman" w:cs="Times New Roman"/>
          <w:sz w:val="24"/>
          <w:szCs w:val="24"/>
          <w:lang w:eastAsia="en-GB"/>
        </w:rPr>
        <w:t xml:space="preserve">Note: </w:t>
      </w:r>
      <w:r w:rsidR="003E44B7" w:rsidRPr="00E200A5">
        <w:rPr>
          <w:rFonts w:ascii="Times New Roman" w:eastAsia="Times New Roman" w:hAnsi="Times New Roman" w:cs="Times New Roman"/>
          <w:i/>
          <w:iCs/>
          <w:sz w:val="24"/>
          <w:szCs w:val="24"/>
          <w:lang w:eastAsia="en-GB"/>
        </w:rPr>
        <w:t>**</w:t>
      </w:r>
      <w:r w:rsidRPr="00E200A5">
        <w:rPr>
          <w:rFonts w:ascii="Times New Roman" w:eastAsia="Times New Roman" w:hAnsi="Times New Roman" w:cs="Times New Roman"/>
          <w:i/>
          <w:iCs/>
          <w:sz w:val="24"/>
          <w:szCs w:val="24"/>
          <w:lang w:eastAsia="en-GB"/>
        </w:rPr>
        <w:t xml:space="preserve"> = p&lt;.001, *=p&lt;.05.</w:t>
      </w:r>
      <w:r w:rsidR="00061F80" w:rsidRPr="00E200A5">
        <w:rPr>
          <w:rFonts w:ascii="Times New Roman" w:eastAsia="Times New Roman" w:hAnsi="Times New Roman" w:cs="Times New Roman"/>
          <w:i/>
          <w:iCs/>
          <w:sz w:val="24"/>
          <w:szCs w:val="24"/>
          <w:lang w:eastAsia="en-GB"/>
        </w:rPr>
        <w:t xml:space="preserve"> </w:t>
      </w:r>
      <w:r w:rsidR="00AB4947" w:rsidRPr="00E200A5">
        <w:rPr>
          <w:rFonts w:ascii="Times New Roman" w:eastAsia="Times New Roman" w:hAnsi="Times New Roman" w:cs="Times New Roman"/>
          <w:i/>
          <w:iCs/>
          <w:sz w:val="24"/>
          <w:szCs w:val="24"/>
          <w:lang w:eastAsia="en-GB"/>
        </w:rPr>
        <w:t>Male = 0, Female = 1.</w:t>
      </w:r>
    </w:p>
    <w:p w14:paraId="1385B1B7" w14:textId="6A765531" w:rsidR="00AA77D9" w:rsidRPr="00E200A5" w:rsidRDefault="000816E3" w:rsidP="00C915C8">
      <w:pPr>
        <w:spacing w:after="0" w:line="480" w:lineRule="auto"/>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b/>
          <w:bCs/>
          <w:color w:val="000000"/>
          <w:sz w:val="24"/>
          <w:szCs w:val="24"/>
          <w:lang w:eastAsia="en-GB"/>
        </w:rPr>
        <w:lastRenderedPageBreak/>
        <w:t xml:space="preserve">Table 3. </w:t>
      </w:r>
      <w:r w:rsidR="002056FB" w:rsidRPr="00E200A5">
        <w:rPr>
          <w:rFonts w:ascii="Times New Roman" w:eastAsia="Times New Roman" w:hAnsi="Times New Roman" w:cs="Times New Roman"/>
          <w:bCs/>
          <w:color w:val="000000"/>
          <w:sz w:val="24"/>
          <w:szCs w:val="24"/>
          <w:lang w:eastAsia="en-GB"/>
        </w:rPr>
        <w:t>Ordinal</w:t>
      </w:r>
      <w:r w:rsidR="0053569D" w:rsidRPr="00E200A5">
        <w:rPr>
          <w:rFonts w:ascii="Times New Roman" w:eastAsia="Times New Roman" w:hAnsi="Times New Roman" w:cs="Times New Roman"/>
          <w:bCs/>
          <w:color w:val="000000"/>
          <w:sz w:val="24"/>
          <w:szCs w:val="24"/>
          <w:lang w:eastAsia="en-GB"/>
        </w:rPr>
        <w:t xml:space="preserve"> </w:t>
      </w:r>
      <w:r w:rsidRPr="00E200A5">
        <w:rPr>
          <w:rFonts w:ascii="Times New Roman" w:eastAsia="Times New Roman" w:hAnsi="Times New Roman" w:cs="Times New Roman"/>
          <w:bCs/>
          <w:color w:val="000000"/>
          <w:sz w:val="24"/>
          <w:szCs w:val="24"/>
          <w:lang w:eastAsia="en-GB"/>
        </w:rPr>
        <w:t xml:space="preserve">logistic regression model for </w:t>
      </w:r>
      <w:r w:rsidR="000D1673" w:rsidRPr="00E200A5">
        <w:rPr>
          <w:rFonts w:ascii="Times New Roman" w:eastAsia="Times New Roman" w:hAnsi="Times New Roman" w:cs="Times New Roman"/>
          <w:bCs/>
          <w:color w:val="000000"/>
          <w:sz w:val="24"/>
          <w:szCs w:val="24"/>
          <w:lang w:eastAsia="en-GB"/>
        </w:rPr>
        <w:t>COVID</w:t>
      </w:r>
      <w:r w:rsidRPr="00E200A5">
        <w:rPr>
          <w:rFonts w:ascii="Times New Roman" w:eastAsia="Times New Roman" w:hAnsi="Times New Roman" w:cs="Times New Roman"/>
          <w:bCs/>
          <w:color w:val="000000"/>
          <w:sz w:val="24"/>
          <w:szCs w:val="24"/>
          <w:lang w:eastAsia="en-GB"/>
        </w:rPr>
        <w:t xml:space="preserve">-19 vaccination </w:t>
      </w:r>
      <w:r w:rsidR="00AA77D9" w:rsidRPr="00E200A5">
        <w:rPr>
          <w:rFonts w:ascii="Times New Roman" w:eastAsia="Times New Roman" w:hAnsi="Times New Roman" w:cs="Times New Roman"/>
          <w:bCs/>
          <w:color w:val="000000"/>
          <w:sz w:val="24"/>
          <w:szCs w:val="24"/>
          <w:lang w:eastAsia="en-GB"/>
        </w:rPr>
        <w:t>hesitancy</w:t>
      </w:r>
      <w:r w:rsidR="00352626" w:rsidRPr="00E200A5">
        <w:rPr>
          <w:rFonts w:ascii="Times New Roman" w:eastAsia="Times New Roman" w:hAnsi="Times New Roman" w:cs="Times New Roman"/>
          <w:bCs/>
          <w:color w:val="000000"/>
          <w:sz w:val="24"/>
          <w:szCs w:val="24"/>
          <w:lang w:eastAsia="en-GB"/>
        </w:rPr>
        <w:t xml:space="preserve"> using the full sample.</w:t>
      </w:r>
      <w:r w:rsidR="00DA15A0" w:rsidRPr="00E200A5" w:rsidDel="00DA15A0">
        <w:rPr>
          <w:rFonts w:ascii="Times New Roman" w:eastAsia="Times New Roman" w:hAnsi="Times New Roman" w:cs="Times New Roman"/>
          <w:bCs/>
          <w:color w:val="000000"/>
          <w:sz w:val="24"/>
          <w:szCs w:val="24"/>
          <w:lang w:eastAsia="en-GB"/>
        </w:rPr>
        <w:t xml:space="preserve"> </w:t>
      </w:r>
    </w:p>
    <w:tbl>
      <w:tblPr>
        <w:tblW w:w="8468" w:type="dxa"/>
        <w:tblLook w:val="04A0" w:firstRow="1" w:lastRow="0" w:firstColumn="1" w:lastColumn="0" w:noHBand="0" w:noVBand="1"/>
      </w:tblPr>
      <w:tblGrid>
        <w:gridCol w:w="4874"/>
        <w:gridCol w:w="1300"/>
        <w:gridCol w:w="1137"/>
        <w:gridCol w:w="1157"/>
      </w:tblGrid>
      <w:tr w:rsidR="003164E8" w:rsidRPr="00E200A5" w14:paraId="58440507" w14:textId="77777777" w:rsidTr="00BC0608">
        <w:trPr>
          <w:trHeight w:val="289"/>
        </w:trPr>
        <w:tc>
          <w:tcPr>
            <w:tcW w:w="4874" w:type="dxa"/>
            <w:tcBorders>
              <w:top w:val="single" w:sz="4" w:space="0" w:color="auto"/>
              <w:left w:val="nil"/>
              <w:bottom w:val="single" w:sz="4" w:space="0" w:color="auto"/>
              <w:right w:val="nil"/>
            </w:tcBorders>
            <w:shd w:val="clear" w:color="auto" w:fill="auto"/>
            <w:noWrap/>
            <w:vAlign w:val="center"/>
            <w:hideMark/>
          </w:tcPr>
          <w:p w14:paraId="048EC4E2" w14:textId="77777777" w:rsidR="003164E8" w:rsidRPr="00E200A5" w:rsidRDefault="003164E8" w:rsidP="00C915C8">
            <w:pPr>
              <w:spacing w:after="0" w:line="360" w:lineRule="auto"/>
              <w:contextualSpacing/>
              <w:rPr>
                <w:rFonts w:ascii="Times New Roman" w:eastAsia="Times New Roman" w:hAnsi="Times New Roman" w:cs="Times New Roman"/>
                <w:b/>
                <w:bCs/>
                <w:color w:val="000000"/>
                <w:lang w:eastAsia="en-GB"/>
              </w:rPr>
            </w:pPr>
            <w:r w:rsidRPr="00E200A5">
              <w:rPr>
                <w:rFonts w:ascii="Times New Roman" w:eastAsia="Times New Roman" w:hAnsi="Times New Roman" w:cs="Times New Roman"/>
                <w:b/>
                <w:bCs/>
                <w:color w:val="000000"/>
                <w:lang w:eastAsia="en-GB"/>
              </w:rPr>
              <w:t>Characteristic</w:t>
            </w:r>
          </w:p>
        </w:tc>
        <w:tc>
          <w:tcPr>
            <w:tcW w:w="1300" w:type="dxa"/>
            <w:tcBorders>
              <w:top w:val="single" w:sz="4" w:space="0" w:color="auto"/>
              <w:left w:val="nil"/>
              <w:bottom w:val="single" w:sz="4" w:space="0" w:color="auto"/>
              <w:right w:val="nil"/>
            </w:tcBorders>
            <w:shd w:val="clear" w:color="auto" w:fill="auto"/>
            <w:noWrap/>
            <w:vAlign w:val="center"/>
            <w:hideMark/>
          </w:tcPr>
          <w:p w14:paraId="7423CF12" w14:textId="77777777" w:rsidR="003164E8" w:rsidRPr="00E200A5" w:rsidRDefault="003164E8"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eastAsia="Times New Roman" w:hAnsi="Times New Roman" w:cs="Times New Roman"/>
                <w:b/>
                <w:bCs/>
                <w:color w:val="000000"/>
                <w:lang w:eastAsia="en-GB"/>
              </w:rPr>
              <w:t>OR</w:t>
            </w:r>
            <w:r w:rsidRPr="00E200A5">
              <w:rPr>
                <w:rFonts w:ascii="Times New Roman" w:eastAsia="Times New Roman" w:hAnsi="Times New Roman" w:cs="Times New Roman"/>
                <w:b/>
                <w:bCs/>
                <w:color w:val="000000"/>
                <w:vertAlign w:val="superscript"/>
                <w:lang w:eastAsia="en-GB"/>
              </w:rPr>
              <w:t>1</w:t>
            </w:r>
          </w:p>
        </w:tc>
        <w:tc>
          <w:tcPr>
            <w:tcW w:w="1137" w:type="dxa"/>
            <w:tcBorders>
              <w:top w:val="single" w:sz="4" w:space="0" w:color="auto"/>
              <w:left w:val="nil"/>
              <w:bottom w:val="single" w:sz="4" w:space="0" w:color="auto"/>
              <w:right w:val="nil"/>
            </w:tcBorders>
            <w:shd w:val="clear" w:color="auto" w:fill="auto"/>
            <w:noWrap/>
            <w:vAlign w:val="center"/>
            <w:hideMark/>
          </w:tcPr>
          <w:p w14:paraId="1CCBE80C" w14:textId="77777777" w:rsidR="003164E8" w:rsidRPr="00E200A5" w:rsidRDefault="003164E8"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eastAsia="Times New Roman" w:hAnsi="Times New Roman" w:cs="Times New Roman"/>
                <w:b/>
                <w:bCs/>
                <w:color w:val="000000"/>
                <w:lang w:eastAsia="en-GB"/>
              </w:rPr>
              <w:t>95% CI</w:t>
            </w:r>
            <w:r w:rsidRPr="00E200A5">
              <w:rPr>
                <w:rFonts w:ascii="Times New Roman" w:eastAsia="Times New Roman" w:hAnsi="Times New Roman" w:cs="Times New Roman"/>
                <w:b/>
                <w:bCs/>
                <w:color w:val="000000"/>
                <w:vertAlign w:val="superscript"/>
                <w:lang w:eastAsia="en-GB"/>
              </w:rPr>
              <w:t>1</w:t>
            </w:r>
          </w:p>
        </w:tc>
        <w:tc>
          <w:tcPr>
            <w:tcW w:w="1157" w:type="dxa"/>
            <w:tcBorders>
              <w:top w:val="single" w:sz="4" w:space="0" w:color="auto"/>
              <w:left w:val="nil"/>
              <w:bottom w:val="single" w:sz="4" w:space="0" w:color="auto"/>
              <w:right w:val="nil"/>
            </w:tcBorders>
            <w:shd w:val="clear" w:color="auto" w:fill="auto"/>
            <w:noWrap/>
            <w:vAlign w:val="center"/>
            <w:hideMark/>
          </w:tcPr>
          <w:p w14:paraId="5591DFD0" w14:textId="77777777" w:rsidR="003164E8" w:rsidRPr="00E200A5" w:rsidRDefault="003164E8"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eastAsia="Times New Roman" w:hAnsi="Times New Roman" w:cs="Times New Roman"/>
                <w:b/>
                <w:bCs/>
                <w:color w:val="000000"/>
                <w:lang w:eastAsia="en-GB"/>
              </w:rPr>
              <w:t>p-value</w:t>
            </w:r>
          </w:p>
        </w:tc>
      </w:tr>
      <w:tr w:rsidR="00C86979" w:rsidRPr="00E200A5" w14:paraId="2D8B9D92" w14:textId="77777777" w:rsidTr="00BC0608">
        <w:trPr>
          <w:trHeight w:val="289"/>
        </w:trPr>
        <w:tc>
          <w:tcPr>
            <w:tcW w:w="4874" w:type="dxa"/>
            <w:tcBorders>
              <w:top w:val="nil"/>
              <w:left w:val="nil"/>
              <w:bottom w:val="nil"/>
              <w:right w:val="nil"/>
            </w:tcBorders>
            <w:shd w:val="clear" w:color="auto" w:fill="auto"/>
            <w:noWrap/>
            <w:vAlign w:val="center"/>
            <w:hideMark/>
          </w:tcPr>
          <w:p w14:paraId="4481CEE9" w14:textId="0660429F" w:rsidR="00C86979" w:rsidRPr="00E200A5" w:rsidRDefault="00C86979" w:rsidP="00C915C8">
            <w:pPr>
              <w:spacing w:after="0" w:line="360" w:lineRule="auto"/>
              <w:contextualSpacing/>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Intelligence</w:t>
            </w:r>
          </w:p>
        </w:tc>
        <w:tc>
          <w:tcPr>
            <w:tcW w:w="1300" w:type="dxa"/>
            <w:tcBorders>
              <w:top w:val="nil"/>
              <w:left w:val="nil"/>
              <w:bottom w:val="nil"/>
              <w:right w:val="nil"/>
            </w:tcBorders>
            <w:shd w:val="clear" w:color="auto" w:fill="auto"/>
            <w:noWrap/>
            <w:hideMark/>
          </w:tcPr>
          <w:p w14:paraId="42EB93AA" w14:textId="35E87E2B"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0.86</w:t>
            </w:r>
          </w:p>
        </w:tc>
        <w:tc>
          <w:tcPr>
            <w:tcW w:w="1137" w:type="dxa"/>
            <w:tcBorders>
              <w:top w:val="nil"/>
              <w:left w:val="nil"/>
              <w:bottom w:val="nil"/>
              <w:right w:val="nil"/>
            </w:tcBorders>
            <w:shd w:val="clear" w:color="auto" w:fill="auto"/>
            <w:noWrap/>
            <w:hideMark/>
          </w:tcPr>
          <w:p w14:paraId="628CC47C" w14:textId="333CF823"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0.83, 0.89</w:t>
            </w:r>
          </w:p>
        </w:tc>
        <w:tc>
          <w:tcPr>
            <w:tcW w:w="1157" w:type="dxa"/>
            <w:tcBorders>
              <w:top w:val="nil"/>
              <w:left w:val="nil"/>
              <w:bottom w:val="nil"/>
              <w:right w:val="nil"/>
            </w:tcBorders>
            <w:shd w:val="clear" w:color="auto" w:fill="auto"/>
            <w:noWrap/>
            <w:hideMark/>
          </w:tcPr>
          <w:p w14:paraId="4D5AC02F" w14:textId="45081940"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&lt;0.001</w:t>
            </w:r>
          </w:p>
        </w:tc>
      </w:tr>
      <w:tr w:rsidR="00C86979" w:rsidRPr="00E200A5" w14:paraId="5EA5DCE1" w14:textId="77777777" w:rsidTr="00BC0608">
        <w:trPr>
          <w:trHeight w:val="289"/>
        </w:trPr>
        <w:tc>
          <w:tcPr>
            <w:tcW w:w="4874" w:type="dxa"/>
            <w:tcBorders>
              <w:top w:val="nil"/>
              <w:left w:val="nil"/>
              <w:bottom w:val="nil"/>
              <w:right w:val="nil"/>
            </w:tcBorders>
            <w:shd w:val="clear" w:color="auto" w:fill="auto"/>
            <w:noWrap/>
            <w:vAlign w:val="center"/>
            <w:hideMark/>
          </w:tcPr>
          <w:p w14:paraId="6028C35A" w14:textId="62BD917A" w:rsidR="00C86979" w:rsidRPr="00E200A5" w:rsidRDefault="00C86979" w:rsidP="00C915C8">
            <w:pPr>
              <w:spacing w:after="0" w:line="360" w:lineRule="auto"/>
              <w:contextualSpacing/>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Agreeableness</w:t>
            </w:r>
          </w:p>
        </w:tc>
        <w:tc>
          <w:tcPr>
            <w:tcW w:w="1300" w:type="dxa"/>
            <w:tcBorders>
              <w:top w:val="nil"/>
              <w:left w:val="nil"/>
              <w:bottom w:val="nil"/>
              <w:right w:val="nil"/>
            </w:tcBorders>
            <w:shd w:val="clear" w:color="auto" w:fill="auto"/>
            <w:noWrap/>
            <w:hideMark/>
          </w:tcPr>
          <w:p w14:paraId="16DB4151" w14:textId="1D82DE5F" w:rsidR="00C86979" w:rsidRPr="00E200A5" w:rsidRDefault="00C86979" w:rsidP="00C915C8">
            <w:pPr>
              <w:spacing w:after="0" w:line="360" w:lineRule="auto"/>
              <w:contextualSpacing/>
              <w:jc w:val="center"/>
              <w:rPr>
                <w:rFonts w:ascii="Times New Roman" w:eastAsia="Times New Roman" w:hAnsi="Times New Roman" w:cs="Times New Roman"/>
                <w:color w:val="000000"/>
                <w:lang w:eastAsia="en-GB"/>
              </w:rPr>
            </w:pPr>
            <w:r w:rsidRPr="00E200A5">
              <w:rPr>
                <w:rFonts w:ascii="Times New Roman" w:hAnsi="Times New Roman" w:cs="Times New Roman"/>
              </w:rPr>
              <w:t>0.96</w:t>
            </w:r>
          </w:p>
        </w:tc>
        <w:tc>
          <w:tcPr>
            <w:tcW w:w="1137" w:type="dxa"/>
            <w:tcBorders>
              <w:top w:val="nil"/>
              <w:left w:val="nil"/>
              <w:bottom w:val="nil"/>
              <w:right w:val="nil"/>
            </w:tcBorders>
            <w:shd w:val="clear" w:color="auto" w:fill="auto"/>
            <w:noWrap/>
            <w:hideMark/>
          </w:tcPr>
          <w:p w14:paraId="7465904C" w14:textId="4099AF50" w:rsidR="00C86979" w:rsidRPr="00E200A5" w:rsidRDefault="00C86979" w:rsidP="00C915C8">
            <w:pPr>
              <w:spacing w:after="0" w:line="360" w:lineRule="auto"/>
              <w:contextualSpacing/>
              <w:jc w:val="center"/>
              <w:rPr>
                <w:rFonts w:ascii="Times New Roman" w:eastAsia="Times New Roman" w:hAnsi="Times New Roman" w:cs="Times New Roman"/>
                <w:color w:val="000000"/>
                <w:lang w:eastAsia="en-GB"/>
              </w:rPr>
            </w:pPr>
            <w:r w:rsidRPr="00E200A5">
              <w:rPr>
                <w:rFonts w:ascii="Times New Roman" w:hAnsi="Times New Roman" w:cs="Times New Roman"/>
              </w:rPr>
              <w:t>0.91, 1.02</w:t>
            </w:r>
          </w:p>
        </w:tc>
        <w:tc>
          <w:tcPr>
            <w:tcW w:w="1157" w:type="dxa"/>
            <w:tcBorders>
              <w:top w:val="nil"/>
              <w:left w:val="nil"/>
              <w:bottom w:val="nil"/>
              <w:right w:val="nil"/>
            </w:tcBorders>
            <w:shd w:val="clear" w:color="auto" w:fill="auto"/>
            <w:noWrap/>
            <w:hideMark/>
          </w:tcPr>
          <w:p w14:paraId="775DA592" w14:textId="62E770DE" w:rsidR="00C86979" w:rsidRPr="00E200A5" w:rsidRDefault="00C86979" w:rsidP="00C915C8">
            <w:pPr>
              <w:spacing w:after="0" w:line="360" w:lineRule="auto"/>
              <w:contextualSpacing/>
              <w:jc w:val="center"/>
              <w:rPr>
                <w:rFonts w:ascii="Times New Roman" w:eastAsia="Times New Roman" w:hAnsi="Times New Roman" w:cs="Times New Roman"/>
                <w:color w:val="000000"/>
                <w:lang w:eastAsia="en-GB"/>
              </w:rPr>
            </w:pPr>
            <w:r w:rsidRPr="00E200A5">
              <w:rPr>
                <w:rFonts w:ascii="Times New Roman" w:hAnsi="Times New Roman" w:cs="Times New Roman"/>
              </w:rPr>
              <w:t>0.163</w:t>
            </w:r>
          </w:p>
        </w:tc>
      </w:tr>
      <w:tr w:rsidR="00C86979" w:rsidRPr="00E200A5" w14:paraId="16C3147D" w14:textId="77777777" w:rsidTr="00BC0608">
        <w:trPr>
          <w:trHeight w:val="289"/>
        </w:trPr>
        <w:tc>
          <w:tcPr>
            <w:tcW w:w="4874" w:type="dxa"/>
            <w:tcBorders>
              <w:top w:val="nil"/>
              <w:left w:val="nil"/>
              <w:bottom w:val="nil"/>
              <w:right w:val="nil"/>
            </w:tcBorders>
            <w:shd w:val="clear" w:color="auto" w:fill="auto"/>
            <w:noWrap/>
            <w:vAlign w:val="center"/>
            <w:hideMark/>
          </w:tcPr>
          <w:p w14:paraId="1C1793E9" w14:textId="63E1E890" w:rsidR="00C86979" w:rsidRPr="00E200A5" w:rsidRDefault="00C86979" w:rsidP="00C915C8">
            <w:pPr>
              <w:spacing w:after="0" w:line="360" w:lineRule="auto"/>
              <w:contextualSpacing/>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Extraversion</w:t>
            </w:r>
          </w:p>
        </w:tc>
        <w:tc>
          <w:tcPr>
            <w:tcW w:w="1300" w:type="dxa"/>
            <w:tcBorders>
              <w:top w:val="nil"/>
              <w:left w:val="nil"/>
              <w:bottom w:val="nil"/>
              <w:right w:val="nil"/>
            </w:tcBorders>
            <w:shd w:val="clear" w:color="auto" w:fill="auto"/>
            <w:noWrap/>
            <w:hideMark/>
          </w:tcPr>
          <w:p w14:paraId="4F9201E6" w14:textId="6CA3B613" w:rsidR="00C86979" w:rsidRPr="00E200A5" w:rsidRDefault="00C86979" w:rsidP="00C915C8">
            <w:pPr>
              <w:spacing w:after="0" w:line="360" w:lineRule="auto"/>
              <w:contextualSpacing/>
              <w:jc w:val="center"/>
              <w:rPr>
                <w:rFonts w:ascii="Times New Roman" w:eastAsia="Times New Roman" w:hAnsi="Times New Roman" w:cs="Times New Roman"/>
                <w:color w:val="000000"/>
                <w:lang w:eastAsia="en-GB"/>
              </w:rPr>
            </w:pPr>
            <w:r w:rsidRPr="00E200A5">
              <w:rPr>
                <w:rFonts w:ascii="Times New Roman" w:hAnsi="Times New Roman" w:cs="Times New Roman"/>
              </w:rPr>
              <w:t>0.97</w:t>
            </w:r>
          </w:p>
        </w:tc>
        <w:tc>
          <w:tcPr>
            <w:tcW w:w="1137" w:type="dxa"/>
            <w:tcBorders>
              <w:top w:val="nil"/>
              <w:left w:val="nil"/>
              <w:bottom w:val="nil"/>
              <w:right w:val="nil"/>
            </w:tcBorders>
            <w:shd w:val="clear" w:color="auto" w:fill="auto"/>
            <w:noWrap/>
            <w:hideMark/>
          </w:tcPr>
          <w:p w14:paraId="2F5FAD7F" w14:textId="5F8CE7F8" w:rsidR="00C86979" w:rsidRPr="00E200A5" w:rsidRDefault="00C86979" w:rsidP="00C915C8">
            <w:pPr>
              <w:spacing w:after="0" w:line="360" w:lineRule="auto"/>
              <w:contextualSpacing/>
              <w:jc w:val="center"/>
              <w:rPr>
                <w:rFonts w:ascii="Times New Roman" w:eastAsia="Times New Roman" w:hAnsi="Times New Roman" w:cs="Times New Roman"/>
                <w:color w:val="000000"/>
                <w:lang w:eastAsia="en-GB"/>
              </w:rPr>
            </w:pPr>
            <w:r w:rsidRPr="00E200A5">
              <w:rPr>
                <w:rFonts w:ascii="Times New Roman" w:hAnsi="Times New Roman" w:cs="Times New Roman"/>
              </w:rPr>
              <w:t>0.93, 1.01</w:t>
            </w:r>
          </w:p>
        </w:tc>
        <w:tc>
          <w:tcPr>
            <w:tcW w:w="1157" w:type="dxa"/>
            <w:tcBorders>
              <w:top w:val="nil"/>
              <w:left w:val="nil"/>
              <w:bottom w:val="nil"/>
              <w:right w:val="nil"/>
            </w:tcBorders>
            <w:shd w:val="clear" w:color="auto" w:fill="auto"/>
            <w:noWrap/>
            <w:hideMark/>
          </w:tcPr>
          <w:p w14:paraId="048FABEB" w14:textId="3BABF2AE" w:rsidR="00C86979" w:rsidRPr="00E200A5" w:rsidRDefault="00C86979" w:rsidP="00C915C8">
            <w:pPr>
              <w:spacing w:after="0" w:line="360" w:lineRule="auto"/>
              <w:contextualSpacing/>
              <w:jc w:val="center"/>
              <w:rPr>
                <w:rFonts w:ascii="Times New Roman" w:eastAsia="Times New Roman" w:hAnsi="Times New Roman" w:cs="Times New Roman"/>
                <w:color w:val="000000"/>
                <w:lang w:eastAsia="en-GB"/>
              </w:rPr>
            </w:pPr>
            <w:r w:rsidRPr="00E200A5">
              <w:rPr>
                <w:rFonts w:ascii="Times New Roman" w:hAnsi="Times New Roman" w:cs="Times New Roman"/>
              </w:rPr>
              <w:t>0.143</w:t>
            </w:r>
          </w:p>
        </w:tc>
      </w:tr>
      <w:tr w:rsidR="00C86979" w:rsidRPr="00E200A5" w14:paraId="1E644B5C" w14:textId="77777777" w:rsidTr="00BC0608">
        <w:trPr>
          <w:trHeight w:val="289"/>
        </w:trPr>
        <w:tc>
          <w:tcPr>
            <w:tcW w:w="4874" w:type="dxa"/>
            <w:tcBorders>
              <w:top w:val="nil"/>
              <w:left w:val="nil"/>
              <w:bottom w:val="nil"/>
              <w:right w:val="nil"/>
            </w:tcBorders>
            <w:shd w:val="clear" w:color="auto" w:fill="auto"/>
            <w:noWrap/>
            <w:vAlign w:val="center"/>
            <w:hideMark/>
          </w:tcPr>
          <w:p w14:paraId="54F5C923" w14:textId="4E89D207" w:rsidR="00C86979" w:rsidRPr="00E200A5" w:rsidRDefault="00C86979" w:rsidP="00C915C8">
            <w:pPr>
              <w:spacing w:after="0" w:line="360" w:lineRule="auto"/>
              <w:contextualSpacing/>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Neuroticism</w:t>
            </w:r>
          </w:p>
        </w:tc>
        <w:tc>
          <w:tcPr>
            <w:tcW w:w="1300" w:type="dxa"/>
            <w:tcBorders>
              <w:top w:val="nil"/>
              <w:left w:val="nil"/>
              <w:bottom w:val="nil"/>
              <w:right w:val="nil"/>
            </w:tcBorders>
            <w:shd w:val="clear" w:color="auto" w:fill="auto"/>
            <w:noWrap/>
            <w:hideMark/>
          </w:tcPr>
          <w:p w14:paraId="743239B9" w14:textId="184B4810"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0.94</w:t>
            </w:r>
          </w:p>
        </w:tc>
        <w:tc>
          <w:tcPr>
            <w:tcW w:w="1137" w:type="dxa"/>
            <w:tcBorders>
              <w:top w:val="nil"/>
              <w:left w:val="nil"/>
              <w:bottom w:val="nil"/>
              <w:right w:val="nil"/>
            </w:tcBorders>
            <w:shd w:val="clear" w:color="auto" w:fill="auto"/>
            <w:noWrap/>
            <w:hideMark/>
          </w:tcPr>
          <w:p w14:paraId="45DD71A2" w14:textId="1B184869"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0.90, 0.98</w:t>
            </w:r>
          </w:p>
        </w:tc>
        <w:tc>
          <w:tcPr>
            <w:tcW w:w="1157" w:type="dxa"/>
            <w:tcBorders>
              <w:top w:val="nil"/>
              <w:left w:val="nil"/>
              <w:bottom w:val="nil"/>
              <w:right w:val="nil"/>
            </w:tcBorders>
            <w:shd w:val="clear" w:color="auto" w:fill="auto"/>
            <w:noWrap/>
            <w:hideMark/>
          </w:tcPr>
          <w:p w14:paraId="5B5D1E67" w14:textId="0D9E9946"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0.002</w:t>
            </w:r>
          </w:p>
        </w:tc>
      </w:tr>
      <w:tr w:rsidR="00C86979" w:rsidRPr="00E200A5" w14:paraId="01782F07" w14:textId="77777777" w:rsidTr="00BC0608">
        <w:trPr>
          <w:trHeight w:val="289"/>
        </w:trPr>
        <w:tc>
          <w:tcPr>
            <w:tcW w:w="4874" w:type="dxa"/>
            <w:tcBorders>
              <w:top w:val="nil"/>
              <w:left w:val="nil"/>
              <w:bottom w:val="nil"/>
              <w:right w:val="nil"/>
            </w:tcBorders>
            <w:shd w:val="clear" w:color="auto" w:fill="auto"/>
            <w:noWrap/>
            <w:vAlign w:val="center"/>
            <w:hideMark/>
          </w:tcPr>
          <w:p w14:paraId="08ABB828" w14:textId="186ABD97" w:rsidR="00C86979" w:rsidRPr="00E200A5" w:rsidRDefault="00C86979" w:rsidP="00C915C8">
            <w:pPr>
              <w:spacing w:after="0" w:line="360" w:lineRule="auto"/>
              <w:contextualSpacing/>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Openness</w:t>
            </w:r>
          </w:p>
        </w:tc>
        <w:tc>
          <w:tcPr>
            <w:tcW w:w="1300" w:type="dxa"/>
            <w:tcBorders>
              <w:top w:val="nil"/>
              <w:left w:val="nil"/>
              <w:bottom w:val="nil"/>
              <w:right w:val="nil"/>
            </w:tcBorders>
            <w:shd w:val="clear" w:color="auto" w:fill="auto"/>
            <w:noWrap/>
            <w:hideMark/>
          </w:tcPr>
          <w:p w14:paraId="3EC47EB1" w14:textId="51F8154F" w:rsidR="00C86979" w:rsidRPr="00E200A5" w:rsidRDefault="00C86979" w:rsidP="00C915C8">
            <w:pPr>
              <w:spacing w:after="0" w:line="360" w:lineRule="auto"/>
              <w:contextualSpacing/>
              <w:jc w:val="center"/>
              <w:rPr>
                <w:rFonts w:ascii="Times New Roman" w:eastAsia="Times New Roman" w:hAnsi="Times New Roman" w:cs="Times New Roman"/>
                <w:color w:val="000000"/>
                <w:lang w:eastAsia="en-GB"/>
              </w:rPr>
            </w:pPr>
            <w:r w:rsidRPr="00E200A5">
              <w:rPr>
                <w:rFonts w:ascii="Times New Roman" w:hAnsi="Times New Roman" w:cs="Times New Roman"/>
              </w:rPr>
              <w:t>0.97</w:t>
            </w:r>
          </w:p>
        </w:tc>
        <w:tc>
          <w:tcPr>
            <w:tcW w:w="1137" w:type="dxa"/>
            <w:tcBorders>
              <w:top w:val="nil"/>
              <w:left w:val="nil"/>
              <w:bottom w:val="nil"/>
              <w:right w:val="nil"/>
            </w:tcBorders>
            <w:shd w:val="clear" w:color="auto" w:fill="auto"/>
            <w:noWrap/>
            <w:hideMark/>
          </w:tcPr>
          <w:p w14:paraId="133D33EE" w14:textId="35564E2B" w:rsidR="00C86979" w:rsidRPr="00E200A5" w:rsidRDefault="00C86979" w:rsidP="00C915C8">
            <w:pPr>
              <w:spacing w:after="0" w:line="360" w:lineRule="auto"/>
              <w:contextualSpacing/>
              <w:jc w:val="center"/>
              <w:rPr>
                <w:rFonts w:ascii="Times New Roman" w:eastAsia="Times New Roman" w:hAnsi="Times New Roman" w:cs="Times New Roman"/>
                <w:color w:val="000000"/>
                <w:lang w:eastAsia="en-GB"/>
              </w:rPr>
            </w:pPr>
            <w:r w:rsidRPr="00E200A5">
              <w:rPr>
                <w:rFonts w:ascii="Times New Roman" w:hAnsi="Times New Roman" w:cs="Times New Roman"/>
              </w:rPr>
              <w:t>0.93, 1.01</w:t>
            </w:r>
          </w:p>
        </w:tc>
        <w:tc>
          <w:tcPr>
            <w:tcW w:w="1157" w:type="dxa"/>
            <w:tcBorders>
              <w:top w:val="nil"/>
              <w:left w:val="nil"/>
              <w:bottom w:val="nil"/>
              <w:right w:val="nil"/>
            </w:tcBorders>
            <w:shd w:val="clear" w:color="auto" w:fill="auto"/>
            <w:noWrap/>
            <w:hideMark/>
          </w:tcPr>
          <w:p w14:paraId="2DFDECF5" w14:textId="4B0192A0" w:rsidR="00C86979" w:rsidRPr="00E200A5" w:rsidRDefault="00C86979" w:rsidP="00C915C8">
            <w:pPr>
              <w:spacing w:after="0" w:line="360" w:lineRule="auto"/>
              <w:contextualSpacing/>
              <w:jc w:val="center"/>
              <w:rPr>
                <w:rFonts w:ascii="Times New Roman" w:eastAsia="Times New Roman" w:hAnsi="Times New Roman" w:cs="Times New Roman"/>
                <w:color w:val="000000"/>
                <w:lang w:eastAsia="en-GB"/>
              </w:rPr>
            </w:pPr>
            <w:r w:rsidRPr="00E200A5">
              <w:rPr>
                <w:rFonts w:ascii="Times New Roman" w:hAnsi="Times New Roman" w:cs="Times New Roman"/>
              </w:rPr>
              <w:t>0.144</w:t>
            </w:r>
          </w:p>
        </w:tc>
      </w:tr>
      <w:tr w:rsidR="00C86979" w:rsidRPr="00E200A5" w14:paraId="5A9FD143" w14:textId="77777777" w:rsidTr="00BC0608">
        <w:trPr>
          <w:trHeight w:val="289"/>
        </w:trPr>
        <w:tc>
          <w:tcPr>
            <w:tcW w:w="4874" w:type="dxa"/>
            <w:tcBorders>
              <w:top w:val="nil"/>
              <w:left w:val="nil"/>
              <w:bottom w:val="nil"/>
              <w:right w:val="nil"/>
            </w:tcBorders>
            <w:shd w:val="clear" w:color="auto" w:fill="auto"/>
            <w:noWrap/>
            <w:vAlign w:val="center"/>
            <w:hideMark/>
          </w:tcPr>
          <w:p w14:paraId="7AB0BF9C" w14:textId="1662D726" w:rsidR="00C86979" w:rsidRPr="00E200A5" w:rsidRDefault="00C86979" w:rsidP="00C915C8">
            <w:pPr>
              <w:spacing w:after="0" w:line="360" w:lineRule="auto"/>
              <w:contextualSpacing/>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Conscientiousness</w:t>
            </w:r>
          </w:p>
        </w:tc>
        <w:tc>
          <w:tcPr>
            <w:tcW w:w="1300" w:type="dxa"/>
            <w:tcBorders>
              <w:top w:val="nil"/>
              <w:left w:val="nil"/>
              <w:bottom w:val="nil"/>
              <w:right w:val="nil"/>
            </w:tcBorders>
            <w:shd w:val="clear" w:color="auto" w:fill="auto"/>
            <w:noWrap/>
            <w:hideMark/>
          </w:tcPr>
          <w:p w14:paraId="69B3B9FC" w14:textId="68E48A2B" w:rsidR="00C86979" w:rsidRPr="00E200A5" w:rsidRDefault="00C86979" w:rsidP="00C915C8">
            <w:pPr>
              <w:spacing w:after="0" w:line="360" w:lineRule="auto"/>
              <w:contextualSpacing/>
              <w:jc w:val="center"/>
              <w:rPr>
                <w:rFonts w:ascii="Times New Roman" w:eastAsia="Times New Roman" w:hAnsi="Times New Roman" w:cs="Times New Roman"/>
                <w:color w:val="000000"/>
                <w:lang w:eastAsia="en-GB"/>
              </w:rPr>
            </w:pPr>
            <w:r w:rsidRPr="00E200A5">
              <w:rPr>
                <w:rFonts w:ascii="Times New Roman" w:hAnsi="Times New Roman" w:cs="Times New Roman"/>
              </w:rPr>
              <w:t>1.03</w:t>
            </w:r>
          </w:p>
        </w:tc>
        <w:tc>
          <w:tcPr>
            <w:tcW w:w="1137" w:type="dxa"/>
            <w:tcBorders>
              <w:top w:val="nil"/>
              <w:left w:val="nil"/>
              <w:bottom w:val="nil"/>
              <w:right w:val="nil"/>
            </w:tcBorders>
            <w:shd w:val="clear" w:color="auto" w:fill="auto"/>
            <w:noWrap/>
            <w:hideMark/>
          </w:tcPr>
          <w:p w14:paraId="2EF2D6BC" w14:textId="22958AC2" w:rsidR="00C86979" w:rsidRPr="00E200A5" w:rsidRDefault="00C86979" w:rsidP="00C915C8">
            <w:pPr>
              <w:spacing w:after="0" w:line="360" w:lineRule="auto"/>
              <w:contextualSpacing/>
              <w:jc w:val="center"/>
              <w:rPr>
                <w:rFonts w:ascii="Times New Roman" w:eastAsia="Times New Roman" w:hAnsi="Times New Roman" w:cs="Times New Roman"/>
                <w:color w:val="000000"/>
                <w:lang w:eastAsia="en-GB"/>
              </w:rPr>
            </w:pPr>
            <w:r w:rsidRPr="00E200A5">
              <w:rPr>
                <w:rFonts w:ascii="Times New Roman" w:hAnsi="Times New Roman" w:cs="Times New Roman"/>
              </w:rPr>
              <w:t>0.97, 1.09</w:t>
            </w:r>
          </w:p>
        </w:tc>
        <w:tc>
          <w:tcPr>
            <w:tcW w:w="1157" w:type="dxa"/>
            <w:tcBorders>
              <w:top w:val="nil"/>
              <w:left w:val="nil"/>
              <w:bottom w:val="nil"/>
              <w:right w:val="nil"/>
            </w:tcBorders>
            <w:shd w:val="clear" w:color="auto" w:fill="auto"/>
            <w:noWrap/>
            <w:hideMark/>
          </w:tcPr>
          <w:p w14:paraId="3524AA23" w14:textId="5DF906F9" w:rsidR="00C86979" w:rsidRPr="00E200A5" w:rsidRDefault="00C86979" w:rsidP="00C915C8">
            <w:pPr>
              <w:spacing w:after="0" w:line="360" w:lineRule="auto"/>
              <w:contextualSpacing/>
              <w:jc w:val="center"/>
              <w:rPr>
                <w:rFonts w:ascii="Times New Roman" w:eastAsia="Times New Roman" w:hAnsi="Times New Roman" w:cs="Times New Roman"/>
                <w:color w:val="000000"/>
                <w:lang w:eastAsia="en-GB"/>
              </w:rPr>
            </w:pPr>
            <w:r w:rsidRPr="00E200A5">
              <w:rPr>
                <w:rFonts w:ascii="Times New Roman" w:hAnsi="Times New Roman" w:cs="Times New Roman"/>
              </w:rPr>
              <w:t>0.327</w:t>
            </w:r>
          </w:p>
        </w:tc>
      </w:tr>
      <w:tr w:rsidR="00C86979" w:rsidRPr="00E200A5" w14:paraId="30D52A11" w14:textId="77777777" w:rsidTr="00BC0608">
        <w:trPr>
          <w:trHeight w:val="289"/>
        </w:trPr>
        <w:tc>
          <w:tcPr>
            <w:tcW w:w="4874" w:type="dxa"/>
            <w:tcBorders>
              <w:top w:val="nil"/>
              <w:left w:val="nil"/>
              <w:bottom w:val="nil"/>
              <w:right w:val="nil"/>
            </w:tcBorders>
            <w:shd w:val="clear" w:color="auto" w:fill="auto"/>
            <w:noWrap/>
            <w:vAlign w:val="center"/>
            <w:hideMark/>
          </w:tcPr>
          <w:p w14:paraId="402BDB4B" w14:textId="358D57C6" w:rsidR="00C86979" w:rsidRPr="00E200A5" w:rsidRDefault="00C86979" w:rsidP="00C915C8">
            <w:pPr>
              <w:spacing w:after="0" w:line="360" w:lineRule="auto"/>
              <w:contextualSpacing/>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Self-rated COVID risk</w:t>
            </w:r>
          </w:p>
        </w:tc>
        <w:tc>
          <w:tcPr>
            <w:tcW w:w="1300" w:type="dxa"/>
            <w:tcBorders>
              <w:top w:val="nil"/>
              <w:left w:val="nil"/>
              <w:bottom w:val="nil"/>
              <w:right w:val="nil"/>
            </w:tcBorders>
            <w:shd w:val="clear" w:color="auto" w:fill="auto"/>
            <w:noWrap/>
            <w:hideMark/>
          </w:tcPr>
          <w:p w14:paraId="6D88B1EC" w14:textId="0A6D0E31"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rPr>
              <w:t>0.93</w:t>
            </w:r>
          </w:p>
        </w:tc>
        <w:tc>
          <w:tcPr>
            <w:tcW w:w="1137" w:type="dxa"/>
            <w:tcBorders>
              <w:top w:val="nil"/>
              <w:left w:val="nil"/>
              <w:bottom w:val="nil"/>
              <w:right w:val="nil"/>
            </w:tcBorders>
            <w:shd w:val="clear" w:color="auto" w:fill="auto"/>
            <w:noWrap/>
            <w:hideMark/>
          </w:tcPr>
          <w:p w14:paraId="301E973B" w14:textId="14C61750"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rPr>
              <w:t>0.86, 1.02</w:t>
            </w:r>
          </w:p>
        </w:tc>
        <w:tc>
          <w:tcPr>
            <w:tcW w:w="1157" w:type="dxa"/>
            <w:tcBorders>
              <w:top w:val="nil"/>
              <w:left w:val="nil"/>
              <w:bottom w:val="nil"/>
              <w:right w:val="nil"/>
            </w:tcBorders>
            <w:shd w:val="clear" w:color="auto" w:fill="auto"/>
            <w:noWrap/>
            <w:hideMark/>
          </w:tcPr>
          <w:p w14:paraId="209C8CE0" w14:textId="0E7923AB"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rPr>
              <w:t>0.113</w:t>
            </w:r>
          </w:p>
        </w:tc>
      </w:tr>
      <w:tr w:rsidR="00C86979" w:rsidRPr="00E200A5" w14:paraId="0E199C52" w14:textId="77777777" w:rsidTr="00BC0608">
        <w:trPr>
          <w:trHeight w:val="289"/>
        </w:trPr>
        <w:tc>
          <w:tcPr>
            <w:tcW w:w="4874" w:type="dxa"/>
            <w:tcBorders>
              <w:top w:val="nil"/>
              <w:left w:val="nil"/>
              <w:bottom w:val="nil"/>
              <w:right w:val="nil"/>
            </w:tcBorders>
            <w:shd w:val="clear" w:color="auto" w:fill="auto"/>
            <w:noWrap/>
            <w:vAlign w:val="center"/>
            <w:hideMark/>
          </w:tcPr>
          <w:p w14:paraId="7CBBACF5" w14:textId="0FFB789C" w:rsidR="00C86979" w:rsidRPr="00E200A5" w:rsidRDefault="005A7112" w:rsidP="00C915C8">
            <w:pPr>
              <w:spacing w:after="0" w:line="360" w:lineRule="auto"/>
              <w:contextualSpacing/>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Mental health</w:t>
            </w:r>
            <w:r w:rsidR="0066777C" w:rsidRPr="00E200A5">
              <w:rPr>
                <w:rFonts w:ascii="Times New Roman" w:eastAsia="Times New Roman" w:hAnsi="Times New Roman" w:cs="Times New Roman"/>
                <w:color w:val="000000"/>
                <w:lang w:eastAsia="en-GB"/>
              </w:rPr>
              <w:t xml:space="preserve"> </w:t>
            </w:r>
            <w:r w:rsidR="00154819" w:rsidRPr="00E200A5">
              <w:rPr>
                <w:rFonts w:ascii="Times New Roman" w:eastAsia="Times New Roman" w:hAnsi="Times New Roman" w:cs="Times New Roman"/>
                <w:color w:val="000000"/>
                <w:lang w:eastAsia="en-GB"/>
              </w:rPr>
              <w:t>problems</w:t>
            </w:r>
          </w:p>
        </w:tc>
        <w:tc>
          <w:tcPr>
            <w:tcW w:w="1300" w:type="dxa"/>
            <w:tcBorders>
              <w:top w:val="nil"/>
              <w:left w:val="nil"/>
              <w:bottom w:val="nil"/>
              <w:right w:val="nil"/>
            </w:tcBorders>
            <w:shd w:val="clear" w:color="auto" w:fill="auto"/>
            <w:noWrap/>
            <w:hideMark/>
          </w:tcPr>
          <w:p w14:paraId="46E72A97" w14:textId="12EAAF06"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1.19</w:t>
            </w:r>
          </w:p>
        </w:tc>
        <w:tc>
          <w:tcPr>
            <w:tcW w:w="1137" w:type="dxa"/>
            <w:tcBorders>
              <w:top w:val="nil"/>
              <w:left w:val="nil"/>
              <w:bottom w:val="nil"/>
              <w:right w:val="nil"/>
            </w:tcBorders>
            <w:shd w:val="clear" w:color="auto" w:fill="auto"/>
            <w:noWrap/>
            <w:hideMark/>
          </w:tcPr>
          <w:p w14:paraId="2D59B8CD" w14:textId="50492696"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1.07, 1.32</w:t>
            </w:r>
          </w:p>
        </w:tc>
        <w:tc>
          <w:tcPr>
            <w:tcW w:w="1157" w:type="dxa"/>
            <w:tcBorders>
              <w:top w:val="nil"/>
              <w:left w:val="nil"/>
              <w:bottom w:val="nil"/>
              <w:right w:val="nil"/>
            </w:tcBorders>
            <w:shd w:val="clear" w:color="auto" w:fill="auto"/>
            <w:noWrap/>
            <w:hideMark/>
          </w:tcPr>
          <w:p w14:paraId="6613510F" w14:textId="215A252E"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0.001</w:t>
            </w:r>
          </w:p>
        </w:tc>
      </w:tr>
      <w:tr w:rsidR="00C86979" w:rsidRPr="00E200A5" w14:paraId="5F587614" w14:textId="77777777" w:rsidTr="00BC0608">
        <w:trPr>
          <w:trHeight w:val="289"/>
        </w:trPr>
        <w:tc>
          <w:tcPr>
            <w:tcW w:w="4874" w:type="dxa"/>
            <w:tcBorders>
              <w:top w:val="nil"/>
              <w:left w:val="nil"/>
              <w:bottom w:val="nil"/>
              <w:right w:val="nil"/>
            </w:tcBorders>
            <w:shd w:val="clear" w:color="auto" w:fill="auto"/>
            <w:noWrap/>
            <w:vAlign w:val="center"/>
            <w:hideMark/>
          </w:tcPr>
          <w:p w14:paraId="078EB089" w14:textId="1A5123A4" w:rsidR="00C86979" w:rsidRPr="00E200A5" w:rsidRDefault="00C86979" w:rsidP="00C915C8">
            <w:pPr>
              <w:spacing w:after="0" w:line="360" w:lineRule="auto"/>
              <w:contextualSpacing/>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Age</w:t>
            </w:r>
          </w:p>
        </w:tc>
        <w:tc>
          <w:tcPr>
            <w:tcW w:w="1300" w:type="dxa"/>
            <w:tcBorders>
              <w:top w:val="nil"/>
              <w:left w:val="nil"/>
              <w:bottom w:val="nil"/>
              <w:right w:val="nil"/>
            </w:tcBorders>
            <w:shd w:val="clear" w:color="auto" w:fill="auto"/>
            <w:noWrap/>
            <w:hideMark/>
          </w:tcPr>
          <w:p w14:paraId="08173AD6" w14:textId="35D0FA75"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0.95</w:t>
            </w:r>
          </w:p>
        </w:tc>
        <w:tc>
          <w:tcPr>
            <w:tcW w:w="1137" w:type="dxa"/>
            <w:tcBorders>
              <w:top w:val="nil"/>
              <w:left w:val="nil"/>
              <w:bottom w:val="nil"/>
              <w:right w:val="nil"/>
            </w:tcBorders>
            <w:shd w:val="clear" w:color="auto" w:fill="auto"/>
            <w:noWrap/>
            <w:hideMark/>
          </w:tcPr>
          <w:p w14:paraId="7E38C6A8" w14:textId="2D2536F8"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0.95, 0.95</w:t>
            </w:r>
          </w:p>
        </w:tc>
        <w:tc>
          <w:tcPr>
            <w:tcW w:w="1157" w:type="dxa"/>
            <w:tcBorders>
              <w:top w:val="nil"/>
              <w:left w:val="nil"/>
              <w:bottom w:val="nil"/>
              <w:right w:val="nil"/>
            </w:tcBorders>
            <w:shd w:val="clear" w:color="auto" w:fill="auto"/>
            <w:noWrap/>
            <w:hideMark/>
          </w:tcPr>
          <w:p w14:paraId="632A0D98" w14:textId="07BA811E"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&lt;0.001</w:t>
            </w:r>
          </w:p>
        </w:tc>
      </w:tr>
      <w:tr w:rsidR="00C86979" w:rsidRPr="00E200A5" w14:paraId="4EE217F9" w14:textId="77777777" w:rsidTr="00BC0608">
        <w:trPr>
          <w:trHeight w:val="289"/>
        </w:trPr>
        <w:tc>
          <w:tcPr>
            <w:tcW w:w="4874" w:type="dxa"/>
            <w:tcBorders>
              <w:top w:val="nil"/>
              <w:left w:val="nil"/>
              <w:bottom w:val="nil"/>
              <w:right w:val="nil"/>
            </w:tcBorders>
            <w:shd w:val="clear" w:color="auto" w:fill="auto"/>
            <w:noWrap/>
            <w:vAlign w:val="center"/>
            <w:hideMark/>
          </w:tcPr>
          <w:p w14:paraId="5FB6D2C0" w14:textId="18F81825" w:rsidR="00C86979" w:rsidRPr="00E200A5" w:rsidRDefault="00C86979" w:rsidP="00C915C8">
            <w:pPr>
              <w:spacing w:after="0" w:line="360" w:lineRule="auto"/>
              <w:contextualSpacing/>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Sex</w:t>
            </w:r>
          </w:p>
        </w:tc>
        <w:tc>
          <w:tcPr>
            <w:tcW w:w="1300" w:type="dxa"/>
            <w:tcBorders>
              <w:top w:val="nil"/>
              <w:left w:val="nil"/>
              <w:bottom w:val="nil"/>
              <w:right w:val="nil"/>
            </w:tcBorders>
            <w:shd w:val="clear" w:color="auto" w:fill="auto"/>
            <w:noWrap/>
            <w:hideMark/>
          </w:tcPr>
          <w:p w14:paraId="03C008C3" w14:textId="00C2F86B"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1.44</w:t>
            </w:r>
          </w:p>
        </w:tc>
        <w:tc>
          <w:tcPr>
            <w:tcW w:w="1137" w:type="dxa"/>
            <w:tcBorders>
              <w:top w:val="nil"/>
              <w:left w:val="nil"/>
              <w:bottom w:val="nil"/>
              <w:right w:val="nil"/>
            </w:tcBorders>
            <w:shd w:val="clear" w:color="auto" w:fill="auto"/>
            <w:noWrap/>
            <w:hideMark/>
          </w:tcPr>
          <w:p w14:paraId="791CE1B9" w14:textId="52C0E475"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1.29, 1.61</w:t>
            </w:r>
          </w:p>
        </w:tc>
        <w:tc>
          <w:tcPr>
            <w:tcW w:w="1157" w:type="dxa"/>
            <w:tcBorders>
              <w:top w:val="nil"/>
              <w:left w:val="nil"/>
              <w:bottom w:val="nil"/>
              <w:right w:val="nil"/>
            </w:tcBorders>
            <w:shd w:val="clear" w:color="auto" w:fill="auto"/>
            <w:noWrap/>
            <w:hideMark/>
          </w:tcPr>
          <w:p w14:paraId="640C81F2" w14:textId="4D093033"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&lt;0.001</w:t>
            </w:r>
          </w:p>
        </w:tc>
      </w:tr>
      <w:tr w:rsidR="00C86979" w:rsidRPr="00E200A5" w14:paraId="14B482F0" w14:textId="77777777" w:rsidTr="00BC0608">
        <w:trPr>
          <w:trHeight w:val="289"/>
        </w:trPr>
        <w:tc>
          <w:tcPr>
            <w:tcW w:w="4874" w:type="dxa"/>
            <w:tcBorders>
              <w:top w:val="nil"/>
              <w:left w:val="nil"/>
              <w:bottom w:val="nil"/>
              <w:right w:val="nil"/>
            </w:tcBorders>
            <w:shd w:val="clear" w:color="auto" w:fill="auto"/>
            <w:noWrap/>
            <w:vAlign w:val="center"/>
          </w:tcPr>
          <w:p w14:paraId="52BE9D59" w14:textId="748AF5B5" w:rsidR="00C86979" w:rsidRPr="00E200A5" w:rsidRDefault="00C86979" w:rsidP="00C915C8">
            <w:pPr>
              <w:spacing w:after="0" w:line="360" w:lineRule="auto"/>
              <w:contextualSpacing/>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Education</w:t>
            </w:r>
          </w:p>
        </w:tc>
        <w:tc>
          <w:tcPr>
            <w:tcW w:w="1300" w:type="dxa"/>
            <w:tcBorders>
              <w:top w:val="nil"/>
              <w:left w:val="nil"/>
              <w:bottom w:val="nil"/>
              <w:right w:val="nil"/>
            </w:tcBorders>
            <w:shd w:val="clear" w:color="auto" w:fill="auto"/>
            <w:noWrap/>
          </w:tcPr>
          <w:p w14:paraId="75A73CC4" w14:textId="12011126"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0.91</w:t>
            </w:r>
          </w:p>
        </w:tc>
        <w:tc>
          <w:tcPr>
            <w:tcW w:w="1137" w:type="dxa"/>
            <w:tcBorders>
              <w:top w:val="nil"/>
              <w:left w:val="nil"/>
              <w:bottom w:val="nil"/>
              <w:right w:val="nil"/>
            </w:tcBorders>
            <w:shd w:val="clear" w:color="auto" w:fill="auto"/>
            <w:noWrap/>
          </w:tcPr>
          <w:p w14:paraId="2BD31873" w14:textId="4DFBA3F7"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0.88, 0.94</w:t>
            </w:r>
          </w:p>
        </w:tc>
        <w:tc>
          <w:tcPr>
            <w:tcW w:w="1157" w:type="dxa"/>
            <w:tcBorders>
              <w:top w:val="nil"/>
              <w:left w:val="nil"/>
              <w:bottom w:val="nil"/>
              <w:right w:val="nil"/>
            </w:tcBorders>
            <w:shd w:val="clear" w:color="auto" w:fill="auto"/>
            <w:noWrap/>
          </w:tcPr>
          <w:p w14:paraId="5C5DC752" w14:textId="49CE074F"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&lt;0.001</w:t>
            </w:r>
          </w:p>
        </w:tc>
      </w:tr>
      <w:tr w:rsidR="00C86979" w:rsidRPr="00E200A5" w14:paraId="40536FDA" w14:textId="77777777" w:rsidTr="00BC0608">
        <w:trPr>
          <w:trHeight w:val="289"/>
        </w:trPr>
        <w:tc>
          <w:tcPr>
            <w:tcW w:w="4874" w:type="dxa"/>
            <w:tcBorders>
              <w:top w:val="nil"/>
              <w:left w:val="nil"/>
              <w:bottom w:val="single" w:sz="4" w:space="0" w:color="auto"/>
              <w:right w:val="nil"/>
            </w:tcBorders>
            <w:shd w:val="clear" w:color="auto" w:fill="auto"/>
            <w:noWrap/>
            <w:vAlign w:val="center"/>
          </w:tcPr>
          <w:p w14:paraId="6C0FE51C" w14:textId="7FFB2D99" w:rsidR="00C86979" w:rsidRPr="00E200A5" w:rsidRDefault="00C86979" w:rsidP="00C915C8">
            <w:pPr>
              <w:spacing w:after="0" w:line="360" w:lineRule="auto"/>
              <w:contextualSpacing/>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Income</w:t>
            </w:r>
          </w:p>
        </w:tc>
        <w:tc>
          <w:tcPr>
            <w:tcW w:w="1300" w:type="dxa"/>
            <w:tcBorders>
              <w:top w:val="nil"/>
              <w:left w:val="nil"/>
              <w:bottom w:val="single" w:sz="4" w:space="0" w:color="auto"/>
              <w:right w:val="nil"/>
            </w:tcBorders>
            <w:shd w:val="clear" w:color="auto" w:fill="auto"/>
            <w:noWrap/>
          </w:tcPr>
          <w:p w14:paraId="38D55EA8" w14:textId="621146DC"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1.00</w:t>
            </w:r>
          </w:p>
        </w:tc>
        <w:tc>
          <w:tcPr>
            <w:tcW w:w="1137" w:type="dxa"/>
            <w:tcBorders>
              <w:top w:val="nil"/>
              <w:left w:val="nil"/>
              <w:bottom w:val="single" w:sz="4" w:space="0" w:color="auto"/>
              <w:right w:val="nil"/>
            </w:tcBorders>
            <w:shd w:val="clear" w:color="auto" w:fill="auto"/>
            <w:noWrap/>
          </w:tcPr>
          <w:p w14:paraId="6C9D13B1" w14:textId="4BD83E90"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1.00, 1.00</w:t>
            </w:r>
          </w:p>
        </w:tc>
        <w:tc>
          <w:tcPr>
            <w:tcW w:w="1157" w:type="dxa"/>
            <w:tcBorders>
              <w:top w:val="nil"/>
              <w:left w:val="nil"/>
              <w:bottom w:val="single" w:sz="4" w:space="0" w:color="auto"/>
              <w:right w:val="nil"/>
            </w:tcBorders>
            <w:shd w:val="clear" w:color="auto" w:fill="auto"/>
            <w:noWrap/>
          </w:tcPr>
          <w:p w14:paraId="61096423" w14:textId="41E4EF95" w:rsidR="00C86979" w:rsidRPr="00E200A5" w:rsidRDefault="00C86979" w:rsidP="00C915C8">
            <w:pPr>
              <w:spacing w:after="0" w:line="360" w:lineRule="auto"/>
              <w:contextualSpacing/>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&lt;0.001</w:t>
            </w:r>
          </w:p>
        </w:tc>
      </w:tr>
      <w:tr w:rsidR="00C86979" w:rsidRPr="00E200A5" w14:paraId="76673C6C" w14:textId="77777777" w:rsidTr="00BC0608">
        <w:trPr>
          <w:trHeight w:val="289"/>
        </w:trPr>
        <w:tc>
          <w:tcPr>
            <w:tcW w:w="7311" w:type="dxa"/>
            <w:gridSpan w:val="3"/>
            <w:tcBorders>
              <w:top w:val="nil"/>
              <w:left w:val="nil"/>
              <w:bottom w:val="nil"/>
              <w:right w:val="nil"/>
            </w:tcBorders>
            <w:shd w:val="clear" w:color="auto" w:fill="auto"/>
            <w:noWrap/>
            <w:vAlign w:val="bottom"/>
            <w:hideMark/>
          </w:tcPr>
          <w:p w14:paraId="76C5134B" w14:textId="0C3AC0ED" w:rsidR="00C86979" w:rsidRPr="00E200A5" w:rsidRDefault="00C86979" w:rsidP="00C915C8">
            <w:pPr>
              <w:spacing w:after="0" w:line="240" w:lineRule="auto"/>
              <w:rPr>
                <w:rFonts w:ascii="Times New Roman" w:eastAsia="Times New Roman" w:hAnsi="Times New Roman" w:cs="Times New Roman"/>
                <w:lang w:eastAsia="en-GB"/>
              </w:rPr>
            </w:pPr>
            <w:r w:rsidRPr="00E200A5">
              <w:rPr>
                <w:rFonts w:ascii="Times New Roman" w:eastAsia="Times New Roman" w:hAnsi="Times New Roman" w:cs="Times New Roman"/>
                <w:color w:val="000000"/>
                <w:vertAlign w:val="superscript"/>
                <w:lang w:eastAsia="en-GB"/>
              </w:rPr>
              <w:t>1</w:t>
            </w:r>
            <w:r w:rsidRPr="00E200A5">
              <w:rPr>
                <w:rFonts w:ascii="Times New Roman" w:eastAsia="Times New Roman" w:hAnsi="Times New Roman" w:cs="Times New Roman"/>
                <w:color w:val="000000"/>
                <w:lang w:eastAsia="en-GB"/>
              </w:rPr>
              <w:t> OR = Odds Ratio, CI = Confidence Interval</w:t>
            </w:r>
          </w:p>
        </w:tc>
        <w:tc>
          <w:tcPr>
            <w:tcW w:w="1157" w:type="dxa"/>
            <w:tcBorders>
              <w:top w:val="nil"/>
              <w:left w:val="nil"/>
              <w:bottom w:val="nil"/>
              <w:right w:val="nil"/>
            </w:tcBorders>
            <w:shd w:val="clear" w:color="auto" w:fill="auto"/>
            <w:noWrap/>
            <w:vAlign w:val="bottom"/>
            <w:hideMark/>
          </w:tcPr>
          <w:p w14:paraId="018214DE" w14:textId="77777777" w:rsidR="00C86979" w:rsidRPr="00E200A5" w:rsidRDefault="00C86979" w:rsidP="00C915C8">
            <w:pPr>
              <w:spacing w:after="0" w:line="240" w:lineRule="auto"/>
              <w:rPr>
                <w:rFonts w:ascii="Times New Roman" w:eastAsia="Times New Roman" w:hAnsi="Times New Roman" w:cs="Times New Roman"/>
                <w:lang w:eastAsia="en-GB"/>
              </w:rPr>
            </w:pPr>
          </w:p>
        </w:tc>
      </w:tr>
    </w:tbl>
    <w:p w14:paraId="150F8859" w14:textId="7230055B" w:rsidR="0053569D" w:rsidRPr="00E200A5" w:rsidRDefault="0053569D" w:rsidP="00C915C8">
      <w:pPr>
        <w:spacing w:after="0" w:line="480" w:lineRule="auto"/>
        <w:jc w:val="both"/>
        <w:rPr>
          <w:rFonts w:ascii="Times New Roman" w:eastAsia="Times New Roman" w:hAnsi="Times New Roman" w:cs="Times New Roman"/>
          <w:sz w:val="24"/>
          <w:szCs w:val="24"/>
          <w:lang w:eastAsia="en-GB"/>
        </w:rPr>
      </w:pPr>
    </w:p>
    <w:p w14:paraId="0ECE4B30" w14:textId="77777777" w:rsidR="00EB73EE" w:rsidRPr="00E200A5" w:rsidRDefault="00EB73EE" w:rsidP="00EB73EE">
      <w:pPr>
        <w:spacing w:after="0" w:line="480" w:lineRule="auto"/>
        <w:jc w:val="both"/>
        <w:rPr>
          <w:rFonts w:ascii="Times New Roman" w:eastAsia="Times New Roman" w:hAnsi="Times New Roman" w:cs="Times New Roman"/>
          <w:bCs/>
          <w:color w:val="000000"/>
          <w:sz w:val="24"/>
          <w:szCs w:val="24"/>
          <w:lang w:eastAsia="en-GB"/>
        </w:rPr>
      </w:pPr>
      <w:r w:rsidRPr="00E200A5">
        <w:rPr>
          <w:rFonts w:ascii="Times New Roman" w:eastAsia="Times New Roman" w:hAnsi="Times New Roman" w:cs="Times New Roman"/>
          <w:b/>
          <w:bCs/>
          <w:color w:val="000000"/>
          <w:sz w:val="24"/>
          <w:szCs w:val="24"/>
          <w:lang w:eastAsia="en-GB"/>
        </w:rPr>
        <w:t xml:space="preserve">Table 4. </w:t>
      </w:r>
      <w:r w:rsidRPr="00E200A5">
        <w:rPr>
          <w:rFonts w:ascii="Times New Roman" w:eastAsia="Times New Roman" w:hAnsi="Times New Roman" w:cs="Times New Roman"/>
          <w:bCs/>
          <w:color w:val="000000"/>
          <w:sz w:val="24"/>
          <w:szCs w:val="24"/>
          <w:lang w:eastAsia="en-GB"/>
        </w:rPr>
        <w:t xml:space="preserve">Ordinal logistic regression models for seasonal flu and COVID-19 </w:t>
      </w:r>
      <w:r w:rsidRPr="00E200A5">
        <w:rPr>
          <w:rFonts w:ascii="Times New Roman" w:eastAsia="Times New Roman" w:hAnsi="Times New Roman" w:cs="Times New Roman"/>
          <w:color w:val="000000"/>
          <w:sz w:val="24"/>
          <w:szCs w:val="24"/>
          <w:lang w:eastAsia="en-GB"/>
        </w:rPr>
        <w:t>vaccination hesitancy in the 50-65 sample</w:t>
      </w:r>
      <w:r w:rsidRPr="00E200A5">
        <w:rPr>
          <w:rFonts w:ascii="Times New Roman" w:eastAsia="Times New Roman" w:hAnsi="Times New Roman" w:cs="Times New Roman"/>
          <w:bCs/>
          <w:color w:val="000000"/>
          <w:sz w:val="24"/>
          <w:szCs w:val="24"/>
          <w:lang w:eastAsia="en-GB"/>
        </w:rPr>
        <w:t>.</w:t>
      </w:r>
    </w:p>
    <w:p w14:paraId="1B2719F3" w14:textId="77777777" w:rsidR="00EB73EE" w:rsidRPr="00E200A5" w:rsidRDefault="00EB73EE" w:rsidP="00EB73EE">
      <w:pPr>
        <w:spacing w:before="240" w:after="240" w:line="240" w:lineRule="auto"/>
        <w:contextualSpacing/>
        <w:jc w:val="both"/>
        <w:rPr>
          <w:rFonts w:ascii="Times New Roman" w:eastAsia="Times New Roman" w:hAnsi="Times New Roman" w:cs="Times New Roman"/>
          <w:b/>
          <w:bCs/>
          <w:color w:val="000000"/>
          <w:sz w:val="24"/>
          <w:szCs w:val="24"/>
          <w:lang w:eastAsia="en-GB"/>
        </w:rPr>
      </w:pPr>
    </w:p>
    <w:tbl>
      <w:tblPr>
        <w:tblW w:w="9498" w:type="dxa"/>
        <w:tblLook w:val="04A0" w:firstRow="1" w:lastRow="0" w:firstColumn="1" w:lastColumn="0" w:noHBand="0" w:noVBand="1"/>
      </w:tblPr>
      <w:tblGrid>
        <w:gridCol w:w="2835"/>
        <w:gridCol w:w="709"/>
        <w:gridCol w:w="1134"/>
        <w:gridCol w:w="992"/>
        <w:gridCol w:w="993"/>
        <w:gridCol w:w="708"/>
        <w:gridCol w:w="1134"/>
        <w:gridCol w:w="993"/>
      </w:tblGrid>
      <w:tr w:rsidR="00EB73EE" w:rsidRPr="00E200A5" w14:paraId="18195EC7" w14:textId="77777777" w:rsidTr="00391C5A">
        <w:trPr>
          <w:trHeight w:val="300"/>
        </w:trPr>
        <w:tc>
          <w:tcPr>
            <w:tcW w:w="2835" w:type="dxa"/>
            <w:tcBorders>
              <w:top w:val="single" w:sz="4" w:space="0" w:color="auto"/>
              <w:left w:val="nil"/>
              <w:bottom w:val="nil"/>
              <w:right w:val="nil"/>
            </w:tcBorders>
            <w:shd w:val="clear" w:color="000000" w:fill="FFFFFF"/>
            <w:noWrap/>
            <w:vAlign w:val="center"/>
            <w:hideMark/>
          </w:tcPr>
          <w:p w14:paraId="461B4AE1"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 </w:t>
            </w:r>
          </w:p>
        </w:tc>
        <w:tc>
          <w:tcPr>
            <w:tcW w:w="2835" w:type="dxa"/>
            <w:gridSpan w:val="3"/>
            <w:tcBorders>
              <w:top w:val="single" w:sz="4" w:space="0" w:color="auto"/>
              <w:left w:val="nil"/>
              <w:bottom w:val="nil"/>
              <w:right w:val="nil"/>
            </w:tcBorders>
            <w:shd w:val="clear" w:color="000000" w:fill="FFFFFF"/>
            <w:noWrap/>
            <w:vAlign w:val="center"/>
            <w:hideMark/>
          </w:tcPr>
          <w:p w14:paraId="20147E25"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Seasonal Flu</w:t>
            </w:r>
          </w:p>
          <w:p w14:paraId="4D381434"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p>
        </w:tc>
        <w:tc>
          <w:tcPr>
            <w:tcW w:w="993" w:type="dxa"/>
            <w:tcBorders>
              <w:top w:val="single" w:sz="4" w:space="0" w:color="auto"/>
              <w:left w:val="nil"/>
              <w:bottom w:val="nil"/>
              <w:right w:val="nil"/>
            </w:tcBorders>
            <w:shd w:val="clear" w:color="000000" w:fill="FFFFFF"/>
            <w:noWrap/>
            <w:vAlign w:val="center"/>
            <w:hideMark/>
          </w:tcPr>
          <w:p w14:paraId="7B6BE2A8"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 </w:t>
            </w:r>
          </w:p>
        </w:tc>
        <w:tc>
          <w:tcPr>
            <w:tcW w:w="2835" w:type="dxa"/>
            <w:gridSpan w:val="3"/>
            <w:tcBorders>
              <w:top w:val="single" w:sz="4" w:space="0" w:color="auto"/>
              <w:left w:val="nil"/>
              <w:bottom w:val="nil"/>
              <w:right w:val="nil"/>
            </w:tcBorders>
            <w:shd w:val="clear" w:color="000000" w:fill="FFFFFF"/>
            <w:noWrap/>
            <w:vAlign w:val="center"/>
            <w:hideMark/>
          </w:tcPr>
          <w:p w14:paraId="74E34A14"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COVID-19</w:t>
            </w:r>
          </w:p>
          <w:p w14:paraId="4E9DD5A1"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p>
        </w:tc>
      </w:tr>
      <w:tr w:rsidR="00EB73EE" w:rsidRPr="00E200A5" w14:paraId="187561EF" w14:textId="77777777" w:rsidTr="00391C5A">
        <w:trPr>
          <w:trHeight w:val="300"/>
        </w:trPr>
        <w:tc>
          <w:tcPr>
            <w:tcW w:w="2835" w:type="dxa"/>
            <w:tcBorders>
              <w:top w:val="nil"/>
              <w:left w:val="nil"/>
              <w:bottom w:val="single" w:sz="4" w:space="0" w:color="auto"/>
              <w:right w:val="nil"/>
            </w:tcBorders>
            <w:shd w:val="clear" w:color="000000" w:fill="FFFFFF"/>
            <w:noWrap/>
            <w:vAlign w:val="center"/>
            <w:hideMark/>
          </w:tcPr>
          <w:p w14:paraId="2055B13E" w14:textId="77777777" w:rsidR="00EB73EE" w:rsidRPr="00E200A5" w:rsidRDefault="00EB73EE" w:rsidP="00391C5A">
            <w:pPr>
              <w:spacing w:after="0" w:line="240" w:lineRule="auto"/>
              <w:rPr>
                <w:rFonts w:ascii="Times New Roman" w:eastAsia="Times New Roman" w:hAnsi="Times New Roman" w:cs="Times New Roman"/>
                <w:b/>
                <w:bCs/>
                <w:color w:val="000000"/>
                <w:lang w:eastAsia="en-GB"/>
              </w:rPr>
            </w:pPr>
            <w:r w:rsidRPr="00E200A5">
              <w:rPr>
                <w:rFonts w:ascii="Times New Roman" w:eastAsia="Times New Roman" w:hAnsi="Times New Roman" w:cs="Times New Roman"/>
                <w:b/>
                <w:bCs/>
                <w:color w:val="000000"/>
                <w:lang w:eastAsia="en-GB"/>
              </w:rPr>
              <w:t>Characteristic</w:t>
            </w:r>
          </w:p>
        </w:tc>
        <w:tc>
          <w:tcPr>
            <w:tcW w:w="709" w:type="dxa"/>
            <w:tcBorders>
              <w:top w:val="nil"/>
              <w:left w:val="nil"/>
              <w:bottom w:val="single" w:sz="4" w:space="0" w:color="auto"/>
              <w:right w:val="nil"/>
            </w:tcBorders>
            <w:shd w:val="clear" w:color="000000" w:fill="FFFFFF"/>
            <w:noWrap/>
            <w:vAlign w:val="center"/>
            <w:hideMark/>
          </w:tcPr>
          <w:p w14:paraId="127D4CCD"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eastAsia="Times New Roman" w:hAnsi="Times New Roman" w:cs="Times New Roman"/>
                <w:b/>
                <w:bCs/>
                <w:color w:val="000000"/>
                <w:lang w:eastAsia="en-GB"/>
              </w:rPr>
              <w:t>OR1</w:t>
            </w:r>
          </w:p>
        </w:tc>
        <w:tc>
          <w:tcPr>
            <w:tcW w:w="1134" w:type="dxa"/>
            <w:tcBorders>
              <w:top w:val="nil"/>
              <w:left w:val="nil"/>
              <w:bottom w:val="single" w:sz="4" w:space="0" w:color="auto"/>
              <w:right w:val="nil"/>
            </w:tcBorders>
            <w:shd w:val="clear" w:color="000000" w:fill="FFFFFF"/>
            <w:noWrap/>
            <w:vAlign w:val="center"/>
            <w:hideMark/>
          </w:tcPr>
          <w:p w14:paraId="6BF80D91"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eastAsia="Times New Roman" w:hAnsi="Times New Roman" w:cs="Times New Roman"/>
                <w:b/>
                <w:bCs/>
                <w:color w:val="000000"/>
                <w:lang w:eastAsia="en-GB"/>
              </w:rPr>
              <w:t>95% CI1</w:t>
            </w:r>
          </w:p>
        </w:tc>
        <w:tc>
          <w:tcPr>
            <w:tcW w:w="992" w:type="dxa"/>
            <w:tcBorders>
              <w:top w:val="nil"/>
              <w:left w:val="nil"/>
              <w:bottom w:val="single" w:sz="4" w:space="0" w:color="auto"/>
              <w:right w:val="nil"/>
            </w:tcBorders>
            <w:shd w:val="clear" w:color="000000" w:fill="FFFFFF"/>
            <w:noWrap/>
            <w:vAlign w:val="center"/>
            <w:hideMark/>
          </w:tcPr>
          <w:p w14:paraId="262D5D40"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eastAsia="Times New Roman" w:hAnsi="Times New Roman" w:cs="Times New Roman"/>
                <w:b/>
                <w:bCs/>
                <w:color w:val="000000"/>
                <w:lang w:eastAsia="en-GB"/>
              </w:rPr>
              <w:t>p-value</w:t>
            </w:r>
          </w:p>
        </w:tc>
        <w:tc>
          <w:tcPr>
            <w:tcW w:w="993" w:type="dxa"/>
            <w:tcBorders>
              <w:top w:val="nil"/>
              <w:left w:val="nil"/>
              <w:bottom w:val="single" w:sz="4" w:space="0" w:color="auto"/>
              <w:right w:val="nil"/>
            </w:tcBorders>
            <w:shd w:val="clear" w:color="000000" w:fill="FFFFFF"/>
            <w:noWrap/>
            <w:vAlign w:val="center"/>
            <w:hideMark/>
          </w:tcPr>
          <w:p w14:paraId="355F378B"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p>
        </w:tc>
        <w:tc>
          <w:tcPr>
            <w:tcW w:w="708" w:type="dxa"/>
            <w:tcBorders>
              <w:top w:val="nil"/>
              <w:left w:val="nil"/>
              <w:bottom w:val="single" w:sz="4" w:space="0" w:color="auto"/>
              <w:right w:val="nil"/>
            </w:tcBorders>
            <w:shd w:val="clear" w:color="000000" w:fill="FFFFFF"/>
            <w:noWrap/>
            <w:vAlign w:val="center"/>
            <w:hideMark/>
          </w:tcPr>
          <w:p w14:paraId="20E29A6D"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eastAsia="Times New Roman" w:hAnsi="Times New Roman" w:cs="Times New Roman"/>
                <w:b/>
                <w:bCs/>
                <w:color w:val="000000"/>
                <w:lang w:eastAsia="en-GB"/>
              </w:rPr>
              <w:t>OR1</w:t>
            </w:r>
          </w:p>
        </w:tc>
        <w:tc>
          <w:tcPr>
            <w:tcW w:w="1134" w:type="dxa"/>
            <w:tcBorders>
              <w:top w:val="nil"/>
              <w:left w:val="nil"/>
              <w:bottom w:val="single" w:sz="4" w:space="0" w:color="auto"/>
              <w:right w:val="nil"/>
            </w:tcBorders>
            <w:shd w:val="clear" w:color="000000" w:fill="FFFFFF"/>
            <w:noWrap/>
            <w:vAlign w:val="center"/>
            <w:hideMark/>
          </w:tcPr>
          <w:p w14:paraId="304B13A7"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eastAsia="Times New Roman" w:hAnsi="Times New Roman" w:cs="Times New Roman"/>
                <w:b/>
                <w:bCs/>
                <w:color w:val="000000"/>
                <w:lang w:eastAsia="en-GB"/>
              </w:rPr>
              <w:t>95% CI1</w:t>
            </w:r>
          </w:p>
        </w:tc>
        <w:tc>
          <w:tcPr>
            <w:tcW w:w="993" w:type="dxa"/>
            <w:tcBorders>
              <w:top w:val="nil"/>
              <w:left w:val="nil"/>
              <w:bottom w:val="single" w:sz="4" w:space="0" w:color="auto"/>
              <w:right w:val="nil"/>
            </w:tcBorders>
            <w:shd w:val="clear" w:color="000000" w:fill="FFFFFF"/>
            <w:noWrap/>
            <w:vAlign w:val="center"/>
            <w:hideMark/>
          </w:tcPr>
          <w:p w14:paraId="4B3DAF28"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eastAsia="Times New Roman" w:hAnsi="Times New Roman" w:cs="Times New Roman"/>
                <w:b/>
                <w:bCs/>
                <w:color w:val="000000"/>
                <w:lang w:eastAsia="en-GB"/>
              </w:rPr>
              <w:t>p-value</w:t>
            </w:r>
          </w:p>
        </w:tc>
      </w:tr>
      <w:tr w:rsidR="00EB73EE" w:rsidRPr="00E200A5" w14:paraId="7C5A8628" w14:textId="77777777" w:rsidTr="00391C5A">
        <w:trPr>
          <w:trHeight w:val="300"/>
        </w:trPr>
        <w:tc>
          <w:tcPr>
            <w:tcW w:w="2835" w:type="dxa"/>
            <w:tcBorders>
              <w:top w:val="nil"/>
              <w:left w:val="nil"/>
              <w:bottom w:val="nil"/>
              <w:right w:val="nil"/>
            </w:tcBorders>
            <w:shd w:val="clear" w:color="000000" w:fill="FFFFFF"/>
            <w:noWrap/>
            <w:vAlign w:val="center"/>
            <w:hideMark/>
          </w:tcPr>
          <w:p w14:paraId="6A3ABD7A"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Intelligence</w:t>
            </w:r>
          </w:p>
        </w:tc>
        <w:tc>
          <w:tcPr>
            <w:tcW w:w="709" w:type="dxa"/>
            <w:tcBorders>
              <w:top w:val="nil"/>
              <w:left w:val="nil"/>
              <w:bottom w:val="nil"/>
              <w:right w:val="nil"/>
            </w:tcBorders>
            <w:shd w:val="clear" w:color="000000" w:fill="FFFFFF"/>
            <w:noWrap/>
            <w:hideMark/>
          </w:tcPr>
          <w:p w14:paraId="6A83DF3D"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0.90</w:t>
            </w:r>
          </w:p>
        </w:tc>
        <w:tc>
          <w:tcPr>
            <w:tcW w:w="1134" w:type="dxa"/>
            <w:tcBorders>
              <w:top w:val="nil"/>
              <w:left w:val="nil"/>
              <w:bottom w:val="nil"/>
              <w:right w:val="nil"/>
            </w:tcBorders>
            <w:shd w:val="clear" w:color="000000" w:fill="FFFFFF"/>
            <w:noWrap/>
            <w:hideMark/>
          </w:tcPr>
          <w:p w14:paraId="601812E8"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0.84, 0.98</w:t>
            </w:r>
          </w:p>
        </w:tc>
        <w:tc>
          <w:tcPr>
            <w:tcW w:w="992" w:type="dxa"/>
            <w:tcBorders>
              <w:top w:val="nil"/>
              <w:left w:val="nil"/>
              <w:bottom w:val="nil"/>
              <w:right w:val="nil"/>
            </w:tcBorders>
            <w:shd w:val="clear" w:color="000000" w:fill="FFFFFF"/>
            <w:noWrap/>
            <w:hideMark/>
          </w:tcPr>
          <w:p w14:paraId="169A2FC4"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0.010</w:t>
            </w:r>
          </w:p>
        </w:tc>
        <w:tc>
          <w:tcPr>
            <w:tcW w:w="993" w:type="dxa"/>
            <w:tcBorders>
              <w:top w:val="nil"/>
              <w:left w:val="nil"/>
              <w:bottom w:val="nil"/>
              <w:right w:val="nil"/>
            </w:tcBorders>
            <w:shd w:val="clear" w:color="000000" w:fill="FFFFFF"/>
            <w:noWrap/>
          </w:tcPr>
          <w:p w14:paraId="342731BE"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000000" w:fill="FFFFFF"/>
            <w:noWrap/>
            <w:hideMark/>
          </w:tcPr>
          <w:p w14:paraId="5EAC210F"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0.82</w:t>
            </w:r>
          </w:p>
        </w:tc>
        <w:tc>
          <w:tcPr>
            <w:tcW w:w="1134" w:type="dxa"/>
            <w:tcBorders>
              <w:top w:val="nil"/>
              <w:left w:val="nil"/>
              <w:bottom w:val="nil"/>
              <w:right w:val="nil"/>
            </w:tcBorders>
            <w:shd w:val="clear" w:color="000000" w:fill="FFFFFF"/>
            <w:noWrap/>
            <w:hideMark/>
          </w:tcPr>
          <w:p w14:paraId="0C7D30E4"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0.76, 0.89</w:t>
            </w:r>
          </w:p>
        </w:tc>
        <w:tc>
          <w:tcPr>
            <w:tcW w:w="993" w:type="dxa"/>
            <w:tcBorders>
              <w:top w:val="nil"/>
              <w:left w:val="nil"/>
              <w:bottom w:val="nil"/>
              <w:right w:val="nil"/>
            </w:tcBorders>
            <w:shd w:val="clear" w:color="000000" w:fill="FFFFFF"/>
            <w:noWrap/>
            <w:hideMark/>
          </w:tcPr>
          <w:p w14:paraId="39C958A5"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&lt;0.001</w:t>
            </w:r>
          </w:p>
        </w:tc>
      </w:tr>
      <w:tr w:rsidR="00EB73EE" w:rsidRPr="00E200A5" w14:paraId="52961A99" w14:textId="77777777" w:rsidTr="00391C5A">
        <w:trPr>
          <w:trHeight w:val="300"/>
        </w:trPr>
        <w:tc>
          <w:tcPr>
            <w:tcW w:w="2835" w:type="dxa"/>
            <w:tcBorders>
              <w:top w:val="nil"/>
              <w:left w:val="nil"/>
              <w:bottom w:val="nil"/>
              <w:right w:val="nil"/>
            </w:tcBorders>
            <w:shd w:val="clear" w:color="000000" w:fill="FFFFFF"/>
            <w:noWrap/>
            <w:vAlign w:val="center"/>
            <w:hideMark/>
          </w:tcPr>
          <w:p w14:paraId="37D9B307"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Agreeableness</w:t>
            </w:r>
          </w:p>
        </w:tc>
        <w:tc>
          <w:tcPr>
            <w:tcW w:w="709" w:type="dxa"/>
            <w:tcBorders>
              <w:top w:val="nil"/>
              <w:left w:val="nil"/>
              <w:bottom w:val="nil"/>
              <w:right w:val="nil"/>
            </w:tcBorders>
            <w:shd w:val="clear" w:color="000000" w:fill="FFFFFF"/>
            <w:noWrap/>
            <w:hideMark/>
          </w:tcPr>
          <w:p w14:paraId="35B5EF2E"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0.93</w:t>
            </w:r>
          </w:p>
        </w:tc>
        <w:tc>
          <w:tcPr>
            <w:tcW w:w="1134" w:type="dxa"/>
            <w:tcBorders>
              <w:top w:val="nil"/>
              <w:left w:val="nil"/>
              <w:bottom w:val="nil"/>
              <w:right w:val="nil"/>
            </w:tcBorders>
            <w:shd w:val="clear" w:color="000000" w:fill="FFFFFF"/>
            <w:noWrap/>
            <w:hideMark/>
          </w:tcPr>
          <w:p w14:paraId="1FA5972C"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0.82, 1.05</w:t>
            </w:r>
          </w:p>
        </w:tc>
        <w:tc>
          <w:tcPr>
            <w:tcW w:w="992" w:type="dxa"/>
            <w:tcBorders>
              <w:top w:val="nil"/>
              <w:left w:val="nil"/>
              <w:bottom w:val="nil"/>
              <w:right w:val="nil"/>
            </w:tcBorders>
            <w:shd w:val="clear" w:color="000000" w:fill="FFFFFF"/>
            <w:noWrap/>
            <w:hideMark/>
          </w:tcPr>
          <w:p w14:paraId="2EA53632"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0.244</w:t>
            </w:r>
          </w:p>
        </w:tc>
        <w:tc>
          <w:tcPr>
            <w:tcW w:w="993" w:type="dxa"/>
            <w:tcBorders>
              <w:top w:val="nil"/>
              <w:left w:val="nil"/>
              <w:bottom w:val="nil"/>
              <w:right w:val="nil"/>
            </w:tcBorders>
            <w:shd w:val="clear" w:color="000000" w:fill="FFFFFF"/>
            <w:noWrap/>
          </w:tcPr>
          <w:p w14:paraId="131CF362"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000000" w:fill="FFFFFF"/>
            <w:noWrap/>
            <w:hideMark/>
          </w:tcPr>
          <w:p w14:paraId="58B1BA8F"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1.05</w:t>
            </w:r>
          </w:p>
        </w:tc>
        <w:tc>
          <w:tcPr>
            <w:tcW w:w="1134" w:type="dxa"/>
            <w:tcBorders>
              <w:top w:val="nil"/>
              <w:left w:val="nil"/>
              <w:bottom w:val="nil"/>
              <w:right w:val="nil"/>
            </w:tcBorders>
            <w:shd w:val="clear" w:color="000000" w:fill="FFFFFF"/>
            <w:noWrap/>
            <w:hideMark/>
          </w:tcPr>
          <w:p w14:paraId="354EF67D"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0.91, 1.21</w:t>
            </w:r>
          </w:p>
        </w:tc>
        <w:tc>
          <w:tcPr>
            <w:tcW w:w="993" w:type="dxa"/>
            <w:tcBorders>
              <w:top w:val="nil"/>
              <w:left w:val="nil"/>
              <w:bottom w:val="nil"/>
              <w:right w:val="nil"/>
            </w:tcBorders>
            <w:shd w:val="clear" w:color="000000" w:fill="FFFFFF"/>
            <w:noWrap/>
            <w:hideMark/>
          </w:tcPr>
          <w:p w14:paraId="3152DA86"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0.512</w:t>
            </w:r>
          </w:p>
        </w:tc>
      </w:tr>
      <w:tr w:rsidR="00EB73EE" w:rsidRPr="00E200A5" w14:paraId="7A5E140E" w14:textId="77777777" w:rsidTr="00391C5A">
        <w:trPr>
          <w:trHeight w:val="300"/>
        </w:trPr>
        <w:tc>
          <w:tcPr>
            <w:tcW w:w="2835" w:type="dxa"/>
            <w:tcBorders>
              <w:top w:val="nil"/>
              <w:left w:val="nil"/>
              <w:bottom w:val="nil"/>
              <w:right w:val="nil"/>
            </w:tcBorders>
            <w:shd w:val="clear" w:color="000000" w:fill="FFFFFF"/>
            <w:noWrap/>
            <w:vAlign w:val="center"/>
            <w:hideMark/>
          </w:tcPr>
          <w:p w14:paraId="63874A34"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Extraversion</w:t>
            </w:r>
          </w:p>
        </w:tc>
        <w:tc>
          <w:tcPr>
            <w:tcW w:w="709" w:type="dxa"/>
            <w:tcBorders>
              <w:top w:val="nil"/>
              <w:left w:val="nil"/>
              <w:bottom w:val="nil"/>
              <w:right w:val="nil"/>
            </w:tcBorders>
            <w:shd w:val="clear" w:color="000000" w:fill="FFFFFF"/>
            <w:noWrap/>
            <w:hideMark/>
          </w:tcPr>
          <w:p w14:paraId="583698F0"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1.03</w:t>
            </w:r>
          </w:p>
        </w:tc>
        <w:tc>
          <w:tcPr>
            <w:tcW w:w="1134" w:type="dxa"/>
            <w:tcBorders>
              <w:top w:val="nil"/>
              <w:left w:val="nil"/>
              <w:bottom w:val="nil"/>
              <w:right w:val="nil"/>
            </w:tcBorders>
            <w:shd w:val="clear" w:color="000000" w:fill="FFFFFF"/>
            <w:noWrap/>
            <w:hideMark/>
          </w:tcPr>
          <w:p w14:paraId="4196062E"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0.94, 1.13</w:t>
            </w:r>
          </w:p>
        </w:tc>
        <w:tc>
          <w:tcPr>
            <w:tcW w:w="992" w:type="dxa"/>
            <w:tcBorders>
              <w:top w:val="nil"/>
              <w:left w:val="nil"/>
              <w:bottom w:val="nil"/>
              <w:right w:val="nil"/>
            </w:tcBorders>
            <w:shd w:val="clear" w:color="000000" w:fill="FFFFFF"/>
            <w:noWrap/>
            <w:hideMark/>
          </w:tcPr>
          <w:p w14:paraId="3377E821"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0.553</w:t>
            </w:r>
          </w:p>
        </w:tc>
        <w:tc>
          <w:tcPr>
            <w:tcW w:w="993" w:type="dxa"/>
            <w:tcBorders>
              <w:top w:val="nil"/>
              <w:left w:val="nil"/>
              <w:bottom w:val="nil"/>
              <w:right w:val="nil"/>
            </w:tcBorders>
            <w:shd w:val="clear" w:color="000000" w:fill="FFFFFF"/>
            <w:noWrap/>
          </w:tcPr>
          <w:p w14:paraId="1A111687"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000000" w:fill="FFFFFF"/>
            <w:noWrap/>
            <w:hideMark/>
          </w:tcPr>
          <w:p w14:paraId="1C99F909"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1.12</w:t>
            </w:r>
          </w:p>
        </w:tc>
        <w:tc>
          <w:tcPr>
            <w:tcW w:w="1134" w:type="dxa"/>
            <w:tcBorders>
              <w:top w:val="nil"/>
              <w:left w:val="nil"/>
              <w:bottom w:val="nil"/>
              <w:right w:val="nil"/>
            </w:tcBorders>
            <w:shd w:val="clear" w:color="000000" w:fill="FFFFFF"/>
            <w:noWrap/>
            <w:hideMark/>
          </w:tcPr>
          <w:p w14:paraId="59F38664"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1.02, 1.24</w:t>
            </w:r>
          </w:p>
        </w:tc>
        <w:tc>
          <w:tcPr>
            <w:tcW w:w="993" w:type="dxa"/>
            <w:tcBorders>
              <w:top w:val="nil"/>
              <w:left w:val="nil"/>
              <w:bottom w:val="nil"/>
              <w:right w:val="nil"/>
            </w:tcBorders>
            <w:shd w:val="clear" w:color="000000" w:fill="FFFFFF"/>
            <w:noWrap/>
            <w:hideMark/>
          </w:tcPr>
          <w:p w14:paraId="6E77860A"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0.021</w:t>
            </w:r>
          </w:p>
        </w:tc>
      </w:tr>
      <w:tr w:rsidR="00EB73EE" w:rsidRPr="00E200A5" w14:paraId="0C15955A" w14:textId="77777777" w:rsidTr="00391C5A">
        <w:trPr>
          <w:trHeight w:val="300"/>
        </w:trPr>
        <w:tc>
          <w:tcPr>
            <w:tcW w:w="2835" w:type="dxa"/>
            <w:tcBorders>
              <w:top w:val="nil"/>
              <w:left w:val="nil"/>
              <w:bottom w:val="nil"/>
              <w:right w:val="nil"/>
            </w:tcBorders>
            <w:shd w:val="clear" w:color="000000" w:fill="FFFFFF"/>
            <w:noWrap/>
            <w:vAlign w:val="center"/>
            <w:hideMark/>
          </w:tcPr>
          <w:p w14:paraId="063468FB"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Neuroticism</w:t>
            </w:r>
          </w:p>
        </w:tc>
        <w:tc>
          <w:tcPr>
            <w:tcW w:w="709" w:type="dxa"/>
            <w:tcBorders>
              <w:top w:val="nil"/>
              <w:left w:val="nil"/>
              <w:bottom w:val="nil"/>
              <w:right w:val="nil"/>
            </w:tcBorders>
            <w:shd w:val="clear" w:color="000000" w:fill="FFFFFF"/>
            <w:noWrap/>
            <w:hideMark/>
          </w:tcPr>
          <w:p w14:paraId="23AC1D75"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0.92</w:t>
            </w:r>
          </w:p>
        </w:tc>
        <w:tc>
          <w:tcPr>
            <w:tcW w:w="1134" w:type="dxa"/>
            <w:tcBorders>
              <w:top w:val="nil"/>
              <w:left w:val="nil"/>
              <w:bottom w:val="nil"/>
              <w:right w:val="nil"/>
            </w:tcBorders>
            <w:shd w:val="clear" w:color="000000" w:fill="FFFFFF"/>
            <w:noWrap/>
            <w:hideMark/>
          </w:tcPr>
          <w:p w14:paraId="1CF2D4CB"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0.84, 1.01</w:t>
            </w:r>
          </w:p>
        </w:tc>
        <w:tc>
          <w:tcPr>
            <w:tcW w:w="992" w:type="dxa"/>
            <w:tcBorders>
              <w:top w:val="nil"/>
              <w:left w:val="nil"/>
              <w:bottom w:val="nil"/>
              <w:right w:val="nil"/>
            </w:tcBorders>
            <w:shd w:val="clear" w:color="000000" w:fill="FFFFFF"/>
            <w:noWrap/>
            <w:hideMark/>
          </w:tcPr>
          <w:p w14:paraId="2ADA2792"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0.071</w:t>
            </w:r>
          </w:p>
        </w:tc>
        <w:tc>
          <w:tcPr>
            <w:tcW w:w="993" w:type="dxa"/>
            <w:tcBorders>
              <w:top w:val="nil"/>
              <w:left w:val="nil"/>
              <w:bottom w:val="nil"/>
              <w:right w:val="nil"/>
            </w:tcBorders>
            <w:shd w:val="clear" w:color="000000" w:fill="FFFFFF"/>
            <w:noWrap/>
          </w:tcPr>
          <w:p w14:paraId="0E2CCBE2"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000000" w:fill="FFFFFF"/>
            <w:noWrap/>
            <w:hideMark/>
          </w:tcPr>
          <w:p w14:paraId="67964749"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1.03</w:t>
            </w:r>
          </w:p>
        </w:tc>
        <w:tc>
          <w:tcPr>
            <w:tcW w:w="1134" w:type="dxa"/>
            <w:tcBorders>
              <w:top w:val="nil"/>
              <w:left w:val="nil"/>
              <w:bottom w:val="nil"/>
              <w:right w:val="nil"/>
            </w:tcBorders>
            <w:shd w:val="clear" w:color="000000" w:fill="FFFFFF"/>
            <w:noWrap/>
            <w:hideMark/>
          </w:tcPr>
          <w:p w14:paraId="0B399F7A"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0.93, 1.13</w:t>
            </w:r>
          </w:p>
        </w:tc>
        <w:tc>
          <w:tcPr>
            <w:tcW w:w="993" w:type="dxa"/>
            <w:tcBorders>
              <w:top w:val="nil"/>
              <w:left w:val="nil"/>
              <w:bottom w:val="nil"/>
              <w:right w:val="nil"/>
            </w:tcBorders>
            <w:shd w:val="clear" w:color="000000" w:fill="FFFFFF"/>
            <w:noWrap/>
            <w:hideMark/>
          </w:tcPr>
          <w:p w14:paraId="3CA7CAA3"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0.583</w:t>
            </w:r>
          </w:p>
        </w:tc>
      </w:tr>
      <w:tr w:rsidR="00EB73EE" w:rsidRPr="00E200A5" w14:paraId="0EC92221" w14:textId="77777777" w:rsidTr="00391C5A">
        <w:trPr>
          <w:trHeight w:val="300"/>
        </w:trPr>
        <w:tc>
          <w:tcPr>
            <w:tcW w:w="2835" w:type="dxa"/>
            <w:tcBorders>
              <w:top w:val="nil"/>
              <w:left w:val="nil"/>
              <w:bottom w:val="nil"/>
              <w:right w:val="nil"/>
            </w:tcBorders>
            <w:shd w:val="clear" w:color="000000" w:fill="FFFFFF"/>
            <w:noWrap/>
            <w:vAlign w:val="center"/>
            <w:hideMark/>
          </w:tcPr>
          <w:p w14:paraId="330F51C6"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Openness</w:t>
            </w:r>
          </w:p>
        </w:tc>
        <w:tc>
          <w:tcPr>
            <w:tcW w:w="709" w:type="dxa"/>
            <w:tcBorders>
              <w:top w:val="nil"/>
              <w:left w:val="nil"/>
              <w:bottom w:val="nil"/>
              <w:right w:val="nil"/>
            </w:tcBorders>
            <w:shd w:val="clear" w:color="000000" w:fill="FFFFFF"/>
            <w:noWrap/>
            <w:hideMark/>
          </w:tcPr>
          <w:p w14:paraId="6DC0D59E"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1.02</w:t>
            </w:r>
          </w:p>
        </w:tc>
        <w:tc>
          <w:tcPr>
            <w:tcW w:w="1134" w:type="dxa"/>
            <w:tcBorders>
              <w:top w:val="nil"/>
              <w:left w:val="nil"/>
              <w:bottom w:val="nil"/>
              <w:right w:val="nil"/>
            </w:tcBorders>
            <w:shd w:val="clear" w:color="000000" w:fill="FFFFFF"/>
            <w:noWrap/>
            <w:hideMark/>
          </w:tcPr>
          <w:p w14:paraId="19D0138C"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0.92, 1.13</w:t>
            </w:r>
          </w:p>
        </w:tc>
        <w:tc>
          <w:tcPr>
            <w:tcW w:w="992" w:type="dxa"/>
            <w:tcBorders>
              <w:top w:val="nil"/>
              <w:left w:val="nil"/>
              <w:bottom w:val="nil"/>
              <w:right w:val="nil"/>
            </w:tcBorders>
            <w:shd w:val="clear" w:color="000000" w:fill="FFFFFF"/>
            <w:noWrap/>
            <w:hideMark/>
          </w:tcPr>
          <w:p w14:paraId="5E8AB328"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0.698</w:t>
            </w:r>
          </w:p>
        </w:tc>
        <w:tc>
          <w:tcPr>
            <w:tcW w:w="993" w:type="dxa"/>
            <w:tcBorders>
              <w:top w:val="nil"/>
              <w:left w:val="nil"/>
              <w:bottom w:val="nil"/>
              <w:right w:val="nil"/>
            </w:tcBorders>
            <w:shd w:val="clear" w:color="000000" w:fill="FFFFFF"/>
            <w:noWrap/>
          </w:tcPr>
          <w:p w14:paraId="0A07E272"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000000" w:fill="FFFFFF"/>
            <w:noWrap/>
            <w:hideMark/>
          </w:tcPr>
          <w:p w14:paraId="6B86EBE1"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0.97</w:t>
            </w:r>
          </w:p>
        </w:tc>
        <w:tc>
          <w:tcPr>
            <w:tcW w:w="1134" w:type="dxa"/>
            <w:tcBorders>
              <w:top w:val="nil"/>
              <w:left w:val="nil"/>
              <w:bottom w:val="nil"/>
              <w:right w:val="nil"/>
            </w:tcBorders>
            <w:shd w:val="clear" w:color="000000" w:fill="FFFFFF"/>
            <w:noWrap/>
            <w:hideMark/>
          </w:tcPr>
          <w:p w14:paraId="321406FB"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0.87, 1.08</w:t>
            </w:r>
          </w:p>
        </w:tc>
        <w:tc>
          <w:tcPr>
            <w:tcW w:w="993" w:type="dxa"/>
            <w:tcBorders>
              <w:top w:val="nil"/>
              <w:left w:val="nil"/>
              <w:bottom w:val="nil"/>
              <w:right w:val="nil"/>
            </w:tcBorders>
            <w:shd w:val="clear" w:color="000000" w:fill="FFFFFF"/>
            <w:noWrap/>
            <w:hideMark/>
          </w:tcPr>
          <w:p w14:paraId="455CA8EB"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0.571</w:t>
            </w:r>
          </w:p>
        </w:tc>
      </w:tr>
      <w:tr w:rsidR="00EB73EE" w:rsidRPr="00E200A5" w14:paraId="3AB6BD0D" w14:textId="77777777" w:rsidTr="00391C5A">
        <w:trPr>
          <w:trHeight w:val="300"/>
        </w:trPr>
        <w:tc>
          <w:tcPr>
            <w:tcW w:w="2835" w:type="dxa"/>
            <w:tcBorders>
              <w:top w:val="nil"/>
              <w:left w:val="nil"/>
              <w:bottom w:val="nil"/>
              <w:right w:val="nil"/>
            </w:tcBorders>
            <w:shd w:val="clear" w:color="000000" w:fill="FFFFFF"/>
            <w:noWrap/>
            <w:vAlign w:val="center"/>
            <w:hideMark/>
          </w:tcPr>
          <w:p w14:paraId="552F0EE6"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Conscientiousness</w:t>
            </w:r>
          </w:p>
        </w:tc>
        <w:tc>
          <w:tcPr>
            <w:tcW w:w="709" w:type="dxa"/>
            <w:tcBorders>
              <w:top w:val="nil"/>
              <w:left w:val="nil"/>
              <w:bottom w:val="nil"/>
              <w:right w:val="nil"/>
            </w:tcBorders>
            <w:shd w:val="clear" w:color="000000" w:fill="FFFFFF"/>
            <w:noWrap/>
            <w:hideMark/>
          </w:tcPr>
          <w:p w14:paraId="095B6F44"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0.98</w:t>
            </w:r>
          </w:p>
        </w:tc>
        <w:tc>
          <w:tcPr>
            <w:tcW w:w="1134" w:type="dxa"/>
            <w:tcBorders>
              <w:top w:val="nil"/>
              <w:left w:val="nil"/>
              <w:bottom w:val="nil"/>
              <w:right w:val="nil"/>
            </w:tcBorders>
            <w:shd w:val="clear" w:color="000000" w:fill="FFFFFF"/>
            <w:noWrap/>
            <w:hideMark/>
          </w:tcPr>
          <w:p w14:paraId="13C831C9"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0.86, 1.11</w:t>
            </w:r>
          </w:p>
        </w:tc>
        <w:tc>
          <w:tcPr>
            <w:tcW w:w="992" w:type="dxa"/>
            <w:tcBorders>
              <w:top w:val="nil"/>
              <w:left w:val="nil"/>
              <w:bottom w:val="nil"/>
              <w:right w:val="nil"/>
            </w:tcBorders>
            <w:shd w:val="clear" w:color="000000" w:fill="FFFFFF"/>
            <w:noWrap/>
            <w:hideMark/>
          </w:tcPr>
          <w:p w14:paraId="022ABAB3"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0.768</w:t>
            </w:r>
          </w:p>
        </w:tc>
        <w:tc>
          <w:tcPr>
            <w:tcW w:w="993" w:type="dxa"/>
            <w:tcBorders>
              <w:top w:val="nil"/>
              <w:left w:val="nil"/>
              <w:bottom w:val="nil"/>
              <w:right w:val="nil"/>
            </w:tcBorders>
            <w:shd w:val="clear" w:color="000000" w:fill="FFFFFF"/>
            <w:noWrap/>
          </w:tcPr>
          <w:p w14:paraId="3C490DDD"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000000" w:fill="FFFFFF"/>
            <w:noWrap/>
            <w:hideMark/>
          </w:tcPr>
          <w:p w14:paraId="59A5B0E7"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0.97</w:t>
            </w:r>
          </w:p>
        </w:tc>
        <w:tc>
          <w:tcPr>
            <w:tcW w:w="1134" w:type="dxa"/>
            <w:tcBorders>
              <w:top w:val="nil"/>
              <w:left w:val="nil"/>
              <w:bottom w:val="nil"/>
              <w:right w:val="nil"/>
            </w:tcBorders>
            <w:shd w:val="clear" w:color="000000" w:fill="FFFFFF"/>
            <w:noWrap/>
            <w:hideMark/>
          </w:tcPr>
          <w:p w14:paraId="448061B0"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0.85, 1.11</w:t>
            </w:r>
          </w:p>
        </w:tc>
        <w:tc>
          <w:tcPr>
            <w:tcW w:w="993" w:type="dxa"/>
            <w:tcBorders>
              <w:top w:val="nil"/>
              <w:left w:val="nil"/>
              <w:bottom w:val="nil"/>
              <w:right w:val="nil"/>
            </w:tcBorders>
            <w:shd w:val="clear" w:color="000000" w:fill="FFFFFF"/>
            <w:noWrap/>
            <w:hideMark/>
          </w:tcPr>
          <w:p w14:paraId="0C3079A1"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0.669</w:t>
            </w:r>
          </w:p>
        </w:tc>
      </w:tr>
      <w:tr w:rsidR="00EB73EE" w:rsidRPr="00E200A5" w14:paraId="760A1DB0" w14:textId="77777777" w:rsidTr="00391C5A">
        <w:trPr>
          <w:trHeight w:val="300"/>
        </w:trPr>
        <w:tc>
          <w:tcPr>
            <w:tcW w:w="2835" w:type="dxa"/>
            <w:tcBorders>
              <w:top w:val="nil"/>
              <w:left w:val="nil"/>
              <w:bottom w:val="nil"/>
              <w:right w:val="nil"/>
            </w:tcBorders>
            <w:shd w:val="clear" w:color="000000" w:fill="FFFFFF"/>
            <w:noWrap/>
            <w:vAlign w:val="center"/>
            <w:hideMark/>
          </w:tcPr>
          <w:p w14:paraId="0F7F71F8"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Self-rated COVID risk</w:t>
            </w:r>
          </w:p>
        </w:tc>
        <w:tc>
          <w:tcPr>
            <w:tcW w:w="709" w:type="dxa"/>
            <w:tcBorders>
              <w:top w:val="nil"/>
              <w:left w:val="nil"/>
              <w:bottom w:val="nil"/>
              <w:right w:val="nil"/>
            </w:tcBorders>
            <w:shd w:val="clear" w:color="000000" w:fill="FFFFFF"/>
            <w:noWrap/>
            <w:hideMark/>
          </w:tcPr>
          <w:p w14:paraId="2743ED32"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0.74</w:t>
            </w:r>
          </w:p>
        </w:tc>
        <w:tc>
          <w:tcPr>
            <w:tcW w:w="1134" w:type="dxa"/>
            <w:tcBorders>
              <w:top w:val="nil"/>
              <w:left w:val="nil"/>
              <w:bottom w:val="nil"/>
              <w:right w:val="nil"/>
            </w:tcBorders>
            <w:shd w:val="clear" w:color="000000" w:fill="FFFFFF"/>
            <w:noWrap/>
            <w:hideMark/>
          </w:tcPr>
          <w:p w14:paraId="73EF502F"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0.60, 0.90</w:t>
            </w:r>
          </w:p>
        </w:tc>
        <w:tc>
          <w:tcPr>
            <w:tcW w:w="992" w:type="dxa"/>
            <w:tcBorders>
              <w:top w:val="nil"/>
              <w:left w:val="nil"/>
              <w:bottom w:val="nil"/>
              <w:right w:val="nil"/>
            </w:tcBorders>
            <w:shd w:val="clear" w:color="000000" w:fill="FFFFFF"/>
            <w:noWrap/>
            <w:hideMark/>
          </w:tcPr>
          <w:p w14:paraId="3EE3FDAE"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0.003</w:t>
            </w:r>
          </w:p>
        </w:tc>
        <w:tc>
          <w:tcPr>
            <w:tcW w:w="993" w:type="dxa"/>
            <w:tcBorders>
              <w:top w:val="nil"/>
              <w:left w:val="nil"/>
              <w:bottom w:val="nil"/>
              <w:right w:val="nil"/>
            </w:tcBorders>
            <w:shd w:val="clear" w:color="000000" w:fill="FFFFFF"/>
            <w:noWrap/>
          </w:tcPr>
          <w:p w14:paraId="4B87D78C"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000000" w:fill="FFFFFF"/>
            <w:noWrap/>
            <w:hideMark/>
          </w:tcPr>
          <w:p w14:paraId="3564FFCF"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0.97</w:t>
            </w:r>
          </w:p>
        </w:tc>
        <w:tc>
          <w:tcPr>
            <w:tcW w:w="1134" w:type="dxa"/>
            <w:tcBorders>
              <w:top w:val="nil"/>
              <w:left w:val="nil"/>
              <w:bottom w:val="nil"/>
              <w:right w:val="nil"/>
            </w:tcBorders>
            <w:shd w:val="clear" w:color="000000" w:fill="FFFFFF"/>
            <w:noWrap/>
            <w:hideMark/>
          </w:tcPr>
          <w:p w14:paraId="7EB67BE4"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0.79, 1.19</w:t>
            </w:r>
          </w:p>
        </w:tc>
        <w:tc>
          <w:tcPr>
            <w:tcW w:w="993" w:type="dxa"/>
            <w:tcBorders>
              <w:top w:val="nil"/>
              <w:left w:val="nil"/>
              <w:bottom w:val="nil"/>
              <w:right w:val="nil"/>
            </w:tcBorders>
            <w:shd w:val="clear" w:color="000000" w:fill="FFFFFF"/>
            <w:noWrap/>
            <w:hideMark/>
          </w:tcPr>
          <w:p w14:paraId="39BBD5E9"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0.753</w:t>
            </w:r>
          </w:p>
        </w:tc>
      </w:tr>
      <w:tr w:rsidR="00EB73EE" w:rsidRPr="00E200A5" w14:paraId="39D2F985" w14:textId="77777777" w:rsidTr="00391C5A">
        <w:trPr>
          <w:trHeight w:val="300"/>
        </w:trPr>
        <w:tc>
          <w:tcPr>
            <w:tcW w:w="2835" w:type="dxa"/>
            <w:tcBorders>
              <w:top w:val="nil"/>
              <w:left w:val="nil"/>
              <w:bottom w:val="nil"/>
              <w:right w:val="nil"/>
            </w:tcBorders>
            <w:shd w:val="clear" w:color="000000" w:fill="FFFFFF"/>
            <w:noWrap/>
            <w:vAlign w:val="center"/>
            <w:hideMark/>
          </w:tcPr>
          <w:p w14:paraId="7D21E52A"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Mental health</w:t>
            </w:r>
          </w:p>
        </w:tc>
        <w:tc>
          <w:tcPr>
            <w:tcW w:w="709" w:type="dxa"/>
            <w:tcBorders>
              <w:top w:val="nil"/>
              <w:left w:val="nil"/>
              <w:bottom w:val="nil"/>
              <w:right w:val="nil"/>
            </w:tcBorders>
            <w:shd w:val="clear" w:color="000000" w:fill="FFFFFF"/>
            <w:noWrap/>
            <w:hideMark/>
          </w:tcPr>
          <w:p w14:paraId="186182C2"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0.93</w:t>
            </w:r>
          </w:p>
        </w:tc>
        <w:tc>
          <w:tcPr>
            <w:tcW w:w="1134" w:type="dxa"/>
            <w:tcBorders>
              <w:top w:val="nil"/>
              <w:left w:val="nil"/>
              <w:bottom w:val="nil"/>
              <w:right w:val="nil"/>
            </w:tcBorders>
            <w:shd w:val="clear" w:color="000000" w:fill="FFFFFF"/>
            <w:noWrap/>
            <w:hideMark/>
          </w:tcPr>
          <w:p w14:paraId="6FE201BF"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0.72, 1.20</w:t>
            </w:r>
          </w:p>
        </w:tc>
        <w:tc>
          <w:tcPr>
            <w:tcW w:w="992" w:type="dxa"/>
            <w:tcBorders>
              <w:top w:val="nil"/>
              <w:left w:val="nil"/>
              <w:bottom w:val="nil"/>
              <w:right w:val="nil"/>
            </w:tcBorders>
            <w:shd w:val="clear" w:color="000000" w:fill="FFFFFF"/>
            <w:noWrap/>
            <w:hideMark/>
          </w:tcPr>
          <w:p w14:paraId="4C6A0235"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0.599</w:t>
            </w:r>
          </w:p>
        </w:tc>
        <w:tc>
          <w:tcPr>
            <w:tcW w:w="993" w:type="dxa"/>
            <w:tcBorders>
              <w:top w:val="nil"/>
              <w:left w:val="nil"/>
              <w:bottom w:val="nil"/>
              <w:right w:val="nil"/>
            </w:tcBorders>
            <w:shd w:val="clear" w:color="000000" w:fill="FFFFFF"/>
            <w:noWrap/>
          </w:tcPr>
          <w:p w14:paraId="19E394FB"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000000" w:fill="FFFFFF"/>
            <w:noWrap/>
            <w:hideMark/>
          </w:tcPr>
          <w:p w14:paraId="4AD71FF9"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rPr>
              <w:t>1.11</w:t>
            </w:r>
          </w:p>
        </w:tc>
        <w:tc>
          <w:tcPr>
            <w:tcW w:w="1134" w:type="dxa"/>
            <w:tcBorders>
              <w:top w:val="nil"/>
              <w:left w:val="nil"/>
              <w:bottom w:val="nil"/>
              <w:right w:val="nil"/>
            </w:tcBorders>
            <w:shd w:val="clear" w:color="000000" w:fill="FFFFFF"/>
            <w:noWrap/>
            <w:hideMark/>
          </w:tcPr>
          <w:p w14:paraId="39F2758A"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rPr>
              <w:t>0.85, 1.46</w:t>
            </w:r>
          </w:p>
        </w:tc>
        <w:tc>
          <w:tcPr>
            <w:tcW w:w="993" w:type="dxa"/>
            <w:tcBorders>
              <w:top w:val="nil"/>
              <w:left w:val="nil"/>
              <w:bottom w:val="nil"/>
              <w:right w:val="nil"/>
            </w:tcBorders>
            <w:shd w:val="clear" w:color="000000" w:fill="FFFFFF"/>
            <w:noWrap/>
            <w:hideMark/>
          </w:tcPr>
          <w:p w14:paraId="2594000F"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rPr>
              <w:t>0.440</w:t>
            </w:r>
          </w:p>
        </w:tc>
      </w:tr>
      <w:tr w:rsidR="00EB73EE" w:rsidRPr="00E200A5" w14:paraId="3C7A8852" w14:textId="77777777" w:rsidTr="00391C5A">
        <w:trPr>
          <w:trHeight w:val="300"/>
        </w:trPr>
        <w:tc>
          <w:tcPr>
            <w:tcW w:w="2835" w:type="dxa"/>
            <w:tcBorders>
              <w:top w:val="nil"/>
              <w:left w:val="nil"/>
              <w:bottom w:val="nil"/>
              <w:right w:val="nil"/>
            </w:tcBorders>
            <w:shd w:val="clear" w:color="000000" w:fill="FFFFFF"/>
            <w:noWrap/>
            <w:vAlign w:val="center"/>
            <w:hideMark/>
          </w:tcPr>
          <w:p w14:paraId="6DBB3463"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Age</w:t>
            </w:r>
          </w:p>
        </w:tc>
        <w:tc>
          <w:tcPr>
            <w:tcW w:w="709" w:type="dxa"/>
            <w:tcBorders>
              <w:top w:val="nil"/>
              <w:left w:val="nil"/>
              <w:bottom w:val="nil"/>
              <w:right w:val="nil"/>
            </w:tcBorders>
            <w:shd w:val="clear" w:color="000000" w:fill="FFFFFF"/>
            <w:noWrap/>
            <w:hideMark/>
          </w:tcPr>
          <w:p w14:paraId="41D5A856"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0.94</w:t>
            </w:r>
          </w:p>
        </w:tc>
        <w:tc>
          <w:tcPr>
            <w:tcW w:w="1134" w:type="dxa"/>
            <w:tcBorders>
              <w:top w:val="nil"/>
              <w:left w:val="nil"/>
              <w:bottom w:val="nil"/>
              <w:right w:val="nil"/>
            </w:tcBorders>
            <w:shd w:val="clear" w:color="000000" w:fill="FFFFFF"/>
            <w:noWrap/>
            <w:hideMark/>
          </w:tcPr>
          <w:p w14:paraId="3CA7B426"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0.92, 0.97</w:t>
            </w:r>
          </w:p>
        </w:tc>
        <w:tc>
          <w:tcPr>
            <w:tcW w:w="992" w:type="dxa"/>
            <w:tcBorders>
              <w:top w:val="nil"/>
              <w:left w:val="nil"/>
              <w:bottom w:val="nil"/>
              <w:right w:val="nil"/>
            </w:tcBorders>
            <w:shd w:val="clear" w:color="000000" w:fill="FFFFFF"/>
            <w:noWrap/>
            <w:hideMark/>
          </w:tcPr>
          <w:p w14:paraId="08B6E588"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&lt;0.001</w:t>
            </w:r>
          </w:p>
        </w:tc>
        <w:tc>
          <w:tcPr>
            <w:tcW w:w="993" w:type="dxa"/>
            <w:tcBorders>
              <w:top w:val="nil"/>
              <w:left w:val="nil"/>
              <w:bottom w:val="nil"/>
              <w:right w:val="nil"/>
            </w:tcBorders>
            <w:shd w:val="clear" w:color="000000" w:fill="FFFFFF"/>
            <w:noWrap/>
          </w:tcPr>
          <w:p w14:paraId="6B905012"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000000" w:fill="FFFFFF"/>
            <w:noWrap/>
            <w:hideMark/>
          </w:tcPr>
          <w:p w14:paraId="1A5CAF30"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0.95</w:t>
            </w:r>
          </w:p>
        </w:tc>
        <w:tc>
          <w:tcPr>
            <w:tcW w:w="1134" w:type="dxa"/>
            <w:tcBorders>
              <w:top w:val="nil"/>
              <w:left w:val="nil"/>
              <w:bottom w:val="nil"/>
              <w:right w:val="nil"/>
            </w:tcBorders>
            <w:shd w:val="clear" w:color="000000" w:fill="FFFFFF"/>
            <w:noWrap/>
            <w:hideMark/>
          </w:tcPr>
          <w:p w14:paraId="70B98699"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0.92, 0.97</w:t>
            </w:r>
          </w:p>
        </w:tc>
        <w:tc>
          <w:tcPr>
            <w:tcW w:w="993" w:type="dxa"/>
            <w:tcBorders>
              <w:top w:val="nil"/>
              <w:left w:val="nil"/>
              <w:bottom w:val="nil"/>
              <w:right w:val="nil"/>
            </w:tcBorders>
            <w:shd w:val="clear" w:color="000000" w:fill="FFFFFF"/>
            <w:noWrap/>
            <w:hideMark/>
          </w:tcPr>
          <w:p w14:paraId="186D8456"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&lt;0.001</w:t>
            </w:r>
          </w:p>
        </w:tc>
      </w:tr>
      <w:tr w:rsidR="00EB73EE" w:rsidRPr="00E200A5" w14:paraId="7B5E2173" w14:textId="77777777" w:rsidTr="00391C5A">
        <w:trPr>
          <w:trHeight w:val="300"/>
        </w:trPr>
        <w:tc>
          <w:tcPr>
            <w:tcW w:w="2835" w:type="dxa"/>
            <w:tcBorders>
              <w:top w:val="nil"/>
              <w:left w:val="nil"/>
              <w:bottom w:val="nil"/>
              <w:right w:val="nil"/>
            </w:tcBorders>
            <w:shd w:val="clear" w:color="000000" w:fill="FFFFFF"/>
            <w:noWrap/>
            <w:vAlign w:val="center"/>
            <w:hideMark/>
          </w:tcPr>
          <w:p w14:paraId="43CC8AA7"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Sex</w:t>
            </w:r>
          </w:p>
        </w:tc>
        <w:tc>
          <w:tcPr>
            <w:tcW w:w="709" w:type="dxa"/>
            <w:tcBorders>
              <w:top w:val="nil"/>
              <w:left w:val="nil"/>
              <w:bottom w:val="nil"/>
              <w:right w:val="nil"/>
            </w:tcBorders>
            <w:shd w:val="clear" w:color="000000" w:fill="FFFFFF"/>
            <w:noWrap/>
            <w:hideMark/>
          </w:tcPr>
          <w:p w14:paraId="18F012D8"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0.91</w:t>
            </w:r>
          </w:p>
        </w:tc>
        <w:tc>
          <w:tcPr>
            <w:tcW w:w="1134" w:type="dxa"/>
            <w:tcBorders>
              <w:top w:val="nil"/>
              <w:left w:val="nil"/>
              <w:bottom w:val="nil"/>
              <w:right w:val="nil"/>
            </w:tcBorders>
            <w:shd w:val="clear" w:color="000000" w:fill="FFFFFF"/>
            <w:noWrap/>
            <w:hideMark/>
          </w:tcPr>
          <w:p w14:paraId="4D0FAAB4"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0.71, 1.16</w:t>
            </w:r>
          </w:p>
        </w:tc>
        <w:tc>
          <w:tcPr>
            <w:tcW w:w="992" w:type="dxa"/>
            <w:tcBorders>
              <w:top w:val="nil"/>
              <w:left w:val="nil"/>
              <w:bottom w:val="nil"/>
              <w:right w:val="nil"/>
            </w:tcBorders>
            <w:shd w:val="clear" w:color="000000" w:fill="FFFFFF"/>
            <w:noWrap/>
            <w:hideMark/>
          </w:tcPr>
          <w:p w14:paraId="6D14AB1B"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r w:rsidRPr="00E200A5">
              <w:rPr>
                <w:rFonts w:ascii="Times New Roman" w:hAnsi="Times New Roman" w:cs="Times New Roman"/>
              </w:rPr>
              <w:t>0.432</w:t>
            </w:r>
          </w:p>
        </w:tc>
        <w:tc>
          <w:tcPr>
            <w:tcW w:w="993" w:type="dxa"/>
            <w:tcBorders>
              <w:top w:val="nil"/>
              <w:left w:val="nil"/>
              <w:bottom w:val="nil"/>
              <w:right w:val="nil"/>
            </w:tcBorders>
            <w:shd w:val="clear" w:color="000000" w:fill="FFFFFF"/>
            <w:noWrap/>
          </w:tcPr>
          <w:p w14:paraId="4CF52458"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000000" w:fill="FFFFFF"/>
            <w:noWrap/>
            <w:hideMark/>
          </w:tcPr>
          <w:p w14:paraId="73800F6B"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rPr>
              <w:t>1.22</w:t>
            </w:r>
          </w:p>
        </w:tc>
        <w:tc>
          <w:tcPr>
            <w:tcW w:w="1134" w:type="dxa"/>
            <w:tcBorders>
              <w:top w:val="nil"/>
              <w:left w:val="nil"/>
              <w:bottom w:val="nil"/>
              <w:right w:val="nil"/>
            </w:tcBorders>
            <w:shd w:val="clear" w:color="000000" w:fill="FFFFFF"/>
            <w:noWrap/>
            <w:hideMark/>
          </w:tcPr>
          <w:p w14:paraId="12DC78B4"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rPr>
              <w:t>0.94, 1.59</w:t>
            </w:r>
          </w:p>
        </w:tc>
        <w:tc>
          <w:tcPr>
            <w:tcW w:w="993" w:type="dxa"/>
            <w:tcBorders>
              <w:top w:val="nil"/>
              <w:left w:val="nil"/>
              <w:bottom w:val="nil"/>
              <w:right w:val="nil"/>
            </w:tcBorders>
            <w:shd w:val="clear" w:color="000000" w:fill="FFFFFF"/>
            <w:noWrap/>
            <w:hideMark/>
          </w:tcPr>
          <w:p w14:paraId="2F0F5C8C"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rPr>
              <w:t>0.127</w:t>
            </w:r>
          </w:p>
        </w:tc>
      </w:tr>
      <w:tr w:rsidR="00EB73EE" w:rsidRPr="00E200A5" w14:paraId="6C86CEC1" w14:textId="77777777" w:rsidTr="00391C5A">
        <w:trPr>
          <w:trHeight w:val="300"/>
        </w:trPr>
        <w:tc>
          <w:tcPr>
            <w:tcW w:w="2835" w:type="dxa"/>
            <w:tcBorders>
              <w:top w:val="nil"/>
              <w:left w:val="nil"/>
              <w:bottom w:val="nil"/>
              <w:right w:val="nil"/>
            </w:tcBorders>
            <w:shd w:val="clear" w:color="000000" w:fill="FFFFFF"/>
            <w:noWrap/>
            <w:vAlign w:val="center"/>
          </w:tcPr>
          <w:p w14:paraId="65363AA0"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Education</w:t>
            </w:r>
          </w:p>
        </w:tc>
        <w:tc>
          <w:tcPr>
            <w:tcW w:w="709" w:type="dxa"/>
            <w:tcBorders>
              <w:top w:val="nil"/>
              <w:left w:val="nil"/>
              <w:bottom w:val="nil"/>
              <w:right w:val="nil"/>
            </w:tcBorders>
            <w:shd w:val="clear" w:color="000000" w:fill="FFFFFF"/>
            <w:noWrap/>
          </w:tcPr>
          <w:p w14:paraId="6C740415"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0.86</w:t>
            </w:r>
          </w:p>
        </w:tc>
        <w:tc>
          <w:tcPr>
            <w:tcW w:w="1134" w:type="dxa"/>
            <w:tcBorders>
              <w:top w:val="nil"/>
              <w:left w:val="nil"/>
              <w:bottom w:val="nil"/>
              <w:right w:val="nil"/>
            </w:tcBorders>
            <w:shd w:val="clear" w:color="000000" w:fill="FFFFFF"/>
            <w:noWrap/>
          </w:tcPr>
          <w:p w14:paraId="39CD926A"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0.79, 0.93</w:t>
            </w:r>
          </w:p>
        </w:tc>
        <w:tc>
          <w:tcPr>
            <w:tcW w:w="992" w:type="dxa"/>
            <w:tcBorders>
              <w:top w:val="nil"/>
              <w:left w:val="nil"/>
              <w:bottom w:val="nil"/>
              <w:right w:val="nil"/>
            </w:tcBorders>
            <w:shd w:val="clear" w:color="000000" w:fill="FFFFFF"/>
            <w:noWrap/>
          </w:tcPr>
          <w:p w14:paraId="1E76BEDB"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&lt;0.001</w:t>
            </w:r>
          </w:p>
        </w:tc>
        <w:tc>
          <w:tcPr>
            <w:tcW w:w="993" w:type="dxa"/>
            <w:tcBorders>
              <w:top w:val="nil"/>
              <w:left w:val="nil"/>
              <w:bottom w:val="nil"/>
              <w:right w:val="nil"/>
            </w:tcBorders>
            <w:shd w:val="clear" w:color="000000" w:fill="FFFFFF"/>
            <w:noWrap/>
          </w:tcPr>
          <w:p w14:paraId="4C84A2F0"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000000" w:fill="FFFFFF"/>
            <w:noWrap/>
          </w:tcPr>
          <w:p w14:paraId="176BA0B0"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0.89</w:t>
            </w:r>
          </w:p>
        </w:tc>
        <w:tc>
          <w:tcPr>
            <w:tcW w:w="1134" w:type="dxa"/>
            <w:tcBorders>
              <w:top w:val="nil"/>
              <w:left w:val="nil"/>
              <w:bottom w:val="nil"/>
              <w:right w:val="nil"/>
            </w:tcBorders>
            <w:shd w:val="clear" w:color="000000" w:fill="FFFFFF"/>
            <w:noWrap/>
          </w:tcPr>
          <w:p w14:paraId="17004F11"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0.81, 0.97</w:t>
            </w:r>
          </w:p>
        </w:tc>
        <w:tc>
          <w:tcPr>
            <w:tcW w:w="993" w:type="dxa"/>
            <w:tcBorders>
              <w:top w:val="nil"/>
              <w:left w:val="nil"/>
              <w:bottom w:val="nil"/>
              <w:right w:val="nil"/>
            </w:tcBorders>
            <w:shd w:val="clear" w:color="000000" w:fill="FFFFFF"/>
            <w:noWrap/>
          </w:tcPr>
          <w:p w14:paraId="01E5EB76"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0.007</w:t>
            </w:r>
          </w:p>
        </w:tc>
      </w:tr>
      <w:tr w:rsidR="00EB73EE" w:rsidRPr="00E200A5" w14:paraId="2DFB5523" w14:textId="77777777" w:rsidTr="00391C5A">
        <w:trPr>
          <w:trHeight w:val="300"/>
        </w:trPr>
        <w:tc>
          <w:tcPr>
            <w:tcW w:w="2835" w:type="dxa"/>
            <w:tcBorders>
              <w:top w:val="nil"/>
              <w:left w:val="nil"/>
              <w:bottom w:val="single" w:sz="4" w:space="0" w:color="auto"/>
              <w:right w:val="nil"/>
            </w:tcBorders>
            <w:shd w:val="clear" w:color="000000" w:fill="FFFFFF"/>
            <w:noWrap/>
            <w:vAlign w:val="center"/>
          </w:tcPr>
          <w:p w14:paraId="0AB6A77F"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Income</w:t>
            </w:r>
          </w:p>
        </w:tc>
        <w:tc>
          <w:tcPr>
            <w:tcW w:w="709" w:type="dxa"/>
            <w:tcBorders>
              <w:top w:val="nil"/>
              <w:left w:val="nil"/>
              <w:bottom w:val="single" w:sz="4" w:space="0" w:color="auto"/>
              <w:right w:val="nil"/>
            </w:tcBorders>
            <w:shd w:val="clear" w:color="000000" w:fill="FFFFFF"/>
            <w:noWrap/>
          </w:tcPr>
          <w:p w14:paraId="1C447467"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rPr>
              <w:t>1.00</w:t>
            </w:r>
          </w:p>
        </w:tc>
        <w:tc>
          <w:tcPr>
            <w:tcW w:w="1134" w:type="dxa"/>
            <w:tcBorders>
              <w:top w:val="nil"/>
              <w:left w:val="nil"/>
              <w:bottom w:val="single" w:sz="4" w:space="0" w:color="auto"/>
              <w:right w:val="nil"/>
            </w:tcBorders>
            <w:shd w:val="clear" w:color="000000" w:fill="FFFFFF"/>
            <w:noWrap/>
          </w:tcPr>
          <w:p w14:paraId="09324EEA"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rPr>
              <w:t>1.00, 1.00</w:t>
            </w:r>
          </w:p>
        </w:tc>
        <w:tc>
          <w:tcPr>
            <w:tcW w:w="992" w:type="dxa"/>
            <w:tcBorders>
              <w:top w:val="nil"/>
              <w:left w:val="nil"/>
              <w:bottom w:val="single" w:sz="4" w:space="0" w:color="auto"/>
              <w:right w:val="nil"/>
            </w:tcBorders>
            <w:shd w:val="clear" w:color="000000" w:fill="FFFFFF"/>
            <w:noWrap/>
          </w:tcPr>
          <w:p w14:paraId="6A0A2306"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rPr>
              <w:t>0.346</w:t>
            </w:r>
          </w:p>
        </w:tc>
        <w:tc>
          <w:tcPr>
            <w:tcW w:w="993" w:type="dxa"/>
            <w:tcBorders>
              <w:top w:val="nil"/>
              <w:left w:val="nil"/>
              <w:bottom w:val="single" w:sz="4" w:space="0" w:color="auto"/>
              <w:right w:val="nil"/>
            </w:tcBorders>
            <w:shd w:val="clear" w:color="000000" w:fill="FFFFFF"/>
            <w:noWrap/>
          </w:tcPr>
          <w:p w14:paraId="21EE89FA" w14:textId="77777777" w:rsidR="00EB73EE" w:rsidRPr="00E200A5" w:rsidRDefault="00EB73EE" w:rsidP="00391C5A">
            <w:pPr>
              <w:spacing w:after="0" w:line="240" w:lineRule="auto"/>
              <w:jc w:val="center"/>
              <w:rPr>
                <w:rFonts w:ascii="Times New Roman" w:eastAsia="Times New Roman" w:hAnsi="Times New Roman" w:cs="Times New Roman"/>
                <w:color w:val="000000"/>
                <w:lang w:eastAsia="en-GB"/>
              </w:rPr>
            </w:pPr>
          </w:p>
        </w:tc>
        <w:tc>
          <w:tcPr>
            <w:tcW w:w="708" w:type="dxa"/>
            <w:tcBorders>
              <w:top w:val="nil"/>
              <w:left w:val="nil"/>
              <w:bottom w:val="single" w:sz="4" w:space="0" w:color="auto"/>
              <w:right w:val="nil"/>
            </w:tcBorders>
            <w:shd w:val="clear" w:color="000000" w:fill="FFFFFF"/>
            <w:noWrap/>
          </w:tcPr>
          <w:p w14:paraId="57300BC5"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1.00</w:t>
            </w:r>
          </w:p>
        </w:tc>
        <w:tc>
          <w:tcPr>
            <w:tcW w:w="1134" w:type="dxa"/>
            <w:tcBorders>
              <w:top w:val="nil"/>
              <w:left w:val="nil"/>
              <w:bottom w:val="single" w:sz="4" w:space="0" w:color="auto"/>
              <w:right w:val="nil"/>
            </w:tcBorders>
            <w:shd w:val="clear" w:color="000000" w:fill="FFFFFF"/>
            <w:noWrap/>
          </w:tcPr>
          <w:p w14:paraId="69405723"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1.00, 1.00</w:t>
            </w:r>
          </w:p>
        </w:tc>
        <w:tc>
          <w:tcPr>
            <w:tcW w:w="993" w:type="dxa"/>
            <w:tcBorders>
              <w:top w:val="nil"/>
              <w:left w:val="nil"/>
              <w:bottom w:val="single" w:sz="4" w:space="0" w:color="auto"/>
              <w:right w:val="nil"/>
            </w:tcBorders>
            <w:shd w:val="clear" w:color="000000" w:fill="FFFFFF"/>
            <w:noWrap/>
          </w:tcPr>
          <w:p w14:paraId="645BB9FF" w14:textId="77777777" w:rsidR="00EB73EE" w:rsidRPr="00E200A5" w:rsidRDefault="00EB73EE" w:rsidP="00391C5A">
            <w:pPr>
              <w:spacing w:after="0" w:line="240" w:lineRule="auto"/>
              <w:jc w:val="center"/>
              <w:rPr>
                <w:rFonts w:ascii="Times New Roman" w:eastAsia="Times New Roman" w:hAnsi="Times New Roman" w:cs="Times New Roman"/>
                <w:b/>
                <w:bCs/>
                <w:color w:val="000000"/>
                <w:lang w:eastAsia="en-GB"/>
              </w:rPr>
            </w:pPr>
            <w:r w:rsidRPr="00E200A5">
              <w:rPr>
                <w:rFonts w:ascii="Times New Roman" w:hAnsi="Times New Roman" w:cs="Times New Roman"/>
                <w:b/>
                <w:bCs/>
              </w:rPr>
              <w:t>0.003</w:t>
            </w:r>
          </w:p>
        </w:tc>
      </w:tr>
      <w:tr w:rsidR="00EB73EE" w:rsidRPr="00E200A5" w14:paraId="5B3FA09B" w14:textId="77777777" w:rsidTr="00391C5A">
        <w:trPr>
          <w:trHeight w:val="300"/>
        </w:trPr>
        <w:tc>
          <w:tcPr>
            <w:tcW w:w="4678" w:type="dxa"/>
            <w:gridSpan w:val="3"/>
            <w:tcBorders>
              <w:top w:val="nil"/>
              <w:left w:val="nil"/>
              <w:bottom w:val="nil"/>
              <w:right w:val="nil"/>
            </w:tcBorders>
            <w:shd w:val="clear" w:color="000000" w:fill="FFFFFF"/>
            <w:noWrap/>
            <w:vAlign w:val="center"/>
            <w:hideMark/>
          </w:tcPr>
          <w:p w14:paraId="1DFDEFF7"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1 OR = Odds Ratio, CI = Confidence Interval</w:t>
            </w:r>
          </w:p>
          <w:p w14:paraId="31EB9ED0"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 </w:t>
            </w:r>
          </w:p>
          <w:p w14:paraId="3738615D"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 </w:t>
            </w:r>
          </w:p>
        </w:tc>
        <w:tc>
          <w:tcPr>
            <w:tcW w:w="992" w:type="dxa"/>
            <w:tcBorders>
              <w:top w:val="nil"/>
              <w:left w:val="nil"/>
              <w:bottom w:val="nil"/>
              <w:right w:val="nil"/>
            </w:tcBorders>
            <w:shd w:val="clear" w:color="000000" w:fill="FFFFFF"/>
            <w:noWrap/>
            <w:vAlign w:val="center"/>
            <w:hideMark/>
          </w:tcPr>
          <w:p w14:paraId="08FBF16C"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 </w:t>
            </w:r>
          </w:p>
        </w:tc>
        <w:tc>
          <w:tcPr>
            <w:tcW w:w="993" w:type="dxa"/>
            <w:tcBorders>
              <w:top w:val="nil"/>
              <w:left w:val="nil"/>
              <w:bottom w:val="nil"/>
              <w:right w:val="nil"/>
            </w:tcBorders>
            <w:shd w:val="clear" w:color="000000" w:fill="FFFFFF"/>
            <w:noWrap/>
            <w:vAlign w:val="center"/>
            <w:hideMark/>
          </w:tcPr>
          <w:p w14:paraId="44697E65"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 </w:t>
            </w:r>
          </w:p>
        </w:tc>
        <w:tc>
          <w:tcPr>
            <w:tcW w:w="708" w:type="dxa"/>
            <w:tcBorders>
              <w:top w:val="nil"/>
              <w:left w:val="nil"/>
              <w:bottom w:val="nil"/>
              <w:right w:val="nil"/>
            </w:tcBorders>
            <w:shd w:val="clear" w:color="000000" w:fill="FFFFFF"/>
            <w:noWrap/>
            <w:vAlign w:val="center"/>
            <w:hideMark/>
          </w:tcPr>
          <w:p w14:paraId="1E22D172"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 </w:t>
            </w:r>
          </w:p>
        </w:tc>
        <w:tc>
          <w:tcPr>
            <w:tcW w:w="1134" w:type="dxa"/>
            <w:tcBorders>
              <w:top w:val="nil"/>
              <w:left w:val="nil"/>
              <w:bottom w:val="nil"/>
              <w:right w:val="nil"/>
            </w:tcBorders>
            <w:shd w:val="clear" w:color="000000" w:fill="FFFFFF"/>
            <w:noWrap/>
            <w:vAlign w:val="center"/>
            <w:hideMark/>
          </w:tcPr>
          <w:p w14:paraId="38C9B358"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 </w:t>
            </w:r>
          </w:p>
        </w:tc>
        <w:tc>
          <w:tcPr>
            <w:tcW w:w="993" w:type="dxa"/>
            <w:tcBorders>
              <w:top w:val="nil"/>
              <w:left w:val="nil"/>
              <w:bottom w:val="nil"/>
              <w:right w:val="nil"/>
            </w:tcBorders>
            <w:shd w:val="clear" w:color="000000" w:fill="FFFFFF"/>
            <w:noWrap/>
            <w:vAlign w:val="center"/>
            <w:hideMark/>
          </w:tcPr>
          <w:p w14:paraId="2CF201E6" w14:textId="77777777" w:rsidR="00EB73EE" w:rsidRPr="00E200A5" w:rsidRDefault="00EB73EE" w:rsidP="00391C5A">
            <w:pPr>
              <w:spacing w:after="0" w:line="240" w:lineRule="auto"/>
              <w:rPr>
                <w:rFonts w:ascii="Times New Roman" w:eastAsia="Times New Roman" w:hAnsi="Times New Roman" w:cs="Times New Roman"/>
                <w:color w:val="000000"/>
                <w:lang w:eastAsia="en-GB"/>
              </w:rPr>
            </w:pPr>
            <w:r w:rsidRPr="00E200A5">
              <w:rPr>
                <w:rFonts w:ascii="Times New Roman" w:eastAsia="Times New Roman" w:hAnsi="Times New Roman" w:cs="Times New Roman"/>
                <w:color w:val="000000"/>
                <w:lang w:eastAsia="en-GB"/>
              </w:rPr>
              <w:t> </w:t>
            </w:r>
          </w:p>
        </w:tc>
      </w:tr>
    </w:tbl>
    <w:p w14:paraId="49173E9A" w14:textId="39CAE5FB" w:rsidR="00EB73EE" w:rsidRPr="00E200A5" w:rsidRDefault="00EB73EE" w:rsidP="00EB73EE">
      <w:pPr>
        <w:tabs>
          <w:tab w:val="left" w:pos="2175"/>
        </w:tabs>
        <w:spacing w:after="0" w:line="480" w:lineRule="auto"/>
        <w:jc w:val="both"/>
        <w:rPr>
          <w:rFonts w:ascii="Times New Roman" w:eastAsia="Times New Roman" w:hAnsi="Times New Roman" w:cs="Times New Roman"/>
          <w:sz w:val="24"/>
          <w:szCs w:val="24"/>
          <w:lang w:eastAsia="en-GB"/>
        </w:rPr>
      </w:pPr>
      <w:r w:rsidRPr="00E200A5">
        <w:rPr>
          <w:rFonts w:ascii="Times New Roman" w:eastAsia="Times New Roman" w:hAnsi="Times New Roman" w:cs="Times New Roman"/>
          <w:sz w:val="24"/>
          <w:szCs w:val="24"/>
          <w:lang w:eastAsia="en-GB"/>
        </w:rPr>
        <w:tab/>
      </w:r>
    </w:p>
    <w:p w14:paraId="55AAF3EE" w14:textId="745D43C1" w:rsidR="00D40737" w:rsidRPr="00E200A5" w:rsidRDefault="00D40737" w:rsidP="00D40737">
      <w:pPr>
        <w:tabs>
          <w:tab w:val="left" w:pos="2475"/>
        </w:tabs>
        <w:rPr>
          <w:rFonts w:ascii="Times New Roman" w:eastAsia="Times New Roman" w:hAnsi="Times New Roman" w:cs="Times New Roman"/>
          <w:sz w:val="24"/>
          <w:szCs w:val="24"/>
          <w:lang w:eastAsia="en-GB"/>
        </w:rPr>
        <w:sectPr w:rsidR="00D40737" w:rsidRPr="00E200A5" w:rsidSect="00C915C8">
          <w:pgSz w:w="11906" w:h="16838"/>
          <w:pgMar w:top="1440" w:right="1440" w:bottom="1440" w:left="1440" w:header="708" w:footer="708" w:gutter="0"/>
          <w:cols w:space="708"/>
          <w:docGrid w:linePitch="360"/>
        </w:sectPr>
      </w:pPr>
    </w:p>
    <w:p w14:paraId="12BB019A" w14:textId="3E26B67A" w:rsidR="00B95920" w:rsidRPr="00E200A5" w:rsidRDefault="00B95920" w:rsidP="00C915C8">
      <w:pPr>
        <w:rPr>
          <w:rFonts w:ascii="Times New Roman" w:hAnsi="Times New Roman" w:cs="Times New Roman"/>
        </w:rPr>
      </w:pPr>
      <w:bookmarkStart w:id="2" w:name="_Hlk74300902"/>
    </w:p>
    <w:bookmarkEnd w:id="2"/>
    <w:p w14:paraId="7D3BD7E2" w14:textId="46C18C45" w:rsidR="000816E3" w:rsidRPr="00E200A5" w:rsidRDefault="000816E3" w:rsidP="00C915C8">
      <w:pPr>
        <w:spacing w:after="0" w:line="240" w:lineRule="auto"/>
        <w:rPr>
          <w:rFonts w:ascii="Times New Roman" w:eastAsia="Times New Roman" w:hAnsi="Times New Roman" w:cs="Times New Roman"/>
          <w:sz w:val="24"/>
          <w:szCs w:val="24"/>
          <w:lang w:eastAsia="en-GB"/>
        </w:rPr>
      </w:pPr>
      <w:r w:rsidRPr="00E200A5">
        <w:rPr>
          <w:rFonts w:ascii="Times New Roman" w:eastAsia="Times New Roman" w:hAnsi="Times New Roman" w:cs="Times New Roman"/>
          <w:b/>
          <w:bCs/>
          <w:color w:val="000000"/>
          <w:sz w:val="24"/>
          <w:szCs w:val="24"/>
          <w:lang w:eastAsia="en-GB"/>
        </w:rPr>
        <w:t xml:space="preserve">Table </w:t>
      </w:r>
      <w:r w:rsidR="005D038F" w:rsidRPr="00E200A5">
        <w:rPr>
          <w:rFonts w:ascii="Times New Roman" w:eastAsia="Times New Roman" w:hAnsi="Times New Roman" w:cs="Times New Roman"/>
          <w:b/>
          <w:bCs/>
          <w:color w:val="000000"/>
          <w:sz w:val="24"/>
          <w:szCs w:val="24"/>
          <w:lang w:eastAsia="en-GB"/>
        </w:rPr>
        <w:t>5</w:t>
      </w:r>
      <w:r w:rsidRPr="00E200A5">
        <w:rPr>
          <w:rFonts w:ascii="Times New Roman" w:eastAsia="Times New Roman" w:hAnsi="Times New Roman" w:cs="Times New Roman"/>
          <w:b/>
          <w:bCs/>
          <w:color w:val="000000"/>
          <w:sz w:val="24"/>
          <w:szCs w:val="24"/>
          <w:lang w:eastAsia="en-GB"/>
        </w:rPr>
        <w:t xml:space="preserve">. </w:t>
      </w:r>
      <w:r w:rsidR="003164E8" w:rsidRPr="00E200A5">
        <w:rPr>
          <w:rFonts w:ascii="Times New Roman" w:eastAsia="Times New Roman" w:hAnsi="Times New Roman" w:cs="Times New Roman"/>
          <w:color w:val="000000"/>
          <w:sz w:val="24"/>
          <w:szCs w:val="24"/>
          <w:lang w:eastAsia="en-GB"/>
        </w:rPr>
        <w:t>Multinomial</w:t>
      </w:r>
      <w:r w:rsidRPr="00E200A5">
        <w:rPr>
          <w:rFonts w:ascii="Times New Roman" w:eastAsia="Times New Roman" w:hAnsi="Times New Roman" w:cs="Times New Roman"/>
          <w:color w:val="000000"/>
          <w:sz w:val="24"/>
          <w:szCs w:val="24"/>
          <w:lang w:eastAsia="en-GB"/>
        </w:rPr>
        <w:t xml:space="preserve"> logistic regression for </w:t>
      </w:r>
      <w:r w:rsidR="00891DB1" w:rsidRPr="00E200A5">
        <w:rPr>
          <w:rFonts w:ascii="Times New Roman" w:eastAsia="Times New Roman" w:hAnsi="Times New Roman" w:cs="Times New Roman"/>
          <w:color w:val="000000"/>
          <w:sz w:val="24"/>
          <w:szCs w:val="24"/>
          <w:lang w:eastAsia="en-GB"/>
        </w:rPr>
        <w:t xml:space="preserve">reasons </w:t>
      </w:r>
      <w:r w:rsidR="00191A72" w:rsidRPr="00E200A5">
        <w:rPr>
          <w:rFonts w:ascii="Times New Roman" w:eastAsia="Times New Roman" w:hAnsi="Times New Roman" w:cs="Times New Roman"/>
          <w:color w:val="000000"/>
          <w:sz w:val="24"/>
          <w:szCs w:val="24"/>
          <w:lang w:eastAsia="en-GB"/>
        </w:rPr>
        <w:t xml:space="preserve">underlying </w:t>
      </w:r>
      <w:r w:rsidR="00083E8B" w:rsidRPr="00E200A5">
        <w:rPr>
          <w:rFonts w:ascii="Times New Roman" w:eastAsia="Times New Roman" w:hAnsi="Times New Roman" w:cs="Times New Roman"/>
          <w:color w:val="000000"/>
          <w:sz w:val="24"/>
          <w:szCs w:val="24"/>
          <w:lang w:eastAsia="en-GB"/>
        </w:rPr>
        <w:t xml:space="preserve">COVID-19 </w:t>
      </w:r>
      <w:r w:rsidR="00852603" w:rsidRPr="00E200A5">
        <w:rPr>
          <w:rFonts w:ascii="Times New Roman" w:eastAsia="Times New Roman" w:hAnsi="Times New Roman" w:cs="Times New Roman"/>
          <w:color w:val="000000"/>
          <w:sz w:val="24"/>
          <w:szCs w:val="24"/>
          <w:lang w:eastAsia="en-GB"/>
        </w:rPr>
        <w:t>vaccination hesitancy</w:t>
      </w:r>
      <w:r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color w:val="000000"/>
          <w:sz w:val="24"/>
          <w:szCs w:val="24"/>
          <w:lang w:eastAsia="en-GB"/>
        </w:rPr>
        <w:br/>
      </w:r>
    </w:p>
    <w:tbl>
      <w:tblPr>
        <w:tblW w:w="5310" w:type="pct"/>
        <w:tblInd w:w="-469" w:type="dxa"/>
        <w:tblLook w:val="04A0" w:firstRow="1" w:lastRow="0" w:firstColumn="1" w:lastColumn="0" w:noHBand="0" w:noVBand="1"/>
      </w:tblPr>
      <w:tblGrid>
        <w:gridCol w:w="2116"/>
        <w:gridCol w:w="316"/>
        <w:gridCol w:w="601"/>
        <w:gridCol w:w="1096"/>
        <w:gridCol w:w="850"/>
        <w:gridCol w:w="316"/>
        <w:gridCol w:w="601"/>
        <w:gridCol w:w="1096"/>
        <w:gridCol w:w="850"/>
        <w:gridCol w:w="316"/>
        <w:gridCol w:w="601"/>
        <w:gridCol w:w="1096"/>
        <w:gridCol w:w="850"/>
        <w:gridCol w:w="316"/>
        <w:gridCol w:w="601"/>
        <w:gridCol w:w="1096"/>
        <w:gridCol w:w="850"/>
        <w:gridCol w:w="316"/>
        <w:gridCol w:w="601"/>
        <w:gridCol w:w="1096"/>
        <w:gridCol w:w="850"/>
      </w:tblGrid>
      <w:tr w:rsidR="00326150" w:rsidRPr="00E200A5" w14:paraId="25D2792A" w14:textId="77777777" w:rsidTr="005A2589">
        <w:trPr>
          <w:trHeight w:val="412"/>
        </w:trPr>
        <w:tc>
          <w:tcPr>
            <w:tcW w:w="623" w:type="pct"/>
            <w:tcBorders>
              <w:top w:val="single" w:sz="4" w:space="0" w:color="auto"/>
              <w:left w:val="nil"/>
              <w:bottom w:val="single" w:sz="4" w:space="0" w:color="auto"/>
              <w:right w:val="nil"/>
            </w:tcBorders>
            <w:shd w:val="clear" w:color="000000" w:fill="FFFFFF"/>
            <w:noWrap/>
            <w:vAlign w:val="center"/>
            <w:hideMark/>
          </w:tcPr>
          <w:p w14:paraId="52A59CB9"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Variable</w:t>
            </w:r>
          </w:p>
        </w:tc>
        <w:tc>
          <w:tcPr>
            <w:tcW w:w="97" w:type="pct"/>
            <w:tcBorders>
              <w:top w:val="single" w:sz="4" w:space="0" w:color="auto"/>
              <w:left w:val="nil"/>
              <w:bottom w:val="single" w:sz="4" w:space="0" w:color="auto"/>
              <w:right w:val="nil"/>
            </w:tcBorders>
            <w:shd w:val="clear" w:color="000000" w:fill="FFFFFF"/>
            <w:noWrap/>
            <w:vAlign w:val="center"/>
            <w:hideMark/>
          </w:tcPr>
          <w:p w14:paraId="367A390D"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single" w:sz="4" w:space="0" w:color="auto"/>
              <w:left w:val="nil"/>
              <w:bottom w:val="single" w:sz="4" w:space="0" w:color="auto"/>
              <w:right w:val="nil"/>
            </w:tcBorders>
            <w:shd w:val="clear" w:color="000000" w:fill="FFFFFF"/>
            <w:noWrap/>
            <w:vAlign w:val="center"/>
            <w:hideMark/>
          </w:tcPr>
          <w:p w14:paraId="09EB8B62"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OR</w:t>
            </w:r>
            <w:r w:rsidRPr="00E200A5">
              <w:rPr>
                <w:rFonts w:ascii="Times New Roman" w:eastAsia="Times New Roman" w:hAnsi="Times New Roman" w:cs="Times New Roman"/>
                <w:i/>
                <w:iCs/>
                <w:color w:val="333333"/>
                <w:sz w:val="20"/>
                <w:szCs w:val="20"/>
                <w:vertAlign w:val="superscript"/>
                <w:lang w:eastAsia="en-GB"/>
              </w:rPr>
              <w:t>1</w:t>
            </w:r>
          </w:p>
        </w:tc>
        <w:tc>
          <w:tcPr>
            <w:tcW w:w="335" w:type="pct"/>
            <w:tcBorders>
              <w:top w:val="single" w:sz="4" w:space="0" w:color="auto"/>
              <w:left w:val="nil"/>
              <w:bottom w:val="single" w:sz="4" w:space="0" w:color="auto"/>
              <w:right w:val="nil"/>
            </w:tcBorders>
            <w:shd w:val="clear" w:color="000000" w:fill="FFFFFF"/>
            <w:noWrap/>
            <w:vAlign w:val="center"/>
            <w:hideMark/>
          </w:tcPr>
          <w:p w14:paraId="2C4ED20B"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95% CI</w:t>
            </w:r>
            <w:r w:rsidRPr="00E200A5">
              <w:rPr>
                <w:rFonts w:ascii="Times New Roman" w:eastAsia="Times New Roman" w:hAnsi="Times New Roman" w:cs="Times New Roman"/>
                <w:i/>
                <w:iCs/>
                <w:color w:val="333333"/>
                <w:sz w:val="20"/>
                <w:szCs w:val="20"/>
                <w:vertAlign w:val="superscript"/>
                <w:lang w:eastAsia="en-GB"/>
              </w:rPr>
              <w:t>1</w:t>
            </w:r>
          </w:p>
        </w:tc>
        <w:tc>
          <w:tcPr>
            <w:tcW w:w="260" w:type="pct"/>
            <w:tcBorders>
              <w:top w:val="single" w:sz="4" w:space="0" w:color="auto"/>
              <w:left w:val="nil"/>
              <w:bottom w:val="single" w:sz="4" w:space="0" w:color="auto"/>
              <w:right w:val="nil"/>
            </w:tcBorders>
            <w:shd w:val="clear" w:color="000000" w:fill="FFFFFF"/>
            <w:noWrap/>
            <w:vAlign w:val="center"/>
            <w:hideMark/>
          </w:tcPr>
          <w:p w14:paraId="66DCC69C"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p-value</w:t>
            </w:r>
          </w:p>
        </w:tc>
        <w:tc>
          <w:tcPr>
            <w:tcW w:w="97" w:type="pct"/>
            <w:tcBorders>
              <w:top w:val="single" w:sz="4" w:space="0" w:color="auto"/>
              <w:left w:val="nil"/>
              <w:bottom w:val="single" w:sz="4" w:space="0" w:color="auto"/>
              <w:right w:val="nil"/>
            </w:tcBorders>
            <w:shd w:val="clear" w:color="000000" w:fill="FFFFFF"/>
            <w:noWrap/>
            <w:vAlign w:val="center"/>
            <w:hideMark/>
          </w:tcPr>
          <w:p w14:paraId="3EBC4DFA" w14:textId="77777777" w:rsidR="006B6EFA" w:rsidRPr="00E200A5" w:rsidRDefault="006B6EFA" w:rsidP="00C915C8">
            <w:pPr>
              <w:spacing w:after="0" w:line="240" w:lineRule="auto"/>
              <w:rPr>
                <w:rFonts w:ascii="Times New Roman" w:eastAsia="Times New Roman" w:hAnsi="Times New Roman" w:cs="Times New Roman"/>
                <w:color w:val="000000"/>
                <w:sz w:val="20"/>
                <w:szCs w:val="20"/>
                <w:lang w:eastAsia="en-GB"/>
              </w:rPr>
            </w:pPr>
            <w:r w:rsidRPr="00E200A5">
              <w:rPr>
                <w:rFonts w:ascii="Times New Roman" w:eastAsia="Times New Roman" w:hAnsi="Times New Roman" w:cs="Times New Roman"/>
                <w:color w:val="000000"/>
                <w:sz w:val="20"/>
                <w:szCs w:val="20"/>
                <w:lang w:eastAsia="en-GB"/>
              </w:rPr>
              <w:t> </w:t>
            </w:r>
          </w:p>
        </w:tc>
        <w:tc>
          <w:tcPr>
            <w:tcW w:w="184" w:type="pct"/>
            <w:tcBorders>
              <w:top w:val="single" w:sz="4" w:space="0" w:color="auto"/>
              <w:left w:val="nil"/>
              <w:bottom w:val="single" w:sz="4" w:space="0" w:color="auto"/>
              <w:right w:val="nil"/>
            </w:tcBorders>
            <w:shd w:val="clear" w:color="000000" w:fill="FFFFFF"/>
            <w:noWrap/>
            <w:vAlign w:val="center"/>
            <w:hideMark/>
          </w:tcPr>
          <w:p w14:paraId="59083A99"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OR</w:t>
            </w:r>
            <w:r w:rsidRPr="00E200A5">
              <w:rPr>
                <w:rFonts w:ascii="Times New Roman" w:eastAsia="Times New Roman" w:hAnsi="Times New Roman" w:cs="Times New Roman"/>
                <w:i/>
                <w:iCs/>
                <w:color w:val="333333"/>
                <w:sz w:val="20"/>
                <w:szCs w:val="20"/>
                <w:vertAlign w:val="superscript"/>
                <w:lang w:eastAsia="en-GB"/>
              </w:rPr>
              <w:t>1</w:t>
            </w:r>
          </w:p>
        </w:tc>
        <w:tc>
          <w:tcPr>
            <w:tcW w:w="335" w:type="pct"/>
            <w:tcBorders>
              <w:top w:val="single" w:sz="4" w:space="0" w:color="auto"/>
              <w:left w:val="nil"/>
              <w:bottom w:val="single" w:sz="4" w:space="0" w:color="auto"/>
              <w:right w:val="nil"/>
            </w:tcBorders>
            <w:shd w:val="clear" w:color="000000" w:fill="FFFFFF"/>
            <w:noWrap/>
            <w:vAlign w:val="center"/>
            <w:hideMark/>
          </w:tcPr>
          <w:p w14:paraId="2BBCE410"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95% CI</w:t>
            </w:r>
            <w:r w:rsidRPr="00E200A5">
              <w:rPr>
                <w:rFonts w:ascii="Times New Roman" w:eastAsia="Times New Roman" w:hAnsi="Times New Roman" w:cs="Times New Roman"/>
                <w:i/>
                <w:iCs/>
                <w:color w:val="333333"/>
                <w:sz w:val="20"/>
                <w:szCs w:val="20"/>
                <w:vertAlign w:val="superscript"/>
                <w:lang w:eastAsia="en-GB"/>
              </w:rPr>
              <w:t>1</w:t>
            </w:r>
          </w:p>
        </w:tc>
        <w:tc>
          <w:tcPr>
            <w:tcW w:w="260" w:type="pct"/>
            <w:tcBorders>
              <w:top w:val="single" w:sz="4" w:space="0" w:color="auto"/>
              <w:left w:val="nil"/>
              <w:bottom w:val="single" w:sz="4" w:space="0" w:color="auto"/>
              <w:right w:val="nil"/>
            </w:tcBorders>
            <w:shd w:val="clear" w:color="000000" w:fill="FFFFFF"/>
            <w:noWrap/>
            <w:vAlign w:val="center"/>
            <w:hideMark/>
          </w:tcPr>
          <w:p w14:paraId="0886038C"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p-value</w:t>
            </w:r>
          </w:p>
        </w:tc>
        <w:tc>
          <w:tcPr>
            <w:tcW w:w="97" w:type="pct"/>
            <w:tcBorders>
              <w:top w:val="single" w:sz="4" w:space="0" w:color="auto"/>
              <w:left w:val="nil"/>
              <w:bottom w:val="single" w:sz="4" w:space="0" w:color="auto"/>
              <w:right w:val="nil"/>
            </w:tcBorders>
            <w:shd w:val="clear" w:color="000000" w:fill="FFFFFF"/>
            <w:noWrap/>
            <w:vAlign w:val="center"/>
            <w:hideMark/>
          </w:tcPr>
          <w:p w14:paraId="1842BB26" w14:textId="77777777" w:rsidR="006B6EFA" w:rsidRPr="00E200A5" w:rsidRDefault="006B6EFA" w:rsidP="00C915C8">
            <w:pPr>
              <w:spacing w:after="0" w:line="240" w:lineRule="auto"/>
              <w:rPr>
                <w:rFonts w:ascii="Times New Roman" w:eastAsia="Times New Roman" w:hAnsi="Times New Roman" w:cs="Times New Roman"/>
                <w:color w:val="000000"/>
                <w:sz w:val="20"/>
                <w:szCs w:val="20"/>
                <w:lang w:eastAsia="en-GB"/>
              </w:rPr>
            </w:pPr>
            <w:r w:rsidRPr="00E200A5">
              <w:rPr>
                <w:rFonts w:ascii="Times New Roman" w:eastAsia="Times New Roman" w:hAnsi="Times New Roman" w:cs="Times New Roman"/>
                <w:color w:val="000000"/>
                <w:sz w:val="20"/>
                <w:szCs w:val="20"/>
                <w:lang w:eastAsia="en-GB"/>
              </w:rPr>
              <w:t> </w:t>
            </w:r>
          </w:p>
        </w:tc>
        <w:tc>
          <w:tcPr>
            <w:tcW w:w="184" w:type="pct"/>
            <w:tcBorders>
              <w:top w:val="single" w:sz="4" w:space="0" w:color="auto"/>
              <w:left w:val="nil"/>
              <w:bottom w:val="single" w:sz="4" w:space="0" w:color="auto"/>
              <w:right w:val="nil"/>
            </w:tcBorders>
            <w:shd w:val="clear" w:color="000000" w:fill="FFFFFF"/>
            <w:noWrap/>
            <w:vAlign w:val="center"/>
            <w:hideMark/>
          </w:tcPr>
          <w:p w14:paraId="53125780"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OR</w:t>
            </w:r>
            <w:r w:rsidRPr="00E200A5">
              <w:rPr>
                <w:rFonts w:ascii="Times New Roman" w:eastAsia="Times New Roman" w:hAnsi="Times New Roman" w:cs="Times New Roman"/>
                <w:i/>
                <w:iCs/>
                <w:color w:val="333333"/>
                <w:sz w:val="20"/>
                <w:szCs w:val="20"/>
                <w:vertAlign w:val="superscript"/>
                <w:lang w:eastAsia="en-GB"/>
              </w:rPr>
              <w:t>1</w:t>
            </w:r>
          </w:p>
        </w:tc>
        <w:tc>
          <w:tcPr>
            <w:tcW w:w="335" w:type="pct"/>
            <w:tcBorders>
              <w:top w:val="single" w:sz="4" w:space="0" w:color="auto"/>
              <w:left w:val="nil"/>
              <w:bottom w:val="single" w:sz="4" w:space="0" w:color="auto"/>
              <w:right w:val="nil"/>
            </w:tcBorders>
            <w:shd w:val="clear" w:color="000000" w:fill="FFFFFF"/>
            <w:noWrap/>
            <w:vAlign w:val="center"/>
            <w:hideMark/>
          </w:tcPr>
          <w:p w14:paraId="01B3BA45"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95% CI</w:t>
            </w:r>
            <w:r w:rsidRPr="00E200A5">
              <w:rPr>
                <w:rFonts w:ascii="Times New Roman" w:eastAsia="Times New Roman" w:hAnsi="Times New Roman" w:cs="Times New Roman"/>
                <w:i/>
                <w:iCs/>
                <w:color w:val="333333"/>
                <w:sz w:val="20"/>
                <w:szCs w:val="20"/>
                <w:vertAlign w:val="superscript"/>
                <w:lang w:eastAsia="en-GB"/>
              </w:rPr>
              <w:t>1</w:t>
            </w:r>
          </w:p>
        </w:tc>
        <w:tc>
          <w:tcPr>
            <w:tcW w:w="260" w:type="pct"/>
            <w:tcBorders>
              <w:top w:val="single" w:sz="4" w:space="0" w:color="auto"/>
              <w:left w:val="nil"/>
              <w:bottom w:val="single" w:sz="4" w:space="0" w:color="auto"/>
              <w:right w:val="nil"/>
            </w:tcBorders>
            <w:shd w:val="clear" w:color="000000" w:fill="FFFFFF"/>
            <w:noWrap/>
            <w:vAlign w:val="center"/>
            <w:hideMark/>
          </w:tcPr>
          <w:p w14:paraId="66FDAAB4"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p-value</w:t>
            </w:r>
          </w:p>
        </w:tc>
        <w:tc>
          <w:tcPr>
            <w:tcW w:w="97" w:type="pct"/>
            <w:tcBorders>
              <w:top w:val="single" w:sz="4" w:space="0" w:color="auto"/>
              <w:left w:val="nil"/>
              <w:bottom w:val="single" w:sz="4" w:space="0" w:color="auto"/>
              <w:right w:val="nil"/>
            </w:tcBorders>
            <w:shd w:val="clear" w:color="000000" w:fill="FFFFFF"/>
            <w:noWrap/>
            <w:vAlign w:val="center"/>
            <w:hideMark/>
          </w:tcPr>
          <w:p w14:paraId="2C8A99BB" w14:textId="77777777" w:rsidR="006B6EFA" w:rsidRPr="00E200A5" w:rsidRDefault="006B6EFA" w:rsidP="00C915C8">
            <w:pPr>
              <w:spacing w:after="0" w:line="240" w:lineRule="auto"/>
              <w:rPr>
                <w:rFonts w:ascii="Times New Roman" w:eastAsia="Times New Roman" w:hAnsi="Times New Roman" w:cs="Times New Roman"/>
                <w:color w:val="000000"/>
                <w:sz w:val="20"/>
                <w:szCs w:val="20"/>
                <w:lang w:eastAsia="en-GB"/>
              </w:rPr>
            </w:pPr>
            <w:r w:rsidRPr="00E200A5">
              <w:rPr>
                <w:rFonts w:ascii="Times New Roman" w:eastAsia="Times New Roman" w:hAnsi="Times New Roman" w:cs="Times New Roman"/>
                <w:color w:val="000000"/>
                <w:sz w:val="20"/>
                <w:szCs w:val="20"/>
                <w:lang w:eastAsia="en-GB"/>
              </w:rPr>
              <w:t> </w:t>
            </w:r>
          </w:p>
        </w:tc>
        <w:tc>
          <w:tcPr>
            <w:tcW w:w="184" w:type="pct"/>
            <w:tcBorders>
              <w:top w:val="single" w:sz="4" w:space="0" w:color="auto"/>
              <w:left w:val="nil"/>
              <w:bottom w:val="single" w:sz="4" w:space="0" w:color="auto"/>
              <w:right w:val="nil"/>
            </w:tcBorders>
            <w:shd w:val="clear" w:color="000000" w:fill="FFFFFF"/>
            <w:noWrap/>
            <w:vAlign w:val="center"/>
            <w:hideMark/>
          </w:tcPr>
          <w:p w14:paraId="5C385959"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OR</w:t>
            </w:r>
            <w:r w:rsidRPr="00E200A5">
              <w:rPr>
                <w:rFonts w:ascii="Times New Roman" w:eastAsia="Times New Roman" w:hAnsi="Times New Roman" w:cs="Times New Roman"/>
                <w:i/>
                <w:iCs/>
                <w:color w:val="333333"/>
                <w:sz w:val="20"/>
                <w:szCs w:val="20"/>
                <w:vertAlign w:val="superscript"/>
                <w:lang w:eastAsia="en-GB"/>
              </w:rPr>
              <w:t>1</w:t>
            </w:r>
          </w:p>
        </w:tc>
        <w:tc>
          <w:tcPr>
            <w:tcW w:w="335" w:type="pct"/>
            <w:tcBorders>
              <w:top w:val="single" w:sz="4" w:space="0" w:color="auto"/>
              <w:left w:val="nil"/>
              <w:bottom w:val="single" w:sz="4" w:space="0" w:color="auto"/>
              <w:right w:val="nil"/>
            </w:tcBorders>
            <w:shd w:val="clear" w:color="000000" w:fill="FFFFFF"/>
            <w:noWrap/>
            <w:vAlign w:val="center"/>
            <w:hideMark/>
          </w:tcPr>
          <w:p w14:paraId="78C890EF"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95% CI</w:t>
            </w:r>
            <w:r w:rsidRPr="00E200A5">
              <w:rPr>
                <w:rFonts w:ascii="Times New Roman" w:eastAsia="Times New Roman" w:hAnsi="Times New Roman" w:cs="Times New Roman"/>
                <w:i/>
                <w:iCs/>
                <w:color w:val="333333"/>
                <w:sz w:val="20"/>
                <w:szCs w:val="20"/>
                <w:vertAlign w:val="superscript"/>
                <w:lang w:eastAsia="en-GB"/>
              </w:rPr>
              <w:t>1</w:t>
            </w:r>
          </w:p>
        </w:tc>
        <w:tc>
          <w:tcPr>
            <w:tcW w:w="260" w:type="pct"/>
            <w:tcBorders>
              <w:top w:val="single" w:sz="4" w:space="0" w:color="auto"/>
              <w:left w:val="nil"/>
              <w:bottom w:val="single" w:sz="4" w:space="0" w:color="auto"/>
              <w:right w:val="nil"/>
            </w:tcBorders>
            <w:shd w:val="clear" w:color="000000" w:fill="FFFFFF"/>
            <w:noWrap/>
            <w:vAlign w:val="center"/>
            <w:hideMark/>
          </w:tcPr>
          <w:p w14:paraId="416D065A"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p-value</w:t>
            </w:r>
          </w:p>
        </w:tc>
        <w:tc>
          <w:tcPr>
            <w:tcW w:w="97" w:type="pct"/>
            <w:tcBorders>
              <w:top w:val="single" w:sz="4" w:space="0" w:color="auto"/>
              <w:left w:val="nil"/>
              <w:bottom w:val="single" w:sz="4" w:space="0" w:color="auto"/>
              <w:right w:val="nil"/>
            </w:tcBorders>
            <w:shd w:val="clear" w:color="000000" w:fill="FFFFFF"/>
            <w:noWrap/>
            <w:vAlign w:val="center"/>
            <w:hideMark/>
          </w:tcPr>
          <w:p w14:paraId="0E998955" w14:textId="77777777" w:rsidR="006B6EFA" w:rsidRPr="00E200A5" w:rsidRDefault="006B6EFA" w:rsidP="00C915C8">
            <w:pPr>
              <w:spacing w:after="0" w:line="240" w:lineRule="auto"/>
              <w:rPr>
                <w:rFonts w:ascii="Times New Roman" w:eastAsia="Times New Roman" w:hAnsi="Times New Roman" w:cs="Times New Roman"/>
                <w:color w:val="000000"/>
                <w:sz w:val="20"/>
                <w:szCs w:val="20"/>
                <w:lang w:eastAsia="en-GB"/>
              </w:rPr>
            </w:pPr>
            <w:r w:rsidRPr="00E200A5">
              <w:rPr>
                <w:rFonts w:ascii="Times New Roman" w:eastAsia="Times New Roman" w:hAnsi="Times New Roman" w:cs="Times New Roman"/>
                <w:color w:val="000000"/>
                <w:sz w:val="20"/>
                <w:szCs w:val="20"/>
                <w:lang w:eastAsia="en-GB"/>
              </w:rPr>
              <w:t> </w:t>
            </w:r>
          </w:p>
        </w:tc>
        <w:tc>
          <w:tcPr>
            <w:tcW w:w="184" w:type="pct"/>
            <w:tcBorders>
              <w:top w:val="single" w:sz="4" w:space="0" w:color="auto"/>
              <w:left w:val="nil"/>
              <w:bottom w:val="single" w:sz="4" w:space="0" w:color="auto"/>
              <w:right w:val="nil"/>
            </w:tcBorders>
            <w:shd w:val="clear" w:color="000000" w:fill="FFFFFF"/>
            <w:noWrap/>
            <w:vAlign w:val="center"/>
            <w:hideMark/>
          </w:tcPr>
          <w:p w14:paraId="3336452A"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OR</w:t>
            </w:r>
            <w:r w:rsidRPr="00E200A5">
              <w:rPr>
                <w:rFonts w:ascii="Times New Roman" w:eastAsia="Times New Roman" w:hAnsi="Times New Roman" w:cs="Times New Roman"/>
                <w:i/>
                <w:iCs/>
                <w:color w:val="333333"/>
                <w:sz w:val="20"/>
                <w:szCs w:val="20"/>
                <w:vertAlign w:val="superscript"/>
                <w:lang w:eastAsia="en-GB"/>
              </w:rPr>
              <w:t>1</w:t>
            </w:r>
          </w:p>
        </w:tc>
        <w:tc>
          <w:tcPr>
            <w:tcW w:w="335" w:type="pct"/>
            <w:tcBorders>
              <w:top w:val="single" w:sz="4" w:space="0" w:color="auto"/>
              <w:left w:val="nil"/>
              <w:bottom w:val="single" w:sz="4" w:space="0" w:color="auto"/>
              <w:right w:val="nil"/>
            </w:tcBorders>
            <w:shd w:val="clear" w:color="000000" w:fill="FFFFFF"/>
            <w:noWrap/>
            <w:vAlign w:val="center"/>
            <w:hideMark/>
          </w:tcPr>
          <w:p w14:paraId="44083A71"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95% CI</w:t>
            </w:r>
            <w:r w:rsidRPr="00E200A5">
              <w:rPr>
                <w:rFonts w:ascii="Times New Roman" w:eastAsia="Times New Roman" w:hAnsi="Times New Roman" w:cs="Times New Roman"/>
                <w:i/>
                <w:iCs/>
                <w:color w:val="333333"/>
                <w:sz w:val="20"/>
                <w:szCs w:val="20"/>
                <w:vertAlign w:val="superscript"/>
                <w:lang w:eastAsia="en-GB"/>
              </w:rPr>
              <w:t>1</w:t>
            </w:r>
          </w:p>
        </w:tc>
        <w:tc>
          <w:tcPr>
            <w:tcW w:w="260" w:type="pct"/>
            <w:tcBorders>
              <w:top w:val="single" w:sz="4" w:space="0" w:color="auto"/>
              <w:left w:val="nil"/>
              <w:bottom w:val="single" w:sz="4" w:space="0" w:color="auto"/>
              <w:right w:val="nil"/>
            </w:tcBorders>
            <w:shd w:val="clear" w:color="000000" w:fill="FFFFFF"/>
            <w:noWrap/>
            <w:vAlign w:val="center"/>
            <w:hideMark/>
          </w:tcPr>
          <w:p w14:paraId="0AB6E742"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p-value</w:t>
            </w:r>
          </w:p>
        </w:tc>
      </w:tr>
      <w:tr w:rsidR="00922559" w:rsidRPr="00E200A5" w14:paraId="4C8878E8" w14:textId="77777777" w:rsidTr="0072167D">
        <w:trPr>
          <w:trHeight w:val="345"/>
        </w:trPr>
        <w:tc>
          <w:tcPr>
            <w:tcW w:w="623" w:type="pct"/>
            <w:tcBorders>
              <w:top w:val="nil"/>
              <w:left w:val="nil"/>
              <w:bottom w:val="nil"/>
              <w:right w:val="nil"/>
            </w:tcBorders>
            <w:shd w:val="clear" w:color="000000" w:fill="FFFFFF"/>
            <w:noWrap/>
            <w:vAlign w:val="center"/>
            <w:hideMark/>
          </w:tcPr>
          <w:p w14:paraId="167EFDDA"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97" w:type="pct"/>
            <w:tcBorders>
              <w:top w:val="nil"/>
              <w:left w:val="nil"/>
              <w:bottom w:val="nil"/>
              <w:right w:val="nil"/>
            </w:tcBorders>
            <w:shd w:val="clear" w:color="000000" w:fill="FFFFFF"/>
            <w:noWrap/>
            <w:vAlign w:val="center"/>
            <w:hideMark/>
          </w:tcPr>
          <w:p w14:paraId="20DD5383"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2</w:t>
            </w:r>
          </w:p>
        </w:tc>
        <w:tc>
          <w:tcPr>
            <w:tcW w:w="184" w:type="pct"/>
            <w:tcBorders>
              <w:top w:val="nil"/>
              <w:left w:val="nil"/>
              <w:bottom w:val="nil"/>
              <w:right w:val="nil"/>
            </w:tcBorders>
            <w:shd w:val="clear" w:color="000000" w:fill="FFFFFF"/>
            <w:noWrap/>
            <w:vAlign w:val="center"/>
            <w:hideMark/>
          </w:tcPr>
          <w:p w14:paraId="65D98EB9"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335" w:type="pct"/>
            <w:tcBorders>
              <w:top w:val="nil"/>
              <w:left w:val="nil"/>
              <w:bottom w:val="nil"/>
              <w:right w:val="nil"/>
            </w:tcBorders>
            <w:shd w:val="clear" w:color="000000" w:fill="FFFFFF"/>
            <w:noWrap/>
            <w:vAlign w:val="center"/>
            <w:hideMark/>
          </w:tcPr>
          <w:p w14:paraId="664529A5"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260" w:type="pct"/>
            <w:tcBorders>
              <w:top w:val="nil"/>
              <w:left w:val="nil"/>
              <w:bottom w:val="nil"/>
              <w:right w:val="nil"/>
            </w:tcBorders>
            <w:shd w:val="clear" w:color="000000" w:fill="FFFFFF"/>
            <w:noWrap/>
            <w:vAlign w:val="center"/>
            <w:hideMark/>
          </w:tcPr>
          <w:p w14:paraId="065B8200"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97" w:type="pct"/>
            <w:tcBorders>
              <w:top w:val="nil"/>
              <w:left w:val="nil"/>
              <w:bottom w:val="nil"/>
              <w:right w:val="nil"/>
            </w:tcBorders>
            <w:shd w:val="clear" w:color="000000" w:fill="FFFFFF"/>
            <w:noWrap/>
            <w:vAlign w:val="center"/>
            <w:hideMark/>
          </w:tcPr>
          <w:p w14:paraId="7F96F26B"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3</w:t>
            </w:r>
          </w:p>
        </w:tc>
        <w:tc>
          <w:tcPr>
            <w:tcW w:w="184" w:type="pct"/>
            <w:tcBorders>
              <w:top w:val="nil"/>
              <w:left w:val="nil"/>
              <w:bottom w:val="nil"/>
              <w:right w:val="nil"/>
            </w:tcBorders>
            <w:shd w:val="clear" w:color="auto" w:fill="auto"/>
            <w:noWrap/>
            <w:vAlign w:val="center"/>
            <w:hideMark/>
          </w:tcPr>
          <w:p w14:paraId="5CDEEA75"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p>
        </w:tc>
        <w:tc>
          <w:tcPr>
            <w:tcW w:w="335" w:type="pct"/>
            <w:tcBorders>
              <w:top w:val="nil"/>
              <w:left w:val="nil"/>
              <w:bottom w:val="nil"/>
              <w:right w:val="nil"/>
            </w:tcBorders>
            <w:shd w:val="clear" w:color="000000" w:fill="FFFFFF"/>
            <w:noWrap/>
            <w:vAlign w:val="center"/>
            <w:hideMark/>
          </w:tcPr>
          <w:p w14:paraId="6ED56072"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260" w:type="pct"/>
            <w:tcBorders>
              <w:top w:val="nil"/>
              <w:left w:val="nil"/>
              <w:bottom w:val="nil"/>
              <w:right w:val="nil"/>
            </w:tcBorders>
            <w:shd w:val="clear" w:color="000000" w:fill="FFFFFF"/>
            <w:noWrap/>
            <w:vAlign w:val="center"/>
            <w:hideMark/>
          </w:tcPr>
          <w:p w14:paraId="0AE1DC5E"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97" w:type="pct"/>
            <w:tcBorders>
              <w:top w:val="nil"/>
              <w:left w:val="nil"/>
              <w:bottom w:val="nil"/>
              <w:right w:val="nil"/>
            </w:tcBorders>
            <w:shd w:val="clear" w:color="000000" w:fill="FFFFFF"/>
            <w:noWrap/>
            <w:vAlign w:val="center"/>
            <w:hideMark/>
          </w:tcPr>
          <w:p w14:paraId="15CFCBCE"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4</w:t>
            </w:r>
          </w:p>
        </w:tc>
        <w:tc>
          <w:tcPr>
            <w:tcW w:w="184" w:type="pct"/>
            <w:tcBorders>
              <w:top w:val="nil"/>
              <w:left w:val="nil"/>
              <w:bottom w:val="nil"/>
              <w:right w:val="nil"/>
            </w:tcBorders>
            <w:shd w:val="clear" w:color="auto" w:fill="auto"/>
            <w:noWrap/>
            <w:vAlign w:val="center"/>
            <w:hideMark/>
          </w:tcPr>
          <w:p w14:paraId="5FCA6684"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p>
        </w:tc>
        <w:tc>
          <w:tcPr>
            <w:tcW w:w="335" w:type="pct"/>
            <w:tcBorders>
              <w:top w:val="nil"/>
              <w:left w:val="nil"/>
              <w:bottom w:val="nil"/>
              <w:right w:val="nil"/>
            </w:tcBorders>
            <w:shd w:val="clear" w:color="000000" w:fill="FFFFFF"/>
            <w:noWrap/>
            <w:vAlign w:val="center"/>
            <w:hideMark/>
          </w:tcPr>
          <w:p w14:paraId="72CBB722"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260" w:type="pct"/>
            <w:tcBorders>
              <w:top w:val="nil"/>
              <w:left w:val="nil"/>
              <w:bottom w:val="nil"/>
              <w:right w:val="nil"/>
            </w:tcBorders>
            <w:shd w:val="clear" w:color="000000" w:fill="FFFFFF"/>
            <w:noWrap/>
            <w:vAlign w:val="center"/>
            <w:hideMark/>
          </w:tcPr>
          <w:p w14:paraId="0C3D83BF"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97" w:type="pct"/>
            <w:tcBorders>
              <w:top w:val="nil"/>
              <w:left w:val="nil"/>
              <w:bottom w:val="nil"/>
              <w:right w:val="nil"/>
            </w:tcBorders>
            <w:shd w:val="clear" w:color="000000" w:fill="FFFFFF"/>
            <w:noWrap/>
            <w:vAlign w:val="center"/>
            <w:hideMark/>
          </w:tcPr>
          <w:p w14:paraId="2EF3FB8C"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5</w:t>
            </w:r>
          </w:p>
        </w:tc>
        <w:tc>
          <w:tcPr>
            <w:tcW w:w="184" w:type="pct"/>
            <w:tcBorders>
              <w:top w:val="nil"/>
              <w:left w:val="nil"/>
              <w:bottom w:val="nil"/>
              <w:right w:val="nil"/>
            </w:tcBorders>
            <w:shd w:val="clear" w:color="auto" w:fill="auto"/>
            <w:noWrap/>
            <w:vAlign w:val="center"/>
            <w:hideMark/>
          </w:tcPr>
          <w:p w14:paraId="6105F66F"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p>
        </w:tc>
        <w:tc>
          <w:tcPr>
            <w:tcW w:w="335" w:type="pct"/>
            <w:tcBorders>
              <w:top w:val="nil"/>
              <w:left w:val="nil"/>
              <w:bottom w:val="nil"/>
              <w:right w:val="nil"/>
            </w:tcBorders>
            <w:shd w:val="clear" w:color="000000" w:fill="FFFFFF"/>
            <w:noWrap/>
            <w:vAlign w:val="center"/>
            <w:hideMark/>
          </w:tcPr>
          <w:p w14:paraId="3CCBF297"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260" w:type="pct"/>
            <w:tcBorders>
              <w:top w:val="nil"/>
              <w:left w:val="nil"/>
              <w:bottom w:val="nil"/>
              <w:right w:val="nil"/>
            </w:tcBorders>
            <w:shd w:val="clear" w:color="000000" w:fill="FFFFFF"/>
            <w:noWrap/>
            <w:vAlign w:val="center"/>
            <w:hideMark/>
          </w:tcPr>
          <w:p w14:paraId="772664C4"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97" w:type="pct"/>
            <w:tcBorders>
              <w:top w:val="nil"/>
              <w:left w:val="nil"/>
              <w:bottom w:val="nil"/>
              <w:right w:val="nil"/>
            </w:tcBorders>
            <w:shd w:val="clear" w:color="000000" w:fill="FFFFFF"/>
            <w:noWrap/>
            <w:vAlign w:val="center"/>
            <w:hideMark/>
          </w:tcPr>
          <w:p w14:paraId="16F4B236"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6</w:t>
            </w:r>
          </w:p>
        </w:tc>
        <w:tc>
          <w:tcPr>
            <w:tcW w:w="184" w:type="pct"/>
            <w:tcBorders>
              <w:top w:val="nil"/>
              <w:left w:val="nil"/>
              <w:bottom w:val="nil"/>
              <w:right w:val="nil"/>
            </w:tcBorders>
            <w:shd w:val="clear" w:color="auto" w:fill="auto"/>
            <w:noWrap/>
            <w:vAlign w:val="center"/>
            <w:hideMark/>
          </w:tcPr>
          <w:p w14:paraId="44657099"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p>
        </w:tc>
        <w:tc>
          <w:tcPr>
            <w:tcW w:w="335" w:type="pct"/>
            <w:tcBorders>
              <w:top w:val="nil"/>
              <w:left w:val="nil"/>
              <w:bottom w:val="nil"/>
              <w:right w:val="nil"/>
            </w:tcBorders>
            <w:shd w:val="clear" w:color="000000" w:fill="FFFFFF"/>
            <w:noWrap/>
            <w:vAlign w:val="center"/>
            <w:hideMark/>
          </w:tcPr>
          <w:p w14:paraId="029D7327"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260" w:type="pct"/>
            <w:tcBorders>
              <w:top w:val="nil"/>
              <w:left w:val="nil"/>
              <w:bottom w:val="nil"/>
              <w:right w:val="nil"/>
            </w:tcBorders>
            <w:shd w:val="clear" w:color="000000" w:fill="FFFFFF"/>
            <w:noWrap/>
            <w:vAlign w:val="center"/>
            <w:hideMark/>
          </w:tcPr>
          <w:p w14:paraId="6D576346" w14:textId="777777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r>
      <w:tr w:rsidR="00326150" w:rsidRPr="00E200A5" w14:paraId="4AD2CBC2" w14:textId="77777777" w:rsidTr="005A2589">
        <w:trPr>
          <w:trHeight w:val="345"/>
        </w:trPr>
        <w:tc>
          <w:tcPr>
            <w:tcW w:w="623" w:type="pct"/>
            <w:tcBorders>
              <w:top w:val="nil"/>
              <w:left w:val="nil"/>
              <w:bottom w:val="nil"/>
              <w:right w:val="nil"/>
            </w:tcBorders>
            <w:shd w:val="clear" w:color="000000" w:fill="FFFFFF"/>
            <w:noWrap/>
            <w:vAlign w:val="center"/>
            <w:hideMark/>
          </w:tcPr>
          <w:p w14:paraId="2A932C3B" w14:textId="77777777" w:rsidR="006B6EFA" w:rsidRPr="00E200A5" w:rsidRDefault="006B6EFA" w:rsidP="00C915C8">
            <w:pPr>
              <w:spacing w:after="0" w:line="240" w:lineRule="auto"/>
              <w:rPr>
                <w:rFonts w:ascii="Times New Roman" w:eastAsia="Times New Roman" w:hAnsi="Times New Roman" w:cs="Times New Roman"/>
                <w:color w:val="333333"/>
                <w:sz w:val="20"/>
                <w:szCs w:val="20"/>
                <w:lang w:eastAsia="en-GB"/>
              </w:rPr>
            </w:pPr>
            <w:r w:rsidRPr="00E200A5">
              <w:rPr>
                <w:rFonts w:ascii="Times New Roman" w:eastAsia="Times New Roman" w:hAnsi="Times New Roman" w:cs="Times New Roman"/>
                <w:color w:val="333333"/>
                <w:sz w:val="20"/>
                <w:szCs w:val="20"/>
                <w:lang w:eastAsia="en-GB"/>
              </w:rPr>
              <w:t>Intelligence</w:t>
            </w:r>
          </w:p>
        </w:tc>
        <w:tc>
          <w:tcPr>
            <w:tcW w:w="97" w:type="pct"/>
            <w:tcBorders>
              <w:top w:val="nil"/>
              <w:left w:val="nil"/>
              <w:bottom w:val="nil"/>
              <w:right w:val="nil"/>
            </w:tcBorders>
            <w:shd w:val="clear" w:color="000000" w:fill="FFFFFF"/>
            <w:noWrap/>
            <w:vAlign w:val="center"/>
            <w:hideMark/>
          </w:tcPr>
          <w:p w14:paraId="6B14A601"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123154A6" w14:textId="29CAEB10"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0.92</w:t>
            </w:r>
          </w:p>
        </w:tc>
        <w:tc>
          <w:tcPr>
            <w:tcW w:w="335" w:type="pct"/>
            <w:tcBorders>
              <w:top w:val="nil"/>
              <w:left w:val="nil"/>
              <w:bottom w:val="nil"/>
              <w:right w:val="nil"/>
            </w:tcBorders>
            <w:shd w:val="clear" w:color="000000" w:fill="FFFFFF"/>
            <w:noWrap/>
            <w:vAlign w:val="center"/>
            <w:hideMark/>
          </w:tcPr>
          <w:p w14:paraId="09892785" w14:textId="27B8BFE5"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0.76, 1.11</w:t>
            </w:r>
          </w:p>
        </w:tc>
        <w:tc>
          <w:tcPr>
            <w:tcW w:w="260" w:type="pct"/>
            <w:tcBorders>
              <w:top w:val="nil"/>
              <w:left w:val="nil"/>
              <w:bottom w:val="nil"/>
              <w:right w:val="nil"/>
            </w:tcBorders>
            <w:shd w:val="clear" w:color="000000" w:fill="FFFFFF"/>
            <w:noWrap/>
            <w:vAlign w:val="center"/>
            <w:hideMark/>
          </w:tcPr>
          <w:p w14:paraId="6DBDCA2B" w14:textId="0D7C0A6F"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0.37</w:t>
            </w:r>
          </w:p>
        </w:tc>
        <w:tc>
          <w:tcPr>
            <w:tcW w:w="97" w:type="pct"/>
            <w:tcBorders>
              <w:top w:val="nil"/>
              <w:left w:val="nil"/>
              <w:bottom w:val="nil"/>
              <w:right w:val="nil"/>
            </w:tcBorders>
            <w:shd w:val="clear" w:color="000000" w:fill="FFFFFF"/>
            <w:noWrap/>
            <w:vAlign w:val="center"/>
            <w:hideMark/>
          </w:tcPr>
          <w:p w14:paraId="2501BDF2"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4EE0BD29" w14:textId="7FAC65E2"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0.79</w:t>
            </w:r>
          </w:p>
        </w:tc>
        <w:tc>
          <w:tcPr>
            <w:tcW w:w="335" w:type="pct"/>
            <w:tcBorders>
              <w:top w:val="nil"/>
              <w:left w:val="nil"/>
              <w:bottom w:val="nil"/>
              <w:right w:val="nil"/>
            </w:tcBorders>
            <w:shd w:val="clear" w:color="000000" w:fill="FFFFFF"/>
            <w:noWrap/>
            <w:vAlign w:val="center"/>
            <w:hideMark/>
          </w:tcPr>
          <w:p w14:paraId="1EC5BC57" w14:textId="4F729B7E"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0.69, 0.91</w:t>
            </w:r>
          </w:p>
        </w:tc>
        <w:tc>
          <w:tcPr>
            <w:tcW w:w="260" w:type="pct"/>
            <w:tcBorders>
              <w:top w:val="nil"/>
              <w:left w:val="nil"/>
              <w:bottom w:val="nil"/>
              <w:right w:val="nil"/>
            </w:tcBorders>
            <w:shd w:val="clear" w:color="000000" w:fill="FFFFFF"/>
            <w:noWrap/>
            <w:vAlign w:val="center"/>
            <w:hideMark/>
          </w:tcPr>
          <w:p w14:paraId="22D72568" w14:textId="516171F8"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0.001</w:t>
            </w:r>
          </w:p>
        </w:tc>
        <w:tc>
          <w:tcPr>
            <w:tcW w:w="97" w:type="pct"/>
            <w:tcBorders>
              <w:top w:val="nil"/>
              <w:left w:val="nil"/>
              <w:bottom w:val="nil"/>
              <w:right w:val="nil"/>
            </w:tcBorders>
            <w:shd w:val="clear" w:color="000000" w:fill="FFFFFF"/>
            <w:noWrap/>
            <w:vAlign w:val="center"/>
            <w:hideMark/>
          </w:tcPr>
          <w:p w14:paraId="32C2CB6B"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76028A08" w14:textId="6FBA1C3C"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0.71</w:t>
            </w:r>
          </w:p>
        </w:tc>
        <w:tc>
          <w:tcPr>
            <w:tcW w:w="335" w:type="pct"/>
            <w:tcBorders>
              <w:top w:val="nil"/>
              <w:left w:val="nil"/>
              <w:bottom w:val="nil"/>
              <w:right w:val="nil"/>
            </w:tcBorders>
            <w:shd w:val="clear" w:color="000000" w:fill="FFFFFF"/>
            <w:noWrap/>
            <w:vAlign w:val="center"/>
            <w:hideMark/>
          </w:tcPr>
          <w:p w14:paraId="5A763DA8" w14:textId="38312344"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0.63, 0.81</w:t>
            </w:r>
          </w:p>
        </w:tc>
        <w:tc>
          <w:tcPr>
            <w:tcW w:w="260" w:type="pct"/>
            <w:tcBorders>
              <w:top w:val="nil"/>
              <w:left w:val="nil"/>
              <w:bottom w:val="nil"/>
              <w:right w:val="nil"/>
            </w:tcBorders>
            <w:shd w:val="clear" w:color="000000" w:fill="FFFFFF"/>
            <w:noWrap/>
            <w:vAlign w:val="center"/>
            <w:hideMark/>
          </w:tcPr>
          <w:p w14:paraId="05282D7A" w14:textId="60C0DF28"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c>
          <w:tcPr>
            <w:tcW w:w="97" w:type="pct"/>
            <w:tcBorders>
              <w:top w:val="nil"/>
              <w:left w:val="nil"/>
              <w:bottom w:val="nil"/>
              <w:right w:val="nil"/>
            </w:tcBorders>
            <w:shd w:val="clear" w:color="000000" w:fill="FFFFFF"/>
            <w:noWrap/>
            <w:vAlign w:val="center"/>
            <w:hideMark/>
          </w:tcPr>
          <w:p w14:paraId="716553D2"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574D8976" w14:textId="09F32960"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0.89</w:t>
            </w:r>
          </w:p>
        </w:tc>
        <w:tc>
          <w:tcPr>
            <w:tcW w:w="335" w:type="pct"/>
            <w:tcBorders>
              <w:top w:val="nil"/>
              <w:left w:val="nil"/>
              <w:bottom w:val="nil"/>
              <w:right w:val="nil"/>
            </w:tcBorders>
            <w:shd w:val="clear" w:color="000000" w:fill="FFFFFF"/>
            <w:noWrap/>
            <w:vAlign w:val="center"/>
            <w:hideMark/>
          </w:tcPr>
          <w:p w14:paraId="549F5C8B" w14:textId="6490C6EF"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0.84, 0.95</w:t>
            </w:r>
          </w:p>
        </w:tc>
        <w:tc>
          <w:tcPr>
            <w:tcW w:w="260" w:type="pct"/>
            <w:tcBorders>
              <w:top w:val="nil"/>
              <w:left w:val="nil"/>
              <w:bottom w:val="nil"/>
              <w:right w:val="nil"/>
            </w:tcBorders>
            <w:shd w:val="clear" w:color="000000" w:fill="FFFFFF"/>
            <w:noWrap/>
            <w:vAlign w:val="center"/>
            <w:hideMark/>
          </w:tcPr>
          <w:p w14:paraId="00AE10D3" w14:textId="4C4D455A"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c>
          <w:tcPr>
            <w:tcW w:w="97" w:type="pct"/>
            <w:tcBorders>
              <w:top w:val="nil"/>
              <w:left w:val="nil"/>
              <w:bottom w:val="nil"/>
              <w:right w:val="nil"/>
            </w:tcBorders>
            <w:shd w:val="clear" w:color="000000" w:fill="FFFFFF"/>
            <w:noWrap/>
            <w:vAlign w:val="center"/>
            <w:hideMark/>
          </w:tcPr>
          <w:p w14:paraId="30C81757"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0734304A" w14:textId="31D8A60A"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0.78</w:t>
            </w:r>
          </w:p>
        </w:tc>
        <w:tc>
          <w:tcPr>
            <w:tcW w:w="335" w:type="pct"/>
            <w:tcBorders>
              <w:top w:val="nil"/>
              <w:left w:val="nil"/>
              <w:bottom w:val="nil"/>
              <w:right w:val="nil"/>
            </w:tcBorders>
            <w:shd w:val="clear" w:color="000000" w:fill="FFFFFF"/>
            <w:noWrap/>
            <w:vAlign w:val="center"/>
            <w:hideMark/>
          </w:tcPr>
          <w:p w14:paraId="782D3107" w14:textId="7D7EDDCB"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0.66, 0.92</w:t>
            </w:r>
          </w:p>
        </w:tc>
        <w:tc>
          <w:tcPr>
            <w:tcW w:w="260" w:type="pct"/>
            <w:tcBorders>
              <w:top w:val="nil"/>
              <w:left w:val="nil"/>
              <w:bottom w:val="nil"/>
              <w:right w:val="nil"/>
            </w:tcBorders>
            <w:shd w:val="clear" w:color="000000" w:fill="FFFFFF"/>
            <w:noWrap/>
            <w:vAlign w:val="center"/>
            <w:hideMark/>
          </w:tcPr>
          <w:p w14:paraId="78BECD31" w14:textId="7FE88818"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0.004</w:t>
            </w:r>
          </w:p>
        </w:tc>
      </w:tr>
      <w:tr w:rsidR="00326150" w:rsidRPr="00E200A5" w14:paraId="52D88E44" w14:textId="77777777" w:rsidTr="005A2589">
        <w:trPr>
          <w:trHeight w:val="345"/>
        </w:trPr>
        <w:tc>
          <w:tcPr>
            <w:tcW w:w="623" w:type="pct"/>
            <w:tcBorders>
              <w:top w:val="nil"/>
              <w:left w:val="nil"/>
              <w:bottom w:val="nil"/>
              <w:right w:val="nil"/>
            </w:tcBorders>
            <w:shd w:val="clear" w:color="000000" w:fill="FFFFFF"/>
            <w:noWrap/>
            <w:vAlign w:val="center"/>
            <w:hideMark/>
          </w:tcPr>
          <w:p w14:paraId="13DFAE2A" w14:textId="77777777" w:rsidR="006B6EFA" w:rsidRPr="00E200A5" w:rsidRDefault="006B6EFA" w:rsidP="00C915C8">
            <w:pPr>
              <w:spacing w:after="0" w:line="240" w:lineRule="auto"/>
              <w:rPr>
                <w:rFonts w:ascii="Times New Roman" w:eastAsia="Times New Roman" w:hAnsi="Times New Roman" w:cs="Times New Roman"/>
                <w:color w:val="333333"/>
                <w:sz w:val="20"/>
                <w:szCs w:val="20"/>
                <w:lang w:eastAsia="en-GB"/>
              </w:rPr>
            </w:pPr>
            <w:r w:rsidRPr="00E200A5">
              <w:rPr>
                <w:rFonts w:ascii="Times New Roman" w:eastAsia="Times New Roman" w:hAnsi="Times New Roman" w:cs="Times New Roman"/>
                <w:color w:val="333333"/>
                <w:sz w:val="20"/>
                <w:szCs w:val="20"/>
                <w:lang w:eastAsia="en-GB"/>
              </w:rPr>
              <w:t>Agreeableness</w:t>
            </w:r>
          </w:p>
        </w:tc>
        <w:tc>
          <w:tcPr>
            <w:tcW w:w="97" w:type="pct"/>
            <w:tcBorders>
              <w:top w:val="nil"/>
              <w:left w:val="nil"/>
              <w:bottom w:val="nil"/>
              <w:right w:val="nil"/>
            </w:tcBorders>
            <w:shd w:val="clear" w:color="000000" w:fill="FFFFFF"/>
            <w:noWrap/>
            <w:vAlign w:val="center"/>
            <w:hideMark/>
          </w:tcPr>
          <w:p w14:paraId="07294F30"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56CF9451" w14:textId="6DB056BB"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0.78</w:t>
            </w:r>
          </w:p>
        </w:tc>
        <w:tc>
          <w:tcPr>
            <w:tcW w:w="335" w:type="pct"/>
            <w:tcBorders>
              <w:top w:val="nil"/>
              <w:left w:val="nil"/>
              <w:bottom w:val="nil"/>
              <w:right w:val="nil"/>
            </w:tcBorders>
            <w:shd w:val="clear" w:color="000000" w:fill="FFFFFF"/>
            <w:noWrap/>
            <w:vAlign w:val="center"/>
            <w:hideMark/>
          </w:tcPr>
          <w:p w14:paraId="7479C3E2" w14:textId="067E9F1B"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0.65, 0.93</w:t>
            </w:r>
          </w:p>
        </w:tc>
        <w:tc>
          <w:tcPr>
            <w:tcW w:w="260" w:type="pct"/>
            <w:tcBorders>
              <w:top w:val="nil"/>
              <w:left w:val="nil"/>
              <w:bottom w:val="nil"/>
              <w:right w:val="nil"/>
            </w:tcBorders>
            <w:shd w:val="clear" w:color="000000" w:fill="FFFFFF"/>
            <w:noWrap/>
            <w:vAlign w:val="center"/>
            <w:hideMark/>
          </w:tcPr>
          <w:p w14:paraId="7E5CBAD8" w14:textId="240CC868"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0.006</w:t>
            </w:r>
          </w:p>
        </w:tc>
        <w:tc>
          <w:tcPr>
            <w:tcW w:w="97" w:type="pct"/>
            <w:tcBorders>
              <w:top w:val="nil"/>
              <w:left w:val="nil"/>
              <w:bottom w:val="nil"/>
              <w:right w:val="nil"/>
            </w:tcBorders>
            <w:shd w:val="clear" w:color="000000" w:fill="FFFFFF"/>
            <w:noWrap/>
            <w:vAlign w:val="center"/>
            <w:hideMark/>
          </w:tcPr>
          <w:p w14:paraId="4678F983"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2A08F8F9" w14:textId="0E9CA869"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0.86</w:t>
            </w:r>
          </w:p>
        </w:tc>
        <w:tc>
          <w:tcPr>
            <w:tcW w:w="335" w:type="pct"/>
            <w:tcBorders>
              <w:top w:val="nil"/>
              <w:left w:val="nil"/>
              <w:bottom w:val="nil"/>
              <w:right w:val="nil"/>
            </w:tcBorders>
            <w:shd w:val="clear" w:color="000000" w:fill="FFFFFF"/>
            <w:noWrap/>
            <w:vAlign w:val="center"/>
            <w:hideMark/>
          </w:tcPr>
          <w:p w14:paraId="35442EE4" w14:textId="297BB816"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0.69, 1.07</w:t>
            </w:r>
          </w:p>
        </w:tc>
        <w:tc>
          <w:tcPr>
            <w:tcW w:w="260" w:type="pct"/>
            <w:tcBorders>
              <w:top w:val="nil"/>
              <w:left w:val="nil"/>
              <w:bottom w:val="nil"/>
              <w:right w:val="nil"/>
            </w:tcBorders>
            <w:shd w:val="clear" w:color="000000" w:fill="FFFFFF"/>
            <w:noWrap/>
            <w:vAlign w:val="center"/>
            <w:hideMark/>
          </w:tcPr>
          <w:p w14:paraId="13C7B0C8" w14:textId="037B88F9"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0.17</w:t>
            </w:r>
          </w:p>
        </w:tc>
        <w:tc>
          <w:tcPr>
            <w:tcW w:w="97" w:type="pct"/>
            <w:tcBorders>
              <w:top w:val="nil"/>
              <w:left w:val="nil"/>
              <w:bottom w:val="nil"/>
              <w:right w:val="nil"/>
            </w:tcBorders>
            <w:shd w:val="clear" w:color="000000" w:fill="FFFFFF"/>
            <w:noWrap/>
            <w:vAlign w:val="center"/>
            <w:hideMark/>
          </w:tcPr>
          <w:p w14:paraId="6ED594DD"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12BCC292" w14:textId="7DDE5199"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0.99</w:t>
            </w:r>
          </w:p>
        </w:tc>
        <w:tc>
          <w:tcPr>
            <w:tcW w:w="335" w:type="pct"/>
            <w:tcBorders>
              <w:top w:val="nil"/>
              <w:left w:val="nil"/>
              <w:bottom w:val="nil"/>
              <w:right w:val="nil"/>
            </w:tcBorders>
            <w:shd w:val="clear" w:color="000000" w:fill="FFFFFF"/>
            <w:noWrap/>
            <w:vAlign w:val="center"/>
            <w:hideMark/>
          </w:tcPr>
          <w:p w14:paraId="6E811E3F" w14:textId="2F8750F0"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0.80, 1.22</w:t>
            </w:r>
          </w:p>
        </w:tc>
        <w:tc>
          <w:tcPr>
            <w:tcW w:w="260" w:type="pct"/>
            <w:tcBorders>
              <w:top w:val="nil"/>
              <w:left w:val="nil"/>
              <w:bottom w:val="nil"/>
              <w:right w:val="nil"/>
            </w:tcBorders>
            <w:shd w:val="clear" w:color="000000" w:fill="FFFFFF"/>
            <w:noWrap/>
            <w:vAlign w:val="center"/>
            <w:hideMark/>
          </w:tcPr>
          <w:p w14:paraId="6A725477" w14:textId="2276B735"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0.92</w:t>
            </w:r>
          </w:p>
        </w:tc>
        <w:tc>
          <w:tcPr>
            <w:tcW w:w="97" w:type="pct"/>
            <w:tcBorders>
              <w:top w:val="nil"/>
              <w:left w:val="nil"/>
              <w:bottom w:val="nil"/>
              <w:right w:val="nil"/>
            </w:tcBorders>
            <w:shd w:val="clear" w:color="000000" w:fill="FFFFFF"/>
            <w:noWrap/>
            <w:vAlign w:val="center"/>
            <w:hideMark/>
          </w:tcPr>
          <w:p w14:paraId="3F1F438E"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2D6F6EC3" w14:textId="4E85683F"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1.02</w:t>
            </w:r>
          </w:p>
        </w:tc>
        <w:tc>
          <w:tcPr>
            <w:tcW w:w="335" w:type="pct"/>
            <w:tcBorders>
              <w:top w:val="nil"/>
              <w:left w:val="nil"/>
              <w:bottom w:val="nil"/>
              <w:right w:val="nil"/>
            </w:tcBorders>
            <w:shd w:val="clear" w:color="000000" w:fill="FFFFFF"/>
            <w:noWrap/>
            <w:vAlign w:val="center"/>
            <w:hideMark/>
          </w:tcPr>
          <w:p w14:paraId="26F8EFF4" w14:textId="010B957C"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0.91, 1.13</w:t>
            </w:r>
          </w:p>
        </w:tc>
        <w:tc>
          <w:tcPr>
            <w:tcW w:w="260" w:type="pct"/>
            <w:tcBorders>
              <w:top w:val="nil"/>
              <w:left w:val="nil"/>
              <w:bottom w:val="nil"/>
              <w:right w:val="nil"/>
            </w:tcBorders>
            <w:shd w:val="clear" w:color="000000" w:fill="FFFFFF"/>
            <w:noWrap/>
            <w:vAlign w:val="center"/>
            <w:hideMark/>
          </w:tcPr>
          <w:p w14:paraId="371A3790" w14:textId="221F242F"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0.76</w:t>
            </w:r>
          </w:p>
        </w:tc>
        <w:tc>
          <w:tcPr>
            <w:tcW w:w="97" w:type="pct"/>
            <w:tcBorders>
              <w:top w:val="nil"/>
              <w:left w:val="nil"/>
              <w:bottom w:val="nil"/>
              <w:right w:val="nil"/>
            </w:tcBorders>
            <w:shd w:val="clear" w:color="000000" w:fill="FFFFFF"/>
            <w:noWrap/>
            <w:vAlign w:val="center"/>
            <w:hideMark/>
          </w:tcPr>
          <w:p w14:paraId="03D25394"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36DCF416" w14:textId="775ADFB8"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0.96</w:t>
            </w:r>
          </w:p>
        </w:tc>
        <w:tc>
          <w:tcPr>
            <w:tcW w:w="335" w:type="pct"/>
            <w:tcBorders>
              <w:top w:val="nil"/>
              <w:left w:val="nil"/>
              <w:bottom w:val="nil"/>
              <w:right w:val="nil"/>
            </w:tcBorders>
            <w:shd w:val="clear" w:color="000000" w:fill="FFFFFF"/>
            <w:noWrap/>
            <w:vAlign w:val="center"/>
            <w:hideMark/>
          </w:tcPr>
          <w:p w14:paraId="558CC6FC" w14:textId="2B554ACC"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0.74, 1.25</w:t>
            </w:r>
          </w:p>
        </w:tc>
        <w:tc>
          <w:tcPr>
            <w:tcW w:w="260" w:type="pct"/>
            <w:tcBorders>
              <w:top w:val="nil"/>
              <w:left w:val="nil"/>
              <w:bottom w:val="nil"/>
              <w:right w:val="nil"/>
            </w:tcBorders>
            <w:shd w:val="clear" w:color="000000" w:fill="FFFFFF"/>
            <w:noWrap/>
            <w:vAlign w:val="center"/>
            <w:hideMark/>
          </w:tcPr>
          <w:p w14:paraId="14BA86F8" w14:textId="1C86D694"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0.76</w:t>
            </w:r>
          </w:p>
        </w:tc>
      </w:tr>
      <w:tr w:rsidR="00326150" w:rsidRPr="00E200A5" w14:paraId="55FFF1B2" w14:textId="77777777" w:rsidTr="005A2589">
        <w:trPr>
          <w:trHeight w:val="345"/>
        </w:trPr>
        <w:tc>
          <w:tcPr>
            <w:tcW w:w="623" w:type="pct"/>
            <w:tcBorders>
              <w:top w:val="nil"/>
              <w:left w:val="nil"/>
              <w:bottom w:val="nil"/>
              <w:right w:val="nil"/>
            </w:tcBorders>
            <w:shd w:val="clear" w:color="000000" w:fill="FFFFFF"/>
            <w:noWrap/>
            <w:vAlign w:val="center"/>
            <w:hideMark/>
          </w:tcPr>
          <w:p w14:paraId="58D6AD0E" w14:textId="77777777" w:rsidR="006B6EFA" w:rsidRPr="00E200A5" w:rsidRDefault="006B6EFA" w:rsidP="00C915C8">
            <w:pPr>
              <w:spacing w:after="0" w:line="240" w:lineRule="auto"/>
              <w:rPr>
                <w:rFonts w:ascii="Times New Roman" w:eastAsia="Times New Roman" w:hAnsi="Times New Roman" w:cs="Times New Roman"/>
                <w:color w:val="333333"/>
                <w:sz w:val="20"/>
                <w:szCs w:val="20"/>
                <w:lang w:eastAsia="en-GB"/>
              </w:rPr>
            </w:pPr>
            <w:r w:rsidRPr="00E200A5">
              <w:rPr>
                <w:rFonts w:ascii="Times New Roman" w:eastAsia="Times New Roman" w:hAnsi="Times New Roman" w:cs="Times New Roman"/>
                <w:color w:val="333333"/>
                <w:sz w:val="20"/>
                <w:szCs w:val="20"/>
                <w:lang w:eastAsia="en-GB"/>
              </w:rPr>
              <w:t>Extraversion</w:t>
            </w:r>
          </w:p>
        </w:tc>
        <w:tc>
          <w:tcPr>
            <w:tcW w:w="97" w:type="pct"/>
            <w:tcBorders>
              <w:top w:val="nil"/>
              <w:left w:val="nil"/>
              <w:bottom w:val="nil"/>
              <w:right w:val="nil"/>
            </w:tcBorders>
            <w:shd w:val="clear" w:color="000000" w:fill="FFFFFF"/>
            <w:noWrap/>
            <w:vAlign w:val="center"/>
            <w:hideMark/>
          </w:tcPr>
          <w:p w14:paraId="3EB9D092"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79834CC0" w14:textId="2011BE0D"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0.88</w:t>
            </w:r>
          </w:p>
        </w:tc>
        <w:tc>
          <w:tcPr>
            <w:tcW w:w="335" w:type="pct"/>
            <w:tcBorders>
              <w:top w:val="nil"/>
              <w:left w:val="nil"/>
              <w:bottom w:val="nil"/>
              <w:right w:val="nil"/>
            </w:tcBorders>
            <w:shd w:val="clear" w:color="000000" w:fill="FFFFFF"/>
            <w:noWrap/>
            <w:vAlign w:val="center"/>
            <w:hideMark/>
          </w:tcPr>
          <w:p w14:paraId="3D24482D" w14:textId="28A02B46"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0.71, 1.09</w:t>
            </w:r>
          </w:p>
        </w:tc>
        <w:tc>
          <w:tcPr>
            <w:tcW w:w="260" w:type="pct"/>
            <w:tcBorders>
              <w:top w:val="nil"/>
              <w:left w:val="nil"/>
              <w:bottom w:val="nil"/>
              <w:right w:val="nil"/>
            </w:tcBorders>
            <w:shd w:val="clear" w:color="000000" w:fill="FFFFFF"/>
            <w:noWrap/>
            <w:vAlign w:val="center"/>
            <w:hideMark/>
          </w:tcPr>
          <w:p w14:paraId="33F1CBE0" w14:textId="21FFBDA2"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0.26</w:t>
            </w:r>
          </w:p>
        </w:tc>
        <w:tc>
          <w:tcPr>
            <w:tcW w:w="97" w:type="pct"/>
            <w:tcBorders>
              <w:top w:val="nil"/>
              <w:left w:val="nil"/>
              <w:bottom w:val="nil"/>
              <w:right w:val="nil"/>
            </w:tcBorders>
            <w:shd w:val="clear" w:color="000000" w:fill="FFFFFF"/>
            <w:noWrap/>
            <w:vAlign w:val="center"/>
            <w:hideMark/>
          </w:tcPr>
          <w:p w14:paraId="5E272EEF"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20406982" w14:textId="50280203"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0.99</w:t>
            </w:r>
          </w:p>
        </w:tc>
        <w:tc>
          <w:tcPr>
            <w:tcW w:w="335" w:type="pct"/>
            <w:tcBorders>
              <w:top w:val="nil"/>
              <w:left w:val="nil"/>
              <w:bottom w:val="nil"/>
              <w:right w:val="nil"/>
            </w:tcBorders>
            <w:shd w:val="clear" w:color="000000" w:fill="FFFFFF"/>
            <w:noWrap/>
            <w:vAlign w:val="center"/>
            <w:hideMark/>
          </w:tcPr>
          <w:p w14:paraId="621C5C2B" w14:textId="6197CE75"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0.83, 1.18</w:t>
            </w:r>
          </w:p>
        </w:tc>
        <w:tc>
          <w:tcPr>
            <w:tcW w:w="260" w:type="pct"/>
            <w:tcBorders>
              <w:top w:val="nil"/>
              <w:left w:val="nil"/>
              <w:bottom w:val="nil"/>
              <w:right w:val="nil"/>
            </w:tcBorders>
            <w:shd w:val="clear" w:color="000000" w:fill="FFFFFF"/>
            <w:noWrap/>
            <w:vAlign w:val="center"/>
            <w:hideMark/>
          </w:tcPr>
          <w:p w14:paraId="7508C372" w14:textId="5CF659A4"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0.92</w:t>
            </w:r>
          </w:p>
        </w:tc>
        <w:tc>
          <w:tcPr>
            <w:tcW w:w="97" w:type="pct"/>
            <w:tcBorders>
              <w:top w:val="nil"/>
              <w:left w:val="nil"/>
              <w:bottom w:val="nil"/>
              <w:right w:val="nil"/>
            </w:tcBorders>
            <w:shd w:val="clear" w:color="000000" w:fill="FFFFFF"/>
            <w:noWrap/>
            <w:vAlign w:val="center"/>
            <w:hideMark/>
          </w:tcPr>
          <w:p w14:paraId="6C3EE6D8"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442AE52E" w14:textId="431CAEE5"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1.01</w:t>
            </w:r>
          </w:p>
        </w:tc>
        <w:tc>
          <w:tcPr>
            <w:tcW w:w="335" w:type="pct"/>
            <w:tcBorders>
              <w:top w:val="nil"/>
              <w:left w:val="nil"/>
              <w:bottom w:val="nil"/>
              <w:right w:val="nil"/>
            </w:tcBorders>
            <w:shd w:val="clear" w:color="000000" w:fill="FFFFFF"/>
            <w:noWrap/>
            <w:vAlign w:val="center"/>
            <w:hideMark/>
          </w:tcPr>
          <w:p w14:paraId="3CA6E12A" w14:textId="29B5D6CA"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0.85, 1.19</w:t>
            </w:r>
          </w:p>
        </w:tc>
        <w:tc>
          <w:tcPr>
            <w:tcW w:w="260" w:type="pct"/>
            <w:tcBorders>
              <w:top w:val="nil"/>
              <w:left w:val="nil"/>
              <w:bottom w:val="nil"/>
              <w:right w:val="nil"/>
            </w:tcBorders>
            <w:shd w:val="clear" w:color="000000" w:fill="FFFFFF"/>
            <w:noWrap/>
            <w:vAlign w:val="center"/>
            <w:hideMark/>
          </w:tcPr>
          <w:p w14:paraId="6918DEB9" w14:textId="06D7FF82"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0.95</w:t>
            </w:r>
          </w:p>
        </w:tc>
        <w:tc>
          <w:tcPr>
            <w:tcW w:w="97" w:type="pct"/>
            <w:tcBorders>
              <w:top w:val="nil"/>
              <w:left w:val="nil"/>
              <w:bottom w:val="nil"/>
              <w:right w:val="nil"/>
            </w:tcBorders>
            <w:shd w:val="clear" w:color="000000" w:fill="FFFFFF"/>
            <w:noWrap/>
            <w:vAlign w:val="center"/>
            <w:hideMark/>
          </w:tcPr>
          <w:p w14:paraId="7A255092"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0490EA6D" w14:textId="08C91070"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0.93</w:t>
            </w:r>
          </w:p>
        </w:tc>
        <w:tc>
          <w:tcPr>
            <w:tcW w:w="335" w:type="pct"/>
            <w:tcBorders>
              <w:top w:val="nil"/>
              <w:left w:val="nil"/>
              <w:bottom w:val="nil"/>
              <w:right w:val="nil"/>
            </w:tcBorders>
            <w:shd w:val="clear" w:color="000000" w:fill="FFFFFF"/>
            <w:noWrap/>
            <w:vAlign w:val="center"/>
            <w:hideMark/>
          </w:tcPr>
          <w:p w14:paraId="467E14F7" w14:textId="1D69F726"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0.86, 1.01</w:t>
            </w:r>
          </w:p>
        </w:tc>
        <w:tc>
          <w:tcPr>
            <w:tcW w:w="260" w:type="pct"/>
            <w:tcBorders>
              <w:top w:val="nil"/>
              <w:left w:val="nil"/>
              <w:bottom w:val="nil"/>
              <w:right w:val="nil"/>
            </w:tcBorders>
            <w:shd w:val="clear" w:color="000000" w:fill="FFFFFF"/>
            <w:noWrap/>
            <w:vAlign w:val="center"/>
            <w:hideMark/>
          </w:tcPr>
          <w:p w14:paraId="6DF71880" w14:textId="4C729C4D"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0.07</w:t>
            </w:r>
          </w:p>
        </w:tc>
        <w:tc>
          <w:tcPr>
            <w:tcW w:w="97" w:type="pct"/>
            <w:tcBorders>
              <w:top w:val="nil"/>
              <w:left w:val="nil"/>
              <w:bottom w:val="nil"/>
              <w:right w:val="nil"/>
            </w:tcBorders>
            <w:shd w:val="clear" w:color="000000" w:fill="FFFFFF"/>
            <w:noWrap/>
            <w:vAlign w:val="center"/>
            <w:hideMark/>
          </w:tcPr>
          <w:p w14:paraId="3B73DF5C"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674CA5CF" w14:textId="3F8B3BA1"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1.3</w:t>
            </w:r>
          </w:p>
        </w:tc>
        <w:tc>
          <w:tcPr>
            <w:tcW w:w="335" w:type="pct"/>
            <w:tcBorders>
              <w:top w:val="nil"/>
              <w:left w:val="nil"/>
              <w:bottom w:val="nil"/>
              <w:right w:val="nil"/>
            </w:tcBorders>
            <w:shd w:val="clear" w:color="000000" w:fill="FFFFFF"/>
            <w:noWrap/>
            <w:vAlign w:val="center"/>
            <w:hideMark/>
          </w:tcPr>
          <w:p w14:paraId="0281EACB" w14:textId="2A0B7B9A"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1.04, 1.63</w:t>
            </w:r>
          </w:p>
        </w:tc>
        <w:tc>
          <w:tcPr>
            <w:tcW w:w="260" w:type="pct"/>
            <w:tcBorders>
              <w:top w:val="nil"/>
              <w:left w:val="nil"/>
              <w:bottom w:val="nil"/>
              <w:right w:val="nil"/>
            </w:tcBorders>
            <w:shd w:val="clear" w:color="000000" w:fill="FFFFFF"/>
            <w:noWrap/>
            <w:vAlign w:val="center"/>
            <w:hideMark/>
          </w:tcPr>
          <w:p w14:paraId="4D191323" w14:textId="0AA685D2"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0.023</w:t>
            </w:r>
          </w:p>
        </w:tc>
      </w:tr>
      <w:tr w:rsidR="00326150" w:rsidRPr="00E200A5" w14:paraId="38FB43CD" w14:textId="77777777" w:rsidTr="005A2589">
        <w:trPr>
          <w:trHeight w:val="345"/>
        </w:trPr>
        <w:tc>
          <w:tcPr>
            <w:tcW w:w="623" w:type="pct"/>
            <w:tcBorders>
              <w:top w:val="nil"/>
              <w:left w:val="nil"/>
              <w:bottom w:val="nil"/>
              <w:right w:val="nil"/>
            </w:tcBorders>
            <w:shd w:val="clear" w:color="000000" w:fill="FFFFFF"/>
            <w:noWrap/>
            <w:vAlign w:val="center"/>
            <w:hideMark/>
          </w:tcPr>
          <w:p w14:paraId="56E80B2F" w14:textId="77777777" w:rsidR="006B6EFA" w:rsidRPr="00E200A5" w:rsidRDefault="006B6EFA" w:rsidP="00C915C8">
            <w:pPr>
              <w:spacing w:after="0" w:line="240" w:lineRule="auto"/>
              <w:rPr>
                <w:rFonts w:ascii="Times New Roman" w:eastAsia="Times New Roman" w:hAnsi="Times New Roman" w:cs="Times New Roman"/>
                <w:color w:val="333333"/>
                <w:sz w:val="20"/>
                <w:szCs w:val="20"/>
                <w:lang w:eastAsia="en-GB"/>
              </w:rPr>
            </w:pPr>
            <w:r w:rsidRPr="00E200A5">
              <w:rPr>
                <w:rFonts w:ascii="Times New Roman" w:eastAsia="Times New Roman" w:hAnsi="Times New Roman" w:cs="Times New Roman"/>
                <w:color w:val="333333"/>
                <w:sz w:val="20"/>
                <w:szCs w:val="20"/>
                <w:lang w:eastAsia="en-GB"/>
              </w:rPr>
              <w:t>Neuroticism</w:t>
            </w:r>
          </w:p>
        </w:tc>
        <w:tc>
          <w:tcPr>
            <w:tcW w:w="97" w:type="pct"/>
            <w:tcBorders>
              <w:top w:val="nil"/>
              <w:left w:val="nil"/>
              <w:bottom w:val="nil"/>
              <w:right w:val="nil"/>
            </w:tcBorders>
            <w:shd w:val="clear" w:color="000000" w:fill="FFFFFF"/>
            <w:noWrap/>
            <w:vAlign w:val="center"/>
            <w:hideMark/>
          </w:tcPr>
          <w:p w14:paraId="1F01FBE5"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2A29304C" w14:textId="77FB7F0E"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0.75</w:t>
            </w:r>
          </w:p>
        </w:tc>
        <w:tc>
          <w:tcPr>
            <w:tcW w:w="335" w:type="pct"/>
            <w:tcBorders>
              <w:top w:val="nil"/>
              <w:left w:val="nil"/>
              <w:bottom w:val="nil"/>
              <w:right w:val="nil"/>
            </w:tcBorders>
            <w:shd w:val="clear" w:color="000000" w:fill="FFFFFF"/>
            <w:noWrap/>
            <w:vAlign w:val="center"/>
            <w:hideMark/>
          </w:tcPr>
          <w:p w14:paraId="092E9E9E" w14:textId="4ED73C63"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0.62, 0.90</w:t>
            </w:r>
          </w:p>
        </w:tc>
        <w:tc>
          <w:tcPr>
            <w:tcW w:w="260" w:type="pct"/>
            <w:tcBorders>
              <w:top w:val="nil"/>
              <w:left w:val="nil"/>
              <w:bottom w:val="nil"/>
              <w:right w:val="nil"/>
            </w:tcBorders>
            <w:shd w:val="clear" w:color="000000" w:fill="FFFFFF"/>
            <w:noWrap/>
            <w:vAlign w:val="center"/>
            <w:hideMark/>
          </w:tcPr>
          <w:p w14:paraId="5C87C00E" w14:textId="2607D6C6"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0.002</w:t>
            </w:r>
          </w:p>
        </w:tc>
        <w:tc>
          <w:tcPr>
            <w:tcW w:w="97" w:type="pct"/>
            <w:tcBorders>
              <w:top w:val="nil"/>
              <w:left w:val="nil"/>
              <w:bottom w:val="nil"/>
              <w:right w:val="nil"/>
            </w:tcBorders>
            <w:shd w:val="clear" w:color="000000" w:fill="FFFFFF"/>
            <w:noWrap/>
            <w:vAlign w:val="center"/>
            <w:hideMark/>
          </w:tcPr>
          <w:p w14:paraId="5EDFBCD0"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485B6EB3" w14:textId="49F31552"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0.83</w:t>
            </w:r>
          </w:p>
        </w:tc>
        <w:tc>
          <w:tcPr>
            <w:tcW w:w="335" w:type="pct"/>
            <w:tcBorders>
              <w:top w:val="nil"/>
              <w:left w:val="nil"/>
              <w:bottom w:val="nil"/>
              <w:right w:val="nil"/>
            </w:tcBorders>
            <w:shd w:val="clear" w:color="000000" w:fill="FFFFFF"/>
            <w:noWrap/>
            <w:vAlign w:val="center"/>
            <w:hideMark/>
          </w:tcPr>
          <w:p w14:paraId="76B29B85" w14:textId="5DB8BE79"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0.72, 0.95</w:t>
            </w:r>
          </w:p>
        </w:tc>
        <w:tc>
          <w:tcPr>
            <w:tcW w:w="260" w:type="pct"/>
            <w:tcBorders>
              <w:top w:val="nil"/>
              <w:left w:val="nil"/>
              <w:bottom w:val="nil"/>
              <w:right w:val="nil"/>
            </w:tcBorders>
            <w:shd w:val="clear" w:color="000000" w:fill="FFFFFF"/>
            <w:noWrap/>
            <w:vAlign w:val="center"/>
            <w:hideMark/>
          </w:tcPr>
          <w:p w14:paraId="3D053CFF" w14:textId="4C0FF4A0"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0.009</w:t>
            </w:r>
          </w:p>
        </w:tc>
        <w:tc>
          <w:tcPr>
            <w:tcW w:w="97" w:type="pct"/>
            <w:tcBorders>
              <w:top w:val="nil"/>
              <w:left w:val="nil"/>
              <w:bottom w:val="nil"/>
              <w:right w:val="nil"/>
            </w:tcBorders>
            <w:shd w:val="clear" w:color="000000" w:fill="FFFFFF"/>
            <w:noWrap/>
            <w:vAlign w:val="center"/>
            <w:hideMark/>
          </w:tcPr>
          <w:p w14:paraId="0D01C9E6"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18AB2611" w14:textId="52BACCC1"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1.03</w:t>
            </w:r>
          </w:p>
        </w:tc>
        <w:tc>
          <w:tcPr>
            <w:tcW w:w="335" w:type="pct"/>
            <w:tcBorders>
              <w:top w:val="nil"/>
              <w:left w:val="nil"/>
              <w:bottom w:val="nil"/>
              <w:right w:val="nil"/>
            </w:tcBorders>
            <w:shd w:val="clear" w:color="000000" w:fill="FFFFFF"/>
            <w:noWrap/>
            <w:vAlign w:val="center"/>
            <w:hideMark/>
          </w:tcPr>
          <w:p w14:paraId="78E025C6" w14:textId="3EE4D3AC"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0.90, 1.16</w:t>
            </w:r>
          </w:p>
        </w:tc>
        <w:tc>
          <w:tcPr>
            <w:tcW w:w="260" w:type="pct"/>
            <w:tcBorders>
              <w:top w:val="nil"/>
              <w:left w:val="nil"/>
              <w:bottom w:val="nil"/>
              <w:right w:val="nil"/>
            </w:tcBorders>
            <w:shd w:val="clear" w:color="000000" w:fill="FFFFFF"/>
            <w:noWrap/>
            <w:vAlign w:val="center"/>
            <w:hideMark/>
          </w:tcPr>
          <w:p w14:paraId="4A1627B2" w14:textId="7429779D"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0.7</w:t>
            </w:r>
          </w:p>
        </w:tc>
        <w:tc>
          <w:tcPr>
            <w:tcW w:w="97" w:type="pct"/>
            <w:tcBorders>
              <w:top w:val="nil"/>
              <w:left w:val="nil"/>
              <w:bottom w:val="nil"/>
              <w:right w:val="nil"/>
            </w:tcBorders>
            <w:shd w:val="clear" w:color="000000" w:fill="FFFFFF"/>
            <w:noWrap/>
            <w:vAlign w:val="center"/>
            <w:hideMark/>
          </w:tcPr>
          <w:p w14:paraId="4EFDC0CA"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77D9D926" w14:textId="18F23F90"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0.95</w:t>
            </w:r>
          </w:p>
        </w:tc>
        <w:tc>
          <w:tcPr>
            <w:tcW w:w="335" w:type="pct"/>
            <w:tcBorders>
              <w:top w:val="nil"/>
              <w:left w:val="nil"/>
              <w:bottom w:val="nil"/>
              <w:right w:val="nil"/>
            </w:tcBorders>
            <w:shd w:val="clear" w:color="000000" w:fill="FFFFFF"/>
            <w:noWrap/>
            <w:vAlign w:val="center"/>
            <w:hideMark/>
          </w:tcPr>
          <w:p w14:paraId="7B6C89DA" w14:textId="7FADF8B8"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0.88, 1.02</w:t>
            </w:r>
          </w:p>
        </w:tc>
        <w:tc>
          <w:tcPr>
            <w:tcW w:w="260" w:type="pct"/>
            <w:tcBorders>
              <w:top w:val="nil"/>
              <w:left w:val="nil"/>
              <w:bottom w:val="nil"/>
              <w:right w:val="nil"/>
            </w:tcBorders>
            <w:shd w:val="clear" w:color="000000" w:fill="FFFFFF"/>
            <w:noWrap/>
            <w:vAlign w:val="center"/>
            <w:hideMark/>
          </w:tcPr>
          <w:p w14:paraId="0DF16490" w14:textId="37113450"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0.15</w:t>
            </w:r>
          </w:p>
        </w:tc>
        <w:tc>
          <w:tcPr>
            <w:tcW w:w="97" w:type="pct"/>
            <w:tcBorders>
              <w:top w:val="nil"/>
              <w:left w:val="nil"/>
              <w:bottom w:val="nil"/>
              <w:right w:val="nil"/>
            </w:tcBorders>
            <w:shd w:val="clear" w:color="000000" w:fill="FFFFFF"/>
            <w:noWrap/>
            <w:vAlign w:val="center"/>
            <w:hideMark/>
          </w:tcPr>
          <w:p w14:paraId="00AB9F3D"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5308A01B" w14:textId="1161B30D"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1</w:t>
            </w:r>
          </w:p>
        </w:tc>
        <w:tc>
          <w:tcPr>
            <w:tcW w:w="335" w:type="pct"/>
            <w:tcBorders>
              <w:top w:val="nil"/>
              <w:left w:val="nil"/>
              <w:bottom w:val="nil"/>
              <w:right w:val="nil"/>
            </w:tcBorders>
            <w:shd w:val="clear" w:color="000000" w:fill="FFFFFF"/>
            <w:noWrap/>
            <w:vAlign w:val="center"/>
            <w:hideMark/>
          </w:tcPr>
          <w:p w14:paraId="0CF30773" w14:textId="6EE49AD6"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0.85, 1.17</w:t>
            </w:r>
          </w:p>
        </w:tc>
        <w:tc>
          <w:tcPr>
            <w:tcW w:w="260" w:type="pct"/>
            <w:tcBorders>
              <w:top w:val="nil"/>
              <w:left w:val="nil"/>
              <w:bottom w:val="nil"/>
              <w:right w:val="nil"/>
            </w:tcBorders>
            <w:shd w:val="clear" w:color="000000" w:fill="FFFFFF"/>
            <w:noWrap/>
            <w:vAlign w:val="center"/>
            <w:hideMark/>
          </w:tcPr>
          <w:p w14:paraId="62718B56" w14:textId="664B436C"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0.97</w:t>
            </w:r>
          </w:p>
        </w:tc>
      </w:tr>
      <w:tr w:rsidR="00326150" w:rsidRPr="00E200A5" w14:paraId="52C4C7D6" w14:textId="77777777" w:rsidTr="005A2589">
        <w:trPr>
          <w:trHeight w:val="345"/>
        </w:trPr>
        <w:tc>
          <w:tcPr>
            <w:tcW w:w="623" w:type="pct"/>
            <w:tcBorders>
              <w:top w:val="nil"/>
              <w:left w:val="nil"/>
              <w:bottom w:val="nil"/>
              <w:right w:val="nil"/>
            </w:tcBorders>
            <w:shd w:val="clear" w:color="000000" w:fill="FFFFFF"/>
            <w:noWrap/>
            <w:vAlign w:val="center"/>
            <w:hideMark/>
          </w:tcPr>
          <w:p w14:paraId="1A64D5FC" w14:textId="77777777" w:rsidR="006B6EFA" w:rsidRPr="00E200A5" w:rsidRDefault="006B6EFA" w:rsidP="00C915C8">
            <w:pPr>
              <w:spacing w:after="0" w:line="240" w:lineRule="auto"/>
              <w:rPr>
                <w:rFonts w:ascii="Times New Roman" w:eastAsia="Times New Roman" w:hAnsi="Times New Roman" w:cs="Times New Roman"/>
                <w:color w:val="333333"/>
                <w:sz w:val="20"/>
                <w:szCs w:val="20"/>
                <w:lang w:eastAsia="en-GB"/>
              </w:rPr>
            </w:pPr>
            <w:r w:rsidRPr="00E200A5">
              <w:rPr>
                <w:rFonts w:ascii="Times New Roman" w:eastAsia="Times New Roman" w:hAnsi="Times New Roman" w:cs="Times New Roman"/>
                <w:color w:val="333333"/>
                <w:sz w:val="20"/>
                <w:szCs w:val="20"/>
                <w:lang w:eastAsia="en-GB"/>
              </w:rPr>
              <w:t>Openness</w:t>
            </w:r>
          </w:p>
        </w:tc>
        <w:tc>
          <w:tcPr>
            <w:tcW w:w="97" w:type="pct"/>
            <w:tcBorders>
              <w:top w:val="nil"/>
              <w:left w:val="nil"/>
              <w:bottom w:val="nil"/>
              <w:right w:val="nil"/>
            </w:tcBorders>
            <w:shd w:val="clear" w:color="000000" w:fill="FFFFFF"/>
            <w:noWrap/>
            <w:vAlign w:val="center"/>
            <w:hideMark/>
          </w:tcPr>
          <w:p w14:paraId="2971D51A"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0F0914E6" w14:textId="139D467F"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1.05</w:t>
            </w:r>
          </w:p>
        </w:tc>
        <w:tc>
          <w:tcPr>
            <w:tcW w:w="335" w:type="pct"/>
            <w:tcBorders>
              <w:top w:val="nil"/>
              <w:left w:val="nil"/>
              <w:bottom w:val="nil"/>
              <w:right w:val="nil"/>
            </w:tcBorders>
            <w:shd w:val="clear" w:color="000000" w:fill="FFFFFF"/>
            <w:noWrap/>
            <w:vAlign w:val="center"/>
            <w:hideMark/>
          </w:tcPr>
          <w:p w14:paraId="6A7375D9" w14:textId="6CB62E3E"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0.83, 1.34</w:t>
            </w:r>
          </w:p>
        </w:tc>
        <w:tc>
          <w:tcPr>
            <w:tcW w:w="260" w:type="pct"/>
            <w:tcBorders>
              <w:top w:val="nil"/>
              <w:left w:val="nil"/>
              <w:bottom w:val="nil"/>
              <w:right w:val="nil"/>
            </w:tcBorders>
            <w:shd w:val="clear" w:color="000000" w:fill="FFFFFF"/>
            <w:noWrap/>
            <w:vAlign w:val="center"/>
            <w:hideMark/>
          </w:tcPr>
          <w:p w14:paraId="6A7CEBCF" w14:textId="6BBCAE14"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0.69</w:t>
            </w:r>
          </w:p>
        </w:tc>
        <w:tc>
          <w:tcPr>
            <w:tcW w:w="97" w:type="pct"/>
            <w:tcBorders>
              <w:top w:val="nil"/>
              <w:left w:val="nil"/>
              <w:bottom w:val="nil"/>
              <w:right w:val="nil"/>
            </w:tcBorders>
            <w:shd w:val="clear" w:color="000000" w:fill="FFFFFF"/>
            <w:noWrap/>
            <w:vAlign w:val="center"/>
            <w:hideMark/>
          </w:tcPr>
          <w:p w14:paraId="556F4634"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28E52936" w14:textId="79EE17A4"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0.94</w:t>
            </w:r>
          </w:p>
        </w:tc>
        <w:tc>
          <w:tcPr>
            <w:tcW w:w="335" w:type="pct"/>
            <w:tcBorders>
              <w:top w:val="nil"/>
              <w:left w:val="nil"/>
              <w:bottom w:val="nil"/>
              <w:right w:val="nil"/>
            </w:tcBorders>
            <w:shd w:val="clear" w:color="000000" w:fill="FFFFFF"/>
            <w:noWrap/>
            <w:vAlign w:val="center"/>
            <w:hideMark/>
          </w:tcPr>
          <w:p w14:paraId="7A6ABACE" w14:textId="37940025"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0.78, 1.13</w:t>
            </w:r>
          </w:p>
        </w:tc>
        <w:tc>
          <w:tcPr>
            <w:tcW w:w="260" w:type="pct"/>
            <w:tcBorders>
              <w:top w:val="nil"/>
              <w:left w:val="nil"/>
              <w:bottom w:val="nil"/>
              <w:right w:val="nil"/>
            </w:tcBorders>
            <w:shd w:val="clear" w:color="000000" w:fill="FFFFFF"/>
            <w:noWrap/>
            <w:vAlign w:val="center"/>
            <w:hideMark/>
          </w:tcPr>
          <w:p w14:paraId="6B8D67E5" w14:textId="12B62FCE"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0.48</w:t>
            </w:r>
          </w:p>
        </w:tc>
        <w:tc>
          <w:tcPr>
            <w:tcW w:w="97" w:type="pct"/>
            <w:tcBorders>
              <w:top w:val="nil"/>
              <w:left w:val="nil"/>
              <w:bottom w:val="nil"/>
              <w:right w:val="nil"/>
            </w:tcBorders>
            <w:shd w:val="clear" w:color="000000" w:fill="FFFFFF"/>
            <w:noWrap/>
            <w:vAlign w:val="center"/>
            <w:hideMark/>
          </w:tcPr>
          <w:p w14:paraId="2AD7AE29"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2F411903" w14:textId="7A36994A"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1.03</w:t>
            </w:r>
          </w:p>
        </w:tc>
        <w:tc>
          <w:tcPr>
            <w:tcW w:w="335" w:type="pct"/>
            <w:tcBorders>
              <w:top w:val="nil"/>
              <w:left w:val="nil"/>
              <w:bottom w:val="nil"/>
              <w:right w:val="nil"/>
            </w:tcBorders>
            <w:shd w:val="clear" w:color="000000" w:fill="FFFFFF"/>
            <w:noWrap/>
            <w:vAlign w:val="center"/>
            <w:hideMark/>
          </w:tcPr>
          <w:p w14:paraId="6F6951D1" w14:textId="6E72B7BD"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0.86, 1.23</w:t>
            </w:r>
          </w:p>
        </w:tc>
        <w:tc>
          <w:tcPr>
            <w:tcW w:w="260" w:type="pct"/>
            <w:tcBorders>
              <w:top w:val="nil"/>
              <w:left w:val="nil"/>
              <w:bottom w:val="nil"/>
              <w:right w:val="nil"/>
            </w:tcBorders>
            <w:shd w:val="clear" w:color="000000" w:fill="FFFFFF"/>
            <w:noWrap/>
            <w:vAlign w:val="center"/>
            <w:hideMark/>
          </w:tcPr>
          <w:p w14:paraId="3674B4F0" w14:textId="0E108308"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0.73</w:t>
            </w:r>
          </w:p>
        </w:tc>
        <w:tc>
          <w:tcPr>
            <w:tcW w:w="97" w:type="pct"/>
            <w:tcBorders>
              <w:top w:val="nil"/>
              <w:left w:val="nil"/>
              <w:bottom w:val="nil"/>
              <w:right w:val="nil"/>
            </w:tcBorders>
            <w:shd w:val="clear" w:color="000000" w:fill="FFFFFF"/>
            <w:noWrap/>
            <w:vAlign w:val="center"/>
            <w:hideMark/>
          </w:tcPr>
          <w:p w14:paraId="364E3853"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71D39986" w14:textId="5E18AA83"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0.96</w:t>
            </w:r>
          </w:p>
        </w:tc>
        <w:tc>
          <w:tcPr>
            <w:tcW w:w="335" w:type="pct"/>
            <w:tcBorders>
              <w:top w:val="nil"/>
              <w:left w:val="nil"/>
              <w:bottom w:val="nil"/>
              <w:right w:val="nil"/>
            </w:tcBorders>
            <w:shd w:val="clear" w:color="000000" w:fill="FFFFFF"/>
            <w:noWrap/>
            <w:vAlign w:val="center"/>
            <w:hideMark/>
          </w:tcPr>
          <w:p w14:paraId="5DB58D8F" w14:textId="3758BC1F"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0.88, 1.04</w:t>
            </w:r>
          </w:p>
        </w:tc>
        <w:tc>
          <w:tcPr>
            <w:tcW w:w="260" w:type="pct"/>
            <w:tcBorders>
              <w:top w:val="nil"/>
              <w:left w:val="nil"/>
              <w:bottom w:val="nil"/>
              <w:right w:val="nil"/>
            </w:tcBorders>
            <w:shd w:val="clear" w:color="000000" w:fill="FFFFFF"/>
            <w:noWrap/>
            <w:vAlign w:val="center"/>
            <w:hideMark/>
          </w:tcPr>
          <w:p w14:paraId="190485BC" w14:textId="448F7830"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0.33</w:t>
            </w:r>
          </w:p>
        </w:tc>
        <w:tc>
          <w:tcPr>
            <w:tcW w:w="97" w:type="pct"/>
            <w:tcBorders>
              <w:top w:val="nil"/>
              <w:left w:val="nil"/>
              <w:bottom w:val="nil"/>
              <w:right w:val="nil"/>
            </w:tcBorders>
            <w:shd w:val="clear" w:color="000000" w:fill="FFFFFF"/>
            <w:noWrap/>
            <w:vAlign w:val="center"/>
            <w:hideMark/>
          </w:tcPr>
          <w:p w14:paraId="5D8B4E85"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44501A42" w14:textId="22F0A588"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1.33</w:t>
            </w:r>
          </w:p>
        </w:tc>
        <w:tc>
          <w:tcPr>
            <w:tcW w:w="335" w:type="pct"/>
            <w:tcBorders>
              <w:top w:val="nil"/>
              <w:left w:val="nil"/>
              <w:bottom w:val="nil"/>
              <w:right w:val="nil"/>
            </w:tcBorders>
            <w:shd w:val="clear" w:color="000000" w:fill="FFFFFF"/>
            <w:noWrap/>
            <w:vAlign w:val="center"/>
            <w:hideMark/>
          </w:tcPr>
          <w:p w14:paraId="500C3CED" w14:textId="17880BC1"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1.05, 1.68</w:t>
            </w:r>
          </w:p>
        </w:tc>
        <w:tc>
          <w:tcPr>
            <w:tcW w:w="260" w:type="pct"/>
            <w:tcBorders>
              <w:top w:val="nil"/>
              <w:left w:val="nil"/>
              <w:bottom w:val="nil"/>
              <w:right w:val="nil"/>
            </w:tcBorders>
            <w:shd w:val="clear" w:color="000000" w:fill="FFFFFF"/>
            <w:noWrap/>
            <w:vAlign w:val="center"/>
            <w:hideMark/>
          </w:tcPr>
          <w:p w14:paraId="008A3FF8" w14:textId="457B5C26"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0.019</w:t>
            </w:r>
          </w:p>
        </w:tc>
      </w:tr>
      <w:tr w:rsidR="00326150" w:rsidRPr="00E200A5" w14:paraId="331E2907" w14:textId="77777777" w:rsidTr="005A2589">
        <w:trPr>
          <w:trHeight w:val="345"/>
        </w:trPr>
        <w:tc>
          <w:tcPr>
            <w:tcW w:w="720" w:type="pct"/>
            <w:gridSpan w:val="2"/>
            <w:tcBorders>
              <w:top w:val="nil"/>
              <w:left w:val="nil"/>
              <w:bottom w:val="nil"/>
              <w:right w:val="nil"/>
            </w:tcBorders>
            <w:shd w:val="clear" w:color="000000" w:fill="FFFFFF"/>
            <w:noWrap/>
            <w:vAlign w:val="center"/>
            <w:hideMark/>
          </w:tcPr>
          <w:p w14:paraId="6233462A" w14:textId="77777777" w:rsidR="006B6EFA" w:rsidRPr="00E200A5" w:rsidRDefault="006B6EFA" w:rsidP="00C915C8">
            <w:pPr>
              <w:spacing w:after="0" w:line="240" w:lineRule="auto"/>
              <w:rPr>
                <w:rFonts w:ascii="Times New Roman" w:eastAsia="Times New Roman" w:hAnsi="Times New Roman" w:cs="Times New Roman"/>
                <w:color w:val="333333"/>
                <w:sz w:val="20"/>
                <w:szCs w:val="20"/>
                <w:lang w:eastAsia="en-GB"/>
              </w:rPr>
            </w:pPr>
            <w:r w:rsidRPr="00E200A5">
              <w:rPr>
                <w:rFonts w:ascii="Times New Roman" w:eastAsia="Times New Roman" w:hAnsi="Times New Roman" w:cs="Times New Roman"/>
                <w:color w:val="333333"/>
                <w:sz w:val="20"/>
                <w:szCs w:val="20"/>
                <w:lang w:eastAsia="en-GB"/>
              </w:rPr>
              <w:t>Conscientiousness</w:t>
            </w:r>
          </w:p>
        </w:tc>
        <w:tc>
          <w:tcPr>
            <w:tcW w:w="184" w:type="pct"/>
            <w:tcBorders>
              <w:top w:val="nil"/>
              <w:left w:val="nil"/>
              <w:bottom w:val="nil"/>
              <w:right w:val="nil"/>
            </w:tcBorders>
            <w:shd w:val="clear" w:color="000000" w:fill="FFFFFF"/>
            <w:noWrap/>
            <w:vAlign w:val="center"/>
            <w:hideMark/>
          </w:tcPr>
          <w:p w14:paraId="6417B45D" w14:textId="2AE4B050"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1.14</w:t>
            </w:r>
          </w:p>
        </w:tc>
        <w:tc>
          <w:tcPr>
            <w:tcW w:w="335" w:type="pct"/>
            <w:tcBorders>
              <w:top w:val="nil"/>
              <w:left w:val="nil"/>
              <w:bottom w:val="nil"/>
              <w:right w:val="nil"/>
            </w:tcBorders>
            <w:shd w:val="clear" w:color="000000" w:fill="FFFFFF"/>
            <w:noWrap/>
            <w:vAlign w:val="center"/>
          </w:tcPr>
          <w:p w14:paraId="7C6F3E54" w14:textId="224CC7A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1.02, 1.28</w:t>
            </w:r>
          </w:p>
        </w:tc>
        <w:tc>
          <w:tcPr>
            <w:tcW w:w="260" w:type="pct"/>
            <w:tcBorders>
              <w:top w:val="nil"/>
              <w:left w:val="nil"/>
              <w:bottom w:val="nil"/>
              <w:right w:val="nil"/>
            </w:tcBorders>
            <w:shd w:val="clear" w:color="000000" w:fill="FFFFFF"/>
            <w:noWrap/>
            <w:vAlign w:val="center"/>
          </w:tcPr>
          <w:p w14:paraId="52B727F5" w14:textId="76941C4B"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0.021</w:t>
            </w:r>
          </w:p>
        </w:tc>
        <w:tc>
          <w:tcPr>
            <w:tcW w:w="97" w:type="pct"/>
            <w:tcBorders>
              <w:top w:val="nil"/>
              <w:left w:val="nil"/>
              <w:bottom w:val="nil"/>
              <w:right w:val="nil"/>
            </w:tcBorders>
            <w:shd w:val="clear" w:color="000000" w:fill="FFFFFF"/>
            <w:noWrap/>
            <w:vAlign w:val="center"/>
          </w:tcPr>
          <w:p w14:paraId="5784BD31" w14:textId="64906393"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p>
        </w:tc>
        <w:tc>
          <w:tcPr>
            <w:tcW w:w="184" w:type="pct"/>
            <w:tcBorders>
              <w:top w:val="nil"/>
              <w:left w:val="nil"/>
              <w:bottom w:val="nil"/>
              <w:right w:val="nil"/>
            </w:tcBorders>
            <w:shd w:val="clear" w:color="000000" w:fill="FFFFFF"/>
            <w:noWrap/>
            <w:vAlign w:val="center"/>
            <w:hideMark/>
          </w:tcPr>
          <w:p w14:paraId="1A5ADCD1" w14:textId="04A53C0E"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1.05</w:t>
            </w:r>
          </w:p>
        </w:tc>
        <w:tc>
          <w:tcPr>
            <w:tcW w:w="335" w:type="pct"/>
            <w:tcBorders>
              <w:top w:val="nil"/>
              <w:left w:val="nil"/>
              <w:bottom w:val="nil"/>
              <w:right w:val="nil"/>
            </w:tcBorders>
            <w:shd w:val="clear" w:color="000000" w:fill="FFFFFF"/>
            <w:noWrap/>
            <w:vAlign w:val="center"/>
          </w:tcPr>
          <w:p w14:paraId="2AD5F380" w14:textId="51FDA0F4"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0.84, 1.31</w:t>
            </w:r>
          </w:p>
        </w:tc>
        <w:tc>
          <w:tcPr>
            <w:tcW w:w="260" w:type="pct"/>
            <w:tcBorders>
              <w:top w:val="nil"/>
              <w:left w:val="nil"/>
              <w:bottom w:val="nil"/>
              <w:right w:val="nil"/>
            </w:tcBorders>
            <w:shd w:val="clear" w:color="000000" w:fill="FFFFFF"/>
            <w:noWrap/>
            <w:vAlign w:val="center"/>
          </w:tcPr>
          <w:p w14:paraId="6CEB4A77" w14:textId="0A148F81"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0.67</w:t>
            </w:r>
          </w:p>
        </w:tc>
        <w:tc>
          <w:tcPr>
            <w:tcW w:w="97" w:type="pct"/>
            <w:tcBorders>
              <w:top w:val="nil"/>
              <w:left w:val="nil"/>
              <w:bottom w:val="nil"/>
              <w:right w:val="nil"/>
            </w:tcBorders>
            <w:shd w:val="clear" w:color="000000" w:fill="FFFFFF"/>
            <w:noWrap/>
            <w:vAlign w:val="center"/>
          </w:tcPr>
          <w:p w14:paraId="1994B6B0" w14:textId="2FAC6004"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p>
        </w:tc>
        <w:tc>
          <w:tcPr>
            <w:tcW w:w="184" w:type="pct"/>
            <w:tcBorders>
              <w:top w:val="nil"/>
              <w:left w:val="nil"/>
              <w:bottom w:val="nil"/>
              <w:right w:val="nil"/>
            </w:tcBorders>
            <w:shd w:val="clear" w:color="000000" w:fill="FFFFFF"/>
            <w:noWrap/>
            <w:vAlign w:val="center"/>
            <w:hideMark/>
          </w:tcPr>
          <w:p w14:paraId="7931305C" w14:textId="6780752B"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0.96</w:t>
            </w:r>
          </w:p>
        </w:tc>
        <w:tc>
          <w:tcPr>
            <w:tcW w:w="335" w:type="pct"/>
            <w:tcBorders>
              <w:top w:val="nil"/>
              <w:left w:val="nil"/>
              <w:bottom w:val="nil"/>
              <w:right w:val="nil"/>
            </w:tcBorders>
            <w:shd w:val="clear" w:color="000000" w:fill="FFFFFF"/>
            <w:noWrap/>
            <w:vAlign w:val="center"/>
          </w:tcPr>
          <w:p w14:paraId="6F1942FD" w14:textId="461BF2D3"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0.78, 1.18</w:t>
            </w:r>
          </w:p>
        </w:tc>
        <w:tc>
          <w:tcPr>
            <w:tcW w:w="260" w:type="pct"/>
            <w:tcBorders>
              <w:top w:val="nil"/>
              <w:left w:val="nil"/>
              <w:bottom w:val="nil"/>
              <w:right w:val="nil"/>
            </w:tcBorders>
            <w:shd w:val="clear" w:color="000000" w:fill="FFFFFF"/>
            <w:noWrap/>
            <w:vAlign w:val="center"/>
          </w:tcPr>
          <w:p w14:paraId="372BD0A2" w14:textId="393F5A53"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0.7</w:t>
            </w:r>
          </w:p>
        </w:tc>
        <w:tc>
          <w:tcPr>
            <w:tcW w:w="97" w:type="pct"/>
            <w:tcBorders>
              <w:top w:val="nil"/>
              <w:left w:val="nil"/>
              <w:bottom w:val="nil"/>
              <w:right w:val="nil"/>
            </w:tcBorders>
            <w:shd w:val="clear" w:color="000000" w:fill="FFFFFF"/>
            <w:noWrap/>
            <w:vAlign w:val="center"/>
          </w:tcPr>
          <w:p w14:paraId="26EF9FE9" w14:textId="039B880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p>
        </w:tc>
        <w:tc>
          <w:tcPr>
            <w:tcW w:w="184" w:type="pct"/>
            <w:tcBorders>
              <w:top w:val="nil"/>
              <w:left w:val="nil"/>
              <w:bottom w:val="nil"/>
              <w:right w:val="nil"/>
            </w:tcBorders>
            <w:shd w:val="clear" w:color="000000" w:fill="FFFFFF"/>
            <w:noWrap/>
            <w:vAlign w:val="center"/>
            <w:hideMark/>
          </w:tcPr>
          <w:p w14:paraId="51D664F1" w14:textId="104A6B9B"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1.15</w:t>
            </w:r>
          </w:p>
        </w:tc>
        <w:tc>
          <w:tcPr>
            <w:tcW w:w="335" w:type="pct"/>
            <w:tcBorders>
              <w:top w:val="nil"/>
              <w:left w:val="nil"/>
              <w:bottom w:val="nil"/>
              <w:right w:val="nil"/>
            </w:tcBorders>
            <w:shd w:val="clear" w:color="000000" w:fill="FFFFFF"/>
            <w:noWrap/>
            <w:vAlign w:val="center"/>
          </w:tcPr>
          <w:p w14:paraId="28EB4D57" w14:textId="120ED062"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1.03, 1.28</w:t>
            </w:r>
          </w:p>
        </w:tc>
        <w:tc>
          <w:tcPr>
            <w:tcW w:w="260" w:type="pct"/>
            <w:tcBorders>
              <w:top w:val="nil"/>
              <w:left w:val="nil"/>
              <w:bottom w:val="nil"/>
              <w:right w:val="nil"/>
            </w:tcBorders>
            <w:shd w:val="clear" w:color="000000" w:fill="FFFFFF"/>
            <w:noWrap/>
            <w:vAlign w:val="center"/>
          </w:tcPr>
          <w:p w14:paraId="6602C9A3" w14:textId="5D5D067B"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0.011</w:t>
            </w:r>
          </w:p>
        </w:tc>
        <w:tc>
          <w:tcPr>
            <w:tcW w:w="97" w:type="pct"/>
            <w:tcBorders>
              <w:top w:val="nil"/>
              <w:left w:val="nil"/>
              <w:bottom w:val="nil"/>
              <w:right w:val="nil"/>
            </w:tcBorders>
            <w:shd w:val="clear" w:color="000000" w:fill="FFFFFF"/>
            <w:noWrap/>
            <w:vAlign w:val="center"/>
          </w:tcPr>
          <w:p w14:paraId="13FE538D" w14:textId="5C928731"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p>
        </w:tc>
        <w:tc>
          <w:tcPr>
            <w:tcW w:w="184" w:type="pct"/>
            <w:tcBorders>
              <w:top w:val="nil"/>
              <w:left w:val="nil"/>
              <w:bottom w:val="nil"/>
              <w:right w:val="nil"/>
            </w:tcBorders>
            <w:shd w:val="clear" w:color="000000" w:fill="FFFFFF"/>
            <w:noWrap/>
            <w:vAlign w:val="center"/>
            <w:hideMark/>
          </w:tcPr>
          <w:p w14:paraId="1ED7F9D4" w14:textId="75621486"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rPr>
              <w:t>0.8</w:t>
            </w:r>
          </w:p>
        </w:tc>
        <w:tc>
          <w:tcPr>
            <w:tcW w:w="335" w:type="pct"/>
            <w:tcBorders>
              <w:top w:val="nil"/>
              <w:left w:val="nil"/>
              <w:bottom w:val="nil"/>
              <w:right w:val="nil"/>
            </w:tcBorders>
            <w:shd w:val="clear" w:color="000000" w:fill="FFFFFF"/>
            <w:noWrap/>
            <w:vAlign w:val="center"/>
          </w:tcPr>
          <w:p w14:paraId="5E97F6EE" w14:textId="4EBA507D"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0.62, 1.04</w:t>
            </w:r>
          </w:p>
        </w:tc>
        <w:tc>
          <w:tcPr>
            <w:tcW w:w="260" w:type="pct"/>
            <w:tcBorders>
              <w:top w:val="nil"/>
              <w:left w:val="nil"/>
              <w:bottom w:val="nil"/>
              <w:right w:val="nil"/>
            </w:tcBorders>
            <w:shd w:val="clear" w:color="000000" w:fill="FFFFFF"/>
            <w:noWrap/>
            <w:vAlign w:val="center"/>
          </w:tcPr>
          <w:p w14:paraId="06E8FC27" w14:textId="3EA5C814"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eastAsia="Times New Roman" w:hAnsi="Times New Roman" w:cs="Times New Roman"/>
                <w:color w:val="333333"/>
                <w:sz w:val="20"/>
                <w:szCs w:val="20"/>
                <w:lang w:eastAsia="en-GB"/>
              </w:rPr>
              <w:t>0.1</w:t>
            </w:r>
          </w:p>
        </w:tc>
      </w:tr>
      <w:tr w:rsidR="00326150" w:rsidRPr="00E200A5" w14:paraId="01BBDD99" w14:textId="77777777" w:rsidTr="005A2589">
        <w:trPr>
          <w:trHeight w:val="345"/>
        </w:trPr>
        <w:tc>
          <w:tcPr>
            <w:tcW w:w="623" w:type="pct"/>
            <w:tcBorders>
              <w:top w:val="nil"/>
              <w:left w:val="nil"/>
              <w:bottom w:val="nil"/>
              <w:right w:val="nil"/>
            </w:tcBorders>
            <w:shd w:val="clear" w:color="000000" w:fill="FFFFFF"/>
            <w:noWrap/>
            <w:vAlign w:val="center"/>
            <w:hideMark/>
          </w:tcPr>
          <w:p w14:paraId="2718C89D" w14:textId="64224D21" w:rsidR="006B6EFA" w:rsidRPr="00E200A5" w:rsidRDefault="004875CC" w:rsidP="00C915C8">
            <w:pPr>
              <w:spacing w:after="0" w:line="240" w:lineRule="auto"/>
              <w:rPr>
                <w:rFonts w:ascii="Times New Roman" w:eastAsia="Times New Roman" w:hAnsi="Times New Roman" w:cs="Times New Roman"/>
                <w:color w:val="333333"/>
                <w:sz w:val="20"/>
                <w:szCs w:val="20"/>
                <w:lang w:eastAsia="en-GB"/>
              </w:rPr>
            </w:pPr>
            <w:r w:rsidRPr="00E200A5">
              <w:rPr>
                <w:rFonts w:ascii="Times New Roman" w:eastAsia="Times New Roman" w:hAnsi="Times New Roman" w:cs="Times New Roman"/>
                <w:color w:val="333333"/>
                <w:sz w:val="20"/>
                <w:szCs w:val="20"/>
                <w:lang w:eastAsia="en-GB"/>
              </w:rPr>
              <w:t xml:space="preserve">Self-rated </w:t>
            </w:r>
            <w:r w:rsidR="000D1673" w:rsidRPr="00E200A5">
              <w:rPr>
                <w:rFonts w:ascii="Times New Roman" w:eastAsia="Times New Roman" w:hAnsi="Times New Roman" w:cs="Times New Roman"/>
                <w:color w:val="333333"/>
                <w:sz w:val="20"/>
                <w:szCs w:val="20"/>
                <w:lang w:eastAsia="en-GB"/>
              </w:rPr>
              <w:t>COVID</w:t>
            </w:r>
            <w:r w:rsidR="006B6EFA" w:rsidRPr="00E200A5">
              <w:rPr>
                <w:rFonts w:ascii="Times New Roman" w:eastAsia="Times New Roman" w:hAnsi="Times New Roman" w:cs="Times New Roman"/>
                <w:color w:val="333333"/>
                <w:sz w:val="20"/>
                <w:szCs w:val="20"/>
                <w:lang w:eastAsia="en-GB"/>
              </w:rPr>
              <w:t xml:space="preserve"> risk</w:t>
            </w:r>
          </w:p>
        </w:tc>
        <w:tc>
          <w:tcPr>
            <w:tcW w:w="97" w:type="pct"/>
            <w:tcBorders>
              <w:top w:val="nil"/>
              <w:left w:val="nil"/>
              <w:bottom w:val="nil"/>
              <w:right w:val="nil"/>
            </w:tcBorders>
            <w:shd w:val="clear" w:color="000000" w:fill="FFFFFF"/>
            <w:noWrap/>
            <w:vAlign w:val="center"/>
            <w:hideMark/>
          </w:tcPr>
          <w:p w14:paraId="7CD4E50E"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0E6448DE" w14:textId="5DF561A8"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0.6</w:t>
            </w:r>
          </w:p>
        </w:tc>
        <w:tc>
          <w:tcPr>
            <w:tcW w:w="335" w:type="pct"/>
            <w:tcBorders>
              <w:top w:val="nil"/>
              <w:left w:val="nil"/>
              <w:bottom w:val="nil"/>
              <w:right w:val="nil"/>
            </w:tcBorders>
            <w:shd w:val="clear" w:color="000000" w:fill="FFFFFF"/>
            <w:noWrap/>
            <w:vAlign w:val="center"/>
            <w:hideMark/>
          </w:tcPr>
          <w:p w14:paraId="384C2D03" w14:textId="6E72A24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0.59, 0.62</w:t>
            </w:r>
          </w:p>
        </w:tc>
        <w:tc>
          <w:tcPr>
            <w:tcW w:w="260" w:type="pct"/>
            <w:tcBorders>
              <w:top w:val="nil"/>
              <w:left w:val="nil"/>
              <w:bottom w:val="nil"/>
              <w:right w:val="nil"/>
            </w:tcBorders>
            <w:shd w:val="clear" w:color="000000" w:fill="FFFFFF"/>
            <w:noWrap/>
            <w:vAlign w:val="center"/>
            <w:hideMark/>
          </w:tcPr>
          <w:p w14:paraId="5D67A70D" w14:textId="2C51747D"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c>
          <w:tcPr>
            <w:tcW w:w="97" w:type="pct"/>
            <w:tcBorders>
              <w:top w:val="nil"/>
              <w:left w:val="nil"/>
              <w:bottom w:val="nil"/>
              <w:right w:val="nil"/>
            </w:tcBorders>
            <w:shd w:val="clear" w:color="000000" w:fill="FFFFFF"/>
            <w:noWrap/>
            <w:vAlign w:val="center"/>
            <w:hideMark/>
          </w:tcPr>
          <w:p w14:paraId="6C808B31"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1A68BF1B" w14:textId="01AF6CCF"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0.7</w:t>
            </w:r>
          </w:p>
        </w:tc>
        <w:tc>
          <w:tcPr>
            <w:tcW w:w="335" w:type="pct"/>
            <w:tcBorders>
              <w:top w:val="nil"/>
              <w:left w:val="nil"/>
              <w:bottom w:val="nil"/>
              <w:right w:val="nil"/>
            </w:tcBorders>
            <w:shd w:val="clear" w:color="000000" w:fill="FFFFFF"/>
            <w:noWrap/>
            <w:vAlign w:val="center"/>
            <w:hideMark/>
          </w:tcPr>
          <w:p w14:paraId="3F781C4A" w14:textId="5FDEED62"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0.69, 0.72</w:t>
            </w:r>
          </w:p>
        </w:tc>
        <w:tc>
          <w:tcPr>
            <w:tcW w:w="260" w:type="pct"/>
            <w:tcBorders>
              <w:top w:val="nil"/>
              <w:left w:val="nil"/>
              <w:bottom w:val="nil"/>
              <w:right w:val="nil"/>
            </w:tcBorders>
            <w:shd w:val="clear" w:color="000000" w:fill="FFFFFF"/>
            <w:noWrap/>
            <w:vAlign w:val="center"/>
            <w:hideMark/>
          </w:tcPr>
          <w:p w14:paraId="7DE22689" w14:textId="3BF9523F"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c>
          <w:tcPr>
            <w:tcW w:w="97" w:type="pct"/>
            <w:tcBorders>
              <w:top w:val="nil"/>
              <w:left w:val="nil"/>
              <w:bottom w:val="nil"/>
              <w:right w:val="nil"/>
            </w:tcBorders>
            <w:shd w:val="clear" w:color="000000" w:fill="FFFFFF"/>
            <w:noWrap/>
            <w:vAlign w:val="center"/>
            <w:hideMark/>
          </w:tcPr>
          <w:p w14:paraId="67ED45EF"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14A0DEE2" w14:textId="03946788"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0.73</w:t>
            </w:r>
          </w:p>
        </w:tc>
        <w:tc>
          <w:tcPr>
            <w:tcW w:w="335" w:type="pct"/>
            <w:tcBorders>
              <w:top w:val="nil"/>
              <w:left w:val="nil"/>
              <w:bottom w:val="nil"/>
              <w:right w:val="nil"/>
            </w:tcBorders>
            <w:shd w:val="clear" w:color="000000" w:fill="FFFFFF"/>
            <w:noWrap/>
            <w:vAlign w:val="center"/>
            <w:hideMark/>
          </w:tcPr>
          <w:p w14:paraId="7A933DA5" w14:textId="159B8B38"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0.72, 0.74</w:t>
            </w:r>
          </w:p>
        </w:tc>
        <w:tc>
          <w:tcPr>
            <w:tcW w:w="260" w:type="pct"/>
            <w:tcBorders>
              <w:top w:val="nil"/>
              <w:left w:val="nil"/>
              <w:bottom w:val="nil"/>
              <w:right w:val="nil"/>
            </w:tcBorders>
            <w:shd w:val="clear" w:color="000000" w:fill="FFFFFF"/>
            <w:noWrap/>
            <w:vAlign w:val="center"/>
            <w:hideMark/>
          </w:tcPr>
          <w:p w14:paraId="7DB0CFF5" w14:textId="16ADF491"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c>
          <w:tcPr>
            <w:tcW w:w="97" w:type="pct"/>
            <w:tcBorders>
              <w:top w:val="nil"/>
              <w:left w:val="nil"/>
              <w:bottom w:val="nil"/>
              <w:right w:val="nil"/>
            </w:tcBorders>
            <w:shd w:val="clear" w:color="000000" w:fill="FFFFFF"/>
            <w:noWrap/>
            <w:vAlign w:val="center"/>
            <w:hideMark/>
          </w:tcPr>
          <w:p w14:paraId="0326F54D"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089D31DD" w14:textId="2CDB3FC2"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w:t>
            </w:r>
          </w:p>
        </w:tc>
        <w:tc>
          <w:tcPr>
            <w:tcW w:w="335" w:type="pct"/>
            <w:tcBorders>
              <w:top w:val="nil"/>
              <w:left w:val="nil"/>
              <w:bottom w:val="nil"/>
              <w:right w:val="nil"/>
            </w:tcBorders>
            <w:shd w:val="clear" w:color="000000" w:fill="FFFFFF"/>
            <w:noWrap/>
            <w:vAlign w:val="center"/>
            <w:hideMark/>
          </w:tcPr>
          <w:p w14:paraId="118EA92E" w14:textId="49848247"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0.77, 1.06</w:t>
            </w:r>
          </w:p>
        </w:tc>
        <w:tc>
          <w:tcPr>
            <w:tcW w:w="260" w:type="pct"/>
            <w:tcBorders>
              <w:top w:val="nil"/>
              <w:left w:val="nil"/>
              <w:bottom w:val="nil"/>
              <w:right w:val="nil"/>
            </w:tcBorders>
            <w:shd w:val="clear" w:color="000000" w:fill="FFFFFF"/>
            <w:noWrap/>
            <w:vAlign w:val="center"/>
            <w:hideMark/>
          </w:tcPr>
          <w:p w14:paraId="28FD1588" w14:textId="7B25892D"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0.2</w:t>
            </w:r>
          </w:p>
        </w:tc>
        <w:tc>
          <w:tcPr>
            <w:tcW w:w="97" w:type="pct"/>
            <w:tcBorders>
              <w:top w:val="nil"/>
              <w:left w:val="nil"/>
              <w:bottom w:val="nil"/>
              <w:right w:val="nil"/>
            </w:tcBorders>
            <w:shd w:val="clear" w:color="000000" w:fill="FFFFFF"/>
            <w:noWrap/>
            <w:vAlign w:val="center"/>
            <w:hideMark/>
          </w:tcPr>
          <w:p w14:paraId="102FC61B"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13CFC4C7" w14:textId="088048D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0.26</w:t>
            </w:r>
          </w:p>
        </w:tc>
        <w:tc>
          <w:tcPr>
            <w:tcW w:w="335" w:type="pct"/>
            <w:tcBorders>
              <w:top w:val="nil"/>
              <w:left w:val="nil"/>
              <w:bottom w:val="nil"/>
              <w:right w:val="nil"/>
            </w:tcBorders>
            <w:shd w:val="clear" w:color="000000" w:fill="FFFFFF"/>
            <w:noWrap/>
            <w:vAlign w:val="center"/>
            <w:hideMark/>
          </w:tcPr>
          <w:p w14:paraId="24BCC2A6" w14:textId="3FC3E67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0.26, 0.27</w:t>
            </w:r>
          </w:p>
        </w:tc>
        <w:tc>
          <w:tcPr>
            <w:tcW w:w="260" w:type="pct"/>
            <w:tcBorders>
              <w:top w:val="nil"/>
              <w:left w:val="nil"/>
              <w:bottom w:val="nil"/>
              <w:right w:val="nil"/>
            </w:tcBorders>
            <w:shd w:val="clear" w:color="000000" w:fill="FFFFFF"/>
            <w:noWrap/>
            <w:vAlign w:val="center"/>
            <w:hideMark/>
          </w:tcPr>
          <w:p w14:paraId="78842CE9" w14:textId="4D375F72"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r>
      <w:tr w:rsidR="00326150" w:rsidRPr="00E200A5" w14:paraId="480177D1" w14:textId="77777777" w:rsidTr="005A2589">
        <w:trPr>
          <w:trHeight w:val="345"/>
        </w:trPr>
        <w:tc>
          <w:tcPr>
            <w:tcW w:w="623" w:type="pct"/>
            <w:tcBorders>
              <w:top w:val="nil"/>
              <w:left w:val="nil"/>
              <w:bottom w:val="nil"/>
              <w:right w:val="nil"/>
            </w:tcBorders>
            <w:shd w:val="clear" w:color="000000" w:fill="FFFFFF"/>
            <w:noWrap/>
            <w:vAlign w:val="center"/>
            <w:hideMark/>
          </w:tcPr>
          <w:p w14:paraId="1F30E484" w14:textId="00702B3B" w:rsidR="006B6EFA" w:rsidRPr="00E200A5" w:rsidRDefault="006B6EFA" w:rsidP="00C915C8">
            <w:pPr>
              <w:spacing w:after="0" w:line="240" w:lineRule="auto"/>
              <w:rPr>
                <w:rFonts w:ascii="Times New Roman" w:eastAsia="Times New Roman" w:hAnsi="Times New Roman" w:cs="Times New Roman"/>
                <w:color w:val="333333"/>
                <w:sz w:val="20"/>
                <w:szCs w:val="20"/>
                <w:lang w:eastAsia="en-GB"/>
              </w:rPr>
            </w:pPr>
            <w:r w:rsidRPr="00E200A5">
              <w:rPr>
                <w:rFonts w:ascii="Times New Roman" w:eastAsia="Times New Roman" w:hAnsi="Times New Roman" w:cs="Times New Roman"/>
                <w:color w:val="333333"/>
                <w:sz w:val="20"/>
                <w:szCs w:val="20"/>
                <w:lang w:eastAsia="en-GB"/>
              </w:rPr>
              <w:t>Mental health</w:t>
            </w:r>
            <w:r w:rsidR="0066777C" w:rsidRPr="00E200A5">
              <w:rPr>
                <w:rFonts w:ascii="Times New Roman" w:eastAsia="Times New Roman" w:hAnsi="Times New Roman" w:cs="Times New Roman"/>
                <w:color w:val="333333"/>
                <w:sz w:val="20"/>
                <w:szCs w:val="20"/>
                <w:lang w:eastAsia="en-GB"/>
              </w:rPr>
              <w:t xml:space="preserve"> </w:t>
            </w:r>
            <w:r w:rsidR="00154819" w:rsidRPr="00E200A5">
              <w:rPr>
                <w:rFonts w:ascii="Times New Roman" w:eastAsia="Times New Roman" w:hAnsi="Times New Roman" w:cs="Times New Roman"/>
                <w:color w:val="333333"/>
                <w:sz w:val="20"/>
                <w:szCs w:val="20"/>
                <w:lang w:eastAsia="en-GB"/>
              </w:rPr>
              <w:t>problems</w:t>
            </w:r>
          </w:p>
        </w:tc>
        <w:tc>
          <w:tcPr>
            <w:tcW w:w="97" w:type="pct"/>
            <w:tcBorders>
              <w:top w:val="nil"/>
              <w:left w:val="nil"/>
              <w:bottom w:val="nil"/>
              <w:right w:val="nil"/>
            </w:tcBorders>
            <w:shd w:val="clear" w:color="000000" w:fill="FFFFFF"/>
            <w:noWrap/>
            <w:vAlign w:val="center"/>
            <w:hideMark/>
          </w:tcPr>
          <w:p w14:paraId="31BB5CB2"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7BDFE0BE" w14:textId="1ED2CE9B"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1.21</w:t>
            </w:r>
          </w:p>
        </w:tc>
        <w:tc>
          <w:tcPr>
            <w:tcW w:w="335" w:type="pct"/>
            <w:tcBorders>
              <w:top w:val="nil"/>
              <w:left w:val="nil"/>
              <w:bottom w:val="nil"/>
              <w:right w:val="nil"/>
            </w:tcBorders>
            <w:shd w:val="clear" w:color="000000" w:fill="FFFFFF"/>
            <w:noWrap/>
            <w:vAlign w:val="center"/>
            <w:hideMark/>
          </w:tcPr>
          <w:p w14:paraId="56BDCF2F" w14:textId="58DC6FB1"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1.17, 1.25</w:t>
            </w:r>
          </w:p>
        </w:tc>
        <w:tc>
          <w:tcPr>
            <w:tcW w:w="260" w:type="pct"/>
            <w:tcBorders>
              <w:top w:val="nil"/>
              <w:left w:val="nil"/>
              <w:bottom w:val="nil"/>
              <w:right w:val="nil"/>
            </w:tcBorders>
            <w:shd w:val="clear" w:color="000000" w:fill="FFFFFF"/>
            <w:noWrap/>
            <w:vAlign w:val="center"/>
            <w:hideMark/>
          </w:tcPr>
          <w:p w14:paraId="4AC22925" w14:textId="2760BE53"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c>
          <w:tcPr>
            <w:tcW w:w="97" w:type="pct"/>
            <w:tcBorders>
              <w:top w:val="nil"/>
              <w:left w:val="nil"/>
              <w:bottom w:val="nil"/>
              <w:right w:val="nil"/>
            </w:tcBorders>
            <w:shd w:val="clear" w:color="000000" w:fill="FFFFFF"/>
            <w:noWrap/>
            <w:vAlign w:val="center"/>
            <w:hideMark/>
          </w:tcPr>
          <w:p w14:paraId="15B15FF0"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50BA3874" w14:textId="13E2BF4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0.91</w:t>
            </w:r>
          </w:p>
        </w:tc>
        <w:tc>
          <w:tcPr>
            <w:tcW w:w="335" w:type="pct"/>
            <w:tcBorders>
              <w:top w:val="nil"/>
              <w:left w:val="nil"/>
              <w:bottom w:val="nil"/>
              <w:right w:val="nil"/>
            </w:tcBorders>
            <w:shd w:val="clear" w:color="000000" w:fill="FFFFFF"/>
            <w:noWrap/>
            <w:vAlign w:val="center"/>
            <w:hideMark/>
          </w:tcPr>
          <w:p w14:paraId="131491CF" w14:textId="6DF42155"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0.89, 0.94</w:t>
            </w:r>
          </w:p>
        </w:tc>
        <w:tc>
          <w:tcPr>
            <w:tcW w:w="260" w:type="pct"/>
            <w:tcBorders>
              <w:top w:val="nil"/>
              <w:left w:val="nil"/>
              <w:bottom w:val="nil"/>
              <w:right w:val="nil"/>
            </w:tcBorders>
            <w:shd w:val="clear" w:color="000000" w:fill="FFFFFF"/>
            <w:noWrap/>
            <w:vAlign w:val="center"/>
            <w:hideMark/>
          </w:tcPr>
          <w:p w14:paraId="172A799C" w14:textId="7274AC8D"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c>
          <w:tcPr>
            <w:tcW w:w="97" w:type="pct"/>
            <w:tcBorders>
              <w:top w:val="nil"/>
              <w:left w:val="nil"/>
              <w:bottom w:val="nil"/>
              <w:right w:val="nil"/>
            </w:tcBorders>
            <w:shd w:val="clear" w:color="000000" w:fill="FFFFFF"/>
            <w:noWrap/>
            <w:vAlign w:val="center"/>
            <w:hideMark/>
          </w:tcPr>
          <w:p w14:paraId="53880D1E"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256C21A0" w14:textId="59E93C1E"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1.12</w:t>
            </w:r>
          </w:p>
        </w:tc>
        <w:tc>
          <w:tcPr>
            <w:tcW w:w="335" w:type="pct"/>
            <w:tcBorders>
              <w:top w:val="nil"/>
              <w:left w:val="nil"/>
              <w:bottom w:val="nil"/>
              <w:right w:val="nil"/>
            </w:tcBorders>
            <w:shd w:val="clear" w:color="000000" w:fill="FFFFFF"/>
            <w:noWrap/>
            <w:vAlign w:val="center"/>
            <w:hideMark/>
          </w:tcPr>
          <w:p w14:paraId="4052B5EA" w14:textId="10290163"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1.09, 1.14</w:t>
            </w:r>
          </w:p>
        </w:tc>
        <w:tc>
          <w:tcPr>
            <w:tcW w:w="260" w:type="pct"/>
            <w:tcBorders>
              <w:top w:val="nil"/>
              <w:left w:val="nil"/>
              <w:bottom w:val="nil"/>
              <w:right w:val="nil"/>
            </w:tcBorders>
            <w:shd w:val="clear" w:color="000000" w:fill="FFFFFF"/>
            <w:noWrap/>
            <w:vAlign w:val="center"/>
            <w:hideMark/>
          </w:tcPr>
          <w:p w14:paraId="4019B417" w14:textId="424EAD19"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c>
          <w:tcPr>
            <w:tcW w:w="97" w:type="pct"/>
            <w:tcBorders>
              <w:top w:val="nil"/>
              <w:left w:val="nil"/>
              <w:bottom w:val="nil"/>
              <w:right w:val="nil"/>
            </w:tcBorders>
            <w:shd w:val="clear" w:color="000000" w:fill="FFFFFF"/>
            <w:noWrap/>
            <w:vAlign w:val="center"/>
            <w:hideMark/>
          </w:tcPr>
          <w:p w14:paraId="351EA747"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74042F39" w14:textId="79AA31CC"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1.07</w:t>
            </w:r>
          </w:p>
        </w:tc>
        <w:tc>
          <w:tcPr>
            <w:tcW w:w="335" w:type="pct"/>
            <w:tcBorders>
              <w:top w:val="nil"/>
              <w:left w:val="nil"/>
              <w:bottom w:val="nil"/>
              <w:right w:val="nil"/>
            </w:tcBorders>
            <w:shd w:val="clear" w:color="000000" w:fill="FFFFFF"/>
            <w:noWrap/>
            <w:vAlign w:val="center"/>
            <w:hideMark/>
          </w:tcPr>
          <w:p w14:paraId="5F949524" w14:textId="2EDEE0F2"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0.89, 1.29</w:t>
            </w:r>
          </w:p>
        </w:tc>
        <w:tc>
          <w:tcPr>
            <w:tcW w:w="260" w:type="pct"/>
            <w:tcBorders>
              <w:top w:val="nil"/>
              <w:left w:val="nil"/>
              <w:bottom w:val="nil"/>
              <w:right w:val="nil"/>
            </w:tcBorders>
            <w:shd w:val="clear" w:color="000000" w:fill="FFFFFF"/>
            <w:noWrap/>
            <w:vAlign w:val="center"/>
            <w:hideMark/>
          </w:tcPr>
          <w:p w14:paraId="622A7498" w14:textId="3A887682"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0.48</w:t>
            </w:r>
          </w:p>
        </w:tc>
        <w:tc>
          <w:tcPr>
            <w:tcW w:w="97" w:type="pct"/>
            <w:tcBorders>
              <w:top w:val="nil"/>
              <w:left w:val="nil"/>
              <w:bottom w:val="nil"/>
              <w:right w:val="nil"/>
            </w:tcBorders>
            <w:shd w:val="clear" w:color="000000" w:fill="FFFFFF"/>
            <w:noWrap/>
            <w:vAlign w:val="center"/>
            <w:hideMark/>
          </w:tcPr>
          <w:p w14:paraId="11C7E85A"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3D298536" w14:textId="49D3505D"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2</w:t>
            </w:r>
          </w:p>
        </w:tc>
        <w:tc>
          <w:tcPr>
            <w:tcW w:w="335" w:type="pct"/>
            <w:tcBorders>
              <w:top w:val="nil"/>
              <w:left w:val="nil"/>
              <w:bottom w:val="nil"/>
              <w:right w:val="nil"/>
            </w:tcBorders>
            <w:shd w:val="clear" w:color="000000" w:fill="FFFFFF"/>
            <w:noWrap/>
            <w:vAlign w:val="center"/>
            <w:hideMark/>
          </w:tcPr>
          <w:p w14:paraId="7CE82B26" w14:textId="143FDCDD"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1.92, 2.07</w:t>
            </w:r>
          </w:p>
        </w:tc>
        <w:tc>
          <w:tcPr>
            <w:tcW w:w="260" w:type="pct"/>
            <w:tcBorders>
              <w:top w:val="nil"/>
              <w:left w:val="nil"/>
              <w:bottom w:val="nil"/>
              <w:right w:val="nil"/>
            </w:tcBorders>
            <w:shd w:val="clear" w:color="000000" w:fill="FFFFFF"/>
            <w:noWrap/>
            <w:vAlign w:val="center"/>
            <w:hideMark/>
          </w:tcPr>
          <w:p w14:paraId="71CC5C65" w14:textId="791C7FB9"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r>
      <w:tr w:rsidR="00326150" w:rsidRPr="00E200A5" w14:paraId="054C004C" w14:textId="77777777" w:rsidTr="005A2589">
        <w:trPr>
          <w:trHeight w:val="345"/>
        </w:trPr>
        <w:tc>
          <w:tcPr>
            <w:tcW w:w="623" w:type="pct"/>
            <w:tcBorders>
              <w:top w:val="nil"/>
              <w:left w:val="nil"/>
              <w:bottom w:val="nil"/>
              <w:right w:val="nil"/>
            </w:tcBorders>
            <w:shd w:val="clear" w:color="000000" w:fill="FFFFFF"/>
            <w:noWrap/>
            <w:vAlign w:val="center"/>
            <w:hideMark/>
          </w:tcPr>
          <w:p w14:paraId="7B5E60C4" w14:textId="77777777" w:rsidR="006B6EFA" w:rsidRPr="00E200A5" w:rsidRDefault="006B6EFA" w:rsidP="00C915C8">
            <w:pPr>
              <w:spacing w:after="0" w:line="240" w:lineRule="auto"/>
              <w:rPr>
                <w:rFonts w:ascii="Times New Roman" w:eastAsia="Times New Roman" w:hAnsi="Times New Roman" w:cs="Times New Roman"/>
                <w:color w:val="333333"/>
                <w:sz w:val="20"/>
                <w:szCs w:val="20"/>
                <w:lang w:eastAsia="en-GB"/>
              </w:rPr>
            </w:pPr>
            <w:r w:rsidRPr="00E200A5">
              <w:rPr>
                <w:rFonts w:ascii="Times New Roman" w:eastAsia="Times New Roman" w:hAnsi="Times New Roman" w:cs="Times New Roman"/>
                <w:color w:val="333333"/>
                <w:sz w:val="20"/>
                <w:szCs w:val="20"/>
                <w:lang w:eastAsia="en-GB"/>
              </w:rPr>
              <w:t>Age</w:t>
            </w:r>
          </w:p>
        </w:tc>
        <w:tc>
          <w:tcPr>
            <w:tcW w:w="97" w:type="pct"/>
            <w:tcBorders>
              <w:top w:val="nil"/>
              <w:left w:val="nil"/>
              <w:bottom w:val="nil"/>
              <w:right w:val="nil"/>
            </w:tcBorders>
            <w:shd w:val="clear" w:color="000000" w:fill="FFFFFF"/>
            <w:noWrap/>
            <w:vAlign w:val="center"/>
            <w:hideMark/>
          </w:tcPr>
          <w:p w14:paraId="6EB34938"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6F0CD9A9" w14:textId="4CC9FC93"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0.91</w:t>
            </w:r>
          </w:p>
        </w:tc>
        <w:tc>
          <w:tcPr>
            <w:tcW w:w="335" w:type="pct"/>
            <w:tcBorders>
              <w:top w:val="nil"/>
              <w:left w:val="nil"/>
              <w:bottom w:val="nil"/>
              <w:right w:val="nil"/>
            </w:tcBorders>
            <w:shd w:val="clear" w:color="000000" w:fill="FFFFFF"/>
            <w:noWrap/>
            <w:vAlign w:val="center"/>
            <w:hideMark/>
          </w:tcPr>
          <w:p w14:paraId="5B070D06" w14:textId="13AABF9A"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0.89, 0.93</w:t>
            </w:r>
          </w:p>
        </w:tc>
        <w:tc>
          <w:tcPr>
            <w:tcW w:w="260" w:type="pct"/>
            <w:tcBorders>
              <w:top w:val="nil"/>
              <w:left w:val="nil"/>
              <w:bottom w:val="nil"/>
              <w:right w:val="nil"/>
            </w:tcBorders>
            <w:shd w:val="clear" w:color="000000" w:fill="FFFFFF"/>
            <w:noWrap/>
            <w:vAlign w:val="center"/>
            <w:hideMark/>
          </w:tcPr>
          <w:p w14:paraId="388B76EC" w14:textId="4803FF8B"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c>
          <w:tcPr>
            <w:tcW w:w="97" w:type="pct"/>
            <w:tcBorders>
              <w:top w:val="nil"/>
              <w:left w:val="nil"/>
              <w:bottom w:val="nil"/>
              <w:right w:val="nil"/>
            </w:tcBorders>
            <w:shd w:val="clear" w:color="000000" w:fill="FFFFFF"/>
            <w:noWrap/>
            <w:vAlign w:val="center"/>
            <w:hideMark/>
          </w:tcPr>
          <w:p w14:paraId="595E0A1C"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07B6ADDD" w14:textId="587C78E6"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0.94</w:t>
            </w:r>
          </w:p>
        </w:tc>
        <w:tc>
          <w:tcPr>
            <w:tcW w:w="335" w:type="pct"/>
            <w:tcBorders>
              <w:top w:val="nil"/>
              <w:left w:val="nil"/>
              <w:bottom w:val="nil"/>
              <w:right w:val="nil"/>
            </w:tcBorders>
            <w:shd w:val="clear" w:color="000000" w:fill="FFFFFF"/>
            <w:noWrap/>
            <w:vAlign w:val="center"/>
            <w:hideMark/>
          </w:tcPr>
          <w:p w14:paraId="0638BB06" w14:textId="677F4682"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0.93, 0.95</w:t>
            </w:r>
          </w:p>
        </w:tc>
        <w:tc>
          <w:tcPr>
            <w:tcW w:w="260" w:type="pct"/>
            <w:tcBorders>
              <w:top w:val="nil"/>
              <w:left w:val="nil"/>
              <w:bottom w:val="nil"/>
              <w:right w:val="nil"/>
            </w:tcBorders>
            <w:shd w:val="clear" w:color="000000" w:fill="FFFFFF"/>
            <w:noWrap/>
            <w:vAlign w:val="center"/>
            <w:hideMark/>
          </w:tcPr>
          <w:p w14:paraId="496B9073" w14:textId="370AE936"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c>
          <w:tcPr>
            <w:tcW w:w="97" w:type="pct"/>
            <w:tcBorders>
              <w:top w:val="nil"/>
              <w:left w:val="nil"/>
              <w:bottom w:val="nil"/>
              <w:right w:val="nil"/>
            </w:tcBorders>
            <w:shd w:val="clear" w:color="000000" w:fill="FFFFFF"/>
            <w:noWrap/>
            <w:vAlign w:val="center"/>
            <w:hideMark/>
          </w:tcPr>
          <w:p w14:paraId="3E915941"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6919E568" w14:textId="1F9C7887"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0.95</w:t>
            </w:r>
          </w:p>
        </w:tc>
        <w:tc>
          <w:tcPr>
            <w:tcW w:w="335" w:type="pct"/>
            <w:tcBorders>
              <w:top w:val="nil"/>
              <w:left w:val="nil"/>
              <w:bottom w:val="nil"/>
              <w:right w:val="nil"/>
            </w:tcBorders>
            <w:shd w:val="clear" w:color="000000" w:fill="FFFFFF"/>
            <w:noWrap/>
            <w:vAlign w:val="center"/>
            <w:hideMark/>
          </w:tcPr>
          <w:p w14:paraId="2182BBF9" w14:textId="3C443B4B"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0.94, 0.97</w:t>
            </w:r>
          </w:p>
        </w:tc>
        <w:tc>
          <w:tcPr>
            <w:tcW w:w="260" w:type="pct"/>
            <w:tcBorders>
              <w:top w:val="nil"/>
              <w:left w:val="nil"/>
              <w:bottom w:val="nil"/>
              <w:right w:val="nil"/>
            </w:tcBorders>
            <w:shd w:val="clear" w:color="000000" w:fill="FFFFFF"/>
            <w:noWrap/>
            <w:vAlign w:val="center"/>
            <w:hideMark/>
          </w:tcPr>
          <w:p w14:paraId="2F71F63B" w14:textId="3BA993AF"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c>
          <w:tcPr>
            <w:tcW w:w="97" w:type="pct"/>
            <w:tcBorders>
              <w:top w:val="nil"/>
              <w:left w:val="nil"/>
              <w:bottom w:val="nil"/>
              <w:right w:val="nil"/>
            </w:tcBorders>
            <w:shd w:val="clear" w:color="000000" w:fill="FFFFFF"/>
            <w:noWrap/>
            <w:vAlign w:val="center"/>
            <w:hideMark/>
          </w:tcPr>
          <w:p w14:paraId="420006CE"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1611F0B8" w14:textId="7E89DD8C"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0.95</w:t>
            </w:r>
          </w:p>
        </w:tc>
        <w:tc>
          <w:tcPr>
            <w:tcW w:w="335" w:type="pct"/>
            <w:tcBorders>
              <w:top w:val="nil"/>
              <w:left w:val="nil"/>
              <w:bottom w:val="nil"/>
              <w:right w:val="nil"/>
            </w:tcBorders>
            <w:shd w:val="clear" w:color="000000" w:fill="FFFFFF"/>
            <w:noWrap/>
            <w:vAlign w:val="center"/>
            <w:hideMark/>
          </w:tcPr>
          <w:p w14:paraId="494C7B31" w14:textId="0439AC5C"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0.94, 0.96</w:t>
            </w:r>
          </w:p>
        </w:tc>
        <w:tc>
          <w:tcPr>
            <w:tcW w:w="260" w:type="pct"/>
            <w:tcBorders>
              <w:top w:val="nil"/>
              <w:left w:val="nil"/>
              <w:bottom w:val="nil"/>
              <w:right w:val="nil"/>
            </w:tcBorders>
            <w:shd w:val="clear" w:color="000000" w:fill="FFFFFF"/>
            <w:noWrap/>
            <w:vAlign w:val="center"/>
            <w:hideMark/>
          </w:tcPr>
          <w:p w14:paraId="161ED10F" w14:textId="18C5A066"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c>
          <w:tcPr>
            <w:tcW w:w="97" w:type="pct"/>
            <w:tcBorders>
              <w:top w:val="nil"/>
              <w:left w:val="nil"/>
              <w:bottom w:val="nil"/>
              <w:right w:val="nil"/>
            </w:tcBorders>
            <w:shd w:val="clear" w:color="000000" w:fill="FFFFFF"/>
            <w:noWrap/>
            <w:vAlign w:val="center"/>
            <w:hideMark/>
          </w:tcPr>
          <w:p w14:paraId="3746E027"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3511F862" w14:textId="63F11760"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0.96</w:t>
            </w:r>
          </w:p>
        </w:tc>
        <w:tc>
          <w:tcPr>
            <w:tcW w:w="335" w:type="pct"/>
            <w:tcBorders>
              <w:top w:val="nil"/>
              <w:left w:val="nil"/>
              <w:bottom w:val="nil"/>
              <w:right w:val="nil"/>
            </w:tcBorders>
            <w:shd w:val="clear" w:color="000000" w:fill="FFFFFF"/>
            <w:noWrap/>
            <w:vAlign w:val="center"/>
            <w:hideMark/>
          </w:tcPr>
          <w:p w14:paraId="0D7294A2" w14:textId="22098D50"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0.95, 0.98</w:t>
            </w:r>
          </w:p>
        </w:tc>
        <w:tc>
          <w:tcPr>
            <w:tcW w:w="260" w:type="pct"/>
            <w:tcBorders>
              <w:top w:val="nil"/>
              <w:left w:val="nil"/>
              <w:bottom w:val="nil"/>
              <w:right w:val="nil"/>
            </w:tcBorders>
            <w:shd w:val="clear" w:color="000000" w:fill="FFFFFF"/>
            <w:noWrap/>
            <w:vAlign w:val="center"/>
            <w:hideMark/>
          </w:tcPr>
          <w:p w14:paraId="7FBCB3D5" w14:textId="1A1C5EEA"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r>
      <w:tr w:rsidR="00326150" w:rsidRPr="00E200A5" w14:paraId="4C8E9B11" w14:textId="77777777" w:rsidTr="005A2589">
        <w:trPr>
          <w:trHeight w:val="345"/>
        </w:trPr>
        <w:tc>
          <w:tcPr>
            <w:tcW w:w="623" w:type="pct"/>
            <w:tcBorders>
              <w:top w:val="nil"/>
              <w:left w:val="nil"/>
              <w:bottom w:val="nil"/>
              <w:right w:val="nil"/>
            </w:tcBorders>
            <w:shd w:val="clear" w:color="000000" w:fill="FFFFFF"/>
            <w:noWrap/>
            <w:vAlign w:val="center"/>
            <w:hideMark/>
          </w:tcPr>
          <w:p w14:paraId="4FB41849" w14:textId="77777777" w:rsidR="006B6EFA" w:rsidRPr="00E200A5" w:rsidRDefault="006B6EFA" w:rsidP="00C915C8">
            <w:pPr>
              <w:spacing w:after="0" w:line="240" w:lineRule="auto"/>
              <w:rPr>
                <w:rFonts w:ascii="Times New Roman" w:eastAsia="Times New Roman" w:hAnsi="Times New Roman" w:cs="Times New Roman"/>
                <w:color w:val="333333"/>
                <w:sz w:val="20"/>
                <w:szCs w:val="20"/>
                <w:lang w:eastAsia="en-GB"/>
              </w:rPr>
            </w:pPr>
            <w:r w:rsidRPr="00E200A5">
              <w:rPr>
                <w:rFonts w:ascii="Times New Roman" w:eastAsia="Times New Roman" w:hAnsi="Times New Roman" w:cs="Times New Roman"/>
                <w:color w:val="333333"/>
                <w:sz w:val="20"/>
                <w:szCs w:val="20"/>
                <w:lang w:eastAsia="en-GB"/>
              </w:rPr>
              <w:t>Sex</w:t>
            </w:r>
          </w:p>
        </w:tc>
        <w:tc>
          <w:tcPr>
            <w:tcW w:w="97" w:type="pct"/>
            <w:tcBorders>
              <w:top w:val="nil"/>
              <w:left w:val="nil"/>
              <w:bottom w:val="nil"/>
              <w:right w:val="nil"/>
            </w:tcBorders>
            <w:shd w:val="clear" w:color="000000" w:fill="FFFFFF"/>
            <w:noWrap/>
            <w:vAlign w:val="center"/>
            <w:hideMark/>
          </w:tcPr>
          <w:p w14:paraId="4B147698"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6B168965" w14:textId="36AF94FB"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1.23</w:t>
            </w:r>
          </w:p>
        </w:tc>
        <w:tc>
          <w:tcPr>
            <w:tcW w:w="335" w:type="pct"/>
            <w:tcBorders>
              <w:top w:val="nil"/>
              <w:left w:val="nil"/>
              <w:bottom w:val="nil"/>
              <w:right w:val="nil"/>
            </w:tcBorders>
            <w:shd w:val="clear" w:color="000000" w:fill="FFFFFF"/>
            <w:noWrap/>
            <w:vAlign w:val="center"/>
            <w:hideMark/>
          </w:tcPr>
          <w:p w14:paraId="5AA1E246" w14:textId="7796568E"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1.19, 1.28</w:t>
            </w:r>
          </w:p>
        </w:tc>
        <w:tc>
          <w:tcPr>
            <w:tcW w:w="260" w:type="pct"/>
            <w:tcBorders>
              <w:top w:val="nil"/>
              <w:left w:val="nil"/>
              <w:bottom w:val="nil"/>
              <w:right w:val="nil"/>
            </w:tcBorders>
            <w:shd w:val="clear" w:color="000000" w:fill="FFFFFF"/>
            <w:noWrap/>
            <w:vAlign w:val="center"/>
            <w:hideMark/>
          </w:tcPr>
          <w:p w14:paraId="0F727791" w14:textId="168B8C58"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c>
          <w:tcPr>
            <w:tcW w:w="97" w:type="pct"/>
            <w:tcBorders>
              <w:top w:val="nil"/>
              <w:left w:val="nil"/>
              <w:bottom w:val="nil"/>
              <w:right w:val="nil"/>
            </w:tcBorders>
            <w:shd w:val="clear" w:color="000000" w:fill="FFFFFF"/>
            <w:noWrap/>
            <w:vAlign w:val="center"/>
            <w:hideMark/>
          </w:tcPr>
          <w:p w14:paraId="3561AAE0"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7EE52BDD" w14:textId="262D852F"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1.39</w:t>
            </w:r>
          </w:p>
        </w:tc>
        <w:tc>
          <w:tcPr>
            <w:tcW w:w="335" w:type="pct"/>
            <w:tcBorders>
              <w:top w:val="nil"/>
              <w:left w:val="nil"/>
              <w:bottom w:val="nil"/>
              <w:right w:val="nil"/>
            </w:tcBorders>
            <w:shd w:val="clear" w:color="000000" w:fill="FFFFFF"/>
            <w:noWrap/>
            <w:vAlign w:val="center"/>
            <w:hideMark/>
          </w:tcPr>
          <w:p w14:paraId="38D0AAFB" w14:textId="31928D53"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1.35, 1.43</w:t>
            </w:r>
          </w:p>
        </w:tc>
        <w:tc>
          <w:tcPr>
            <w:tcW w:w="260" w:type="pct"/>
            <w:tcBorders>
              <w:top w:val="nil"/>
              <w:left w:val="nil"/>
              <w:bottom w:val="nil"/>
              <w:right w:val="nil"/>
            </w:tcBorders>
            <w:shd w:val="clear" w:color="000000" w:fill="FFFFFF"/>
            <w:noWrap/>
            <w:vAlign w:val="center"/>
            <w:hideMark/>
          </w:tcPr>
          <w:p w14:paraId="383C3607" w14:textId="02F537E2"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c>
          <w:tcPr>
            <w:tcW w:w="97" w:type="pct"/>
            <w:tcBorders>
              <w:top w:val="nil"/>
              <w:left w:val="nil"/>
              <w:bottom w:val="nil"/>
              <w:right w:val="nil"/>
            </w:tcBorders>
            <w:shd w:val="clear" w:color="000000" w:fill="FFFFFF"/>
            <w:noWrap/>
            <w:vAlign w:val="center"/>
            <w:hideMark/>
          </w:tcPr>
          <w:p w14:paraId="78F17205"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61B034F5" w14:textId="79C69D75"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1.04</w:t>
            </w:r>
          </w:p>
        </w:tc>
        <w:tc>
          <w:tcPr>
            <w:tcW w:w="335" w:type="pct"/>
            <w:tcBorders>
              <w:top w:val="nil"/>
              <w:left w:val="nil"/>
              <w:bottom w:val="nil"/>
              <w:right w:val="nil"/>
            </w:tcBorders>
            <w:shd w:val="clear" w:color="000000" w:fill="FFFFFF"/>
            <w:noWrap/>
            <w:vAlign w:val="center"/>
            <w:hideMark/>
          </w:tcPr>
          <w:p w14:paraId="3FEC80AF" w14:textId="5B6CCAFD"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1.01, 1.07</w:t>
            </w:r>
          </w:p>
        </w:tc>
        <w:tc>
          <w:tcPr>
            <w:tcW w:w="260" w:type="pct"/>
            <w:tcBorders>
              <w:top w:val="nil"/>
              <w:left w:val="nil"/>
              <w:bottom w:val="nil"/>
              <w:right w:val="nil"/>
            </w:tcBorders>
            <w:shd w:val="clear" w:color="000000" w:fill="FFFFFF"/>
            <w:noWrap/>
            <w:vAlign w:val="center"/>
            <w:hideMark/>
          </w:tcPr>
          <w:p w14:paraId="6F117FB4" w14:textId="55CE2046"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0.008</w:t>
            </w:r>
          </w:p>
        </w:tc>
        <w:tc>
          <w:tcPr>
            <w:tcW w:w="97" w:type="pct"/>
            <w:tcBorders>
              <w:top w:val="nil"/>
              <w:left w:val="nil"/>
              <w:bottom w:val="nil"/>
              <w:right w:val="nil"/>
            </w:tcBorders>
            <w:shd w:val="clear" w:color="000000" w:fill="FFFFFF"/>
            <w:noWrap/>
            <w:vAlign w:val="center"/>
            <w:hideMark/>
          </w:tcPr>
          <w:p w14:paraId="0D5D1D32"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4835C3EE" w14:textId="5549473A"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1.85</w:t>
            </w:r>
          </w:p>
        </w:tc>
        <w:tc>
          <w:tcPr>
            <w:tcW w:w="335" w:type="pct"/>
            <w:tcBorders>
              <w:top w:val="nil"/>
              <w:left w:val="nil"/>
              <w:bottom w:val="nil"/>
              <w:right w:val="nil"/>
            </w:tcBorders>
            <w:shd w:val="clear" w:color="000000" w:fill="FFFFFF"/>
            <w:noWrap/>
            <w:vAlign w:val="center"/>
            <w:hideMark/>
          </w:tcPr>
          <w:p w14:paraId="51AA6736" w14:textId="2C0E2D5B"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1.47, 2.34</w:t>
            </w:r>
          </w:p>
        </w:tc>
        <w:tc>
          <w:tcPr>
            <w:tcW w:w="260" w:type="pct"/>
            <w:tcBorders>
              <w:top w:val="nil"/>
              <w:left w:val="nil"/>
              <w:bottom w:val="nil"/>
              <w:right w:val="nil"/>
            </w:tcBorders>
            <w:shd w:val="clear" w:color="000000" w:fill="FFFFFF"/>
            <w:noWrap/>
            <w:vAlign w:val="center"/>
            <w:hideMark/>
          </w:tcPr>
          <w:p w14:paraId="11467616" w14:textId="7F9CD7BF"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c>
          <w:tcPr>
            <w:tcW w:w="97" w:type="pct"/>
            <w:tcBorders>
              <w:top w:val="nil"/>
              <w:left w:val="nil"/>
              <w:bottom w:val="nil"/>
              <w:right w:val="nil"/>
            </w:tcBorders>
            <w:shd w:val="clear" w:color="000000" w:fill="FFFFFF"/>
            <w:noWrap/>
            <w:vAlign w:val="center"/>
            <w:hideMark/>
          </w:tcPr>
          <w:p w14:paraId="572CD9F2"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hideMark/>
          </w:tcPr>
          <w:p w14:paraId="6EB1FC57" w14:textId="293166B5"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1.44</w:t>
            </w:r>
          </w:p>
        </w:tc>
        <w:tc>
          <w:tcPr>
            <w:tcW w:w="335" w:type="pct"/>
            <w:tcBorders>
              <w:top w:val="nil"/>
              <w:left w:val="nil"/>
              <w:bottom w:val="nil"/>
              <w:right w:val="nil"/>
            </w:tcBorders>
            <w:shd w:val="clear" w:color="000000" w:fill="FFFFFF"/>
            <w:noWrap/>
            <w:vAlign w:val="center"/>
            <w:hideMark/>
          </w:tcPr>
          <w:p w14:paraId="3D2A973B" w14:textId="50321559"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1.38, 1.50</w:t>
            </w:r>
          </w:p>
        </w:tc>
        <w:tc>
          <w:tcPr>
            <w:tcW w:w="260" w:type="pct"/>
            <w:tcBorders>
              <w:top w:val="nil"/>
              <w:left w:val="nil"/>
              <w:bottom w:val="nil"/>
              <w:right w:val="nil"/>
            </w:tcBorders>
            <w:shd w:val="clear" w:color="000000" w:fill="FFFFFF"/>
            <w:noWrap/>
            <w:vAlign w:val="center"/>
            <w:hideMark/>
          </w:tcPr>
          <w:p w14:paraId="25F89591" w14:textId="755BD631"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&lt;0.001</w:t>
            </w:r>
          </w:p>
        </w:tc>
      </w:tr>
      <w:tr w:rsidR="00326150" w:rsidRPr="00E200A5" w14:paraId="7ADC4C31" w14:textId="77777777" w:rsidTr="005A2589">
        <w:trPr>
          <w:trHeight w:val="345"/>
        </w:trPr>
        <w:tc>
          <w:tcPr>
            <w:tcW w:w="623" w:type="pct"/>
            <w:tcBorders>
              <w:top w:val="nil"/>
              <w:left w:val="nil"/>
              <w:bottom w:val="nil"/>
              <w:right w:val="nil"/>
            </w:tcBorders>
            <w:shd w:val="clear" w:color="000000" w:fill="FFFFFF"/>
            <w:noWrap/>
            <w:vAlign w:val="center"/>
          </w:tcPr>
          <w:p w14:paraId="15DFA848" w14:textId="77777777" w:rsidR="006B6EFA" w:rsidRPr="00E200A5" w:rsidRDefault="006B6EFA" w:rsidP="00C915C8">
            <w:pPr>
              <w:spacing w:after="0" w:line="240" w:lineRule="auto"/>
              <w:rPr>
                <w:rFonts w:ascii="Times New Roman" w:eastAsia="Times New Roman" w:hAnsi="Times New Roman" w:cs="Times New Roman"/>
                <w:color w:val="333333"/>
                <w:sz w:val="20"/>
                <w:szCs w:val="20"/>
                <w:lang w:eastAsia="en-GB"/>
              </w:rPr>
            </w:pPr>
            <w:r w:rsidRPr="00E200A5">
              <w:rPr>
                <w:rFonts w:ascii="Times New Roman" w:eastAsia="Times New Roman" w:hAnsi="Times New Roman" w:cs="Times New Roman"/>
                <w:color w:val="333333"/>
                <w:sz w:val="20"/>
                <w:szCs w:val="20"/>
                <w:lang w:eastAsia="en-GB"/>
              </w:rPr>
              <w:t>Education</w:t>
            </w:r>
          </w:p>
        </w:tc>
        <w:tc>
          <w:tcPr>
            <w:tcW w:w="97" w:type="pct"/>
            <w:tcBorders>
              <w:top w:val="nil"/>
              <w:left w:val="nil"/>
              <w:bottom w:val="nil"/>
              <w:right w:val="nil"/>
            </w:tcBorders>
            <w:shd w:val="clear" w:color="000000" w:fill="FFFFFF"/>
            <w:noWrap/>
            <w:vAlign w:val="center"/>
          </w:tcPr>
          <w:p w14:paraId="4047821C"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tcPr>
          <w:p w14:paraId="12574F9B" w14:textId="7A9159A9"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1.01</w:t>
            </w:r>
          </w:p>
        </w:tc>
        <w:tc>
          <w:tcPr>
            <w:tcW w:w="335" w:type="pct"/>
            <w:tcBorders>
              <w:top w:val="nil"/>
              <w:left w:val="nil"/>
              <w:bottom w:val="nil"/>
              <w:right w:val="nil"/>
            </w:tcBorders>
            <w:shd w:val="clear" w:color="000000" w:fill="FFFFFF"/>
            <w:noWrap/>
            <w:vAlign w:val="center"/>
          </w:tcPr>
          <w:p w14:paraId="3A95A235" w14:textId="1672E9A9"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0.82, 1.25</w:t>
            </w:r>
          </w:p>
        </w:tc>
        <w:tc>
          <w:tcPr>
            <w:tcW w:w="260" w:type="pct"/>
            <w:tcBorders>
              <w:top w:val="nil"/>
              <w:left w:val="nil"/>
              <w:bottom w:val="nil"/>
              <w:right w:val="nil"/>
            </w:tcBorders>
            <w:shd w:val="clear" w:color="000000" w:fill="FFFFFF"/>
            <w:noWrap/>
            <w:vAlign w:val="center"/>
          </w:tcPr>
          <w:p w14:paraId="197CAE3D" w14:textId="69AA80FC"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0.9</w:t>
            </w:r>
          </w:p>
        </w:tc>
        <w:tc>
          <w:tcPr>
            <w:tcW w:w="97" w:type="pct"/>
            <w:tcBorders>
              <w:top w:val="nil"/>
              <w:left w:val="nil"/>
              <w:bottom w:val="nil"/>
              <w:right w:val="nil"/>
            </w:tcBorders>
            <w:shd w:val="clear" w:color="000000" w:fill="FFFFFF"/>
            <w:noWrap/>
            <w:vAlign w:val="center"/>
          </w:tcPr>
          <w:p w14:paraId="5F350B9C"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tcPr>
          <w:p w14:paraId="110B5B62" w14:textId="4AD08EC4"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rPr>
              <w:t>0.99</w:t>
            </w:r>
          </w:p>
        </w:tc>
        <w:tc>
          <w:tcPr>
            <w:tcW w:w="335" w:type="pct"/>
            <w:tcBorders>
              <w:top w:val="nil"/>
              <w:left w:val="nil"/>
              <w:bottom w:val="nil"/>
              <w:right w:val="nil"/>
            </w:tcBorders>
            <w:shd w:val="clear" w:color="000000" w:fill="FFFFFF"/>
            <w:noWrap/>
            <w:vAlign w:val="center"/>
          </w:tcPr>
          <w:p w14:paraId="7BBD6DCE" w14:textId="66C9C6A8"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0.85, 1.15</w:t>
            </w:r>
          </w:p>
        </w:tc>
        <w:tc>
          <w:tcPr>
            <w:tcW w:w="260" w:type="pct"/>
            <w:tcBorders>
              <w:top w:val="nil"/>
              <w:left w:val="nil"/>
              <w:bottom w:val="nil"/>
              <w:right w:val="nil"/>
            </w:tcBorders>
            <w:shd w:val="clear" w:color="000000" w:fill="FFFFFF"/>
            <w:noWrap/>
            <w:vAlign w:val="center"/>
          </w:tcPr>
          <w:p w14:paraId="2D2A624F" w14:textId="0645951B"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rPr>
              <w:t>0.87</w:t>
            </w:r>
          </w:p>
        </w:tc>
        <w:tc>
          <w:tcPr>
            <w:tcW w:w="97" w:type="pct"/>
            <w:tcBorders>
              <w:top w:val="nil"/>
              <w:left w:val="nil"/>
              <w:bottom w:val="nil"/>
              <w:right w:val="nil"/>
            </w:tcBorders>
            <w:shd w:val="clear" w:color="000000" w:fill="FFFFFF"/>
            <w:noWrap/>
            <w:vAlign w:val="center"/>
          </w:tcPr>
          <w:p w14:paraId="4E0A4EE2"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tcPr>
          <w:p w14:paraId="7C811A4D" w14:textId="573A94FE"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rPr>
              <w:t>0.97</w:t>
            </w:r>
          </w:p>
        </w:tc>
        <w:tc>
          <w:tcPr>
            <w:tcW w:w="335" w:type="pct"/>
            <w:tcBorders>
              <w:top w:val="nil"/>
              <w:left w:val="nil"/>
              <w:bottom w:val="nil"/>
              <w:right w:val="nil"/>
            </w:tcBorders>
            <w:shd w:val="clear" w:color="000000" w:fill="FFFFFF"/>
            <w:noWrap/>
            <w:vAlign w:val="center"/>
          </w:tcPr>
          <w:p w14:paraId="7FDAF2E1" w14:textId="37D2AF10"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0.84, 1.12</w:t>
            </w:r>
          </w:p>
        </w:tc>
        <w:tc>
          <w:tcPr>
            <w:tcW w:w="260" w:type="pct"/>
            <w:tcBorders>
              <w:top w:val="nil"/>
              <w:left w:val="nil"/>
              <w:bottom w:val="nil"/>
              <w:right w:val="nil"/>
            </w:tcBorders>
            <w:shd w:val="clear" w:color="000000" w:fill="FFFFFF"/>
            <w:noWrap/>
            <w:vAlign w:val="center"/>
          </w:tcPr>
          <w:p w14:paraId="0DA4AC22" w14:textId="24A516F6"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rPr>
              <w:t>0.68</w:t>
            </w:r>
          </w:p>
        </w:tc>
        <w:tc>
          <w:tcPr>
            <w:tcW w:w="97" w:type="pct"/>
            <w:tcBorders>
              <w:top w:val="nil"/>
              <w:left w:val="nil"/>
              <w:bottom w:val="nil"/>
              <w:right w:val="nil"/>
            </w:tcBorders>
            <w:shd w:val="clear" w:color="000000" w:fill="FFFFFF"/>
            <w:noWrap/>
            <w:vAlign w:val="center"/>
          </w:tcPr>
          <w:p w14:paraId="016C5AB7"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tcPr>
          <w:p w14:paraId="34E0C119" w14:textId="0B96D1CC"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0.91</w:t>
            </w:r>
          </w:p>
        </w:tc>
        <w:tc>
          <w:tcPr>
            <w:tcW w:w="335" w:type="pct"/>
            <w:tcBorders>
              <w:top w:val="nil"/>
              <w:left w:val="nil"/>
              <w:bottom w:val="nil"/>
              <w:right w:val="nil"/>
            </w:tcBorders>
            <w:shd w:val="clear" w:color="000000" w:fill="FFFFFF"/>
            <w:noWrap/>
            <w:vAlign w:val="center"/>
          </w:tcPr>
          <w:p w14:paraId="2D5CB2C7" w14:textId="478B4DC2"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0.85, 0.98</w:t>
            </w:r>
          </w:p>
        </w:tc>
        <w:tc>
          <w:tcPr>
            <w:tcW w:w="260" w:type="pct"/>
            <w:tcBorders>
              <w:top w:val="nil"/>
              <w:left w:val="nil"/>
              <w:bottom w:val="nil"/>
              <w:right w:val="nil"/>
            </w:tcBorders>
            <w:shd w:val="clear" w:color="000000" w:fill="FFFFFF"/>
            <w:noWrap/>
            <w:vAlign w:val="center"/>
          </w:tcPr>
          <w:p w14:paraId="58434157" w14:textId="299CC5B6"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0.01</w:t>
            </w:r>
          </w:p>
        </w:tc>
        <w:tc>
          <w:tcPr>
            <w:tcW w:w="97" w:type="pct"/>
            <w:tcBorders>
              <w:top w:val="nil"/>
              <w:left w:val="nil"/>
              <w:bottom w:val="nil"/>
              <w:right w:val="nil"/>
            </w:tcBorders>
            <w:shd w:val="clear" w:color="000000" w:fill="FFFFFF"/>
            <w:noWrap/>
            <w:vAlign w:val="center"/>
          </w:tcPr>
          <w:p w14:paraId="272E7BEA"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nil"/>
              <w:right w:val="nil"/>
            </w:tcBorders>
            <w:shd w:val="clear" w:color="000000" w:fill="FFFFFF"/>
            <w:noWrap/>
            <w:vAlign w:val="center"/>
          </w:tcPr>
          <w:p w14:paraId="3D547EF3" w14:textId="12BF545B"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0.79</w:t>
            </w:r>
          </w:p>
        </w:tc>
        <w:tc>
          <w:tcPr>
            <w:tcW w:w="335" w:type="pct"/>
            <w:tcBorders>
              <w:top w:val="nil"/>
              <w:left w:val="nil"/>
              <w:bottom w:val="nil"/>
              <w:right w:val="nil"/>
            </w:tcBorders>
            <w:shd w:val="clear" w:color="000000" w:fill="FFFFFF"/>
            <w:noWrap/>
            <w:vAlign w:val="center"/>
          </w:tcPr>
          <w:p w14:paraId="6D96F9EE" w14:textId="051A8442"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0.67, 0.94</w:t>
            </w:r>
          </w:p>
        </w:tc>
        <w:tc>
          <w:tcPr>
            <w:tcW w:w="260" w:type="pct"/>
            <w:tcBorders>
              <w:top w:val="nil"/>
              <w:left w:val="nil"/>
              <w:bottom w:val="nil"/>
              <w:right w:val="nil"/>
            </w:tcBorders>
            <w:shd w:val="clear" w:color="000000" w:fill="FFFFFF"/>
            <w:noWrap/>
            <w:vAlign w:val="center"/>
          </w:tcPr>
          <w:p w14:paraId="53FF0E81" w14:textId="608975B6"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0.009</w:t>
            </w:r>
          </w:p>
        </w:tc>
      </w:tr>
      <w:tr w:rsidR="00326150" w:rsidRPr="00E200A5" w14:paraId="422DE400" w14:textId="77777777" w:rsidTr="005A2589">
        <w:trPr>
          <w:trHeight w:val="345"/>
        </w:trPr>
        <w:tc>
          <w:tcPr>
            <w:tcW w:w="623" w:type="pct"/>
            <w:tcBorders>
              <w:top w:val="nil"/>
              <w:left w:val="nil"/>
              <w:bottom w:val="single" w:sz="4" w:space="0" w:color="auto"/>
              <w:right w:val="nil"/>
            </w:tcBorders>
            <w:shd w:val="clear" w:color="000000" w:fill="FFFFFF"/>
            <w:noWrap/>
            <w:vAlign w:val="center"/>
          </w:tcPr>
          <w:p w14:paraId="7063F221" w14:textId="77777777" w:rsidR="006B6EFA" w:rsidRPr="00E200A5" w:rsidRDefault="006B6EFA" w:rsidP="00C915C8">
            <w:pPr>
              <w:spacing w:after="0" w:line="240" w:lineRule="auto"/>
              <w:rPr>
                <w:rFonts w:ascii="Times New Roman" w:eastAsia="Times New Roman" w:hAnsi="Times New Roman" w:cs="Times New Roman"/>
                <w:color w:val="333333"/>
                <w:sz w:val="20"/>
                <w:szCs w:val="20"/>
                <w:lang w:eastAsia="en-GB"/>
              </w:rPr>
            </w:pPr>
            <w:r w:rsidRPr="00E200A5">
              <w:rPr>
                <w:rFonts w:ascii="Times New Roman" w:eastAsia="Times New Roman" w:hAnsi="Times New Roman" w:cs="Times New Roman"/>
                <w:color w:val="333333"/>
                <w:sz w:val="20"/>
                <w:szCs w:val="20"/>
                <w:lang w:eastAsia="en-GB"/>
              </w:rPr>
              <w:t>Income</w:t>
            </w:r>
          </w:p>
        </w:tc>
        <w:tc>
          <w:tcPr>
            <w:tcW w:w="97" w:type="pct"/>
            <w:tcBorders>
              <w:top w:val="nil"/>
              <w:left w:val="nil"/>
              <w:bottom w:val="single" w:sz="4" w:space="0" w:color="auto"/>
              <w:right w:val="nil"/>
            </w:tcBorders>
            <w:shd w:val="clear" w:color="000000" w:fill="FFFFFF"/>
            <w:noWrap/>
            <w:vAlign w:val="center"/>
          </w:tcPr>
          <w:p w14:paraId="454CBF6B"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single" w:sz="4" w:space="0" w:color="auto"/>
              <w:right w:val="nil"/>
            </w:tcBorders>
            <w:shd w:val="clear" w:color="000000" w:fill="FFFFFF"/>
            <w:noWrap/>
            <w:vAlign w:val="center"/>
          </w:tcPr>
          <w:p w14:paraId="2C584736" w14:textId="596CF6A4"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1</w:t>
            </w:r>
          </w:p>
        </w:tc>
        <w:tc>
          <w:tcPr>
            <w:tcW w:w="335" w:type="pct"/>
            <w:tcBorders>
              <w:top w:val="nil"/>
              <w:left w:val="nil"/>
              <w:bottom w:val="single" w:sz="4" w:space="0" w:color="auto"/>
              <w:right w:val="nil"/>
            </w:tcBorders>
            <w:shd w:val="clear" w:color="000000" w:fill="FFFFFF"/>
            <w:noWrap/>
            <w:vAlign w:val="center"/>
          </w:tcPr>
          <w:p w14:paraId="51B0A634" w14:textId="3A561F4A"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1.00, 1.00</w:t>
            </w:r>
          </w:p>
        </w:tc>
        <w:tc>
          <w:tcPr>
            <w:tcW w:w="260" w:type="pct"/>
            <w:tcBorders>
              <w:top w:val="nil"/>
              <w:left w:val="nil"/>
              <w:bottom w:val="single" w:sz="4" w:space="0" w:color="auto"/>
              <w:right w:val="nil"/>
            </w:tcBorders>
            <w:shd w:val="clear" w:color="000000" w:fill="FFFFFF"/>
            <w:noWrap/>
            <w:vAlign w:val="center"/>
          </w:tcPr>
          <w:p w14:paraId="00E4EC97" w14:textId="050765DB"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0.68</w:t>
            </w:r>
          </w:p>
        </w:tc>
        <w:tc>
          <w:tcPr>
            <w:tcW w:w="97" w:type="pct"/>
            <w:tcBorders>
              <w:top w:val="nil"/>
              <w:left w:val="nil"/>
              <w:bottom w:val="single" w:sz="4" w:space="0" w:color="auto"/>
              <w:right w:val="nil"/>
            </w:tcBorders>
            <w:shd w:val="clear" w:color="000000" w:fill="FFFFFF"/>
            <w:noWrap/>
            <w:vAlign w:val="center"/>
          </w:tcPr>
          <w:p w14:paraId="69550C35"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single" w:sz="4" w:space="0" w:color="auto"/>
              <w:right w:val="nil"/>
            </w:tcBorders>
            <w:shd w:val="clear" w:color="000000" w:fill="FFFFFF"/>
            <w:noWrap/>
            <w:vAlign w:val="center"/>
          </w:tcPr>
          <w:p w14:paraId="7EC245A9" w14:textId="61F0D049"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1</w:t>
            </w:r>
          </w:p>
        </w:tc>
        <w:tc>
          <w:tcPr>
            <w:tcW w:w="335" w:type="pct"/>
            <w:tcBorders>
              <w:top w:val="nil"/>
              <w:left w:val="nil"/>
              <w:bottom w:val="single" w:sz="4" w:space="0" w:color="auto"/>
              <w:right w:val="nil"/>
            </w:tcBorders>
            <w:shd w:val="clear" w:color="000000" w:fill="FFFFFF"/>
            <w:noWrap/>
            <w:vAlign w:val="center"/>
          </w:tcPr>
          <w:p w14:paraId="7DF76C16" w14:textId="5E607EEC"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1.00, 1.00</w:t>
            </w:r>
          </w:p>
        </w:tc>
        <w:tc>
          <w:tcPr>
            <w:tcW w:w="260" w:type="pct"/>
            <w:tcBorders>
              <w:top w:val="nil"/>
              <w:left w:val="nil"/>
              <w:bottom w:val="single" w:sz="4" w:space="0" w:color="auto"/>
              <w:right w:val="nil"/>
            </w:tcBorders>
            <w:shd w:val="clear" w:color="000000" w:fill="FFFFFF"/>
            <w:noWrap/>
            <w:vAlign w:val="center"/>
          </w:tcPr>
          <w:p w14:paraId="17FA8666" w14:textId="004897A9"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0.063</w:t>
            </w:r>
          </w:p>
        </w:tc>
        <w:tc>
          <w:tcPr>
            <w:tcW w:w="97" w:type="pct"/>
            <w:tcBorders>
              <w:top w:val="nil"/>
              <w:left w:val="nil"/>
              <w:bottom w:val="single" w:sz="4" w:space="0" w:color="auto"/>
              <w:right w:val="nil"/>
            </w:tcBorders>
            <w:shd w:val="clear" w:color="000000" w:fill="FFFFFF"/>
            <w:noWrap/>
            <w:vAlign w:val="center"/>
          </w:tcPr>
          <w:p w14:paraId="0102BB05"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single" w:sz="4" w:space="0" w:color="auto"/>
              <w:right w:val="nil"/>
            </w:tcBorders>
            <w:shd w:val="clear" w:color="000000" w:fill="FFFFFF"/>
            <w:noWrap/>
            <w:vAlign w:val="center"/>
          </w:tcPr>
          <w:p w14:paraId="60CD58A0" w14:textId="6B7E62B4"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w:t>
            </w:r>
          </w:p>
        </w:tc>
        <w:tc>
          <w:tcPr>
            <w:tcW w:w="335" w:type="pct"/>
            <w:tcBorders>
              <w:top w:val="nil"/>
              <w:left w:val="nil"/>
              <w:bottom w:val="single" w:sz="4" w:space="0" w:color="auto"/>
              <w:right w:val="nil"/>
            </w:tcBorders>
            <w:shd w:val="clear" w:color="000000" w:fill="FFFFFF"/>
            <w:noWrap/>
            <w:vAlign w:val="center"/>
          </w:tcPr>
          <w:p w14:paraId="40CDD99A" w14:textId="37A49D74"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1.00, 1.00</w:t>
            </w:r>
          </w:p>
        </w:tc>
        <w:tc>
          <w:tcPr>
            <w:tcW w:w="260" w:type="pct"/>
            <w:tcBorders>
              <w:top w:val="nil"/>
              <w:left w:val="nil"/>
              <w:bottom w:val="single" w:sz="4" w:space="0" w:color="auto"/>
              <w:right w:val="nil"/>
            </w:tcBorders>
            <w:shd w:val="clear" w:color="000000" w:fill="FFFFFF"/>
            <w:noWrap/>
            <w:vAlign w:val="center"/>
          </w:tcPr>
          <w:p w14:paraId="3421C854" w14:textId="4B26D93A"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0.015</w:t>
            </w:r>
          </w:p>
        </w:tc>
        <w:tc>
          <w:tcPr>
            <w:tcW w:w="97" w:type="pct"/>
            <w:tcBorders>
              <w:top w:val="nil"/>
              <w:left w:val="nil"/>
              <w:bottom w:val="single" w:sz="4" w:space="0" w:color="auto"/>
              <w:right w:val="nil"/>
            </w:tcBorders>
            <w:shd w:val="clear" w:color="000000" w:fill="FFFFFF"/>
            <w:noWrap/>
            <w:vAlign w:val="center"/>
          </w:tcPr>
          <w:p w14:paraId="0F0F2120"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single" w:sz="4" w:space="0" w:color="auto"/>
              <w:right w:val="nil"/>
            </w:tcBorders>
            <w:shd w:val="clear" w:color="000000" w:fill="FFFFFF"/>
            <w:noWrap/>
            <w:vAlign w:val="center"/>
          </w:tcPr>
          <w:p w14:paraId="52767D99" w14:textId="4FFAEECA"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w:t>
            </w:r>
          </w:p>
        </w:tc>
        <w:tc>
          <w:tcPr>
            <w:tcW w:w="335" w:type="pct"/>
            <w:tcBorders>
              <w:top w:val="nil"/>
              <w:left w:val="nil"/>
              <w:bottom w:val="single" w:sz="4" w:space="0" w:color="auto"/>
              <w:right w:val="nil"/>
            </w:tcBorders>
            <w:shd w:val="clear" w:color="000000" w:fill="FFFFFF"/>
            <w:noWrap/>
            <w:vAlign w:val="center"/>
          </w:tcPr>
          <w:p w14:paraId="26BD4088" w14:textId="02256596"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1.00, 1.00</w:t>
            </w:r>
          </w:p>
        </w:tc>
        <w:tc>
          <w:tcPr>
            <w:tcW w:w="260" w:type="pct"/>
            <w:tcBorders>
              <w:top w:val="nil"/>
              <w:left w:val="nil"/>
              <w:bottom w:val="single" w:sz="4" w:space="0" w:color="auto"/>
              <w:right w:val="nil"/>
            </w:tcBorders>
            <w:shd w:val="clear" w:color="000000" w:fill="FFFFFF"/>
            <w:noWrap/>
            <w:vAlign w:val="center"/>
          </w:tcPr>
          <w:p w14:paraId="4561751A" w14:textId="56DC5306"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b/>
                <w:bCs/>
              </w:rPr>
              <w:t>0.027</w:t>
            </w:r>
          </w:p>
        </w:tc>
        <w:tc>
          <w:tcPr>
            <w:tcW w:w="97" w:type="pct"/>
            <w:tcBorders>
              <w:top w:val="nil"/>
              <w:left w:val="nil"/>
              <w:bottom w:val="single" w:sz="4" w:space="0" w:color="auto"/>
              <w:right w:val="nil"/>
            </w:tcBorders>
            <w:shd w:val="clear" w:color="000000" w:fill="FFFFFF"/>
            <w:noWrap/>
            <w:vAlign w:val="center"/>
          </w:tcPr>
          <w:p w14:paraId="46D63C2A" w14:textId="77777777" w:rsidR="006B6EFA" w:rsidRPr="00E200A5" w:rsidRDefault="006B6EFA" w:rsidP="00C915C8">
            <w:pPr>
              <w:spacing w:after="0" w:line="240" w:lineRule="auto"/>
              <w:rPr>
                <w:rFonts w:ascii="Times New Roman" w:eastAsia="Times New Roman" w:hAnsi="Times New Roman" w:cs="Times New Roman"/>
                <w:b/>
                <w:bCs/>
                <w:color w:val="333333"/>
                <w:sz w:val="20"/>
                <w:szCs w:val="20"/>
                <w:lang w:eastAsia="en-GB"/>
              </w:rPr>
            </w:pPr>
            <w:r w:rsidRPr="00E200A5">
              <w:rPr>
                <w:rFonts w:ascii="Times New Roman" w:eastAsia="Times New Roman" w:hAnsi="Times New Roman" w:cs="Times New Roman"/>
                <w:b/>
                <w:bCs/>
                <w:color w:val="333333"/>
                <w:sz w:val="20"/>
                <w:szCs w:val="20"/>
                <w:lang w:eastAsia="en-GB"/>
              </w:rPr>
              <w:t> </w:t>
            </w:r>
          </w:p>
        </w:tc>
        <w:tc>
          <w:tcPr>
            <w:tcW w:w="184" w:type="pct"/>
            <w:tcBorders>
              <w:top w:val="nil"/>
              <w:left w:val="nil"/>
              <w:bottom w:val="single" w:sz="4" w:space="0" w:color="auto"/>
              <w:right w:val="nil"/>
            </w:tcBorders>
            <w:shd w:val="clear" w:color="000000" w:fill="FFFFFF"/>
            <w:noWrap/>
            <w:vAlign w:val="center"/>
          </w:tcPr>
          <w:p w14:paraId="23CEE94E" w14:textId="0461127E"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rPr>
              <w:t>1</w:t>
            </w:r>
          </w:p>
        </w:tc>
        <w:tc>
          <w:tcPr>
            <w:tcW w:w="335" w:type="pct"/>
            <w:tcBorders>
              <w:top w:val="nil"/>
              <w:left w:val="nil"/>
              <w:bottom w:val="single" w:sz="4" w:space="0" w:color="auto"/>
              <w:right w:val="nil"/>
            </w:tcBorders>
            <w:shd w:val="clear" w:color="000000" w:fill="FFFFFF"/>
            <w:noWrap/>
            <w:vAlign w:val="center"/>
          </w:tcPr>
          <w:p w14:paraId="53D92B34" w14:textId="2E0F0D59" w:rsidR="006B6EFA" w:rsidRPr="00E200A5" w:rsidRDefault="006B6EFA" w:rsidP="00C915C8">
            <w:pPr>
              <w:spacing w:after="0" w:line="240" w:lineRule="auto"/>
              <w:jc w:val="center"/>
              <w:rPr>
                <w:rFonts w:ascii="Times New Roman" w:eastAsia="Times New Roman" w:hAnsi="Times New Roman" w:cs="Times New Roman"/>
                <w:color w:val="333333"/>
                <w:sz w:val="20"/>
                <w:szCs w:val="20"/>
                <w:lang w:eastAsia="en-GB"/>
              </w:rPr>
            </w:pPr>
            <w:r w:rsidRPr="00E200A5">
              <w:rPr>
                <w:rFonts w:ascii="Times New Roman" w:hAnsi="Times New Roman" w:cs="Times New Roman"/>
              </w:rPr>
              <w:t>1.00, 1.00</w:t>
            </w:r>
          </w:p>
        </w:tc>
        <w:tc>
          <w:tcPr>
            <w:tcW w:w="260" w:type="pct"/>
            <w:tcBorders>
              <w:top w:val="nil"/>
              <w:left w:val="nil"/>
              <w:bottom w:val="single" w:sz="4" w:space="0" w:color="auto"/>
              <w:right w:val="nil"/>
            </w:tcBorders>
            <w:shd w:val="clear" w:color="000000" w:fill="FFFFFF"/>
            <w:noWrap/>
            <w:vAlign w:val="center"/>
          </w:tcPr>
          <w:p w14:paraId="4D5B49E0" w14:textId="4B5B659F" w:rsidR="006B6EFA" w:rsidRPr="00E200A5" w:rsidRDefault="006B6EFA" w:rsidP="00C915C8">
            <w:pPr>
              <w:spacing w:after="0" w:line="240" w:lineRule="auto"/>
              <w:jc w:val="center"/>
              <w:rPr>
                <w:rFonts w:ascii="Times New Roman" w:eastAsia="Times New Roman" w:hAnsi="Times New Roman" w:cs="Times New Roman"/>
                <w:b/>
                <w:bCs/>
                <w:color w:val="333333"/>
                <w:sz w:val="20"/>
                <w:szCs w:val="20"/>
                <w:lang w:eastAsia="en-GB"/>
              </w:rPr>
            </w:pPr>
            <w:r w:rsidRPr="00E200A5">
              <w:rPr>
                <w:rFonts w:ascii="Times New Roman" w:hAnsi="Times New Roman" w:cs="Times New Roman"/>
              </w:rPr>
              <w:t>0.12</w:t>
            </w:r>
          </w:p>
        </w:tc>
      </w:tr>
    </w:tbl>
    <w:p w14:paraId="7482DF8E" w14:textId="1D8BCA11" w:rsidR="00A72D39" w:rsidRPr="00E200A5" w:rsidRDefault="004875CC" w:rsidP="00C915C8">
      <w:pPr>
        <w:spacing w:after="0" w:line="240" w:lineRule="auto"/>
        <w:rPr>
          <w:rFonts w:ascii="Times New Roman" w:eastAsia="Times New Roman" w:hAnsi="Times New Roman" w:cs="Times New Roman"/>
          <w:sz w:val="24"/>
          <w:szCs w:val="24"/>
          <w:lang w:eastAsia="en-GB"/>
        </w:rPr>
        <w:sectPr w:rsidR="00A72D39" w:rsidRPr="00E200A5" w:rsidSect="00C915C8">
          <w:pgSz w:w="16838" w:h="11906" w:orient="landscape"/>
          <w:pgMar w:top="720" w:right="720" w:bottom="720" w:left="720" w:header="708" w:footer="708" w:gutter="0"/>
          <w:cols w:space="708"/>
          <w:docGrid w:linePitch="360"/>
        </w:sectPr>
      </w:pPr>
      <w:r w:rsidRPr="00E200A5">
        <w:rPr>
          <w:rFonts w:ascii="Times New Roman" w:eastAsia="Times New Roman" w:hAnsi="Times New Roman" w:cs="Times New Roman"/>
          <w:color w:val="000000"/>
          <w:sz w:val="24"/>
          <w:szCs w:val="24"/>
          <w:lang w:eastAsia="en-GB"/>
        </w:rPr>
        <w:t xml:space="preserve">Note: 1 = Vaccine acceptance, 2 = I am worried about unknown future effects of the vaccine, 3= I am worried about side effects, 4= Vaccines are limited and other people need it more than me, 5 = I don't trust vaccines, 6 = The chances of me becoming seriously unwell from the coronavirus are low. </w:t>
      </w:r>
      <w:r w:rsidR="000816E3" w:rsidRPr="00E200A5">
        <w:rPr>
          <w:rFonts w:ascii="Times New Roman" w:eastAsia="Times New Roman" w:hAnsi="Times New Roman" w:cs="Times New Roman"/>
          <w:sz w:val="24"/>
          <w:szCs w:val="24"/>
          <w:lang w:eastAsia="en-GB"/>
        </w:rPr>
        <w:br/>
      </w:r>
    </w:p>
    <w:p w14:paraId="4310E7EF" w14:textId="0BC18559" w:rsidR="000816E3" w:rsidRPr="00E200A5" w:rsidRDefault="000816E3" w:rsidP="00C915C8">
      <w:pPr>
        <w:spacing w:before="240" w:after="0" w:line="480" w:lineRule="auto"/>
        <w:jc w:val="center"/>
        <w:rPr>
          <w:rFonts w:ascii="Times New Roman" w:eastAsia="Times New Roman" w:hAnsi="Times New Roman" w:cs="Times New Roman"/>
          <w:b/>
          <w:bCs/>
          <w:color w:val="000000"/>
          <w:sz w:val="24"/>
          <w:szCs w:val="24"/>
          <w:lang w:eastAsia="en-GB"/>
        </w:rPr>
      </w:pPr>
      <w:r w:rsidRPr="00E200A5">
        <w:rPr>
          <w:rFonts w:ascii="Times New Roman" w:eastAsia="Times New Roman" w:hAnsi="Times New Roman" w:cs="Times New Roman"/>
          <w:b/>
          <w:bCs/>
          <w:color w:val="000000"/>
          <w:sz w:val="24"/>
          <w:szCs w:val="24"/>
          <w:lang w:eastAsia="en-GB"/>
        </w:rPr>
        <w:lastRenderedPageBreak/>
        <w:t>Discussion</w:t>
      </w:r>
    </w:p>
    <w:p w14:paraId="1B2DF6F6" w14:textId="6BCD71D3" w:rsidR="00E20AAF" w:rsidRPr="00E200A5" w:rsidRDefault="00FA5715" w:rsidP="00C915C8">
      <w:pPr>
        <w:spacing w:before="240" w:after="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The current study sought to address several outstanding questions concerning </w:t>
      </w:r>
      <w:r w:rsidR="00A9114D" w:rsidRPr="00E200A5">
        <w:rPr>
          <w:rFonts w:ascii="Times New Roman" w:eastAsia="Times New Roman" w:hAnsi="Times New Roman" w:cs="Times New Roman"/>
          <w:color w:val="000000"/>
          <w:sz w:val="24"/>
          <w:szCs w:val="24"/>
          <w:lang w:eastAsia="en-GB"/>
        </w:rPr>
        <w:t xml:space="preserve">the </w:t>
      </w:r>
      <w:r w:rsidR="006C4B61" w:rsidRPr="00E200A5">
        <w:rPr>
          <w:rFonts w:ascii="Times New Roman" w:eastAsia="Times New Roman" w:hAnsi="Times New Roman" w:cs="Times New Roman"/>
          <w:color w:val="000000"/>
          <w:sz w:val="24"/>
          <w:szCs w:val="24"/>
          <w:lang w:eastAsia="en-GB"/>
        </w:rPr>
        <w:t xml:space="preserve">psychological </w:t>
      </w:r>
      <w:r w:rsidR="00A9114D" w:rsidRPr="00E200A5">
        <w:rPr>
          <w:rFonts w:ascii="Times New Roman" w:eastAsia="Times New Roman" w:hAnsi="Times New Roman" w:cs="Times New Roman"/>
          <w:color w:val="000000"/>
          <w:sz w:val="24"/>
          <w:szCs w:val="24"/>
          <w:lang w:eastAsia="en-GB"/>
        </w:rPr>
        <w:t xml:space="preserve">bases </w:t>
      </w:r>
      <w:r w:rsidR="006C4B61" w:rsidRPr="00E200A5">
        <w:rPr>
          <w:rFonts w:ascii="Times New Roman" w:eastAsia="Times New Roman" w:hAnsi="Times New Roman" w:cs="Times New Roman"/>
          <w:color w:val="000000"/>
          <w:sz w:val="24"/>
          <w:szCs w:val="24"/>
          <w:lang w:eastAsia="en-GB"/>
        </w:rPr>
        <w:t xml:space="preserve">of </w:t>
      </w:r>
      <w:r w:rsidR="00852603" w:rsidRPr="00E200A5">
        <w:rPr>
          <w:rFonts w:ascii="Times New Roman" w:eastAsia="Times New Roman" w:hAnsi="Times New Roman" w:cs="Times New Roman"/>
          <w:color w:val="000000"/>
          <w:sz w:val="24"/>
          <w:szCs w:val="24"/>
          <w:lang w:eastAsia="en-GB"/>
        </w:rPr>
        <w:t>vaccination hesitancy</w:t>
      </w:r>
      <w:r w:rsidRPr="00E200A5">
        <w:rPr>
          <w:rFonts w:ascii="Times New Roman" w:eastAsia="Times New Roman" w:hAnsi="Times New Roman" w:cs="Times New Roman"/>
          <w:color w:val="000000"/>
          <w:sz w:val="24"/>
          <w:szCs w:val="24"/>
          <w:lang w:eastAsia="en-GB"/>
        </w:rPr>
        <w:t xml:space="preserve">: specifically, </w:t>
      </w:r>
      <w:r w:rsidR="00A9114D" w:rsidRPr="00E200A5">
        <w:rPr>
          <w:rFonts w:ascii="Times New Roman" w:eastAsia="Times New Roman" w:hAnsi="Times New Roman" w:cs="Times New Roman"/>
          <w:color w:val="000000"/>
          <w:sz w:val="24"/>
          <w:szCs w:val="24"/>
          <w:lang w:eastAsia="en-GB"/>
        </w:rPr>
        <w:t xml:space="preserve">the nature of any </w:t>
      </w:r>
      <w:r w:rsidR="006C4B61" w:rsidRPr="00E200A5">
        <w:rPr>
          <w:rFonts w:ascii="Times New Roman" w:eastAsia="Times New Roman" w:hAnsi="Times New Roman" w:cs="Times New Roman"/>
          <w:color w:val="000000"/>
          <w:sz w:val="24"/>
          <w:szCs w:val="24"/>
          <w:lang w:eastAsia="en-GB"/>
        </w:rPr>
        <w:t xml:space="preserve">links </w:t>
      </w:r>
      <w:r w:rsidR="00A9114D" w:rsidRPr="00E200A5">
        <w:rPr>
          <w:rFonts w:ascii="Times New Roman" w:eastAsia="Times New Roman" w:hAnsi="Times New Roman" w:cs="Times New Roman"/>
          <w:color w:val="000000"/>
          <w:sz w:val="24"/>
          <w:szCs w:val="24"/>
          <w:lang w:eastAsia="en-GB"/>
        </w:rPr>
        <w:t>to</w:t>
      </w:r>
      <w:r w:rsidRPr="00E200A5">
        <w:rPr>
          <w:rFonts w:ascii="Times New Roman" w:eastAsia="Times New Roman" w:hAnsi="Times New Roman" w:cs="Times New Roman"/>
          <w:color w:val="000000"/>
          <w:sz w:val="24"/>
          <w:szCs w:val="24"/>
          <w:lang w:eastAsia="en-GB"/>
        </w:rPr>
        <w:t xml:space="preserve"> general </w:t>
      </w:r>
      <w:r w:rsidR="00786CAB" w:rsidRPr="00E200A5">
        <w:rPr>
          <w:rFonts w:ascii="Times New Roman" w:eastAsia="Times New Roman" w:hAnsi="Times New Roman" w:cs="Times New Roman"/>
          <w:color w:val="000000"/>
          <w:sz w:val="24"/>
          <w:szCs w:val="24"/>
          <w:lang w:eastAsia="en-GB"/>
        </w:rPr>
        <w:t>intelligence</w:t>
      </w:r>
      <w:r w:rsidR="000B13B7" w:rsidRPr="00E200A5">
        <w:rPr>
          <w:rFonts w:ascii="Times New Roman" w:eastAsia="Times New Roman" w:hAnsi="Times New Roman" w:cs="Times New Roman"/>
          <w:color w:val="000000"/>
          <w:sz w:val="24"/>
          <w:szCs w:val="24"/>
          <w:lang w:eastAsia="en-GB"/>
        </w:rPr>
        <w:t xml:space="preserve"> and Big Five personality traits</w:t>
      </w:r>
      <w:r w:rsidRPr="00E200A5">
        <w:rPr>
          <w:rFonts w:ascii="Times New Roman" w:eastAsia="Times New Roman" w:hAnsi="Times New Roman" w:cs="Times New Roman"/>
          <w:color w:val="000000"/>
          <w:sz w:val="24"/>
          <w:szCs w:val="24"/>
          <w:lang w:eastAsia="en-GB"/>
        </w:rPr>
        <w:t xml:space="preserve">; </w:t>
      </w:r>
      <w:r w:rsidR="00356780" w:rsidRPr="00E200A5">
        <w:rPr>
          <w:rFonts w:ascii="Times New Roman" w:eastAsia="Times New Roman" w:hAnsi="Times New Roman" w:cs="Times New Roman"/>
          <w:color w:val="000000"/>
          <w:sz w:val="24"/>
          <w:szCs w:val="24"/>
          <w:lang w:eastAsia="en-GB"/>
        </w:rPr>
        <w:t xml:space="preserve">whether predictors of vaccination hesitancy in the context of COVID-19 are </w:t>
      </w:r>
      <w:r w:rsidR="00D33094" w:rsidRPr="00E200A5">
        <w:rPr>
          <w:rFonts w:ascii="Times New Roman" w:eastAsia="Times New Roman" w:hAnsi="Times New Roman" w:cs="Times New Roman"/>
          <w:color w:val="000000"/>
          <w:sz w:val="24"/>
          <w:szCs w:val="24"/>
          <w:lang w:eastAsia="en-GB"/>
        </w:rPr>
        <w:t>also seen for</w:t>
      </w:r>
      <w:r w:rsidR="00356780" w:rsidRPr="00E200A5">
        <w:rPr>
          <w:rFonts w:ascii="Times New Roman" w:eastAsia="Times New Roman" w:hAnsi="Times New Roman" w:cs="Times New Roman"/>
          <w:color w:val="000000"/>
          <w:sz w:val="24"/>
          <w:szCs w:val="24"/>
          <w:lang w:eastAsia="en-GB"/>
        </w:rPr>
        <w:t xml:space="preserve"> vaccination hesitancy in the context of seasonal flu</w:t>
      </w:r>
      <w:r w:rsidRPr="00E200A5">
        <w:rPr>
          <w:rFonts w:ascii="Times New Roman" w:eastAsia="Times New Roman" w:hAnsi="Times New Roman" w:cs="Times New Roman"/>
          <w:color w:val="000000"/>
          <w:sz w:val="24"/>
          <w:szCs w:val="24"/>
          <w:lang w:eastAsia="en-GB"/>
        </w:rPr>
        <w:t xml:space="preserve">; and </w:t>
      </w:r>
      <w:r w:rsidR="00356780" w:rsidRPr="00E200A5">
        <w:rPr>
          <w:rFonts w:ascii="Times New Roman" w:eastAsia="Times New Roman" w:hAnsi="Times New Roman" w:cs="Times New Roman"/>
          <w:color w:val="000000"/>
          <w:sz w:val="24"/>
          <w:szCs w:val="24"/>
          <w:lang w:eastAsia="en-GB"/>
        </w:rPr>
        <w:t xml:space="preserve">whether predictors of </w:t>
      </w:r>
      <w:r w:rsidR="00314005" w:rsidRPr="00E200A5">
        <w:rPr>
          <w:rFonts w:ascii="Times New Roman" w:eastAsia="Times New Roman" w:hAnsi="Times New Roman" w:cs="Times New Roman"/>
          <w:color w:val="000000"/>
          <w:sz w:val="24"/>
          <w:szCs w:val="24"/>
          <w:lang w:eastAsia="en-GB"/>
        </w:rPr>
        <w:t xml:space="preserve">COVID-19 </w:t>
      </w:r>
      <w:r w:rsidR="00356780" w:rsidRPr="00E200A5">
        <w:rPr>
          <w:rFonts w:ascii="Times New Roman" w:eastAsia="Times New Roman" w:hAnsi="Times New Roman" w:cs="Times New Roman"/>
          <w:color w:val="000000"/>
          <w:sz w:val="24"/>
          <w:szCs w:val="24"/>
          <w:lang w:eastAsia="en-GB"/>
        </w:rPr>
        <w:t>vaccination hesitancy differ across the (self-reported) motives for being hesitant</w:t>
      </w:r>
      <w:r w:rsidR="008E3718" w:rsidRPr="00E200A5">
        <w:rPr>
          <w:rFonts w:ascii="Times New Roman" w:eastAsia="Times New Roman" w:hAnsi="Times New Roman" w:cs="Times New Roman"/>
          <w:color w:val="000000"/>
          <w:sz w:val="24"/>
          <w:szCs w:val="24"/>
          <w:lang w:eastAsia="en-GB"/>
        </w:rPr>
        <w:t>.</w:t>
      </w:r>
    </w:p>
    <w:p w14:paraId="07431434" w14:textId="0C585C6E" w:rsidR="004C052C" w:rsidRPr="00E200A5" w:rsidRDefault="002A0935" w:rsidP="00C915C8">
      <w:pPr>
        <w:spacing w:before="240" w:after="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Lower i</w:t>
      </w:r>
      <w:r w:rsidR="00E20AAF" w:rsidRPr="00E200A5">
        <w:rPr>
          <w:rFonts w:ascii="Times New Roman" w:eastAsia="Times New Roman" w:hAnsi="Times New Roman" w:cs="Times New Roman"/>
          <w:color w:val="000000"/>
          <w:sz w:val="24"/>
          <w:szCs w:val="24"/>
          <w:lang w:eastAsia="en-GB"/>
        </w:rPr>
        <w:t xml:space="preserve">ntelligence </w:t>
      </w:r>
      <w:r w:rsidR="00193F71" w:rsidRPr="00E200A5">
        <w:rPr>
          <w:rFonts w:ascii="Times New Roman" w:eastAsia="Times New Roman" w:hAnsi="Times New Roman" w:cs="Times New Roman"/>
          <w:color w:val="000000"/>
          <w:sz w:val="24"/>
          <w:szCs w:val="24"/>
          <w:lang w:eastAsia="en-GB"/>
        </w:rPr>
        <w:t xml:space="preserve">had a small </w:t>
      </w:r>
      <w:r w:rsidR="00B517C4" w:rsidRPr="00E200A5">
        <w:rPr>
          <w:rFonts w:ascii="Times New Roman" w:eastAsia="Times New Roman" w:hAnsi="Times New Roman" w:cs="Times New Roman"/>
          <w:color w:val="000000"/>
          <w:sz w:val="24"/>
          <w:szCs w:val="24"/>
          <w:lang w:eastAsia="en-GB"/>
        </w:rPr>
        <w:t xml:space="preserve">but consistent </w:t>
      </w:r>
      <w:r w:rsidR="00193F71" w:rsidRPr="00E200A5">
        <w:rPr>
          <w:rFonts w:ascii="Times New Roman" w:eastAsia="Times New Roman" w:hAnsi="Times New Roman" w:cs="Times New Roman"/>
          <w:color w:val="000000"/>
          <w:sz w:val="24"/>
          <w:szCs w:val="24"/>
          <w:lang w:eastAsia="en-GB"/>
        </w:rPr>
        <w:t xml:space="preserve">association </w:t>
      </w:r>
      <w:r w:rsidR="00AF6971" w:rsidRPr="00E200A5">
        <w:rPr>
          <w:rFonts w:ascii="Times New Roman" w:eastAsia="Times New Roman" w:hAnsi="Times New Roman" w:cs="Times New Roman"/>
          <w:color w:val="000000"/>
          <w:sz w:val="24"/>
          <w:szCs w:val="24"/>
          <w:lang w:eastAsia="en-GB"/>
        </w:rPr>
        <w:t>with</w:t>
      </w:r>
      <w:r w:rsidRPr="00E200A5">
        <w:rPr>
          <w:rFonts w:ascii="Times New Roman" w:eastAsia="Times New Roman" w:hAnsi="Times New Roman" w:cs="Times New Roman"/>
          <w:color w:val="000000"/>
          <w:sz w:val="24"/>
          <w:szCs w:val="24"/>
          <w:lang w:eastAsia="en-GB"/>
        </w:rPr>
        <w:t xml:space="preserve"> greater</w:t>
      </w:r>
      <w:r w:rsidR="00AF6971" w:rsidRPr="00E200A5">
        <w:rPr>
          <w:rFonts w:ascii="Times New Roman" w:eastAsia="Times New Roman" w:hAnsi="Times New Roman" w:cs="Times New Roman"/>
          <w:color w:val="000000"/>
          <w:sz w:val="24"/>
          <w:szCs w:val="24"/>
          <w:lang w:eastAsia="en-GB"/>
        </w:rPr>
        <w:t xml:space="preserve"> vaccination hesitancy </w:t>
      </w:r>
      <w:r w:rsidR="00E20AAF" w:rsidRPr="00E200A5">
        <w:rPr>
          <w:rFonts w:ascii="Times New Roman" w:eastAsia="Times New Roman" w:hAnsi="Times New Roman" w:cs="Times New Roman"/>
          <w:color w:val="000000"/>
          <w:sz w:val="24"/>
          <w:szCs w:val="24"/>
          <w:lang w:eastAsia="en-GB"/>
        </w:rPr>
        <w:t>across</w:t>
      </w:r>
      <w:r w:rsidR="00AF6971" w:rsidRPr="00E200A5">
        <w:rPr>
          <w:rFonts w:ascii="Times New Roman" w:eastAsia="Times New Roman" w:hAnsi="Times New Roman" w:cs="Times New Roman"/>
          <w:color w:val="000000"/>
          <w:sz w:val="24"/>
          <w:szCs w:val="24"/>
          <w:lang w:eastAsia="en-GB"/>
        </w:rPr>
        <w:t xml:space="preserve"> both samples, and both types of vaccine. </w:t>
      </w:r>
      <w:r w:rsidR="004C052C" w:rsidRPr="00E200A5">
        <w:rPr>
          <w:rFonts w:ascii="Times New Roman" w:eastAsia="Times New Roman" w:hAnsi="Times New Roman" w:cs="Times New Roman"/>
          <w:color w:val="000000"/>
          <w:sz w:val="24"/>
          <w:szCs w:val="24"/>
          <w:lang w:eastAsia="en-GB"/>
        </w:rPr>
        <w:t xml:space="preserve">This finding is </w:t>
      </w:r>
      <w:r w:rsidR="00B0330C" w:rsidRPr="00E200A5">
        <w:rPr>
          <w:rFonts w:ascii="Times New Roman" w:eastAsia="Times New Roman" w:hAnsi="Times New Roman" w:cs="Times New Roman"/>
          <w:color w:val="000000"/>
          <w:sz w:val="24"/>
          <w:szCs w:val="24"/>
          <w:lang w:eastAsia="en-GB"/>
        </w:rPr>
        <w:t>in line</w:t>
      </w:r>
      <w:r w:rsidR="004C052C" w:rsidRPr="00E200A5">
        <w:rPr>
          <w:rFonts w:ascii="Times New Roman" w:eastAsia="Times New Roman" w:hAnsi="Times New Roman" w:cs="Times New Roman"/>
          <w:color w:val="000000"/>
          <w:sz w:val="24"/>
          <w:szCs w:val="24"/>
          <w:lang w:eastAsia="en-GB"/>
        </w:rPr>
        <w:t xml:space="preserve"> with </w:t>
      </w:r>
      <w:r w:rsidR="00B40C33" w:rsidRPr="00E200A5">
        <w:rPr>
          <w:rFonts w:ascii="Times New Roman" w:eastAsia="Times New Roman" w:hAnsi="Times New Roman" w:cs="Times New Roman"/>
          <w:color w:val="000000"/>
          <w:sz w:val="24"/>
          <w:szCs w:val="24"/>
          <w:lang w:eastAsia="en-GB"/>
        </w:rPr>
        <w:t>findings</w:t>
      </w:r>
      <w:r w:rsidR="004C052C" w:rsidRPr="00E200A5">
        <w:rPr>
          <w:rFonts w:ascii="Times New Roman" w:eastAsia="Times New Roman" w:hAnsi="Times New Roman" w:cs="Times New Roman"/>
          <w:color w:val="000000"/>
          <w:sz w:val="24"/>
          <w:szCs w:val="24"/>
          <w:lang w:eastAsia="en-GB"/>
        </w:rPr>
        <w:t xml:space="preserve"> that those with a more intuitive style of </w:t>
      </w:r>
      <w:r w:rsidR="00BD6462" w:rsidRPr="00E200A5">
        <w:rPr>
          <w:rFonts w:ascii="Times New Roman" w:eastAsia="Times New Roman" w:hAnsi="Times New Roman" w:cs="Times New Roman"/>
          <w:color w:val="000000"/>
          <w:sz w:val="24"/>
          <w:szCs w:val="24"/>
          <w:lang w:eastAsia="en-GB"/>
        </w:rPr>
        <w:t>cognition</w:t>
      </w:r>
      <w:r w:rsidR="004C052C" w:rsidRPr="00E200A5">
        <w:rPr>
          <w:rFonts w:ascii="Times New Roman" w:eastAsia="Times New Roman" w:hAnsi="Times New Roman" w:cs="Times New Roman"/>
          <w:color w:val="000000"/>
          <w:sz w:val="24"/>
          <w:szCs w:val="24"/>
          <w:lang w:eastAsia="en-GB"/>
        </w:rPr>
        <w:t xml:space="preserve"> were less likely to vaccinate, those with a more analytical style of </w:t>
      </w:r>
      <w:r w:rsidR="00BD6462" w:rsidRPr="00E200A5">
        <w:rPr>
          <w:rFonts w:ascii="Times New Roman" w:eastAsia="Times New Roman" w:hAnsi="Times New Roman" w:cs="Times New Roman"/>
          <w:color w:val="000000"/>
          <w:sz w:val="24"/>
          <w:szCs w:val="24"/>
          <w:lang w:eastAsia="en-GB"/>
        </w:rPr>
        <w:t>cognition</w:t>
      </w:r>
      <w:r w:rsidR="004C052C" w:rsidRPr="00E200A5">
        <w:rPr>
          <w:rFonts w:ascii="Times New Roman" w:eastAsia="Times New Roman" w:hAnsi="Times New Roman" w:cs="Times New Roman"/>
          <w:color w:val="000000"/>
          <w:sz w:val="24"/>
          <w:szCs w:val="24"/>
          <w:lang w:eastAsia="en-GB"/>
        </w:rPr>
        <w:t xml:space="preserve"> were more likely to vaccinate </w:t>
      </w:r>
      <w:r w:rsidR="004C052C"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{"citationID":"RG35bZ4W","properties":{"formattedCitation":"(Martinelli &amp; Veltri, 2021)","plainCitation":"(Martinelli &amp; Veltri, 2021)","noteIndex":0},"citationItems":[{"id":3686,"uris":["http://zotero.org/users/5523892/items/VNJXHH3W"],"itemData":{"id":3686,"type":"article-journal","abstract":"Objective: We bridge this gap by adopting a dual-process framework of cognition and investigate how thinking styles have a direct association with vaccine hesitancy and an indirect one through perceptions of risk.\nMethods: We use data from original surveys carried out between September and November 2019 on a sample of the Italian population, participating in an online panel run by a major Italian survey company. We use Karlson, Holm, and Breen (KHB) decomposition to compare coefficients of nested-nonlinear models, separate the direct and indirect association of cognitive processes with vaccine hesitancy, and disentangle the contribution of each measure of risk perception.\nResults: Net of individual socio-demographic characteristics, intuitive thinking is positively associated with the likelihood of being vaccine hesitant, and this direct association is as important as the indirect one through risk perceptions. Affective risk perceptions account for over half of the indirect association, underlining the centrality of affective versus probabilistic approaches to risk perception.\nConclusion: This study contributes to the existing literature by highlighting the importance of including cognitive characteristics in vaccine hesitancy research, and empirically showing individuals’ qualitatively complex per­ ceptions of risks. Taking into account individuals’ preferred cognitive style and affective concerns might be important in developing better tailored communication strategies to contain vaccine hesitancy.","container-title":"Social Science &amp; Medicine","DOI":"10.1016/j.socscimed.2021.114403","ISSN":"02779536","journalAbbreviation":"Social Science &amp; Medicine","language":"en","page":"114403","source":"DOI.org (Crossref)","title":"Do cognitive styles affect vaccine hesitancy? A dual-process cognitive framework for vaccine hesitancy and the role of risk perceptions","title-short":"Do cognitive styles affect vaccine hesitancy?","volume":"289","author":[{"family":"Martinelli","given":"Mauro"},{"family":"Veltri","given":"Giuseppe Alessandro"}],"issued":{"date-parts":[["2021",11]]},"citation-key":"martinelliCognitiveStylesAffect2021"}}],"schema":"https://github.com/citation-style-language/schema/raw/master/csl-citation.json"} </w:instrText>
      </w:r>
      <w:r w:rsidR="004C052C" w:rsidRPr="00E200A5">
        <w:rPr>
          <w:rFonts w:ascii="Times New Roman" w:eastAsia="Times New Roman" w:hAnsi="Times New Roman" w:cs="Times New Roman"/>
          <w:color w:val="000000"/>
          <w:sz w:val="24"/>
          <w:szCs w:val="24"/>
          <w:lang w:eastAsia="en-GB"/>
        </w:rPr>
        <w:fldChar w:fldCharType="separate"/>
      </w:r>
      <w:r w:rsidR="004C052C" w:rsidRPr="00E200A5">
        <w:rPr>
          <w:rFonts w:ascii="Times New Roman" w:hAnsi="Times New Roman" w:cs="Times New Roman"/>
          <w:sz w:val="24"/>
        </w:rPr>
        <w:t>(Martinelli &amp; Veltri, 2021)</w:t>
      </w:r>
      <w:r w:rsidR="004C052C" w:rsidRPr="00E200A5">
        <w:rPr>
          <w:rFonts w:ascii="Times New Roman" w:eastAsia="Times New Roman" w:hAnsi="Times New Roman" w:cs="Times New Roman"/>
          <w:color w:val="000000"/>
          <w:sz w:val="24"/>
          <w:szCs w:val="24"/>
          <w:lang w:eastAsia="en-GB"/>
        </w:rPr>
        <w:fldChar w:fldCharType="end"/>
      </w:r>
      <w:r w:rsidR="008C1999" w:rsidRPr="00E200A5">
        <w:rPr>
          <w:rFonts w:ascii="Times New Roman" w:eastAsia="Times New Roman" w:hAnsi="Times New Roman" w:cs="Times New Roman"/>
          <w:color w:val="000000"/>
          <w:sz w:val="24"/>
          <w:szCs w:val="24"/>
          <w:lang w:eastAsia="en-GB"/>
        </w:rPr>
        <w:t xml:space="preserve">, and those with lower cognitive </w:t>
      </w:r>
      <w:r w:rsidR="00D97021" w:rsidRPr="00E200A5">
        <w:rPr>
          <w:rFonts w:ascii="Times New Roman" w:eastAsia="Times New Roman" w:hAnsi="Times New Roman" w:cs="Times New Roman"/>
          <w:color w:val="000000"/>
          <w:sz w:val="24"/>
          <w:szCs w:val="24"/>
          <w:lang w:eastAsia="en-GB"/>
        </w:rPr>
        <w:t>sophistication</w:t>
      </w:r>
      <w:r w:rsidR="008C1999" w:rsidRPr="00E200A5">
        <w:rPr>
          <w:rFonts w:ascii="Times New Roman" w:eastAsia="Times New Roman" w:hAnsi="Times New Roman" w:cs="Times New Roman"/>
          <w:color w:val="000000"/>
          <w:sz w:val="24"/>
          <w:szCs w:val="24"/>
          <w:lang w:eastAsia="en-GB"/>
        </w:rPr>
        <w:t xml:space="preserve"> scores </w:t>
      </w:r>
      <w:r w:rsidR="00F97C30" w:rsidRPr="00E200A5">
        <w:rPr>
          <w:rFonts w:ascii="Times New Roman" w:eastAsia="Times New Roman" w:hAnsi="Times New Roman" w:cs="Times New Roman"/>
          <w:color w:val="000000"/>
          <w:sz w:val="24"/>
          <w:szCs w:val="24"/>
          <w:lang w:eastAsia="en-GB"/>
        </w:rPr>
        <w:t>were</w:t>
      </w:r>
      <w:r w:rsidR="008C1999" w:rsidRPr="00E200A5">
        <w:rPr>
          <w:rFonts w:ascii="Times New Roman" w:eastAsia="Times New Roman" w:hAnsi="Times New Roman" w:cs="Times New Roman"/>
          <w:color w:val="000000"/>
          <w:sz w:val="24"/>
          <w:szCs w:val="24"/>
          <w:lang w:eastAsia="en-GB"/>
        </w:rPr>
        <w:t xml:space="preserve"> more susceptible to vaccine </w:t>
      </w:r>
      <w:r w:rsidR="00216831" w:rsidRPr="00E200A5">
        <w:rPr>
          <w:rFonts w:ascii="Times New Roman" w:eastAsia="Times New Roman" w:hAnsi="Times New Roman" w:cs="Times New Roman"/>
          <w:color w:val="000000"/>
          <w:sz w:val="24"/>
          <w:szCs w:val="24"/>
          <w:lang w:eastAsia="en-GB"/>
        </w:rPr>
        <w:t>misperceptions</w:t>
      </w:r>
      <w:r w:rsidR="008C1999" w:rsidRPr="00E200A5">
        <w:rPr>
          <w:rFonts w:ascii="Times New Roman" w:eastAsia="Times New Roman" w:hAnsi="Times New Roman" w:cs="Times New Roman"/>
          <w:color w:val="000000"/>
          <w:sz w:val="24"/>
          <w:szCs w:val="24"/>
          <w:lang w:eastAsia="en-GB"/>
        </w:rPr>
        <w:t xml:space="preserve"> </w:t>
      </w:r>
      <w:r w:rsidR="008C1999"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{"citationID":"MeoSnMfb","properties":{"formattedCitation":"(Pennycook et al., 2020)","plainCitation":"(Pennycook et al., 2020)","noteIndex":0},"citationItems":[{"id":197,"uris":["http://zotero.org/users/5523892/items/8XUVQPB9"],"itemData":{"id":197,"type":"report","abstract":"The COVID-19 pandemic presents an unprecedented challenge to humanity. Yet there seems to be substantial variation across individuals in knowledge and concern about COVID-19, as well as in the willingness to change behaviors in the face of the pandemic. Here, we investigated the roles of political ideology and cognitive sophistication in explaining these differences across the U.S.A. (N = 689), the U.K. (N = 642), and Canada (N = 644) using preregistered surveys conducted in late March, 2020. We found evidence that political polarization around COVID-19 risk perceptions, behavior change intentions, and misperceptions was greater in the U.S. than in the U.K.. However, Canada and the U.S. did not strongly differ in their level of polarization. Furthermore, in all three countries, cognitive sophistication (indexed by analytic thinking, numeracy, basic science knowledge, and bullshit skepticism) was a negative predictor of COVID-19 misperceptions – and in fact was a stronger predictor of misperceptions than political ideology (despite being unrelated to risk perceptions or behavior change intentions). Finally, we found no evidence that cognitive sophistication was associated with increased polarization for any of our COVID-19 measures. Thus, although there is some evidence for political polarization of COVID-19 in the U.S. and Canada (but not the U.K.), accurate beliefs about COVID-19 (albeit not intentions to act) are broadly associated with the quality of one’s reasoning skill regardless of political ideology or background polarization.","genre":"preprint","language":"en","source":"DOI.org (Crossref)","title":"Predictors of attitudes and misperceptions about covid-19 in canada, the u.k., and the u.s.a.","URL":"https://osf.io/zhjkp","author":[{"family":"Pennycook","given":"Gordon"},{"family":"McPhetres","given":"Jonathon"},{"family":"Bago","given":"Bence"},{"family":"Rand","given":"David Gertler"}],"accessed":{"date-parts":[["2020",5,19]]},"issued":{"date-parts":[["2020",4,14]]},"citation-key":"pennycookPredictorsAttitudesMisperceptions2020"}}],"schema":"https://github.com/citation-style-language/schema/raw/master/csl-citation.json"} </w:instrText>
      </w:r>
      <w:r w:rsidR="008C1999" w:rsidRPr="00E200A5">
        <w:rPr>
          <w:rFonts w:ascii="Times New Roman" w:eastAsia="Times New Roman" w:hAnsi="Times New Roman" w:cs="Times New Roman"/>
          <w:color w:val="000000"/>
          <w:sz w:val="24"/>
          <w:szCs w:val="24"/>
          <w:lang w:eastAsia="en-GB"/>
        </w:rPr>
        <w:fldChar w:fldCharType="separate"/>
      </w:r>
      <w:r w:rsidR="008C1999" w:rsidRPr="00E200A5">
        <w:rPr>
          <w:rFonts w:ascii="Times New Roman" w:hAnsi="Times New Roman" w:cs="Times New Roman"/>
          <w:sz w:val="24"/>
        </w:rPr>
        <w:t>(Pennycook et al., 2020)</w:t>
      </w:r>
      <w:r w:rsidR="008C1999" w:rsidRPr="00E200A5">
        <w:rPr>
          <w:rFonts w:ascii="Times New Roman" w:eastAsia="Times New Roman" w:hAnsi="Times New Roman" w:cs="Times New Roman"/>
          <w:color w:val="000000"/>
          <w:sz w:val="24"/>
          <w:szCs w:val="24"/>
          <w:lang w:eastAsia="en-GB"/>
        </w:rPr>
        <w:fldChar w:fldCharType="end"/>
      </w:r>
      <w:r w:rsidR="004C052C" w:rsidRPr="00E200A5">
        <w:rPr>
          <w:rFonts w:ascii="Times New Roman" w:eastAsia="Times New Roman" w:hAnsi="Times New Roman" w:cs="Times New Roman"/>
          <w:color w:val="000000"/>
          <w:sz w:val="24"/>
          <w:szCs w:val="24"/>
          <w:lang w:eastAsia="en-GB"/>
        </w:rPr>
        <w:t>.</w:t>
      </w:r>
      <w:r w:rsidR="008D617F" w:rsidRPr="00E200A5">
        <w:rPr>
          <w:rFonts w:ascii="Times New Roman" w:eastAsia="Times New Roman" w:hAnsi="Times New Roman" w:cs="Times New Roman"/>
          <w:color w:val="000000"/>
          <w:sz w:val="24"/>
          <w:szCs w:val="24"/>
          <w:lang w:eastAsia="en-GB"/>
        </w:rPr>
        <w:t xml:space="preserve"> However, given intelligence’s modest correlation with cognitive styles </w:t>
      </w:r>
      <w:r w:rsidR="008D617F"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{"citationID":"9MSqi8qf","properties":{"formattedCitation":"(Sobkow et al., 2020)","plainCitation":"(Sobkow et al., 2020)","noteIndex":0},"citationItems":[{"id":88,"uris":["http://zotero.org/users/5523892/items/MPYRAKBL"],"itemData":{"id":88,"type":"article-journal","abstract":"The goal of the present study was to compare the relative contribution of diﬀerent cognitive abilities and preferences to superior decision making. Additionally, we aimed to test whether skilled decision makers have better and more sophisticated long-term memory representations of personally meaningful risky situations. A large sample from the general population completed a series of tasks and questionnaires measuring cognitive abilities and preferences (ﬂuid intelligence, cognitive reﬂection, and multiple numeric competencies: statistical numeracy, subjective numeracy, approximate numeracy) and decision making outcomes (a set of monetary lotteries and a self-report inventory measuring success in avoiding negative decision outcomes in real-life). We also designed a memory task in which participants were instructed to discriminate between decision outcomes presented in the ﬁrst stage of the study and distractors. We found that multiple numeric competencies predicted decision making beyond ﬂuid intelligence and cognitive reﬂection. Especially, the acuity of symbolic-number mapping (a measure of approximate numeracy) was the most robust single predictor of superior decision making. Moreover, a combination of diﬀerent cognitive abilities contributed to a better understanding of decision outcomes. For example, superior decision making in monetary lotteries was best predicted by approximate numeracy, statistical numeracy, and ﬂuid intelligence, while avoiding negative decision outcomes in real-life was best predicted by approximate and subjective numeracy. Finally, we demonstrated that people with high approximate numeracy had better memory for decision outcomes and produced more vivid mental representations, suggesting that memory processes can be crucial to superior decision making.","container-title":"Intelligence","DOI":"10.1016/j.intell.2020.101452","ISSN":"01602896","journalAbbreviation":"Intelligence","language":"en","page":"101452","source":"DOI.org (Crossref)","title":"Multiple numeric competencies predict decision outcomes beyond fluid intelligence and cognitive reflection","volume":"80","author":[{"family":"Sobkow","given":"Agata"},{"family":"Olszewska","given":"Angelika"},{"family":"Traczyk","given":"Jakub"}],"issued":{"date-parts":[["2020",5]]},"citation-key":"sobkowMultipleNumericCompetencies2020"}}],"schema":"https://github.com/citation-style-language/schema/raw/master/csl-citation.json"} </w:instrText>
      </w:r>
      <w:r w:rsidR="008D617F" w:rsidRPr="00E200A5">
        <w:rPr>
          <w:rFonts w:ascii="Times New Roman" w:eastAsia="Times New Roman" w:hAnsi="Times New Roman" w:cs="Times New Roman"/>
          <w:color w:val="000000"/>
          <w:sz w:val="24"/>
          <w:szCs w:val="24"/>
          <w:lang w:eastAsia="en-GB"/>
        </w:rPr>
        <w:fldChar w:fldCharType="separate"/>
      </w:r>
      <w:r w:rsidR="008D617F" w:rsidRPr="00E200A5">
        <w:rPr>
          <w:rFonts w:ascii="Times New Roman" w:hAnsi="Times New Roman" w:cs="Times New Roman"/>
          <w:sz w:val="24"/>
        </w:rPr>
        <w:t>(Sobkow et al., 2020)</w:t>
      </w:r>
      <w:r w:rsidR="008D617F" w:rsidRPr="00E200A5">
        <w:rPr>
          <w:rFonts w:ascii="Times New Roman" w:eastAsia="Times New Roman" w:hAnsi="Times New Roman" w:cs="Times New Roman"/>
          <w:color w:val="000000"/>
          <w:sz w:val="24"/>
          <w:szCs w:val="24"/>
          <w:lang w:eastAsia="en-GB"/>
        </w:rPr>
        <w:fldChar w:fldCharType="end"/>
      </w:r>
      <w:r w:rsidR="008D617F" w:rsidRPr="00E200A5">
        <w:rPr>
          <w:rFonts w:ascii="Times New Roman" w:eastAsia="Times New Roman" w:hAnsi="Times New Roman" w:cs="Times New Roman"/>
          <w:color w:val="000000"/>
          <w:sz w:val="24"/>
          <w:szCs w:val="24"/>
          <w:lang w:eastAsia="en-GB"/>
        </w:rPr>
        <w:t>, it appears that intelligence provides a meaningful</w:t>
      </w:r>
      <w:r w:rsidR="0058381F" w:rsidRPr="00E200A5">
        <w:rPr>
          <w:rFonts w:ascii="Times New Roman" w:eastAsia="Times New Roman" w:hAnsi="Times New Roman" w:cs="Times New Roman"/>
          <w:color w:val="000000"/>
          <w:sz w:val="24"/>
          <w:szCs w:val="24"/>
          <w:lang w:eastAsia="en-GB"/>
        </w:rPr>
        <w:t>,</w:t>
      </w:r>
      <w:r w:rsidR="008D617F" w:rsidRPr="00E200A5">
        <w:rPr>
          <w:rFonts w:ascii="Times New Roman" w:eastAsia="Times New Roman" w:hAnsi="Times New Roman" w:cs="Times New Roman"/>
          <w:color w:val="000000"/>
          <w:sz w:val="24"/>
          <w:szCs w:val="24"/>
          <w:lang w:eastAsia="en-GB"/>
        </w:rPr>
        <w:t xml:space="preserve"> </w:t>
      </w:r>
      <w:r w:rsidR="001C002A" w:rsidRPr="00E200A5">
        <w:rPr>
          <w:rFonts w:ascii="Times New Roman" w:eastAsia="Times New Roman" w:hAnsi="Times New Roman" w:cs="Times New Roman"/>
          <w:color w:val="000000"/>
          <w:sz w:val="24"/>
          <w:szCs w:val="24"/>
          <w:lang w:eastAsia="en-GB"/>
        </w:rPr>
        <w:t>independent</w:t>
      </w:r>
      <w:r w:rsidR="008D617F" w:rsidRPr="00E200A5">
        <w:rPr>
          <w:rFonts w:ascii="Times New Roman" w:eastAsia="Times New Roman" w:hAnsi="Times New Roman" w:cs="Times New Roman"/>
          <w:color w:val="000000"/>
          <w:sz w:val="24"/>
          <w:szCs w:val="24"/>
          <w:lang w:eastAsia="en-GB"/>
        </w:rPr>
        <w:t xml:space="preserve"> contribution to vaccination hesitancy.</w:t>
      </w:r>
    </w:p>
    <w:p w14:paraId="39DCD34A" w14:textId="2CABF6A2" w:rsidR="00A34E1A" w:rsidRPr="00E200A5" w:rsidRDefault="00504DF4" w:rsidP="00C915C8">
      <w:pPr>
        <w:spacing w:before="240" w:after="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In contrast, the roles of </w:t>
      </w:r>
      <w:r w:rsidR="006608F8" w:rsidRPr="00E200A5">
        <w:rPr>
          <w:rFonts w:ascii="Times New Roman" w:eastAsia="Times New Roman" w:hAnsi="Times New Roman" w:cs="Times New Roman"/>
          <w:color w:val="000000"/>
          <w:sz w:val="24"/>
          <w:szCs w:val="24"/>
          <w:lang w:eastAsia="en-GB"/>
        </w:rPr>
        <w:t xml:space="preserve">Big 5 </w:t>
      </w:r>
      <w:r w:rsidRPr="00E200A5">
        <w:rPr>
          <w:rFonts w:ascii="Times New Roman" w:eastAsia="Times New Roman" w:hAnsi="Times New Roman" w:cs="Times New Roman"/>
          <w:color w:val="000000"/>
          <w:sz w:val="24"/>
          <w:szCs w:val="24"/>
          <w:lang w:eastAsia="en-GB"/>
        </w:rPr>
        <w:t>personality traits in COVID-19 vaccination hesitancy were more mixed. When examining COVID-19 vaccination hesitancy in our full sample, we observed positive zero order correlations with neuroticism and openness. However, we noted in the regression a reversal of the neuroticism relationship direction (from a positive association with greater vaccination hesitancy, to a negative association). These findings contrast with those reported in the literature: Lee et al. (2017) and Murphy et al. (2021) reported no link between neuroticism and vaccination hesitancy. The lack of association between openness and vaccination hesitancy contrasts with Lin and Wang (2020) and Lee et al. (2017)</w:t>
      </w:r>
      <w:r w:rsidR="00286C43" w:rsidRPr="00E200A5">
        <w:rPr>
          <w:rFonts w:ascii="Times New Roman" w:eastAsia="Times New Roman" w:hAnsi="Times New Roman" w:cs="Times New Roman"/>
          <w:color w:val="000000"/>
          <w:sz w:val="24"/>
          <w:szCs w:val="24"/>
          <w:lang w:eastAsia="en-GB"/>
        </w:rPr>
        <w:t>, who found significant associations</w:t>
      </w:r>
      <w:r w:rsidRPr="00E200A5">
        <w:rPr>
          <w:rFonts w:ascii="Times New Roman" w:eastAsia="Times New Roman" w:hAnsi="Times New Roman" w:cs="Times New Roman"/>
          <w:color w:val="000000"/>
          <w:sz w:val="24"/>
          <w:szCs w:val="24"/>
          <w:lang w:eastAsia="en-GB"/>
        </w:rPr>
        <w:t>.</w:t>
      </w:r>
      <w:r w:rsidR="00F56F85" w:rsidRPr="00E200A5">
        <w:t xml:space="preserve"> </w:t>
      </w:r>
      <w:r w:rsidR="00F56F85" w:rsidRPr="00E200A5">
        <w:rPr>
          <w:rFonts w:ascii="Times New Roman" w:eastAsia="Times New Roman" w:hAnsi="Times New Roman" w:cs="Times New Roman"/>
          <w:color w:val="000000"/>
          <w:sz w:val="24"/>
          <w:szCs w:val="24"/>
          <w:lang w:eastAsia="en-GB"/>
        </w:rPr>
        <w:t xml:space="preserve">As noted earlier, psychological correlates of vaccine hesitancy may </w:t>
      </w:r>
      <w:r w:rsidR="00F56F85" w:rsidRPr="00E200A5">
        <w:rPr>
          <w:rFonts w:ascii="Times New Roman" w:eastAsia="Times New Roman" w:hAnsi="Times New Roman" w:cs="Times New Roman"/>
          <w:color w:val="000000"/>
          <w:sz w:val="24"/>
          <w:szCs w:val="24"/>
          <w:lang w:eastAsia="en-GB"/>
        </w:rPr>
        <w:lastRenderedPageBreak/>
        <w:t>vary across situation, country, and measure. As such we recommend replication across these parameters.</w:t>
      </w:r>
    </w:p>
    <w:p w14:paraId="67658EA1" w14:textId="3BD84A73" w:rsidR="00D03ED1" w:rsidRPr="00E200A5" w:rsidRDefault="00D03ED1" w:rsidP="00C915C8">
      <w:pPr>
        <w:spacing w:before="240" w:after="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In the 50-65 group, there are several noteworthy </w:t>
      </w:r>
      <w:r w:rsidR="00BB266D" w:rsidRPr="00E200A5">
        <w:rPr>
          <w:rFonts w:ascii="Times New Roman" w:eastAsia="Times New Roman" w:hAnsi="Times New Roman" w:cs="Times New Roman"/>
          <w:color w:val="000000"/>
          <w:sz w:val="24"/>
          <w:szCs w:val="24"/>
          <w:lang w:eastAsia="en-GB"/>
        </w:rPr>
        <w:t xml:space="preserve">differences </w:t>
      </w:r>
      <w:r w:rsidR="00674581" w:rsidRPr="00E200A5">
        <w:rPr>
          <w:rFonts w:ascii="Times New Roman" w:eastAsia="Times New Roman" w:hAnsi="Times New Roman" w:cs="Times New Roman"/>
          <w:color w:val="000000"/>
          <w:sz w:val="24"/>
          <w:szCs w:val="24"/>
          <w:lang w:eastAsia="en-GB"/>
        </w:rPr>
        <w:t>in the relationship between traits and hesitancy</w:t>
      </w:r>
      <w:r w:rsidR="00BB266D" w:rsidRPr="00E200A5">
        <w:rPr>
          <w:rFonts w:ascii="Times New Roman" w:eastAsia="Times New Roman" w:hAnsi="Times New Roman" w:cs="Times New Roman"/>
          <w:color w:val="000000"/>
          <w:sz w:val="24"/>
          <w:szCs w:val="24"/>
          <w:lang w:eastAsia="en-GB"/>
        </w:rPr>
        <w:t xml:space="preserve"> compared to the main sample. Firstly,</w:t>
      </w:r>
      <w:r w:rsidRPr="00E200A5">
        <w:rPr>
          <w:rFonts w:ascii="Times New Roman" w:eastAsia="Times New Roman" w:hAnsi="Times New Roman" w:cs="Times New Roman"/>
          <w:color w:val="000000"/>
          <w:sz w:val="24"/>
          <w:szCs w:val="24"/>
          <w:lang w:eastAsia="en-GB"/>
        </w:rPr>
        <w:t xml:space="preserve"> neuroticism was not predictive of COVID-19 </w:t>
      </w:r>
      <w:r w:rsidR="002A0935" w:rsidRPr="00E200A5">
        <w:rPr>
          <w:rFonts w:ascii="Times New Roman" w:eastAsia="Times New Roman" w:hAnsi="Times New Roman" w:cs="Times New Roman"/>
          <w:color w:val="000000"/>
          <w:sz w:val="24"/>
          <w:szCs w:val="24"/>
          <w:lang w:eastAsia="en-GB"/>
        </w:rPr>
        <w:t>vaccination hesitancy</w:t>
      </w:r>
      <w:r w:rsidR="005652A4" w:rsidRPr="00E200A5">
        <w:rPr>
          <w:rFonts w:ascii="Times New Roman" w:eastAsia="Times New Roman" w:hAnsi="Times New Roman" w:cs="Times New Roman"/>
          <w:color w:val="000000"/>
          <w:sz w:val="24"/>
          <w:szCs w:val="24"/>
          <w:lang w:eastAsia="en-GB"/>
        </w:rPr>
        <w:t xml:space="preserve"> in this group</w:t>
      </w:r>
      <w:r w:rsidRPr="00E200A5">
        <w:rPr>
          <w:rFonts w:ascii="Times New Roman" w:eastAsia="Times New Roman" w:hAnsi="Times New Roman" w:cs="Times New Roman"/>
          <w:color w:val="000000"/>
          <w:sz w:val="24"/>
          <w:szCs w:val="24"/>
          <w:lang w:eastAsia="en-GB"/>
        </w:rPr>
        <w:t xml:space="preserve">. This may be due to the increased risk that the virus presents to this age category, which may supress any association between trait-level neuroticism and </w:t>
      </w:r>
      <w:r w:rsidR="002A0935" w:rsidRPr="00E200A5">
        <w:rPr>
          <w:rFonts w:ascii="Times New Roman" w:eastAsia="Times New Roman" w:hAnsi="Times New Roman" w:cs="Times New Roman"/>
          <w:color w:val="000000"/>
          <w:sz w:val="24"/>
          <w:szCs w:val="24"/>
          <w:lang w:eastAsia="en-GB"/>
        </w:rPr>
        <w:t>vaccination hesitancy</w:t>
      </w:r>
      <w:r w:rsidRPr="00E200A5">
        <w:rPr>
          <w:rFonts w:ascii="Times New Roman" w:eastAsia="Times New Roman" w:hAnsi="Times New Roman" w:cs="Times New Roman"/>
          <w:color w:val="000000"/>
          <w:sz w:val="24"/>
          <w:szCs w:val="24"/>
          <w:lang w:eastAsia="en-GB"/>
        </w:rPr>
        <w:t xml:space="preserve">. </w:t>
      </w:r>
      <w:r w:rsidR="00BB266D" w:rsidRPr="00E200A5">
        <w:rPr>
          <w:rFonts w:ascii="Times New Roman" w:eastAsia="Times New Roman" w:hAnsi="Times New Roman" w:cs="Times New Roman"/>
          <w:color w:val="000000"/>
          <w:sz w:val="24"/>
          <w:szCs w:val="24"/>
          <w:lang w:eastAsia="en-GB"/>
        </w:rPr>
        <w:t>Secondly</w:t>
      </w:r>
      <w:r w:rsidR="005851D7" w:rsidRPr="00E200A5">
        <w:rPr>
          <w:rFonts w:ascii="Times New Roman" w:eastAsia="Times New Roman" w:hAnsi="Times New Roman" w:cs="Times New Roman"/>
          <w:color w:val="000000"/>
          <w:sz w:val="24"/>
          <w:szCs w:val="24"/>
          <w:lang w:eastAsia="en-GB"/>
        </w:rPr>
        <w:t xml:space="preserve">, extraversion was a significant predictor of COVID-19 vaccination hesitancy in </w:t>
      </w:r>
      <w:r w:rsidR="002B16D2" w:rsidRPr="00E200A5">
        <w:rPr>
          <w:rFonts w:ascii="Times New Roman" w:eastAsia="Times New Roman" w:hAnsi="Times New Roman" w:cs="Times New Roman"/>
          <w:color w:val="000000"/>
          <w:sz w:val="24"/>
          <w:szCs w:val="24"/>
          <w:lang w:eastAsia="en-GB"/>
        </w:rPr>
        <w:t>the 50-65 group</w:t>
      </w:r>
      <w:r w:rsidR="0023696A" w:rsidRPr="00E200A5">
        <w:rPr>
          <w:rFonts w:ascii="Times New Roman" w:eastAsia="Times New Roman" w:hAnsi="Times New Roman" w:cs="Times New Roman"/>
          <w:color w:val="000000"/>
          <w:sz w:val="24"/>
          <w:szCs w:val="24"/>
          <w:lang w:eastAsia="en-GB"/>
        </w:rPr>
        <w:t xml:space="preserve">, but not in the </w:t>
      </w:r>
      <w:r w:rsidR="00066E2C" w:rsidRPr="00E200A5">
        <w:rPr>
          <w:rFonts w:ascii="Times New Roman" w:eastAsia="Times New Roman" w:hAnsi="Times New Roman" w:cs="Times New Roman"/>
          <w:color w:val="000000"/>
          <w:sz w:val="24"/>
          <w:szCs w:val="24"/>
          <w:lang w:eastAsia="en-GB"/>
        </w:rPr>
        <w:t>main</w:t>
      </w:r>
      <w:r w:rsidR="0023696A" w:rsidRPr="00E200A5">
        <w:rPr>
          <w:rFonts w:ascii="Times New Roman" w:eastAsia="Times New Roman" w:hAnsi="Times New Roman" w:cs="Times New Roman"/>
          <w:color w:val="000000"/>
          <w:sz w:val="24"/>
          <w:szCs w:val="24"/>
          <w:lang w:eastAsia="en-GB"/>
        </w:rPr>
        <w:t xml:space="preserve"> sample</w:t>
      </w:r>
      <w:r w:rsidR="002B16D2" w:rsidRPr="00E200A5">
        <w:rPr>
          <w:rFonts w:ascii="Times New Roman" w:eastAsia="Times New Roman" w:hAnsi="Times New Roman" w:cs="Times New Roman"/>
          <w:color w:val="000000"/>
          <w:sz w:val="24"/>
          <w:szCs w:val="24"/>
          <w:lang w:eastAsia="en-GB"/>
        </w:rPr>
        <w:t>.</w:t>
      </w:r>
      <w:r w:rsidR="004F7D80" w:rsidRPr="00E200A5">
        <w:rPr>
          <w:rFonts w:ascii="Times New Roman" w:eastAsia="Times New Roman" w:hAnsi="Times New Roman" w:cs="Times New Roman"/>
          <w:color w:val="000000"/>
          <w:sz w:val="24"/>
          <w:szCs w:val="24"/>
          <w:lang w:eastAsia="en-GB"/>
        </w:rPr>
        <w:t xml:space="preserve"> We do not have a compelling explanation for this observation.</w:t>
      </w:r>
    </w:p>
    <w:p w14:paraId="6F69E4D3" w14:textId="5FA775A3" w:rsidR="00A169B9" w:rsidRPr="00E200A5" w:rsidRDefault="00E17161" w:rsidP="00C915C8">
      <w:pPr>
        <w:spacing w:before="240" w:after="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Beyond personality and general intelligence, we also observed additional demographic variables predictive of COVID-19 vaccination hesitancy. Results from our regression analyses indicated that </w:t>
      </w:r>
      <w:r w:rsidRPr="00E200A5">
        <w:rPr>
          <w:rFonts w:ascii="Times New Roman" w:eastAsia="Times New Roman" w:hAnsi="Times New Roman" w:cs="Times New Roman"/>
          <w:sz w:val="24"/>
          <w:szCs w:val="24"/>
          <w:lang w:eastAsia="en-GB"/>
        </w:rPr>
        <w:t xml:space="preserve">younger respondents, women, those with lower income, education, </w:t>
      </w:r>
      <w:r w:rsidR="003F19FD" w:rsidRPr="00E200A5">
        <w:rPr>
          <w:rFonts w:ascii="Times New Roman" w:eastAsia="Times New Roman" w:hAnsi="Times New Roman" w:cs="Times New Roman"/>
          <w:sz w:val="24"/>
          <w:szCs w:val="24"/>
          <w:lang w:eastAsia="en-GB"/>
        </w:rPr>
        <w:t xml:space="preserve">and </w:t>
      </w:r>
      <w:r w:rsidRPr="00E200A5">
        <w:rPr>
          <w:rFonts w:ascii="Times New Roman" w:eastAsia="Times New Roman" w:hAnsi="Times New Roman" w:cs="Times New Roman"/>
          <w:sz w:val="24"/>
          <w:szCs w:val="24"/>
          <w:lang w:eastAsia="en-GB"/>
        </w:rPr>
        <w:t>poorer mental health were more likely to be vaccine hesitant</w:t>
      </w:r>
      <w:r w:rsidRPr="00E200A5">
        <w:rPr>
          <w:rFonts w:ascii="Times New Roman" w:eastAsia="Times New Roman" w:hAnsi="Times New Roman" w:cs="Times New Roman"/>
          <w:color w:val="000000"/>
          <w:sz w:val="24"/>
          <w:szCs w:val="24"/>
          <w:lang w:eastAsia="en-GB"/>
        </w:rPr>
        <w:t xml:space="preserve">. We saw broadly equivalent results for seasonal flu vaccination hesitancy (note, restricted to 50-65 year olds): </w:t>
      </w:r>
      <w:r w:rsidRPr="00E200A5">
        <w:rPr>
          <w:rFonts w:ascii="Times New Roman" w:eastAsia="Times New Roman" w:hAnsi="Times New Roman" w:cs="Times New Roman"/>
          <w:sz w:val="24"/>
          <w:szCs w:val="24"/>
          <w:lang w:eastAsia="en-GB"/>
        </w:rPr>
        <w:t>being younger and less educated</w:t>
      </w:r>
      <w:r w:rsidR="000B5651" w:rsidRPr="00E200A5">
        <w:rPr>
          <w:rFonts w:ascii="Times New Roman" w:eastAsia="Times New Roman" w:hAnsi="Times New Roman" w:cs="Times New Roman"/>
          <w:sz w:val="24"/>
          <w:szCs w:val="24"/>
          <w:lang w:eastAsia="en-GB"/>
        </w:rPr>
        <w:t xml:space="preserve"> </w:t>
      </w:r>
      <w:r w:rsidRPr="00E200A5">
        <w:rPr>
          <w:rFonts w:ascii="Times New Roman" w:eastAsia="Times New Roman" w:hAnsi="Times New Roman" w:cs="Times New Roman"/>
          <w:sz w:val="24"/>
          <w:szCs w:val="24"/>
          <w:lang w:eastAsia="en-GB"/>
        </w:rPr>
        <w:t>predicted hesitancy.</w:t>
      </w:r>
      <w:r w:rsidR="00BB3CBD" w:rsidRPr="00E200A5">
        <w:rPr>
          <w:rFonts w:ascii="Times New Roman" w:eastAsia="Times New Roman" w:hAnsi="Times New Roman" w:cs="Times New Roman"/>
          <w:sz w:val="24"/>
          <w:szCs w:val="24"/>
          <w:lang w:eastAsia="en-GB"/>
        </w:rPr>
        <w:t xml:space="preserve"> </w:t>
      </w:r>
      <w:r w:rsidR="00A169B9" w:rsidRPr="00E200A5">
        <w:rPr>
          <w:rFonts w:ascii="Times New Roman" w:eastAsia="Times New Roman" w:hAnsi="Times New Roman" w:cs="Times New Roman"/>
          <w:sz w:val="24"/>
          <w:szCs w:val="24"/>
          <w:lang w:eastAsia="en-GB"/>
        </w:rPr>
        <w:t xml:space="preserve">Furthermore, we noted an unexpected relationship between self-rated COVID risk and vaccination hesitancy, with greater self-rated risk being associated with greater hesitancy. At the face of it one might expect this relationship to be reversed. One possibility is that self-rated risk reflects a more generalised anxiety, which in turn leads to a fear of needles (or other barrier to getting vaccinated). Neuroticism/anxiety provide perhaps the most likely of third variables in this instance; </w:t>
      </w:r>
      <w:r w:rsidR="00F06121" w:rsidRPr="00E200A5">
        <w:rPr>
          <w:rFonts w:ascii="Times New Roman" w:eastAsia="Times New Roman" w:hAnsi="Times New Roman" w:cs="Times New Roman"/>
          <w:sz w:val="24"/>
          <w:szCs w:val="24"/>
          <w:lang w:eastAsia="en-GB"/>
        </w:rPr>
        <w:t xml:space="preserve">when controlled for, the relationship </w:t>
      </w:r>
      <w:r w:rsidR="00577C08" w:rsidRPr="00E200A5">
        <w:rPr>
          <w:rFonts w:ascii="Times New Roman" w:eastAsia="Times New Roman" w:hAnsi="Times New Roman" w:cs="Times New Roman"/>
          <w:sz w:val="24"/>
          <w:szCs w:val="24"/>
          <w:lang w:eastAsia="en-GB"/>
        </w:rPr>
        <w:t xml:space="preserve">between self-rated COVID risk and vaccination hesitancy </w:t>
      </w:r>
      <w:r w:rsidR="00F06121" w:rsidRPr="00E200A5">
        <w:rPr>
          <w:rFonts w:ascii="Times New Roman" w:eastAsia="Times New Roman" w:hAnsi="Times New Roman" w:cs="Times New Roman"/>
          <w:sz w:val="24"/>
          <w:szCs w:val="24"/>
          <w:lang w:eastAsia="en-GB"/>
        </w:rPr>
        <w:t>was in the expected direction.</w:t>
      </w:r>
      <w:r w:rsidR="00A169B9" w:rsidRPr="00E200A5">
        <w:rPr>
          <w:rFonts w:ascii="Times New Roman" w:eastAsia="Times New Roman" w:hAnsi="Times New Roman" w:cs="Times New Roman"/>
          <w:sz w:val="24"/>
          <w:szCs w:val="24"/>
          <w:lang w:eastAsia="en-GB"/>
        </w:rPr>
        <w:t xml:space="preserve"> </w:t>
      </w:r>
    </w:p>
    <w:p w14:paraId="2DCF57E2" w14:textId="73ACEFD2" w:rsidR="00283954" w:rsidRPr="00E200A5" w:rsidRDefault="00533D82" w:rsidP="00C915C8">
      <w:pPr>
        <w:spacing w:before="240" w:after="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In our multinomial logistic regression model, i</w:t>
      </w:r>
      <w:r w:rsidR="00692FB2" w:rsidRPr="00E200A5">
        <w:rPr>
          <w:rFonts w:ascii="Times New Roman" w:eastAsia="Times New Roman" w:hAnsi="Times New Roman" w:cs="Times New Roman"/>
          <w:color w:val="000000"/>
          <w:sz w:val="24"/>
          <w:szCs w:val="24"/>
          <w:lang w:eastAsia="en-GB"/>
        </w:rPr>
        <w:t xml:space="preserve">ntelligence was a </w:t>
      </w:r>
      <w:r w:rsidR="004F7D80" w:rsidRPr="00E200A5">
        <w:rPr>
          <w:rFonts w:ascii="Times New Roman" w:eastAsia="Times New Roman" w:hAnsi="Times New Roman" w:cs="Times New Roman"/>
          <w:color w:val="000000"/>
          <w:sz w:val="24"/>
          <w:szCs w:val="24"/>
          <w:lang w:eastAsia="en-GB"/>
        </w:rPr>
        <w:t xml:space="preserve">significant </w:t>
      </w:r>
      <w:r w:rsidR="001F3232" w:rsidRPr="00E200A5">
        <w:rPr>
          <w:rFonts w:ascii="Times New Roman" w:eastAsia="Times New Roman" w:hAnsi="Times New Roman" w:cs="Times New Roman"/>
          <w:color w:val="000000"/>
          <w:sz w:val="24"/>
          <w:szCs w:val="24"/>
          <w:lang w:eastAsia="en-GB"/>
        </w:rPr>
        <w:t xml:space="preserve">negative </w:t>
      </w:r>
      <w:r w:rsidR="00692FB2" w:rsidRPr="00E200A5">
        <w:rPr>
          <w:rFonts w:ascii="Times New Roman" w:eastAsia="Times New Roman" w:hAnsi="Times New Roman" w:cs="Times New Roman"/>
          <w:color w:val="000000"/>
          <w:sz w:val="24"/>
          <w:szCs w:val="24"/>
          <w:lang w:eastAsia="en-GB"/>
        </w:rPr>
        <w:t xml:space="preserve">predictor </w:t>
      </w:r>
      <w:r w:rsidR="00360A44" w:rsidRPr="00E200A5">
        <w:rPr>
          <w:rFonts w:ascii="Times New Roman" w:eastAsia="Times New Roman" w:hAnsi="Times New Roman" w:cs="Times New Roman"/>
          <w:color w:val="000000"/>
          <w:sz w:val="24"/>
          <w:szCs w:val="24"/>
          <w:lang w:eastAsia="en-GB"/>
        </w:rPr>
        <w:t>for</w:t>
      </w:r>
      <w:r w:rsidR="00692FB2" w:rsidRPr="00E200A5">
        <w:rPr>
          <w:rFonts w:ascii="Times New Roman" w:eastAsia="Times New Roman" w:hAnsi="Times New Roman" w:cs="Times New Roman"/>
          <w:color w:val="000000"/>
          <w:sz w:val="24"/>
          <w:szCs w:val="24"/>
          <w:lang w:eastAsia="en-GB"/>
        </w:rPr>
        <w:t xml:space="preserve"> all but one of the reasons</w:t>
      </w:r>
      <w:r w:rsidR="001F3232" w:rsidRPr="00E200A5">
        <w:rPr>
          <w:rFonts w:ascii="Times New Roman" w:eastAsia="Times New Roman" w:hAnsi="Times New Roman" w:cs="Times New Roman"/>
          <w:color w:val="000000"/>
          <w:sz w:val="24"/>
          <w:szCs w:val="24"/>
          <w:lang w:eastAsia="en-GB"/>
        </w:rPr>
        <w:t xml:space="preserve"> (worry over the future effects of the vaccine)</w:t>
      </w:r>
      <w:r w:rsidR="00692FB2" w:rsidRPr="00E200A5">
        <w:rPr>
          <w:rFonts w:ascii="Times New Roman" w:eastAsia="Times New Roman" w:hAnsi="Times New Roman" w:cs="Times New Roman"/>
          <w:color w:val="000000"/>
          <w:sz w:val="24"/>
          <w:szCs w:val="24"/>
          <w:lang w:eastAsia="en-GB"/>
        </w:rPr>
        <w:t xml:space="preserve"> that people chose to decline </w:t>
      </w:r>
      <w:r w:rsidR="00FF2162" w:rsidRPr="00E200A5">
        <w:rPr>
          <w:rFonts w:ascii="Times New Roman" w:eastAsia="Times New Roman" w:hAnsi="Times New Roman" w:cs="Times New Roman"/>
          <w:color w:val="000000"/>
          <w:sz w:val="24"/>
          <w:szCs w:val="24"/>
          <w:lang w:eastAsia="en-GB"/>
        </w:rPr>
        <w:t xml:space="preserve">COVID-19 </w:t>
      </w:r>
      <w:r w:rsidR="00692FB2" w:rsidRPr="00E200A5">
        <w:rPr>
          <w:rFonts w:ascii="Times New Roman" w:eastAsia="Times New Roman" w:hAnsi="Times New Roman" w:cs="Times New Roman"/>
          <w:color w:val="000000"/>
          <w:sz w:val="24"/>
          <w:szCs w:val="24"/>
          <w:lang w:eastAsia="en-GB"/>
        </w:rPr>
        <w:t>vaccination</w:t>
      </w:r>
      <w:r w:rsidR="001F3232" w:rsidRPr="00E200A5">
        <w:rPr>
          <w:rFonts w:ascii="Times New Roman" w:eastAsia="Times New Roman" w:hAnsi="Times New Roman" w:cs="Times New Roman"/>
          <w:color w:val="000000"/>
          <w:sz w:val="24"/>
          <w:szCs w:val="24"/>
          <w:lang w:eastAsia="en-GB"/>
        </w:rPr>
        <w:t>.</w:t>
      </w:r>
      <w:r w:rsidR="00692FB2" w:rsidRPr="00E200A5">
        <w:rPr>
          <w:rFonts w:ascii="Times New Roman" w:eastAsia="Times New Roman" w:hAnsi="Times New Roman" w:cs="Times New Roman"/>
          <w:color w:val="000000"/>
          <w:sz w:val="24"/>
          <w:szCs w:val="24"/>
          <w:lang w:eastAsia="en-GB"/>
        </w:rPr>
        <w:t xml:space="preserve"> </w:t>
      </w:r>
      <w:r w:rsidR="00E50BB8" w:rsidRPr="00E200A5">
        <w:rPr>
          <w:rFonts w:ascii="Times New Roman" w:eastAsia="Times New Roman" w:hAnsi="Times New Roman" w:cs="Times New Roman"/>
          <w:color w:val="000000"/>
          <w:sz w:val="24"/>
          <w:szCs w:val="24"/>
          <w:lang w:eastAsia="en-GB"/>
        </w:rPr>
        <w:t>Personality traits</w:t>
      </w:r>
      <w:r w:rsidR="00FF2162" w:rsidRPr="00E200A5">
        <w:rPr>
          <w:rFonts w:ascii="Times New Roman" w:eastAsia="Times New Roman" w:hAnsi="Times New Roman" w:cs="Times New Roman"/>
          <w:color w:val="000000"/>
          <w:sz w:val="24"/>
          <w:szCs w:val="24"/>
          <w:lang w:eastAsia="en-GB"/>
        </w:rPr>
        <w:t xml:space="preserve"> differentially predicted reasons to </w:t>
      </w:r>
      <w:r w:rsidR="00FF2162" w:rsidRPr="00E200A5">
        <w:rPr>
          <w:rFonts w:ascii="Times New Roman" w:eastAsia="Times New Roman" w:hAnsi="Times New Roman" w:cs="Times New Roman"/>
          <w:color w:val="000000"/>
          <w:sz w:val="24"/>
          <w:szCs w:val="24"/>
          <w:lang w:eastAsia="en-GB"/>
        </w:rPr>
        <w:lastRenderedPageBreak/>
        <w:t>decline COVID-19 vaccination</w:t>
      </w:r>
      <w:r w:rsidR="001C75BB" w:rsidRPr="00E200A5">
        <w:rPr>
          <w:rFonts w:ascii="Times New Roman" w:eastAsia="Times New Roman" w:hAnsi="Times New Roman" w:cs="Times New Roman"/>
          <w:color w:val="000000"/>
          <w:sz w:val="24"/>
          <w:szCs w:val="24"/>
          <w:lang w:eastAsia="en-GB"/>
        </w:rPr>
        <w:t xml:space="preserve">. For example, </w:t>
      </w:r>
      <w:r w:rsidR="00C42B41" w:rsidRPr="00E200A5">
        <w:rPr>
          <w:rFonts w:ascii="Times New Roman" w:eastAsia="Times New Roman" w:hAnsi="Times New Roman" w:cs="Times New Roman"/>
          <w:color w:val="000000"/>
          <w:sz w:val="24"/>
          <w:szCs w:val="24"/>
          <w:lang w:eastAsia="en-GB"/>
        </w:rPr>
        <w:t>participants with</w:t>
      </w:r>
      <w:r w:rsidR="001C75BB" w:rsidRPr="00E200A5">
        <w:rPr>
          <w:rFonts w:ascii="Times New Roman" w:eastAsia="Times New Roman" w:hAnsi="Times New Roman" w:cs="Times New Roman"/>
          <w:color w:val="000000"/>
          <w:sz w:val="24"/>
          <w:szCs w:val="24"/>
          <w:lang w:eastAsia="en-GB"/>
        </w:rPr>
        <w:t xml:space="preserve"> higher conscientiousness were more distrustful of the vaccine, those with lower neuroticism were worried about the vaccine’s effects (presumably more than the virus symptoms), and those with higher openness and extraversion doubted the </w:t>
      </w:r>
      <w:r w:rsidR="00EE6795" w:rsidRPr="00E200A5">
        <w:rPr>
          <w:rFonts w:ascii="Times New Roman" w:eastAsia="Times New Roman" w:hAnsi="Times New Roman" w:cs="Times New Roman"/>
          <w:color w:val="000000"/>
          <w:sz w:val="24"/>
          <w:szCs w:val="24"/>
          <w:lang w:eastAsia="en-GB"/>
        </w:rPr>
        <w:t xml:space="preserve">level of risk presented by the </w:t>
      </w:r>
      <w:r w:rsidR="00A50771" w:rsidRPr="00E200A5">
        <w:rPr>
          <w:rFonts w:ascii="Times New Roman" w:eastAsia="Times New Roman" w:hAnsi="Times New Roman" w:cs="Times New Roman"/>
          <w:color w:val="000000"/>
          <w:sz w:val="24"/>
          <w:szCs w:val="24"/>
          <w:lang w:eastAsia="en-GB"/>
        </w:rPr>
        <w:t xml:space="preserve">virus. </w:t>
      </w:r>
    </w:p>
    <w:p w14:paraId="04124640" w14:textId="6CBD47C2" w:rsidR="00EF7E3A" w:rsidRPr="00E200A5" w:rsidRDefault="00A50771" w:rsidP="00C915C8">
      <w:pPr>
        <w:spacing w:before="240" w:after="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The</w:t>
      </w:r>
      <w:r w:rsidR="00EF7E3A" w:rsidRPr="00E200A5">
        <w:rPr>
          <w:rFonts w:ascii="Times New Roman" w:eastAsia="Times New Roman" w:hAnsi="Times New Roman" w:cs="Times New Roman"/>
          <w:color w:val="000000"/>
          <w:sz w:val="24"/>
          <w:szCs w:val="24"/>
          <w:lang w:eastAsia="en-GB"/>
        </w:rPr>
        <w:t xml:space="preserve"> multinomial logistic regression findings should be interpreted with a degree of caution due to the relatively small samples in some of these categories. Nonetheless, these results may help to explain </w:t>
      </w:r>
      <w:r w:rsidR="007A6FAA" w:rsidRPr="00E200A5">
        <w:rPr>
          <w:rFonts w:ascii="Times New Roman" w:eastAsia="Times New Roman" w:hAnsi="Times New Roman" w:cs="Times New Roman"/>
          <w:color w:val="000000"/>
          <w:sz w:val="24"/>
          <w:szCs w:val="24"/>
          <w:lang w:eastAsia="en-GB"/>
        </w:rPr>
        <w:t>mixed results between personality and vaccination hesitancy</w:t>
      </w:r>
      <w:r w:rsidR="00EF7E3A" w:rsidRPr="00E200A5">
        <w:rPr>
          <w:rFonts w:ascii="Times New Roman" w:eastAsia="Times New Roman" w:hAnsi="Times New Roman" w:cs="Times New Roman"/>
          <w:color w:val="000000"/>
          <w:sz w:val="24"/>
          <w:szCs w:val="24"/>
          <w:lang w:eastAsia="en-GB"/>
        </w:rPr>
        <w:t xml:space="preserve"> across studies. That is, if a given sample happens to have more individuals who distrust vaccines vs fear side-effects, then the profile of predictors may well look very different. These findings, then, represent an important observation in their own right with regard to understanding the underlying bases for being vaccine hesitant, but also indicate future work on this topic should assess the reasons people have for opposing vaccines and not simply assess vaccination hesitancy alone.</w:t>
      </w:r>
    </w:p>
    <w:p w14:paraId="07F69775" w14:textId="28FE2801" w:rsidR="001541A1" w:rsidRPr="00E200A5" w:rsidRDefault="00FA5715" w:rsidP="00C915C8">
      <w:pPr>
        <w:spacing w:before="240" w:after="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Some limitations of the current study bear mention. Firstly, </w:t>
      </w:r>
      <w:r w:rsidR="007064A0" w:rsidRPr="00E200A5">
        <w:rPr>
          <w:rFonts w:ascii="Times New Roman" w:eastAsia="Times New Roman" w:hAnsi="Times New Roman" w:cs="Times New Roman"/>
          <w:color w:val="000000"/>
          <w:sz w:val="24"/>
          <w:szCs w:val="24"/>
          <w:lang w:eastAsia="en-GB"/>
        </w:rPr>
        <w:t xml:space="preserve">we used </w:t>
      </w:r>
      <w:r w:rsidRPr="00E200A5">
        <w:rPr>
          <w:rFonts w:ascii="Times New Roman" w:eastAsia="Times New Roman" w:hAnsi="Times New Roman" w:cs="Times New Roman"/>
          <w:color w:val="000000"/>
          <w:sz w:val="24"/>
          <w:szCs w:val="24"/>
          <w:lang w:eastAsia="en-GB"/>
        </w:rPr>
        <w:t>short</w:t>
      </w:r>
      <w:r w:rsidR="007064A0" w:rsidRPr="00E200A5">
        <w:rPr>
          <w:rFonts w:ascii="Times New Roman" w:eastAsia="Times New Roman" w:hAnsi="Times New Roman" w:cs="Times New Roman"/>
          <w:color w:val="000000"/>
          <w:sz w:val="24"/>
          <w:szCs w:val="24"/>
          <w:lang w:eastAsia="en-GB"/>
        </w:rPr>
        <w:t>-</w:t>
      </w:r>
      <w:r w:rsidRPr="00E200A5">
        <w:rPr>
          <w:rFonts w:ascii="Times New Roman" w:eastAsia="Times New Roman" w:hAnsi="Times New Roman" w:cs="Times New Roman"/>
          <w:color w:val="000000"/>
          <w:sz w:val="24"/>
          <w:szCs w:val="24"/>
          <w:lang w:eastAsia="en-GB"/>
        </w:rPr>
        <w:t>form B</w:t>
      </w:r>
      <w:r w:rsidR="007064A0" w:rsidRPr="00E200A5">
        <w:rPr>
          <w:rFonts w:ascii="Times New Roman" w:eastAsia="Times New Roman" w:hAnsi="Times New Roman" w:cs="Times New Roman"/>
          <w:color w:val="000000"/>
          <w:sz w:val="24"/>
          <w:szCs w:val="24"/>
          <w:lang w:eastAsia="en-GB"/>
        </w:rPr>
        <w:t xml:space="preserve">ig </w:t>
      </w:r>
      <w:r w:rsidRPr="00E200A5">
        <w:rPr>
          <w:rFonts w:ascii="Times New Roman" w:eastAsia="Times New Roman" w:hAnsi="Times New Roman" w:cs="Times New Roman"/>
          <w:color w:val="000000"/>
          <w:sz w:val="24"/>
          <w:szCs w:val="24"/>
          <w:lang w:eastAsia="en-GB"/>
        </w:rPr>
        <w:t xml:space="preserve">5 </w:t>
      </w:r>
      <w:r w:rsidR="007064A0" w:rsidRPr="00E200A5">
        <w:rPr>
          <w:rFonts w:ascii="Times New Roman" w:eastAsia="Times New Roman" w:hAnsi="Times New Roman" w:cs="Times New Roman"/>
          <w:color w:val="000000"/>
          <w:sz w:val="24"/>
          <w:szCs w:val="24"/>
          <w:lang w:eastAsia="en-GB"/>
        </w:rPr>
        <w:t xml:space="preserve">personality </w:t>
      </w:r>
      <w:r w:rsidRPr="00E200A5">
        <w:rPr>
          <w:rFonts w:ascii="Times New Roman" w:eastAsia="Times New Roman" w:hAnsi="Times New Roman" w:cs="Times New Roman"/>
          <w:color w:val="000000"/>
          <w:sz w:val="24"/>
          <w:szCs w:val="24"/>
          <w:lang w:eastAsia="en-GB"/>
        </w:rPr>
        <w:t>scales</w:t>
      </w:r>
      <w:r w:rsidR="007064A0" w:rsidRPr="00E200A5">
        <w:rPr>
          <w:rFonts w:ascii="Times New Roman" w:eastAsia="Times New Roman" w:hAnsi="Times New Roman" w:cs="Times New Roman"/>
          <w:color w:val="000000"/>
          <w:sz w:val="24"/>
          <w:szCs w:val="24"/>
          <w:lang w:eastAsia="en-GB"/>
        </w:rPr>
        <w:t xml:space="preserve">, which provide lower fidelity assessment of personality traits </w:t>
      </w:r>
      <w:r w:rsidR="00AF3239" w:rsidRPr="00E200A5">
        <w:rPr>
          <w:rFonts w:ascii="Times New Roman" w:eastAsia="Times New Roman" w:hAnsi="Times New Roman" w:cs="Times New Roman"/>
          <w:color w:val="000000"/>
          <w:sz w:val="24"/>
          <w:szCs w:val="24"/>
          <w:lang w:eastAsia="en-GB"/>
        </w:rPr>
        <w:t>than</w:t>
      </w:r>
      <w:r w:rsidR="007064A0" w:rsidRPr="00E200A5">
        <w:rPr>
          <w:rFonts w:ascii="Times New Roman" w:eastAsia="Times New Roman" w:hAnsi="Times New Roman" w:cs="Times New Roman"/>
          <w:color w:val="000000"/>
          <w:sz w:val="24"/>
          <w:szCs w:val="24"/>
          <w:lang w:eastAsia="en-GB"/>
        </w:rPr>
        <w:t xml:space="preserve"> would be desirable. That said, this approach is recommended in large, cohort settings where long-form instruments cannot be easily administered.</w:t>
      </w:r>
      <w:r w:rsidR="001F3232" w:rsidRPr="00E200A5">
        <w:rPr>
          <w:rFonts w:ascii="Times New Roman" w:eastAsia="Times New Roman" w:hAnsi="Times New Roman" w:cs="Times New Roman"/>
          <w:color w:val="000000"/>
          <w:sz w:val="24"/>
          <w:szCs w:val="24"/>
          <w:lang w:eastAsia="en-GB"/>
        </w:rPr>
        <w:t xml:space="preserve"> Moreover, these short form measures have been shown to correlate highly with longer form measures (e.g. </w:t>
      </w:r>
      <w:r w:rsidR="007A708E"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{"citationID":"Psb7TuVF","properties":{"formattedCitation":"(Rammstedt et al., 2020; Soto &amp; John, 2017)","plainCitation":"(Rammstedt et al., 2020; Soto &amp; John, 2017)","dontUpdate":true,"noteIndex":0},"citationItems":[{"id":3787,"uris":["http://zotero.org/users/5523892/items/SVCZ6CLA"],"itemData":{"id":3787,"type":"article-journal","abstract":"The present study investigates the validity and utility of the German adaptations of the two short forms of the Big Five Inventory-2 (BFI-2), the 30-item BFI-2-S, and the 15-item BFI-2-XS, developed by Soto and John (2017b). Both scales assess the Big Five domains. The BFI-2-S allows, in addition, the brief assessment of three facets per domain. Based on a large and heterogeneous sample, we show that the psychometric properties of these adapted short scales are consistent with those of the Anglo-American source versions, and we demonstrate substantial convergence between the adaptations and the source versions. Extending the original scale development study, we demonstrate high retest stability of the scales and their facets. Our results clearly indicate the construct and criterion validity of the two scales: Both show substantial convergence with the NEO-PI-R domain scales. Moreover, the distinctive correlation pattern found between the facets of the BFI-2 and the NEO-PI-R could be replicated for the facets of the BFI-2-S. Furthermore, we show that the domain scales of both instruments are associated in the hypothesized directions with important life outcomes, such as life satisfaction and intelligence, and that the facets of the BFI-2-S have incremental validity for predicting these outcomes.","container-title":"European Journal of Psychological Assessment","DOI":"10.1027/1015-5759/a000481","ISSN":"1015-5759, 2151-2426","issue":"1","journalAbbreviation":"European Journal of Psychological Assessment","language":"en","page":"149-161","source":"DOI.org (Crossref)","title":"Validation of the Short and Extra-Short Forms of the Big Five Inventory-2 (BFI-2) and Their German Adaptations","volume":"36","author":[{"family":"Rammstedt","given":"Beatrice"},{"family":"Danner","given":"Daniel"},{"family":"Soto","given":"Christopher J."},{"family":"John","given":"Oliver P."}],"issued":{"date-parts":[["2020",1]]},"citation-key":"rammstedtValidationShortExtraShort2020"}},{"id":1658,"uris":["http://zotero.org/users/5523892/items/3KAULB5S"],"itemData":{"id":1658,"type":"article-journal","abstract":"The Big Five Inventory–2 (BFI-2) uses 60 items to hierarchically assess the Big Five personality domains and 15 more-speciﬁc facet traits. The present research develops two abbreviated forms of the BFI-2—the 30-item BFI-2-S and the 15-item BFI-2-XS—and then examines their measurement properties. At the level of the Big Five domains, we ﬁnd that the BFI-2-S and BFI-2-XS retain much of the full measure’s reliability and validity. At the facet level, we ﬁnd that the BFI-2-S may be useful for examining facet traits in reasonably large samples, whereas the BFI-2-XS should not be used to assess facets. Finally, we discuss some key tradeoffs to consider when deciding whether to administer an abbreviated form instead of the full BFI-2.","container-title":"Journal of Research in Personality","DOI":"10.1016/j.jrp.2017.02.004","ISSN":"00926566","language":"en","page":"69-81","source":"Crossref","title":"Short and extra-short forms of the big five inventory–2: the bfi-2-s and bfi-2-xs","volume":"68","author":[{"family":"Soto","given":"Christopher J."},{"family":"John","given":"Oliver P."}],"issued":{"date-parts":[["2017",6]]},"citation-key":"sotoShortExtrashortForms2017"}}],"schema":"https://github.com/citation-style-language/schema/raw/master/csl-citation.json"} </w:instrText>
      </w:r>
      <w:r w:rsidR="007A708E" w:rsidRPr="00E200A5">
        <w:rPr>
          <w:rFonts w:ascii="Times New Roman" w:eastAsia="Times New Roman" w:hAnsi="Times New Roman" w:cs="Times New Roman"/>
          <w:color w:val="000000"/>
          <w:sz w:val="24"/>
          <w:szCs w:val="24"/>
          <w:lang w:eastAsia="en-GB"/>
        </w:rPr>
        <w:fldChar w:fldCharType="separate"/>
      </w:r>
      <w:r w:rsidR="00D5010D" w:rsidRPr="00E200A5">
        <w:rPr>
          <w:rFonts w:ascii="Times New Roman" w:hAnsi="Times New Roman" w:cs="Times New Roman"/>
          <w:sz w:val="24"/>
        </w:rPr>
        <w:t>Rammstedt et al., 2020; Soto &amp; John, 2017)</w:t>
      </w:r>
      <w:r w:rsidR="007A708E" w:rsidRPr="00E200A5">
        <w:rPr>
          <w:rFonts w:ascii="Times New Roman" w:eastAsia="Times New Roman" w:hAnsi="Times New Roman" w:cs="Times New Roman"/>
          <w:color w:val="000000"/>
          <w:sz w:val="24"/>
          <w:szCs w:val="24"/>
          <w:lang w:eastAsia="en-GB"/>
        </w:rPr>
        <w:fldChar w:fldCharType="end"/>
      </w:r>
      <w:r w:rsidR="001F3232" w:rsidRPr="00E200A5">
        <w:rPr>
          <w:rFonts w:ascii="Times New Roman" w:eastAsia="Times New Roman" w:hAnsi="Times New Roman" w:cs="Times New Roman"/>
          <w:color w:val="000000"/>
          <w:sz w:val="24"/>
          <w:szCs w:val="24"/>
          <w:lang w:eastAsia="en-GB"/>
        </w:rPr>
        <w:t>; although we did not have the opportunity to validate this observation in the current sample).</w:t>
      </w:r>
      <w:r w:rsidR="007064A0" w:rsidRPr="00E200A5">
        <w:rPr>
          <w:rFonts w:ascii="Times New Roman" w:eastAsia="Times New Roman" w:hAnsi="Times New Roman" w:cs="Times New Roman"/>
          <w:color w:val="000000"/>
          <w:sz w:val="24"/>
          <w:szCs w:val="24"/>
          <w:lang w:eastAsia="en-GB"/>
        </w:rPr>
        <w:t xml:space="preserve"> </w:t>
      </w:r>
      <w:r w:rsidR="0050545E" w:rsidRPr="00E200A5">
        <w:rPr>
          <w:rFonts w:ascii="Times New Roman" w:eastAsia="Times New Roman" w:hAnsi="Times New Roman" w:cs="Times New Roman"/>
          <w:color w:val="000000"/>
          <w:sz w:val="24"/>
          <w:szCs w:val="24"/>
          <w:lang w:eastAsia="en-GB"/>
        </w:rPr>
        <w:t xml:space="preserve">Secondly, while we had access to an important set of candidate predictors, clearly there are other factors that shape vaccination hesitancy that were not available in the dataset. Future work should consider including factors such as pathogen disgust sensitivity and political ideology. </w:t>
      </w:r>
      <w:r w:rsidR="0041417B" w:rsidRPr="00E200A5">
        <w:rPr>
          <w:rFonts w:ascii="Times New Roman" w:eastAsia="Times New Roman" w:hAnsi="Times New Roman" w:cs="Times New Roman"/>
          <w:color w:val="000000"/>
          <w:sz w:val="24"/>
          <w:szCs w:val="24"/>
          <w:lang w:eastAsia="en-GB"/>
        </w:rPr>
        <w:t>Fourthly</w:t>
      </w:r>
      <w:r w:rsidR="00586BE6" w:rsidRPr="00E200A5">
        <w:rPr>
          <w:rFonts w:ascii="Times New Roman" w:eastAsia="Times New Roman" w:hAnsi="Times New Roman" w:cs="Times New Roman"/>
          <w:color w:val="000000"/>
          <w:sz w:val="24"/>
          <w:szCs w:val="24"/>
          <w:lang w:eastAsia="en-GB"/>
        </w:rPr>
        <w:t xml:space="preserve">, the associations found </w:t>
      </w:r>
      <w:r w:rsidR="00996F6B" w:rsidRPr="00E200A5">
        <w:rPr>
          <w:rFonts w:ascii="Times New Roman" w:eastAsia="Times New Roman" w:hAnsi="Times New Roman" w:cs="Times New Roman"/>
          <w:color w:val="000000"/>
          <w:sz w:val="24"/>
          <w:szCs w:val="24"/>
          <w:lang w:eastAsia="en-GB"/>
        </w:rPr>
        <w:t>with</w:t>
      </w:r>
      <w:r w:rsidR="00586BE6" w:rsidRPr="00E200A5">
        <w:rPr>
          <w:rFonts w:ascii="Times New Roman" w:eastAsia="Times New Roman" w:hAnsi="Times New Roman" w:cs="Times New Roman"/>
          <w:color w:val="000000"/>
          <w:sz w:val="24"/>
          <w:szCs w:val="24"/>
          <w:lang w:eastAsia="en-GB"/>
        </w:rPr>
        <w:t xml:space="preserve"> seasonal flu </w:t>
      </w:r>
      <w:r w:rsidR="00996F6B" w:rsidRPr="00E200A5">
        <w:rPr>
          <w:rFonts w:ascii="Times New Roman" w:eastAsia="Times New Roman" w:hAnsi="Times New Roman" w:cs="Times New Roman"/>
          <w:color w:val="000000"/>
          <w:sz w:val="24"/>
          <w:szCs w:val="24"/>
          <w:lang w:eastAsia="en-GB"/>
        </w:rPr>
        <w:t xml:space="preserve">vaccination hesitancy </w:t>
      </w:r>
      <w:r w:rsidR="00586BE6" w:rsidRPr="00E200A5">
        <w:rPr>
          <w:rFonts w:ascii="Times New Roman" w:eastAsia="Times New Roman" w:hAnsi="Times New Roman" w:cs="Times New Roman"/>
          <w:color w:val="000000"/>
          <w:sz w:val="24"/>
          <w:szCs w:val="24"/>
          <w:lang w:eastAsia="en-GB"/>
        </w:rPr>
        <w:t xml:space="preserve">may be partly explained by the current COVID-19 pandemic, </w:t>
      </w:r>
      <w:r w:rsidR="000A6D1D" w:rsidRPr="00E200A5">
        <w:rPr>
          <w:rFonts w:ascii="Times New Roman" w:eastAsia="Times New Roman" w:hAnsi="Times New Roman" w:cs="Times New Roman"/>
          <w:color w:val="000000"/>
          <w:sz w:val="24"/>
          <w:szCs w:val="24"/>
          <w:lang w:eastAsia="en-GB"/>
        </w:rPr>
        <w:t xml:space="preserve">which has resulted in people taking up </w:t>
      </w:r>
      <w:r w:rsidR="00D525CB" w:rsidRPr="00E200A5">
        <w:rPr>
          <w:rFonts w:ascii="Times New Roman" w:eastAsia="Times New Roman" w:hAnsi="Times New Roman" w:cs="Times New Roman"/>
          <w:color w:val="000000"/>
          <w:sz w:val="24"/>
          <w:szCs w:val="24"/>
          <w:lang w:eastAsia="en-GB"/>
        </w:rPr>
        <w:lastRenderedPageBreak/>
        <w:t>more</w:t>
      </w:r>
      <w:r w:rsidR="000A6D1D" w:rsidRPr="00E200A5">
        <w:rPr>
          <w:rFonts w:ascii="Times New Roman" w:eastAsia="Times New Roman" w:hAnsi="Times New Roman" w:cs="Times New Roman"/>
          <w:color w:val="000000"/>
          <w:sz w:val="24"/>
          <w:szCs w:val="24"/>
          <w:lang w:eastAsia="en-GB"/>
        </w:rPr>
        <w:t xml:space="preserve"> preventative </w:t>
      </w:r>
      <w:r w:rsidR="00586BE6" w:rsidRPr="00E200A5">
        <w:rPr>
          <w:rFonts w:ascii="Times New Roman" w:eastAsia="Times New Roman" w:hAnsi="Times New Roman" w:cs="Times New Roman"/>
          <w:color w:val="000000"/>
          <w:sz w:val="24"/>
          <w:szCs w:val="24"/>
          <w:lang w:eastAsia="en-GB"/>
        </w:rPr>
        <w:t xml:space="preserve">health measures </w:t>
      </w:r>
      <w:r w:rsidR="00586BE6" w:rsidRPr="00E200A5">
        <w:rPr>
          <w:rFonts w:ascii="Times New Roman" w:eastAsia="Times New Roman" w:hAnsi="Times New Roman" w:cs="Times New Roman"/>
          <w:color w:val="000000"/>
          <w:sz w:val="24"/>
          <w:szCs w:val="24"/>
          <w:lang w:eastAsia="en-GB"/>
        </w:rPr>
        <w:fldChar w:fldCharType="begin"/>
      </w:r>
      <w:r w:rsidR="00285CCC" w:rsidRPr="00E200A5">
        <w:rPr>
          <w:rFonts w:ascii="Times New Roman" w:eastAsia="Times New Roman" w:hAnsi="Times New Roman" w:cs="Times New Roman"/>
          <w:color w:val="000000"/>
          <w:sz w:val="24"/>
          <w:szCs w:val="24"/>
          <w:lang w:eastAsia="en-GB"/>
        </w:rPr>
        <w:instrText xml:space="preserve"> ADDIN ZOTERO_ITEM CSL_CITATION {"citationID":"xtHYGPDQ","properties":{"formattedCitation":"(Kapoor &amp; Singhal, 2021; Raude et al., 2020)","plainCitation":"(Kapoor &amp; Singhal, 2021; Raude et al., 2020)","noteIndex":0},"citationItems":[{"id":1556,"uris":["http://zotero.org/users/5523892/items/372TCRVN"],"itemData":{"id":1556,"type":"article-journal","abstract":"Purpose\nHigh dispositional optimism is often associated with people engaging in behaviour that has adverse effects on their health such as smoking. This study aims to investigate people’s intention to adopt preventive health behaviour by observing the effectiveness of anti-smoking ads during the ongoing coronavirus (COVID-19) pandemic.\n\n\nDesign/methodology/approach\nTwo studies have been carried out, first with a UK sample and second with the US sample. The studies examined the effectiveness of anti-smoking ad (appeal: high fear vs low fear), smoking behaviour elicited perception of vulnerability to COVID-19 and dispositional optimism on lowering people’s urge to smoke.\n\n\nFindings\nThe study findings revealed a high fear appeal ad is more effective in lowering people’s urge to smoke. However, this association is significantly mediated by perception of vulnerability to COVID-19. Further, high dispositional optimism was found to moderate the effect of the anti-smoking ad on the perception of vulnerability to COVID-19, although a comparatively smaller effect was observed for the UK sample. Finally, high dispositional optimism significantly moderated the mediation of vulnerability to COVID-19 on lower urge to smoke only for the US sample.\n\n\nOriginality/value\nThe study highlights a need for a greater collaborative effort by the public, government, firms in the business of nicotine replacement solutions, socially responsible cigarette and tobacco manufacturing firms and health agencies that may lead to increased preventive health behaviour during the ongoing pandemic.","container-title":"Journal of Social Marketing","DOI":"10.1108/JSOCM-08-2020-0151","ISSN":"2042-6763, 2042-6763","issue":"2","journalAbbreviation":"JSOCM","language":"en","page":"124-147","source":"DOI.org (Crossref)","title":"Perceived vulnerability to covid-19, dispositional optimism and intention to adopt preventive health behaviour: an experiment with anti-smoking advertising","volume":"11","author":[{"family":"Kapoor","given":"Payal S."},{"family":"Singhal","given":"Vanshita"}],"issued":{"date-parts":[["2021",5,7]]},"citation-key":"kapoorPerceivedVulnerabilityCovid192021"}},{"id":4,"uris":["http://zotero.org/users/5523892/items/SFY5WD7J"],"itemData":{"id":4,"type":"article-journal","abstract":"In absence of effective pharmaceutical treatments, the individual’s compliance with a series of behavioral recommendations provided by the public health authorities play a critical role in the control and prevention of SARS-CoV2 infection. However, we still do not know much about the rate and determinants of adoption of the recommended health behaviors. This paper examines the compliance with the main behavioral recommendations, and compares sociocultural, psychosocial, and social cognitive explanations for its variation in the French population. Based on the current literature, these 3 categories of factors were identiﬁed as potential determinants of individual differences in the health preventive behaviors. The data used for these analyses are drawn from 2 cross-sectional studies (N = 2,000 in survey 1 and 2,003 in survey 2) conducted after the lockdown and before the peak of the COVID-19 epidemic in France. The participants were drawn from a larger internet consumer panel where recruitment was stratiﬁed to generate a socio-demographically representative sample of the French adult population. Overall, the results show a very high rate of compliance with the behavioral recommendations among the participants. A hierarchical regression analysis was then performed to assess the potential explanatory power of these approaches in complying with these recommendations by successively entering sociocultural factors, psychosocial factors, social cognitive factors in the model. Only the inclusion of the cognitive variables substantially increased the explained variance of the self-reported adoption of preventive behaviors (R² change = 23% in survey 1 and 2), providing better support for the social cognitive than the sociocultural and psychosocial explanations.","container-title":"Frontiers in Psychology","DOI":"10.3389/fpsyg.2020.584500","ISSN":"1664-1078","journalAbbreviation":"Front. Psychol.","language":"en","page":"584500","source":"DOI.org (Crossref)","title":"Determinants of preventive behaviors in response to the covid-19 pandemic in france: comparing the sociocultural, psychosocial, and social cognitive explanations","volume":"11","author":[{"family":"Raude","given":"Jocelyn"},{"family":"Lecrique","given":"Jean-Michel"},{"family":"Lasbeur","given":"Linda"},{"family":"Leon","given":"Christophe"},{"family":"Guignard","given":"Romain"},{"family":"Roscoät","given":"Enguerrand","non-dropping-particle":"du"},{"family":"Arwidson","given":"Pierre"}],"issued":{"date-parts":[["2020",11,30]]},"citation-key":"raudeDeterminantsPreventiveBehaviors2020"}}],"schema":"https://github.com/citation-style-language/schema/raw/master/csl-citation.json"} </w:instrText>
      </w:r>
      <w:r w:rsidR="00586BE6" w:rsidRPr="00E200A5">
        <w:rPr>
          <w:rFonts w:ascii="Times New Roman" w:eastAsia="Times New Roman" w:hAnsi="Times New Roman" w:cs="Times New Roman"/>
          <w:color w:val="000000"/>
          <w:sz w:val="24"/>
          <w:szCs w:val="24"/>
          <w:lang w:eastAsia="en-GB"/>
        </w:rPr>
        <w:fldChar w:fldCharType="separate"/>
      </w:r>
      <w:r w:rsidR="00AF0251" w:rsidRPr="00E200A5">
        <w:rPr>
          <w:rFonts w:ascii="Times New Roman" w:hAnsi="Times New Roman" w:cs="Times New Roman"/>
          <w:sz w:val="24"/>
        </w:rPr>
        <w:t>(Kapoor &amp; Singhal, 2021; Raude et al., 2020)</w:t>
      </w:r>
      <w:r w:rsidR="00586BE6" w:rsidRPr="00E200A5">
        <w:rPr>
          <w:rFonts w:ascii="Times New Roman" w:eastAsia="Times New Roman" w:hAnsi="Times New Roman" w:cs="Times New Roman"/>
          <w:color w:val="000000"/>
          <w:sz w:val="24"/>
          <w:szCs w:val="24"/>
          <w:lang w:eastAsia="en-GB"/>
        </w:rPr>
        <w:fldChar w:fldCharType="end"/>
      </w:r>
      <w:r w:rsidR="00EA63F4" w:rsidRPr="00E200A5">
        <w:rPr>
          <w:rFonts w:ascii="Times New Roman" w:eastAsia="Times New Roman" w:hAnsi="Times New Roman" w:cs="Times New Roman"/>
          <w:color w:val="000000"/>
          <w:sz w:val="24"/>
          <w:szCs w:val="24"/>
          <w:lang w:eastAsia="en-GB"/>
        </w:rPr>
        <w:t xml:space="preserve">. The seasonal flu </w:t>
      </w:r>
      <w:r w:rsidR="0068007D" w:rsidRPr="00E200A5">
        <w:rPr>
          <w:rFonts w:ascii="Times New Roman" w:eastAsia="Times New Roman" w:hAnsi="Times New Roman" w:cs="Times New Roman"/>
          <w:color w:val="000000"/>
          <w:sz w:val="24"/>
          <w:szCs w:val="24"/>
          <w:lang w:eastAsia="en-GB"/>
        </w:rPr>
        <w:t xml:space="preserve">vaccine represents a </w:t>
      </w:r>
      <w:r w:rsidR="0075571A" w:rsidRPr="00E200A5">
        <w:rPr>
          <w:rFonts w:ascii="Times New Roman" w:eastAsia="Times New Roman" w:hAnsi="Times New Roman" w:cs="Times New Roman"/>
          <w:color w:val="000000"/>
          <w:sz w:val="24"/>
          <w:szCs w:val="24"/>
          <w:lang w:eastAsia="en-GB"/>
        </w:rPr>
        <w:t>preventative health measure</w:t>
      </w:r>
      <w:r w:rsidR="001106CE" w:rsidRPr="00E200A5">
        <w:rPr>
          <w:rFonts w:ascii="Times New Roman" w:eastAsia="Times New Roman" w:hAnsi="Times New Roman" w:cs="Times New Roman"/>
          <w:color w:val="000000"/>
          <w:sz w:val="24"/>
          <w:szCs w:val="24"/>
          <w:lang w:eastAsia="en-GB"/>
        </w:rPr>
        <w:t xml:space="preserve">, as it would be protective against </w:t>
      </w:r>
      <w:r w:rsidR="00F93D59" w:rsidRPr="00E200A5">
        <w:rPr>
          <w:rFonts w:ascii="Times New Roman" w:eastAsia="Times New Roman" w:hAnsi="Times New Roman" w:cs="Times New Roman"/>
          <w:color w:val="000000"/>
          <w:sz w:val="24"/>
          <w:szCs w:val="24"/>
          <w:lang w:eastAsia="en-GB"/>
        </w:rPr>
        <w:t>a</w:t>
      </w:r>
      <w:r w:rsidR="00C631B1" w:rsidRPr="00E200A5">
        <w:rPr>
          <w:rFonts w:ascii="Times New Roman" w:eastAsia="Times New Roman" w:hAnsi="Times New Roman" w:cs="Times New Roman"/>
          <w:color w:val="000000"/>
          <w:sz w:val="24"/>
          <w:szCs w:val="24"/>
          <w:lang w:eastAsia="en-GB"/>
        </w:rPr>
        <w:t xml:space="preserve"> flu </w:t>
      </w:r>
      <w:r w:rsidR="00273F3D" w:rsidRPr="00E200A5">
        <w:rPr>
          <w:rFonts w:ascii="Times New Roman" w:eastAsia="Times New Roman" w:hAnsi="Times New Roman" w:cs="Times New Roman"/>
          <w:color w:val="000000"/>
          <w:sz w:val="24"/>
          <w:szCs w:val="24"/>
          <w:lang w:eastAsia="en-GB"/>
        </w:rPr>
        <w:t xml:space="preserve">infection occurring at the same time as a potential </w:t>
      </w:r>
      <w:r w:rsidR="00C631B1" w:rsidRPr="00E200A5">
        <w:rPr>
          <w:rFonts w:ascii="Times New Roman" w:eastAsia="Times New Roman" w:hAnsi="Times New Roman" w:cs="Times New Roman"/>
          <w:color w:val="000000"/>
          <w:sz w:val="24"/>
          <w:szCs w:val="24"/>
          <w:lang w:eastAsia="en-GB"/>
        </w:rPr>
        <w:t xml:space="preserve">COVID </w:t>
      </w:r>
      <w:r w:rsidR="00D36B1D" w:rsidRPr="00E200A5">
        <w:rPr>
          <w:rFonts w:ascii="Times New Roman" w:eastAsia="Times New Roman" w:hAnsi="Times New Roman" w:cs="Times New Roman"/>
          <w:color w:val="000000"/>
          <w:sz w:val="24"/>
          <w:szCs w:val="24"/>
          <w:lang w:eastAsia="en-GB"/>
        </w:rPr>
        <w:t>infection</w:t>
      </w:r>
      <w:r w:rsidR="004A2FE3" w:rsidRPr="00E200A5">
        <w:rPr>
          <w:rFonts w:ascii="Times New Roman" w:eastAsia="Times New Roman" w:hAnsi="Times New Roman" w:cs="Times New Roman"/>
          <w:color w:val="000000"/>
          <w:sz w:val="24"/>
          <w:szCs w:val="24"/>
          <w:lang w:eastAsia="en-GB"/>
        </w:rPr>
        <w:t>,</w:t>
      </w:r>
      <w:r w:rsidR="002C2E35" w:rsidRPr="00E200A5">
        <w:rPr>
          <w:rFonts w:ascii="Times New Roman" w:eastAsia="Times New Roman" w:hAnsi="Times New Roman" w:cs="Times New Roman"/>
          <w:color w:val="000000"/>
          <w:sz w:val="24"/>
          <w:szCs w:val="24"/>
          <w:lang w:eastAsia="en-GB"/>
        </w:rPr>
        <w:t xml:space="preserve"> </w:t>
      </w:r>
      <w:r w:rsidR="0068007D" w:rsidRPr="00E200A5">
        <w:rPr>
          <w:rFonts w:ascii="Times New Roman" w:eastAsia="Times New Roman" w:hAnsi="Times New Roman" w:cs="Times New Roman"/>
          <w:color w:val="000000"/>
          <w:sz w:val="24"/>
          <w:szCs w:val="24"/>
          <w:lang w:eastAsia="en-GB"/>
        </w:rPr>
        <w:t xml:space="preserve">which may lead to associations </w:t>
      </w:r>
      <w:r w:rsidR="0009511F" w:rsidRPr="00E200A5">
        <w:rPr>
          <w:rFonts w:ascii="Times New Roman" w:eastAsia="Times New Roman" w:hAnsi="Times New Roman" w:cs="Times New Roman"/>
          <w:color w:val="000000"/>
          <w:sz w:val="24"/>
          <w:szCs w:val="24"/>
          <w:lang w:eastAsia="en-GB"/>
        </w:rPr>
        <w:t>carrying over</w:t>
      </w:r>
      <w:r w:rsidR="0068007D" w:rsidRPr="00E200A5">
        <w:rPr>
          <w:rFonts w:ascii="Times New Roman" w:eastAsia="Times New Roman" w:hAnsi="Times New Roman" w:cs="Times New Roman"/>
          <w:color w:val="000000"/>
          <w:sz w:val="24"/>
          <w:szCs w:val="24"/>
          <w:lang w:eastAsia="en-GB"/>
        </w:rPr>
        <w:t xml:space="preserve"> </w:t>
      </w:r>
      <w:r w:rsidR="00D61BDB" w:rsidRPr="00E200A5">
        <w:rPr>
          <w:rFonts w:ascii="Times New Roman" w:eastAsia="Times New Roman" w:hAnsi="Times New Roman" w:cs="Times New Roman"/>
          <w:color w:val="000000"/>
          <w:sz w:val="24"/>
          <w:szCs w:val="24"/>
          <w:lang w:eastAsia="en-GB"/>
        </w:rPr>
        <w:t>from COVID to flu</w:t>
      </w:r>
      <w:r w:rsidR="00C631B1" w:rsidRPr="00E200A5">
        <w:rPr>
          <w:rFonts w:ascii="Times New Roman" w:eastAsia="Times New Roman" w:hAnsi="Times New Roman" w:cs="Times New Roman"/>
          <w:color w:val="000000"/>
          <w:sz w:val="24"/>
          <w:szCs w:val="24"/>
          <w:lang w:eastAsia="en-GB"/>
        </w:rPr>
        <w:t>.</w:t>
      </w:r>
      <w:r w:rsidR="00D12242" w:rsidRPr="00E200A5">
        <w:rPr>
          <w:rFonts w:ascii="Times New Roman" w:eastAsia="Times New Roman" w:hAnsi="Times New Roman" w:cs="Times New Roman"/>
          <w:color w:val="000000"/>
          <w:sz w:val="24"/>
          <w:szCs w:val="24"/>
          <w:lang w:eastAsia="en-GB"/>
        </w:rPr>
        <w:t xml:space="preserve"> This possibility is supported by the large correlation between seasonal flu and COVID-19 vaccination hesitancy. However, from our regression results</w:t>
      </w:r>
      <w:r w:rsidR="00186569" w:rsidRPr="00E200A5">
        <w:rPr>
          <w:rFonts w:ascii="Times New Roman" w:eastAsia="Times New Roman" w:hAnsi="Times New Roman" w:cs="Times New Roman"/>
          <w:color w:val="000000"/>
          <w:sz w:val="24"/>
          <w:szCs w:val="24"/>
          <w:lang w:eastAsia="en-GB"/>
        </w:rPr>
        <w:t xml:space="preserve"> in the sub-sample, </w:t>
      </w:r>
      <w:r w:rsidR="00D12242" w:rsidRPr="00E200A5">
        <w:rPr>
          <w:rFonts w:ascii="Times New Roman" w:eastAsia="Times New Roman" w:hAnsi="Times New Roman" w:cs="Times New Roman"/>
          <w:color w:val="000000"/>
          <w:sz w:val="24"/>
          <w:szCs w:val="24"/>
          <w:lang w:eastAsia="en-GB"/>
        </w:rPr>
        <w:t>there appear to be some unique differences in their relationships to our predictor variables.</w:t>
      </w:r>
    </w:p>
    <w:p w14:paraId="0D7CCB0C" w14:textId="6D29CD86" w:rsidR="00FA5715" w:rsidRPr="00E200A5" w:rsidRDefault="00FA5715" w:rsidP="00C915C8">
      <w:pPr>
        <w:spacing w:before="240" w:after="0" w:line="480" w:lineRule="auto"/>
        <w:ind w:firstLine="720"/>
        <w:jc w:val="both"/>
        <w:rPr>
          <w:rFonts w:ascii="Times New Roman" w:eastAsia="Times New Roman" w:hAnsi="Times New Roman" w:cs="Times New Roman"/>
          <w:color w:val="000000"/>
          <w:sz w:val="24"/>
          <w:szCs w:val="24"/>
          <w:lang w:eastAsia="en-GB"/>
        </w:rPr>
      </w:pPr>
      <w:r w:rsidRPr="00E200A5">
        <w:rPr>
          <w:rFonts w:ascii="Times New Roman" w:eastAsia="Times New Roman" w:hAnsi="Times New Roman" w:cs="Times New Roman"/>
          <w:color w:val="000000"/>
          <w:sz w:val="24"/>
          <w:szCs w:val="24"/>
          <w:lang w:eastAsia="en-GB"/>
        </w:rPr>
        <w:t xml:space="preserve">In summary, </w:t>
      </w:r>
      <w:r w:rsidR="00DD73FB" w:rsidRPr="00E200A5">
        <w:rPr>
          <w:rFonts w:ascii="Times New Roman" w:eastAsia="Times New Roman" w:hAnsi="Times New Roman" w:cs="Times New Roman"/>
          <w:color w:val="000000"/>
          <w:sz w:val="24"/>
          <w:szCs w:val="24"/>
          <w:lang w:eastAsia="en-GB"/>
        </w:rPr>
        <w:t xml:space="preserve">intelligence </w:t>
      </w:r>
      <w:r w:rsidR="003F0ADD" w:rsidRPr="00E200A5">
        <w:rPr>
          <w:rFonts w:ascii="Times New Roman" w:eastAsia="Times New Roman" w:hAnsi="Times New Roman" w:cs="Times New Roman"/>
          <w:color w:val="000000"/>
          <w:sz w:val="24"/>
          <w:szCs w:val="24"/>
          <w:lang w:eastAsia="en-GB"/>
        </w:rPr>
        <w:t>is a significant</w:t>
      </w:r>
      <w:r w:rsidR="00DD73FB" w:rsidRPr="00E200A5">
        <w:rPr>
          <w:rFonts w:ascii="Times New Roman" w:eastAsia="Times New Roman" w:hAnsi="Times New Roman" w:cs="Times New Roman"/>
          <w:color w:val="000000"/>
          <w:sz w:val="24"/>
          <w:szCs w:val="24"/>
          <w:lang w:eastAsia="en-GB"/>
        </w:rPr>
        <w:t xml:space="preserve"> predictor of </w:t>
      </w:r>
      <w:r w:rsidR="000B5EB7" w:rsidRPr="00E200A5">
        <w:rPr>
          <w:rFonts w:ascii="Times New Roman" w:eastAsia="Times New Roman" w:hAnsi="Times New Roman" w:cs="Times New Roman"/>
          <w:color w:val="000000"/>
          <w:sz w:val="24"/>
          <w:szCs w:val="24"/>
          <w:lang w:eastAsia="en-GB"/>
        </w:rPr>
        <w:t xml:space="preserve">COVID </w:t>
      </w:r>
      <w:r w:rsidR="00DD73FB" w:rsidRPr="00E200A5">
        <w:rPr>
          <w:rFonts w:ascii="Times New Roman" w:eastAsia="Times New Roman" w:hAnsi="Times New Roman" w:cs="Times New Roman"/>
          <w:color w:val="000000"/>
          <w:sz w:val="24"/>
          <w:szCs w:val="24"/>
          <w:lang w:eastAsia="en-GB"/>
        </w:rPr>
        <w:t>vaccination hesitancy, which generalise</w:t>
      </w:r>
      <w:r w:rsidR="00335CA0" w:rsidRPr="00E200A5">
        <w:rPr>
          <w:rFonts w:ascii="Times New Roman" w:eastAsia="Times New Roman" w:hAnsi="Times New Roman" w:cs="Times New Roman"/>
          <w:color w:val="000000"/>
          <w:sz w:val="24"/>
          <w:szCs w:val="24"/>
          <w:lang w:eastAsia="en-GB"/>
        </w:rPr>
        <w:t>s</w:t>
      </w:r>
      <w:r w:rsidR="00DD73FB" w:rsidRPr="00E200A5">
        <w:rPr>
          <w:rFonts w:ascii="Times New Roman" w:eastAsia="Times New Roman" w:hAnsi="Times New Roman" w:cs="Times New Roman"/>
          <w:color w:val="000000"/>
          <w:sz w:val="24"/>
          <w:szCs w:val="24"/>
          <w:lang w:eastAsia="en-GB"/>
        </w:rPr>
        <w:t xml:space="preserve"> </w:t>
      </w:r>
      <w:r w:rsidR="001E771D" w:rsidRPr="00E200A5">
        <w:rPr>
          <w:rFonts w:ascii="Times New Roman" w:eastAsia="Times New Roman" w:hAnsi="Times New Roman" w:cs="Times New Roman"/>
          <w:color w:val="000000"/>
          <w:sz w:val="24"/>
          <w:szCs w:val="24"/>
          <w:lang w:eastAsia="en-GB"/>
        </w:rPr>
        <w:t>to at least one other form of vaccination</w:t>
      </w:r>
      <w:r w:rsidR="001541A1" w:rsidRPr="00E200A5">
        <w:rPr>
          <w:rFonts w:ascii="Times New Roman" w:eastAsia="Times New Roman" w:hAnsi="Times New Roman" w:cs="Times New Roman"/>
          <w:color w:val="000000"/>
          <w:sz w:val="24"/>
          <w:szCs w:val="24"/>
          <w:lang w:eastAsia="en-GB"/>
        </w:rPr>
        <w:t>.</w:t>
      </w:r>
      <w:r w:rsidR="00DD73FB" w:rsidRPr="00E200A5">
        <w:rPr>
          <w:rFonts w:ascii="Times New Roman" w:eastAsia="Times New Roman" w:hAnsi="Times New Roman" w:cs="Times New Roman"/>
          <w:color w:val="000000"/>
          <w:sz w:val="24"/>
          <w:szCs w:val="24"/>
          <w:lang w:eastAsia="en-GB"/>
        </w:rPr>
        <w:t xml:space="preserve"> There is also a degree of heterogeneity in predictors of </w:t>
      </w:r>
      <w:r w:rsidR="002A7FE3" w:rsidRPr="00E200A5">
        <w:rPr>
          <w:rFonts w:ascii="Times New Roman" w:eastAsia="Times New Roman" w:hAnsi="Times New Roman" w:cs="Times New Roman"/>
          <w:color w:val="000000"/>
          <w:sz w:val="24"/>
          <w:szCs w:val="24"/>
          <w:lang w:eastAsia="en-GB"/>
        </w:rPr>
        <w:t xml:space="preserve">specific </w:t>
      </w:r>
      <w:r w:rsidR="00EA672E" w:rsidRPr="00E200A5">
        <w:rPr>
          <w:rFonts w:ascii="Times New Roman" w:eastAsia="Times New Roman" w:hAnsi="Times New Roman" w:cs="Times New Roman"/>
          <w:color w:val="000000"/>
          <w:sz w:val="24"/>
          <w:szCs w:val="24"/>
          <w:lang w:eastAsia="en-GB"/>
        </w:rPr>
        <w:t>motivations</w:t>
      </w:r>
      <w:r w:rsidR="00DD73FB" w:rsidRPr="00E200A5">
        <w:rPr>
          <w:rFonts w:ascii="Times New Roman" w:eastAsia="Times New Roman" w:hAnsi="Times New Roman" w:cs="Times New Roman"/>
          <w:color w:val="000000"/>
          <w:sz w:val="24"/>
          <w:szCs w:val="24"/>
          <w:lang w:eastAsia="en-GB"/>
        </w:rPr>
        <w:t xml:space="preserve"> to be vaccine hesitant. However, the predictors of vaccination hesitancy across vaccination types are largely homogeneous.</w:t>
      </w:r>
      <w:r w:rsidR="009F6E27" w:rsidRPr="00E200A5">
        <w:rPr>
          <w:rFonts w:ascii="Times New Roman" w:eastAsia="Times New Roman" w:hAnsi="Times New Roman" w:cs="Times New Roman"/>
          <w:color w:val="000000"/>
          <w:sz w:val="24"/>
          <w:szCs w:val="24"/>
          <w:lang w:eastAsia="en-GB"/>
        </w:rPr>
        <w:t xml:space="preserve"> </w:t>
      </w:r>
      <w:r w:rsidR="00944FCC" w:rsidRPr="00E200A5">
        <w:rPr>
          <w:rFonts w:ascii="Times New Roman" w:eastAsia="Times New Roman" w:hAnsi="Times New Roman" w:cs="Times New Roman"/>
          <w:color w:val="000000"/>
          <w:sz w:val="24"/>
          <w:szCs w:val="24"/>
          <w:lang w:eastAsia="en-GB"/>
        </w:rPr>
        <w:t>These results provide</w:t>
      </w:r>
      <w:r w:rsidR="009F6E27" w:rsidRPr="00E200A5">
        <w:rPr>
          <w:rFonts w:ascii="Times New Roman" w:eastAsia="Times New Roman" w:hAnsi="Times New Roman" w:cs="Times New Roman"/>
          <w:color w:val="000000"/>
          <w:sz w:val="24"/>
          <w:szCs w:val="24"/>
          <w:lang w:eastAsia="en-GB"/>
        </w:rPr>
        <w:t xml:space="preserve"> an important and nuanced insight into vaccination </w:t>
      </w:r>
      <w:r w:rsidR="00D911ED" w:rsidRPr="00E200A5">
        <w:rPr>
          <w:rFonts w:ascii="Times New Roman" w:eastAsia="Times New Roman" w:hAnsi="Times New Roman" w:cs="Times New Roman"/>
          <w:color w:val="000000"/>
          <w:sz w:val="24"/>
          <w:szCs w:val="24"/>
          <w:lang w:eastAsia="en-GB"/>
        </w:rPr>
        <w:t>hesitancy and</w:t>
      </w:r>
      <w:r w:rsidR="009F6E27" w:rsidRPr="00E200A5">
        <w:rPr>
          <w:rFonts w:ascii="Times New Roman" w:eastAsia="Times New Roman" w:hAnsi="Times New Roman" w:cs="Times New Roman"/>
          <w:color w:val="000000"/>
          <w:sz w:val="24"/>
          <w:szCs w:val="24"/>
          <w:lang w:eastAsia="en-GB"/>
        </w:rPr>
        <w:t xml:space="preserve"> help to reconcile some of the inconsistencies found in previous literature.</w:t>
      </w:r>
    </w:p>
    <w:p w14:paraId="3093D78B" w14:textId="3CC29024" w:rsidR="006B6DB5" w:rsidRPr="00E200A5" w:rsidRDefault="006B6DB5" w:rsidP="006B6DB5">
      <w:pPr>
        <w:spacing w:before="240" w:after="0" w:line="480" w:lineRule="auto"/>
        <w:jc w:val="both"/>
        <w:rPr>
          <w:rFonts w:ascii="Times New Roman" w:eastAsia="Times New Roman" w:hAnsi="Times New Roman" w:cs="Times New Roman"/>
          <w:b/>
          <w:bCs/>
          <w:color w:val="000000"/>
          <w:sz w:val="24"/>
          <w:szCs w:val="24"/>
          <w:lang w:eastAsia="en-GB"/>
        </w:rPr>
      </w:pPr>
      <w:r w:rsidRPr="00E200A5">
        <w:rPr>
          <w:rFonts w:ascii="Times New Roman" w:eastAsia="Times New Roman" w:hAnsi="Times New Roman" w:cs="Times New Roman"/>
          <w:b/>
          <w:bCs/>
          <w:color w:val="000000"/>
          <w:sz w:val="24"/>
          <w:szCs w:val="24"/>
          <w:lang w:eastAsia="en-GB"/>
        </w:rPr>
        <w:t>Acknowledgements</w:t>
      </w:r>
    </w:p>
    <w:p w14:paraId="0F209151" w14:textId="16CE8847" w:rsidR="00D57D7D" w:rsidRPr="00E200A5" w:rsidRDefault="005B6736" w:rsidP="000A7EFD">
      <w:pPr>
        <w:spacing w:before="240"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NOMIS Foundation</w:t>
      </w:r>
    </w:p>
    <w:p w14:paraId="3C6AE80A" w14:textId="6C54A4B1" w:rsidR="00B947BE" w:rsidRPr="00E200A5" w:rsidRDefault="00B947BE" w:rsidP="00C915C8">
      <w:pPr>
        <w:spacing w:before="240" w:after="0" w:line="480" w:lineRule="auto"/>
        <w:ind w:firstLine="720"/>
        <w:jc w:val="both"/>
        <w:rPr>
          <w:rFonts w:ascii="Times New Roman" w:eastAsia="Times New Roman" w:hAnsi="Times New Roman" w:cs="Times New Roman"/>
          <w:color w:val="000000"/>
          <w:sz w:val="24"/>
          <w:szCs w:val="24"/>
          <w:lang w:eastAsia="en-GB"/>
        </w:rPr>
      </w:pPr>
    </w:p>
    <w:p w14:paraId="063F0B12" w14:textId="3B987340" w:rsidR="00B947BE" w:rsidRPr="00E200A5" w:rsidRDefault="00B947BE" w:rsidP="00C915C8">
      <w:pPr>
        <w:spacing w:before="240" w:after="0" w:line="480" w:lineRule="auto"/>
        <w:ind w:firstLine="720"/>
        <w:jc w:val="both"/>
        <w:rPr>
          <w:rFonts w:ascii="Times New Roman" w:eastAsia="Times New Roman" w:hAnsi="Times New Roman" w:cs="Times New Roman"/>
          <w:color w:val="000000"/>
          <w:sz w:val="24"/>
          <w:szCs w:val="24"/>
          <w:lang w:eastAsia="en-GB"/>
        </w:rPr>
      </w:pPr>
    </w:p>
    <w:p w14:paraId="628A438D" w14:textId="6D4E683D" w:rsidR="00B947BE" w:rsidRPr="00E200A5" w:rsidRDefault="00B947BE" w:rsidP="00C915C8">
      <w:pPr>
        <w:spacing w:before="240" w:after="0" w:line="480" w:lineRule="auto"/>
        <w:ind w:firstLine="720"/>
        <w:jc w:val="both"/>
        <w:rPr>
          <w:rFonts w:ascii="Times New Roman" w:eastAsia="Times New Roman" w:hAnsi="Times New Roman" w:cs="Times New Roman"/>
          <w:color w:val="000000"/>
          <w:sz w:val="24"/>
          <w:szCs w:val="24"/>
          <w:lang w:eastAsia="en-GB"/>
        </w:rPr>
      </w:pPr>
    </w:p>
    <w:p w14:paraId="7401DB33" w14:textId="06433B3A" w:rsidR="00B947BE" w:rsidRPr="00E200A5" w:rsidRDefault="00B947BE" w:rsidP="00C915C8">
      <w:pPr>
        <w:spacing w:before="240" w:after="0" w:line="480" w:lineRule="auto"/>
        <w:ind w:firstLine="720"/>
        <w:jc w:val="both"/>
        <w:rPr>
          <w:rFonts w:ascii="Times New Roman" w:eastAsia="Times New Roman" w:hAnsi="Times New Roman" w:cs="Times New Roman"/>
          <w:color w:val="000000"/>
          <w:sz w:val="24"/>
          <w:szCs w:val="24"/>
          <w:lang w:eastAsia="en-GB"/>
        </w:rPr>
      </w:pPr>
    </w:p>
    <w:p w14:paraId="74D75256" w14:textId="037E95FF" w:rsidR="008A68A7" w:rsidRPr="00E200A5" w:rsidRDefault="008A68A7" w:rsidP="008A68A7">
      <w:pPr>
        <w:rPr>
          <w:lang w:eastAsia="en-GB"/>
        </w:rPr>
      </w:pPr>
    </w:p>
    <w:p w14:paraId="2A4D08B7" w14:textId="77777777" w:rsidR="008A68A7" w:rsidRPr="00E200A5" w:rsidRDefault="008A68A7" w:rsidP="000A7EFD">
      <w:pPr>
        <w:rPr>
          <w:lang w:eastAsia="en-GB"/>
        </w:rPr>
      </w:pPr>
    </w:p>
    <w:p w14:paraId="673C9233" w14:textId="19C196C1" w:rsidR="00E63D71" w:rsidRPr="00E200A5" w:rsidRDefault="00E63D71" w:rsidP="00E63D71">
      <w:pPr>
        <w:rPr>
          <w:lang w:eastAsia="en-GB"/>
        </w:rPr>
      </w:pPr>
    </w:p>
    <w:p w14:paraId="194D6749" w14:textId="77777777" w:rsidR="00563E8E" w:rsidRPr="00E200A5" w:rsidRDefault="00563E8E" w:rsidP="00C915C8">
      <w:pPr>
        <w:pStyle w:val="Bibliography"/>
        <w:jc w:val="center"/>
        <w:rPr>
          <w:rFonts w:ascii="Times New Roman" w:hAnsi="Times New Roman" w:cs="Times New Roman"/>
          <w:b/>
          <w:bCs/>
          <w:sz w:val="24"/>
          <w:szCs w:val="24"/>
        </w:rPr>
      </w:pPr>
    </w:p>
    <w:p w14:paraId="7A4B9DE1" w14:textId="3C22ACD6" w:rsidR="00322406" w:rsidRPr="00E200A5" w:rsidRDefault="00A913D5" w:rsidP="00C915C8">
      <w:pPr>
        <w:pStyle w:val="Bibliography"/>
        <w:jc w:val="center"/>
        <w:rPr>
          <w:rFonts w:ascii="Times New Roman" w:hAnsi="Times New Roman" w:cs="Times New Roman"/>
          <w:b/>
          <w:bCs/>
          <w:sz w:val="24"/>
          <w:szCs w:val="24"/>
        </w:rPr>
      </w:pPr>
      <w:r w:rsidRPr="00E200A5">
        <w:rPr>
          <w:rFonts w:ascii="Times New Roman" w:hAnsi="Times New Roman" w:cs="Times New Roman"/>
          <w:b/>
          <w:bCs/>
          <w:sz w:val="24"/>
          <w:szCs w:val="24"/>
        </w:rPr>
        <w:lastRenderedPageBreak/>
        <w:t>R</w:t>
      </w:r>
      <w:r w:rsidR="00322406" w:rsidRPr="00E200A5">
        <w:rPr>
          <w:rFonts w:ascii="Times New Roman" w:hAnsi="Times New Roman" w:cs="Times New Roman"/>
          <w:b/>
          <w:bCs/>
          <w:sz w:val="24"/>
          <w:szCs w:val="24"/>
        </w:rPr>
        <w:t>eferences</w:t>
      </w:r>
    </w:p>
    <w:p w14:paraId="6EB4410D" w14:textId="77777777" w:rsidR="00285CCC" w:rsidRPr="00E200A5" w:rsidRDefault="00D5010D" w:rsidP="00285CCC">
      <w:pPr>
        <w:pStyle w:val="Bibliography"/>
      </w:pPr>
      <w:r w:rsidRPr="00E200A5">
        <w:fldChar w:fldCharType="begin"/>
      </w:r>
      <w:r w:rsidR="008B5E30" w:rsidRPr="00E200A5">
        <w:instrText xml:space="preserve"> ADDIN ZOTERO_BIBL {"uncited":[],"omitted":[],"custom":[]} CSL_BIBLIOGRAPHY </w:instrText>
      </w:r>
      <w:r w:rsidRPr="00E200A5">
        <w:fldChar w:fldCharType="separate"/>
      </w:r>
      <w:r w:rsidR="00285CCC" w:rsidRPr="00E200A5">
        <w:t xml:space="preserve">Baron, J., &amp; Ritov, I. (2004). Omission bias, individual differences, and normality. </w:t>
      </w:r>
      <w:r w:rsidR="00285CCC" w:rsidRPr="00E200A5">
        <w:rPr>
          <w:i/>
          <w:iCs/>
        </w:rPr>
        <w:t>Organizational Behavior and Human Decision Processes</w:t>
      </w:r>
      <w:r w:rsidR="00285CCC" w:rsidRPr="00E200A5">
        <w:t xml:space="preserve">, </w:t>
      </w:r>
      <w:r w:rsidR="00285CCC" w:rsidRPr="00E200A5">
        <w:rPr>
          <w:i/>
          <w:iCs/>
        </w:rPr>
        <w:t>94</w:t>
      </w:r>
      <w:r w:rsidR="00285CCC" w:rsidRPr="00E200A5">
        <w:t>(2), 74–85. https://doi.org/10.1016/j.obhdp.2004.03.003</w:t>
      </w:r>
    </w:p>
    <w:p w14:paraId="14309420" w14:textId="77777777" w:rsidR="00285CCC" w:rsidRPr="00E200A5" w:rsidRDefault="00285CCC" w:rsidP="00285CCC">
      <w:pPr>
        <w:pStyle w:val="Bibliography"/>
      </w:pPr>
      <w:r w:rsidRPr="00E200A5">
        <w:t xml:space="preserve">Benecke, O., &amp; DeYoung, S. E. (2019). Anti-vaccine decision-making and measles resurgence in the united states. </w:t>
      </w:r>
      <w:r w:rsidRPr="00E200A5">
        <w:rPr>
          <w:i/>
          <w:iCs/>
        </w:rPr>
        <w:t>Global Pediatric Health</w:t>
      </w:r>
      <w:r w:rsidRPr="00E200A5">
        <w:t xml:space="preserve">, </w:t>
      </w:r>
      <w:r w:rsidRPr="00E200A5">
        <w:rPr>
          <w:i/>
          <w:iCs/>
        </w:rPr>
        <w:t>6</w:t>
      </w:r>
      <w:r w:rsidRPr="00E200A5">
        <w:t>, 2333794X1986294. https://doi.org/10.1177/2333794X19862949</w:t>
      </w:r>
    </w:p>
    <w:p w14:paraId="26AF419B" w14:textId="77777777" w:rsidR="00285CCC" w:rsidRPr="00E200A5" w:rsidRDefault="00285CCC" w:rsidP="00285CCC">
      <w:pPr>
        <w:pStyle w:val="Bibliography"/>
      </w:pPr>
      <w:r w:rsidRPr="00E200A5">
        <w:t xml:space="preserve">Benzeval, M., Bollinger, C. R., Burton, J., Crossley, T. F., &amp; Lynn, P. (2020). </w:t>
      </w:r>
      <w:r w:rsidRPr="00E200A5">
        <w:rPr>
          <w:i/>
          <w:iCs/>
        </w:rPr>
        <w:t>The representativeness of Understanding Society</w:t>
      </w:r>
      <w:r w:rsidRPr="00E200A5">
        <w:t>. 30.</w:t>
      </w:r>
    </w:p>
    <w:p w14:paraId="2C7490B5" w14:textId="77777777" w:rsidR="00285CCC" w:rsidRPr="00E200A5" w:rsidRDefault="00285CCC" w:rsidP="00285CCC">
      <w:pPr>
        <w:pStyle w:val="Bibliography"/>
      </w:pPr>
      <w:r w:rsidRPr="00E200A5">
        <w:t xml:space="preserve">Berthoud, R., Fumagalli, L., Lynn, P., &amp; Platt, L. (2009). </w:t>
      </w:r>
      <w:r w:rsidRPr="00E200A5">
        <w:rPr>
          <w:i/>
          <w:iCs/>
        </w:rPr>
        <w:t>Design of the Understanding Society Ethnic Minority Boost Sample</w:t>
      </w:r>
      <w:r w:rsidRPr="00E200A5">
        <w:t>. 32.</w:t>
      </w:r>
    </w:p>
    <w:p w14:paraId="0EE0287A" w14:textId="77777777" w:rsidR="00285CCC" w:rsidRPr="00E200A5" w:rsidRDefault="00285CCC" w:rsidP="00285CCC">
      <w:pPr>
        <w:pStyle w:val="Bibliography"/>
      </w:pPr>
      <w:r w:rsidRPr="00E200A5">
        <w:t xml:space="preserve">Bertoncello, C., Ferro, A., Fonzo, M., Zanovello, S., Napoletano, G., Russo, F., Baldo, V., &amp; Cocchio, S. (2020). </w:t>
      </w:r>
      <w:r w:rsidRPr="00E200A5">
        <w:rPr>
          <w:i/>
          <w:iCs/>
        </w:rPr>
        <w:t>Socioeconomic determinants in vaccine hesitancy and vaccine refusal in italy</w:t>
      </w:r>
      <w:r w:rsidRPr="00E200A5">
        <w:t>. 9.</w:t>
      </w:r>
    </w:p>
    <w:p w14:paraId="487D970D" w14:textId="77777777" w:rsidR="00285CCC" w:rsidRPr="00E200A5" w:rsidRDefault="00285CCC" w:rsidP="00285CCC">
      <w:pPr>
        <w:pStyle w:val="Bibliography"/>
      </w:pPr>
      <w:r w:rsidRPr="00E200A5">
        <w:t xml:space="preserve">Brant, R. (1990). Assessing Proportionality in the Proportional Odds Model for Ordinal Logistic Regression. </w:t>
      </w:r>
      <w:r w:rsidRPr="00E200A5">
        <w:rPr>
          <w:i/>
          <w:iCs/>
        </w:rPr>
        <w:t>Biometrics</w:t>
      </w:r>
      <w:r w:rsidRPr="00E200A5">
        <w:t xml:space="preserve">, </w:t>
      </w:r>
      <w:r w:rsidRPr="00E200A5">
        <w:rPr>
          <w:i/>
          <w:iCs/>
        </w:rPr>
        <w:t>46</w:t>
      </w:r>
      <w:r w:rsidRPr="00E200A5">
        <w:t>(4), 1171. https://doi.org/10.2307/2532457</w:t>
      </w:r>
    </w:p>
    <w:p w14:paraId="1518B98C" w14:textId="77777777" w:rsidR="00285CCC" w:rsidRPr="00E200A5" w:rsidRDefault="00285CCC" w:rsidP="00285CCC">
      <w:pPr>
        <w:pStyle w:val="Bibliography"/>
      </w:pPr>
      <w:r w:rsidRPr="00E200A5">
        <w:t xml:space="preserve">Chen, H., Cohen, P., &amp; Chen, S. (2010). How Big is a Big Odds Ratio? Interpreting the Magnitudes of Odds Ratios in Epidemiological Studies. </w:t>
      </w:r>
      <w:r w:rsidRPr="00E200A5">
        <w:rPr>
          <w:i/>
          <w:iCs/>
        </w:rPr>
        <w:t>Communications in Statistics - Simulation and Computation</w:t>
      </w:r>
      <w:r w:rsidRPr="00E200A5">
        <w:t xml:space="preserve">, </w:t>
      </w:r>
      <w:r w:rsidRPr="00E200A5">
        <w:rPr>
          <w:i/>
          <w:iCs/>
        </w:rPr>
        <w:t>39</w:t>
      </w:r>
      <w:r w:rsidRPr="00E200A5">
        <w:t>(4), 860–864. https://doi.org/10.1080/03610911003650383</w:t>
      </w:r>
    </w:p>
    <w:p w14:paraId="7092F1F2" w14:textId="77777777" w:rsidR="00285CCC" w:rsidRPr="00E200A5" w:rsidRDefault="00285CCC" w:rsidP="00285CCC">
      <w:pPr>
        <w:pStyle w:val="Bibliography"/>
      </w:pPr>
      <w:r w:rsidRPr="00E200A5">
        <w:t xml:space="preserve">De keersmaecker, J., &amp; Roets, A. (2017). ‘Fake news’: Incorrect, but hard to correct. The role of cognitive ability on the impact of false information on social impressions. </w:t>
      </w:r>
      <w:r w:rsidRPr="00E200A5">
        <w:rPr>
          <w:i/>
          <w:iCs/>
        </w:rPr>
        <w:t>Intelligence</w:t>
      </w:r>
      <w:r w:rsidRPr="00E200A5">
        <w:t xml:space="preserve">, </w:t>
      </w:r>
      <w:r w:rsidRPr="00E200A5">
        <w:rPr>
          <w:i/>
          <w:iCs/>
        </w:rPr>
        <w:t>65</w:t>
      </w:r>
      <w:r w:rsidRPr="00E200A5">
        <w:t>, 107–110. https://doi.org/10.1016/j.intell.2017.10.005</w:t>
      </w:r>
    </w:p>
    <w:p w14:paraId="5058B2B2" w14:textId="77777777" w:rsidR="00285CCC" w:rsidRPr="00E200A5" w:rsidRDefault="00285CCC" w:rsidP="00285CCC">
      <w:pPr>
        <w:pStyle w:val="Bibliography"/>
      </w:pPr>
      <w:r w:rsidRPr="00E200A5">
        <w:t xml:space="preserve">Deary, I. J., Batty, G. D., &amp; Gale, C. R. (2008). Childhood intelligence predicts voter turnout, voting preferences, and political involvement in adulthood: The 1970 British Cohort Study. </w:t>
      </w:r>
      <w:r w:rsidRPr="00E200A5">
        <w:rPr>
          <w:i/>
          <w:iCs/>
        </w:rPr>
        <w:t>Intelligence</w:t>
      </w:r>
      <w:r w:rsidRPr="00E200A5">
        <w:t xml:space="preserve">, </w:t>
      </w:r>
      <w:r w:rsidRPr="00E200A5">
        <w:rPr>
          <w:i/>
          <w:iCs/>
        </w:rPr>
        <w:t>36</w:t>
      </w:r>
      <w:r w:rsidRPr="00E200A5">
        <w:t>(6), 548–555. https://doi.org/10.1016/j.intell.2008.09.001</w:t>
      </w:r>
    </w:p>
    <w:p w14:paraId="75CC3226" w14:textId="77777777" w:rsidR="00285CCC" w:rsidRPr="00E200A5" w:rsidRDefault="00285CCC" w:rsidP="00285CCC">
      <w:pPr>
        <w:pStyle w:val="Bibliography"/>
      </w:pPr>
      <w:r w:rsidRPr="00E200A5">
        <w:t xml:space="preserve">Deary, I. J., Taylor, M. D., Hart, C. L., Wilson, V., Smith, G. D., Blane, D., &amp; Starr, J. M. (2005). </w:t>
      </w:r>
      <w:r w:rsidRPr="00E200A5">
        <w:rPr>
          <w:i/>
          <w:iCs/>
        </w:rPr>
        <w:t>Intergenerational social mobility and mid-life status attainment: Influences of childhood intelligence, childhood social factors, and education</w:t>
      </w:r>
      <w:r w:rsidRPr="00E200A5">
        <w:t>. 18.</w:t>
      </w:r>
    </w:p>
    <w:p w14:paraId="35ACD3B1" w14:textId="77777777" w:rsidR="00285CCC" w:rsidRPr="00E200A5" w:rsidRDefault="00285CCC" w:rsidP="00285CCC">
      <w:pPr>
        <w:pStyle w:val="Bibliography"/>
      </w:pPr>
      <w:r w:rsidRPr="00E200A5">
        <w:t xml:space="preserve">Deary, I. J., Yang, J., Davies, G., Harris, S. E., Tenesa, A., Liewald, D., Luciano, M., Lopez, L. M., Gow, A. J., Corley, J., Redmond, P., Fox, H. C., Rowe, S. J., Haggarty, P., McNeill, G., Goddard, M. E., Porteous, D. J., Whalley, L. J., Starr, J. M., &amp; Visscher, P. M. (2012). Genetic contributions to stability and change in intelligence from childhood to old age. </w:t>
      </w:r>
      <w:r w:rsidRPr="00E200A5">
        <w:rPr>
          <w:i/>
          <w:iCs/>
        </w:rPr>
        <w:t>Nature</w:t>
      </w:r>
      <w:r w:rsidRPr="00E200A5">
        <w:t xml:space="preserve">, </w:t>
      </w:r>
      <w:r w:rsidRPr="00E200A5">
        <w:rPr>
          <w:i/>
          <w:iCs/>
        </w:rPr>
        <w:t>482</w:t>
      </w:r>
      <w:r w:rsidRPr="00E200A5">
        <w:t>(7384), 212–215. https://doi.org/10.1038/nature10781</w:t>
      </w:r>
    </w:p>
    <w:p w14:paraId="4241F8C1" w14:textId="77777777" w:rsidR="00285CCC" w:rsidRPr="00E200A5" w:rsidRDefault="00285CCC" w:rsidP="00285CCC">
      <w:pPr>
        <w:pStyle w:val="Bibliography"/>
      </w:pPr>
      <w:r w:rsidRPr="00E200A5">
        <w:t xml:space="preserve">Folstein, M. F., Folstein, S. E., &amp; McHugh, P. R. (1975). “Mini-mental state”: A practical method for grading the cognitive state of patients for the clinician. </w:t>
      </w:r>
      <w:r w:rsidRPr="00E200A5">
        <w:rPr>
          <w:i/>
          <w:iCs/>
        </w:rPr>
        <w:t>Journal of Psychiatric Research</w:t>
      </w:r>
      <w:r w:rsidRPr="00E200A5">
        <w:t xml:space="preserve">, </w:t>
      </w:r>
      <w:r w:rsidRPr="00E200A5">
        <w:rPr>
          <w:i/>
          <w:iCs/>
        </w:rPr>
        <w:t>12</w:t>
      </w:r>
      <w:r w:rsidRPr="00E200A5">
        <w:t>(3), 189–198.</w:t>
      </w:r>
    </w:p>
    <w:p w14:paraId="77F0DA94" w14:textId="77777777" w:rsidR="00285CCC" w:rsidRPr="00E200A5" w:rsidRDefault="00285CCC" w:rsidP="00285CCC">
      <w:pPr>
        <w:pStyle w:val="Bibliography"/>
      </w:pPr>
      <w:r w:rsidRPr="00E200A5">
        <w:t xml:space="preserve">Frederick, S. (2005). Cognitive reflection and decision making. </w:t>
      </w:r>
      <w:r w:rsidRPr="00E200A5">
        <w:rPr>
          <w:i/>
          <w:iCs/>
        </w:rPr>
        <w:t>The Journal of Economic Perspectives</w:t>
      </w:r>
      <w:r w:rsidRPr="00E200A5">
        <w:t xml:space="preserve">, </w:t>
      </w:r>
      <w:r w:rsidRPr="00E200A5">
        <w:rPr>
          <w:i/>
          <w:iCs/>
        </w:rPr>
        <w:t>19</w:t>
      </w:r>
      <w:r w:rsidRPr="00E200A5">
        <w:t>(4), 25–42.</w:t>
      </w:r>
    </w:p>
    <w:p w14:paraId="6DFE5121" w14:textId="77777777" w:rsidR="00285CCC" w:rsidRPr="00E200A5" w:rsidRDefault="00285CCC" w:rsidP="00285CCC">
      <w:pPr>
        <w:pStyle w:val="Bibliography"/>
      </w:pPr>
      <w:r w:rsidRPr="00E200A5">
        <w:t xml:space="preserve">Funk, C., &amp; Tyson, A. (2021). </w:t>
      </w:r>
      <w:r w:rsidRPr="00E200A5">
        <w:rPr>
          <w:i/>
          <w:iCs/>
        </w:rPr>
        <w:t>Growing share of americans say they plan to get a covid-19 vaccine – or already have</w:t>
      </w:r>
      <w:r w:rsidRPr="00E200A5">
        <w:t>. 59.</w:t>
      </w:r>
    </w:p>
    <w:p w14:paraId="507B5872" w14:textId="77777777" w:rsidR="00285CCC" w:rsidRPr="00E200A5" w:rsidRDefault="00285CCC" w:rsidP="00285CCC">
      <w:pPr>
        <w:pStyle w:val="Bibliography"/>
      </w:pPr>
      <w:r w:rsidRPr="00E200A5">
        <w:lastRenderedPageBreak/>
        <w:t xml:space="preserve">Gerber, A. S., Huber, G. A., Doherty, D., &amp; Dowling, C. M. (2011). The Big Five Personality Traits in the Political Arena. </w:t>
      </w:r>
      <w:r w:rsidRPr="00E200A5">
        <w:rPr>
          <w:i/>
          <w:iCs/>
        </w:rPr>
        <w:t>Annual Review of Political Science</w:t>
      </w:r>
      <w:r w:rsidRPr="00E200A5">
        <w:t xml:space="preserve">, </w:t>
      </w:r>
      <w:r w:rsidRPr="00E200A5">
        <w:rPr>
          <w:i/>
          <w:iCs/>
        </w:rPr>
        <w:t>14</w:t>
      </w:r>
      <w:r w:rsidRPr="00E200A5">
        <w:t>(1), 265–287. https://doi.org/10.1146/annurev-polisci-051010-111659</w:t>
      </w:r>
    </w:p>
    <w:p w14:paraId="26FCF830" w14:textId="77777777" w:rsidR="00285CCC" w:rsidRPr="00E200A5" w:rsidRDefault="00285CCC" w:rsidP="00285CCC">
      <w:pPr>
        <w:pStyle w:val="Bibliography"/>
      </w:pPr>
      <w:r w:rsidRPr="00E200A5">
        <w:t xml:space="preserve">Gilkey, M. B., Magnus, B. E., Reiter, P. L., McRee, A.-L., Dempsey, A. F., &amp; Brewer, N. T. (2014). The vaccination confidence scale: A brief measure of parents’ vaccination beliefs. </w:t>
      </w:r>
      <w:r w:rsidRPr="00E200A5">
        <w:rPr>
          <w:i/>
          <w:iCs/>
        </w:rPr>
        <w:t>Vaccine</w:t>
      </w:r>
      <w:r w:rsidRPr="00E200A5">
        <w:t xml:space="preserve">, </w:t>
      </w:r>
      <w:r w:rsidRPr="00E200A5">
        <w:rPr>
          <w:i/>
          <w:iCs/>
        </w:rPr>
        <w:t>32</w:t>
      </w:r>
      <w:r w:rsidRPr="00E200A5">
        <w:t>(47), 6259–6265. https://doi.org/10.1016/j.vaccine.2014.09.007</w:t>
      </w:r>
    </w:p>
    <w:p w14:paraId="51CA1D0F" w14:textId="77777777" w:rsidR="00285CCC" w:rsidRPr="00E200A5" w:rsidRDefault="00285CCC" w:rsidP="00285CCC">
      <w:pPr>
        <w:pStyle w:val="Bibliography"/>
      </w:pPr>
      <w:r w:rsidRPr="00E200A5">
        <w:t xml:space="preserve">Goldberg, D. P., &amp; Hillier, V. F. (1979). A scaled version of the general health questionnaire. </w:t>
      </w:r>
      <w:r w:rsidRPr="00E200A5">
        <w:rPr>
          <w:i/>
          <w:iCs/>
        </w:rPr>
        <w:t>Psychological Medicine</w:t>
      </w:r>
      <w:r w:rsidRPr="00E200A5">
        <w:t xml:space="preserve">, </w:t>
      </w:r>
      <w:r w:rsidRPr="00E200A5">
        <w:rPr>
          <w:i/>
          <w:iCs/>
        </w:rPr>
        <w:t>9</w:t>
      </w:r>
      <w:r w:rsidRPr="00E200A5">
        <w:t>(1), 139–145. https://doi.org/10.1017/S0033291700021644</w:t>
      </w:r>
    </w:p>
    <w:p w14:paraId="51C99733" w14:textId="77777777" w:rsidR="00285CCC" w:rsidRPr="00E200A5" w:rsidRDefault="00285CCC" w:rsidP="00285CCC">
      <w:pPr>
        <w:pStyle w:val="Bibliography"/>
      </w:pPr>
      <w:r w:rsidRPr="00E200A5">
        <w:t xml:space="preserve">Gottfredson, L. S. (1997). Mainstream science on intelligence: An editorial with 52 signatories, history, and bibliography. </w:t>
      </w:r>
      <w:r w:rsidRPr="00E200A5">
        <w:rPr>
          <w:i/>
          <w:iCs/>
        </w:rPr>
        <w:t>Intelligence</w:t>
      </w:r>
      <w:r w:rsidRPr="00E200A5">
        <w:t xml:space="preserve">, </w:t>
      </w:r>
      <w:r w:rsidRPr="00E200A5">
        <w:rPr>
          <w:i/>
          <w:iCs/>
        </w:rPr>
        <w:t>24</w:t>
      </w:r>
      <w:r w:rsidRPr="00E200A5">
        <w:t>(1), 13–23. https://doi.org/10.1016/S0160-2896(97)90011-8</w:t>
      </w:r>
    </w:p>
    <w:p w14:paraId="3DBA55B2" w14:textId="77777777" w:rsidR="00285CCC" w:rsidRPr="00E200A5" w:rsidRDefault="00285CCC" w:rsidP="00285CCC">
      <w:pPr>
        <w:pStyle w:val="Bibliography"/>
      </w:pPr>
      <w:r w:rsidRPr="00E200A5">
        <w:t xml:space="preserve">Hussain, A., Ali, S., Ahmed, M., &amp; Hussain, S. (2018). The anti-vaccination movement: A regression in modern medicine. </w:t>
      </w:r>
      <w:r w:rsidRPr="00E200A5">
        <w:rPr>
          <w:i/>
          <w:iCs/>
        </w:rPr>
        <w:t>Cureus</w:t>
      </w:r>
      <w:r w:rsidRPr="00E200A5">
        <w:t>. https://doi.org/10.7759/cureus.2919</w:t>
      </w:r>
    </w:p>
    <w:p w14:paraId="30766329" w14:textId="77777777" w:rsidR="00285CCC" w:rsidRPr="00E200A5" w:rsidRDefault="00285CCC" w:rsidP="00285CCC">
      <w:pPr>
        <w:pStyle w:val="Bibliography"/>
      </w:pPr>
      <w:r w:rsidRPr="00E200A5">
        <w:t xml:space="preserve">John, O. P., Naumann, L. P., &amp; Soto, C. J. (2008). </w:t>
      </w:r>
      <w:r w:rsidRPr="00E200A5">
        <w:rPr>
          <w:i/>
          <w:iCs/>
        </w:rPr>
        <w:t>Paradigm shift to the integrative Big Five trait taxonomy: History, measurement, and conceptual issues.</w:t>
      </w:r>
    </w:p>
    <w:p w14:paraId="48C6D909" w14:textId="77777777" w:rsidR="00285CCC" w:rsidRPr="00E200A5" w:rsidRDefault="00285CCC" w:rsidP="00285CCC">
      <w:pPr>
        <w:pStyle w:val="Bibliography"/>
      </w:pPr>
      <w:r w:rsidRPr="00E200A5">
        <w:t xml:space="preserve">Kapoor, P. S., &amp; Singhal, V. (2021). Perceived vulnerability to covid-19, dispositional optimism and intention to adopt preventive health behaviour: An experiment with anti-smoking advertising. </w:t>
      </w:r>
      <w:r w:rsidRPr="00E200A5">
        <w:rPr>
          <w:i/>
          <w:iCs/>
        </w:rPr>
        <w:t>Journal of Social Marketing</w:t>
      </w:r>
      <w:r w:rsidRPr="00E200A5">
        <w:t xml:space="preserve">, </w:t>
      </w:r>
      <w:r w:rsidRPr="00E200A5">
        <w:rPr>
          <w:i/>
          <w:iCs/>
        </w:rPr>
        <w:t>11</w:t>
      </w:r>
      <w:r w:rsidRPr="00E200A5">
        <w:t>(2), 124–147. https://doi.org/10.1108/JSOCM-08-2020-0151</w:t>
      </w:r>
    </w:p>
    <w:p w14:paraId="0F811081" w14:textId="77777777" w:rsidR="00285CCC" w:rsidRPr="00E200A5" w:rsidRDefault="00285CCC" w:rsidP="00285CCC">
      <w:pPr>
        <w:pStyle w:val="Bibliography"/>
      </w:pPr>
      <w:r w:rsidRPr="00E200A5">
        <w:t xml:space="preserve">Lee, C. H. J., Duck, I. M., &amp; Sibley, C. G. (2017). Personality and demographic correlates of new zealanders’ confidence in the safety of childhood vaccinations. </w:t>
      </w:r>
      <w:r w:rsidRPr="00E200A5">
        <w:rPr>
          <w:i/>
          <w:iCs/>
        </w:rPr>
        <w:t>Vaccine</w:t>
      </w:r>
      <w:r w:rsidRPr="00E200A5">
        <w:t xml:space="preserve">, </w:t>
      </w:r>
      <w:r w:rsidRPr="00E200A5">
        <w:rPr>
          <w:i/>
          <w:iCs/>
        </w:rPr>
        <w:t>35</w:t>
      </w:r>
      <w:r w:rsidRPr="00E200A5">
        <w:t>(45), 6089–6095. https://doi.org/10.1016/j.vaccine.2017.09.061</w:t>
      </w:r>
    </w:p>
    <w:p w14:paraId="6562DD5B" w14:textId="77777777" w:rsidR="00285CCC" w:rsidRPr="00E200A5" w:rsidRDefault="00285CCC" w:rsidP="00285CCC">
      <w:pPr>
        <w:pStyle w:val="Bibliography"/>
      </w:pPr>
      <w:r w:rsidRPr="00E200A5">
        <w:t xml:space="preserve">Lin, F.-Y., &amp; Wang, C.-H. (2020). Personality and individual attitudes toward vaccination: A nationally representative survey in the united states. </w:t>
      </w:r>
      <w:r w:rsidRPr="00E200A5">
        <w:rPr>
          <w:i/>
          <w:iCs/>
        </w:rPr>
        <w:t>BMC Public Health</w:t>
      </w:r>
      <w:r w:rsidRPr="00E200A5">
        <w:t xml:space="preserve">, </w:t>
      </w:r>
      <w:r w:rsidRPr="00E200A5">
        <w:rPr>
          <w:i/>
          <w:iCs/>
        </w:rPr>
        <w:t>20</w:t>
      </w:r>
      <w:r w:rsidRPr="00E200A5">
        <w:t>(1), 1759. https://doi.org/10.1186/s12889-020-09840-w</w:t>
      </w:r>
    </w:p>
    <w:p w14:paraId="1CD2EA9D" w14:textId="77777777" w:rsidR="00285CCC" w:rsidRPr="00E200A5" w:rsidRDefault="00285CCC" w:rsidP="00285CCC">
      <w:pPr>
        <w:pStyle w:val="Bibliography"/>
      </w:pPr>
      <w:r w:rsidRPr="00E200A5">
        <w:t xml:space="preserve">Lynn, P. (2009). </w:t>
      </w:r>
      <w:r w:rsidRPr="00E200A5">
        <w:rPr>
          <w:i/>
          <w:iCs/>
        </w:rPr>
        <w:t>Sample Design for Understanding Society</w:t>
      </w:r>
      <w:r w:rsidRPr="00E200A5">
        <w:t>. 46.</w:t>
      </w:r>
    </w:p>
    <w:p w14:paraId="627F5ADB" w14:textId="77777777" w:rsidR="00285CCC" w:rsidRPr="00E200A5" w:rsidRDefault="00285CCC" w:rsidP="00285CCC">
      <w:pPr>
        <w:pStyle w:val="Bibliography"/>
      </w:pPr>
      <w:r w:rsidRPr="00E200A5">
        <w:t xml:space="preserve">Lynn, P. (2011). </w:t>
      </w:r>
      <w:r w:rsidRPr="00E200A5">
        <w:rPr>
          <w:i/>
          <w:iCs/>
        </w:rPr>
        <w:t>Maintaining Cross-Sectional Representativeness in a Longitudinal General Population Survey</w:t>
      </w:r>
      <w:r w:rsidRPr="00E200A5">
        <w:t>. 20.</w:t>
      </w:r>
    </w:p>
    <w:p w14:paraId="4ACD6AE2" w14:textId="77777777" w:rsidR="00285CCC" w:rsidRPr="00E200A5" w:rsidRDefault="00285CCC" w:rsidP="00285CCC">
      <w:pPr>
        <w:pStyle w:val="Bibliography"/>
      </w:pPr>
      <w:r w:rsidRPr="00E200A5">
        <w:t xml:space="preserve">Lynn, P., &amp; Borkowska, M. (2018). </w:t>
      </w:r>
      <w:r w:rsidRPr="00E200A5">
        <w:rPr>
          <w:i/>
          <w:iCs/>
        </w:rPr>
        <w:t>Some Indicators of Sample Representativeness and Attrition Bias for BHPS and Understanding Society</w:t>
      </w:r>
      <w:r w:rsidRPr="00E200A5">
        <w:t>. 19.</w:t>
      </w:r>
    </w:p>
    <w:p w14:paraId="458A4C73" w14:textId="77777777" w:rsidR="00285CCC" w:rsidRPr="00E200A5" w:rsidRDefault="00285CCC" w:rsidP="00285CCC">
      <w:pPr>
        <w:pStyle w:val="Bibliography"/>
      </w:pPr>
      <w:r w:rsidRPr="00E200A5">
        <w:t xml:space="preserve">Lynn, P., Burton, J., Kaminska, O., Knies, G., &amp; Nandi, A. (2012). </w:t>
      </w:r>
      <w:r w:rsidRPr="00E200A5">
        <w:rPr>
          <w:i/>
          <w:iCs/>
        </w:rPr>
        <w:t>An Initial Look at Non-Response and Attrition in Understanding Society</w:t>
      </w:r>
      <w:r w:rsidRPr="00E200A5">
        <w:t>. 45.</w:t>
      </w:r>
    </w:p>
    <w:p w14:paraId="65A3A447" w14:textId="77777777" w:rsidR="00285CCC" w:rsidRPr="00E200A5" w:rsidRDefault="00285CCC" w:rsidP="00285CCC">
      <w:pPr>
        <w:pStyle w:val="Bibliography"/>
      </w:pPr>
      <w:r w:rsidRPr="00E200A5">
        <w:t xml:space="preserve">MacDonald, N. E. (2015). Vaccine hesitancy: Definition, scope and determinants. </w:t>
      </w:r>
      <w:r w:rsidRPr="00E200A5">
        <w:rPr>
          <w:i/>
          <w:iCs/>
        </w:rPr>
        <w:t>Vaccine</w:t>
      </w:r>
      <w:r w:rsidRPr="00E200A5">
        <w:t xml:space="preserve">, </w:t>
      </w:r>
      <w:r w:rsidRPr="00E200A5">
        <w:rPr>
          <w:i/>
          <w:iCs/>
        </w:rPr>
        <w:t>33</w:t>
      </w:r>
      <w:r w:rsidRPr="00E200A5">
        <w:t>(34), 4161–4164. https://doi.org/10.1016/j.vaccine.2015.04.036</w:t>
      </w:r>
    </w:p>
    <w:p w14:paraId="51E22317" w14:textId="77777777" w:rsidR="00285CCC" w:rsidRPr="00E200A5" w:rsidRDefault="00285CCC" w:rsidP="00285CCC">
      <w:pPr>
        <w:pStyle w:val="Bibliography"/>
      </w:pPr>
      <w:r w:rsidRPr="00E200A5">
        <w:t xml:space="preserve">Martinelli, M., &amp; Veltri, G. A. (2021). Do cognitive styles affect vaccine hesitancy? A dual-process cognitive framework for vaccine hesitancy and the role of risk perceptions. </w:t>
      </w:r>
      <w:r w:rsidRPr="00E200A5">
        <w:rPr>
          <w:i/>
          <w:iCs/>
        </w:rPr>
        <w:t>Social Science &amp; Medicine</w:t>
      </w:r>
      <w:r w:rsidRPr="00E200A5">
        <w:t xml:space="preserve">, </w:t>
      </w:r>
      <w:r w:rsidRPr="00E200A5">
        <w:rPr>
          <w:i/>
          <w:iCs/>
        </w:rPr>
        <w:t>289</w:t>
      </w:r>
      <w:r w:rsidRPr="00E200A5">
        <w:t>, 114403. https://doi.org/10.1016/j.socscimed.2021.114403</w:t>
      </w:r>
    </w:p>
    <w:p w14:paraId="6B690763" w14:textId="77777777" w:rsidR="00285CCC" w:rsidRPr="00E200A5" w:rsidRDefault="00285CCC" w:rsidP="00285CCC">
      <w:pPr>
        <w:pStyle w:val="Bibliography"/>
      </w:pPr>
      <w:r w:rsidRPr="00E200A5">
        <w:t xml:space="preserve">Matthews, G., Deary, I. J., &amp; Whiteman, M. C. (2009). </w:t>
      </w:r>
      <w:r w:rsidRPr="00E200A5">
        <w:rPr>
          <w:i/>
          <w:iCs/>
        </w:rPr>
        <w:t>Personality traits</w:t>
      </w:r>
      <w:r w:rsidRPr="00E200A5">
        <w:t xml:space="preserve"> (3rd ed). Cambridge University Press.</w:t>
      </w:r>
    </w:p>
    <w:p w14:paraId="374D5F98" w14:textId="77777777" w:rsidR="00285CCC" w:rsidRPr="00E200A5" w:rsidRDefault="00285CCC" w:rsidP="00285CCC">
      <w:pPr>
        <w:pStyle w:val="Bibliography"/>
      </w:pPr>
      <w:r w:rsidRPr="00E200A5">
        <w:t xml:space="preserve">McArdle, J. J., &amp; Woodcock, R. W. (2009). </w:t>
      </w:r>
      <w:r w:rsidRPr="00E200A5">
        <w:rPr>
          <w:i/>
          <w:iCs/>
        </w:rPr>
        <w:t>Human cognitive abilities in theory and practice</w:t>
      </w:r>
      <w:r w:rsidRPr="00E200A5">
        <w:t>.</w:t>
      </w:r>
    </w:p>
    <w:p w14:paraId="2E592329" w14:textId="77777777" w:rsidR="00285CCC" w:rsidRPr="00E200A5" w:rsidRDefault="00285CCC" w:rsidP="00285CCC">
      <w:pPr>
        <w:pStyle w:val="Bibliography"/>
      </w:pPr>
      <w:r w:rsidRPr="00E200A5">
        <w:lastRenderedPageBreak/>
        <w:t xml:space="preserve">McCrae, R. R., &amp; John, O. P. (1992). An introduction to the five‐factor model and its applications. </w:t>
      </w:r>
      <w:r w:rsidRPr="00E200A5">
        <w:rPr>
          <w:i/>
          <w:iCs/>
        </w:rPr>
        <w:t>Journal of Personality</w:t>
      </w:r>
      <w:r w:rsidRPr="00E200A5">
        <w:t xml:space="preserve">, </w:t>
      </w:r>
      <w:r w:rsidRPr="00E200A5">
        <w:rPr>
          <w:i/>
          <w:iCs/>
        </w:rPr>
        <w:t>60</w:t>
      </w:r>
      <w:r w:rsidRPr="00E200A5">
        <w:t>(2), 175–215.</w:t>
      </w:r>
    </w:p>
    <w:p w14:paraId="2CA6A6AD" w14:textId="77777777" w:rsidR="00285CCC" w:rsidRPr="00E200A5" w:rsidRDefault="00285CCC" w:rsidP="00285CCC">
      <w:pPr>
        <w:pStyle w:val="Bibliography"/>
      </w:pPr>
      <w:r w:rsidRPr="00E200A5">
        <w:t xml:space="preserve">Miton, H., &amp; Mercier, H. (2015). Cognitive obstacles to pro-vaccination beliefs. </w:t>
      </w:r>
      <w:r w:rsidRPr="00E200A5">
        <w:rPr>
          <w:i/>
          <w:iCs/>
        </w:rPr>
        <w:t>Trends in Cognitive Sciences</w:t>
      </w:r>
      <w:r w:rsidRPr="00E200A5">
        <w:t xml:space="preserve">, </w:t>
      </w:r>
      <w:r w:rsidRPr="00E200A5">
        <w:rPr>
          <w:i/>
          <w:iCs/>
        </w:rPr>
        <w:t>19</w:t>
      </w:r>
      <w:r w:rsidRPr="00E200A5">
        <w:t>(11), 633–636. https://doi.org/10.1016/j.tics.2015.08.007</w:t>
      </w:r>
    </w:p>
    <w:p w14:paraId="1054F8F7" w14:textId="77777777" w:rsidR="00285CCC" w:rsidRPr="00E200A5" w:rsidRDefault="00285CCC" w:rsidP="00285CCC">
      <w:pPr>
        <w:pStyle w:val="Bibliography"/>
      </w:pPr>
      <w:r w:rsidRPr="00E200A5">
        <w:t xml:space="preserve">Mora, T., &amp; Trapero-Bertran, M. (2018). The influence of education on the access to childhood immunization: The case of spain. </w:t>
      </w:r>
      <w:r w:rsidRPr="00E200A5">
        <w:rPr>
          <w:i/>
          <w:iCs/>
        </w:rPr>
        <w:t>BMC Public Health</w:t>
      </w:r>
      <w:r w:rsidRPr="00E200A5">
        <w:t xml:space="preserve">, </w:t>
      </w:r>
      <w:r w:rsidRPr="00E200A5">
        <w:rPr>
          <w:i/>
          <w:iCs/>
        </w:rPr>
        <w:t>18</w:t>
      </w:r>
      <w:r w:rsidRPr="00E200A5">
        <w:t>(1), 893. https://doi.org/10.1186/s12889-018-5810-1</w:t>
      </w:r>
    </w:p>
    <w:p w14:paraId="26DFE576" w14:textId="77777777" w:rsidR="00285CCC" w:rsidRPr="00E200A5" w:rsidRDefault="00285CCC" w:rsidP="00285CCC">
      <w:pPr>
        <w:pStyle w:val="Bibliography"/>
      </w:pPr>
      <w:r w:rsidRPr="00E200A5">
        <w:t xml:space="preserve">Motta, M., Callaghan, T., &amp; Sylvester, S. (2018). Knowing less but presuming more: Dunning-Kruger effects and the endorsement of anti-vaccine policy attitudes. </w:t>
      </w:r>
      <w:r w:rsidRPr="00E200A5">
        <w:rPr>
          <w:i/>
          <w:iCs/>
        </w:rPr>
        <w:t>Social Science &amp; Medicine</w:t>
      </w:r>
      <w:r w:rsidRPr="00E200A5">
        <w:t xml:space="preserve">, </w:t>
      </w:r>
      <w:r w:rsidRPr="00E200A5">
        <w:rPr>
          <w:i/>
          <w:iCs/>
        </w:rPr>
        <w:t>211</w:t>
      </w:r>
      <w:r w:rsidRPr="00E200A5">
        <w:t>, 274–281. https://doi.org/10.1016/j.socscimed.2018.06.032</w:t>
      </w:r>
    </w:p>
    <w:p w14:paraId="7672AF83" w14:textId="77777777" w:rsidR="00285CCC" w:rsidRPr="00E200A5" w:rsidRDefault="00285CCC" w:rsidP="00285CCC">
      <w:pPr>
        <w:pStyle w:val="Bibliography"/>
      </w:pPr>
      <w:r w:rsidRPr="00E200A5">
        <w:t xml:space="preserve">Murphy, J., Vallières, F., Bentall, R. P., Shevlin, M., McBride, O., Hartman, T. K., McKay, R., Bennett, K., Mason, L., Gibson-Miller, J., Levita, L., Martinez, A. P., Stocks, T. V. A., Karatzias, T., &amp; Hyland, P. (2021). Psychological characteristics associated with covid-19 vaccine hesitancy and resistance in ireland and the united kingdom. </w:t>
      </w:r>
      <w:r w:rsidRPr="00E200A5">
        <w:rPr>
          <w:i/>
          <w:iCs/>
        </w:rPr>
        <w:t>Nature Communications</w:t>
      </w:r>
      <w:r w:rsidRPr="00E200A5">
        <w:t xml:space="preserve">, </w:t>
      </w:r>
      <w:r w:rsidRPr="00E200A5">
        <w:rPr>
          <w:i/>
          <w:iCs/>
        </w:rPr>
        <w:t>12</w:t>
      </w:r>
      <w:r w:rsidRPr="00E200A5">
        <w:t>(1), 29. https://doi.org/10.1038/s41467-020-20226-9</w:t>
      </w:r>
    </w:p>
    <w:p w14:paraId="28C43804" w14:textId="77777777" w:rsidR="00285CCC" w:rsidRPr="00E200A5" w:rsidRDefault="00285CCC" w:rsidP="00285CCC">
      <w:pPr>
        <w:pStyle w:val="Bibliography"/>
      </w:pPr>
      <w:r w:rsidRPr="00E200A5">
        <w:t xml:space="preserve">Oxford University. (2021). </w:t>
      </w:r>
      <w:r w:rsidRPr="00E200A5">
        <w:rPr>
          <w:i/>
          <w:iCs/>
        </w:rPr>
        <w:t>Major rise in public support for COVID vaccine</w:t>
      </w:r>
      <w:r w:rsidRPr="00E200A5">
        <w:t>. https://www.ox.ac.uk/news/2021-02-24-major-rise-public-support-covid-vaccine-oxford-study</w:t>
      </w:r>
    </w:p>
    <w:p w14:paraId="0AA5BC03" w14:textId="77777777" w:rsidR="00285CCC" w:rsidRPr="00E200A5" w:rsidRDefault="00285CCC" w:rsidP="00285CCC">
      <w:pPr>
        <w:pStyle w:val="Bibliography"/>
      </w:pPr>
      <w:r w:rsidRPr="00E200A5">
        <w:t xml:space="preserve">Pennycook, G., McPhetres, J., Bago, B., &amp; Rand, D. G. (2020). </w:t>
      </w:r>
      <w:r w:rsidRPr="00E200A5">
        <w:rPr>
          <w:i/>
          <w:iCs/>
        </w:rPr>
        <w:t>Predictors of attitudes and misperceptions about covid-19 in canada, the u.k., and the u.s.a.</w:t>
      </w:r>
      <w:r w:rsidRPr="00E200A5">
        <w:t xml:space="preserve"> [Preprint]. https://osf.io/zhjkp</w:t>
      </w:r>
    </w:p>
    <w:p w14:paraId="132A684E" w14:textId="77777777" w:rsidR="00285CCC" w:rsidRPr="00E200A5" w:rsidRDefault="00285CCC" w:rsidP="00285CCC">
      <w:pPr>
        <w:pStyle w:val="Bibliography"/>
      </w:pPr>
      <w:r w:rsidRPr="00E200A5">
        <w:t xml:space="preserve">Rammstedt, B., Danner, D., Soto, C. J., &amp; John, O. P. (2020). Validation of the Short and Extra-Short Forms of the Big Five Inventory-2 (BFI-2) and Their German Adaptations. </w:t>
      </w:r>
      <w:r w:rsidRPr="00E200A5">
        <w:rPr>
          <w:i/>
          <w:iCs/>
        </w:rPr>
        <w:t>European Journal of Psychological Assessment</w:t>
      </w:r>
      <w:r w:rsidRPr="00E200A5">
        <w:t xml:space="preserve">, </w:t>
      </w:r>
      <w:r w:rsidRPr="00E200A5">
        <w:rPr>
          <w:i/>
          <w:iCs/>
        </w:rPr>
        <w:t>36</w:t>
      </w:r>
      <w:r w:rsidRPr="00E200A5">
        <w:t>(1), 149–161. https://doi.org/10.1027/1015-5759/a000481</w:t>
      </w:r>
    </w:p>
    <w:p w14:paraId="5CF02810" w14:textId="77777777" w:rsidR="00285CCC" w:rsidRPr="00E200A5" w:rsidRDefault="00285CCC" w:rsidP="00285CCC">
      <w:pPr>
        <w:pStyle w:val="Bibliography"/>
      </w:pPr>
      <w:r w:rsidRPr="00E200A5">
        <w:t xml:space="preserve">Raude, J., Lecrique, J.-M., Lasbeur, L., Leon, C., Guignard, R., du Roscoät, E., &amp; Arwidson, P. (2020). Determinants of preventive behaviors in response to the covid-19 pandemic in france: Comparing the sociocultural, psychosocial, and social cognitive explanations. </w:t>
      </w:r>
      <w:r w:rsidRPr="00E200A5">
        <w:rPr>
          <w:i/>
          <w:iCs/>
        </w:rPr>
        <w:t>Frontiers in Psychology</w:t>
      </w:r>
      <w:r w:rsidRPr="00E200A5">
        <w:t xml:space="preserve">, </w:t>
      </w:r>
      <w:r w:rsidRPr="00E200A5">
        <w:rPr>
          <w:i/>
          <w:iCs/>
        </w:rPr>
        <w:t>11</w:t>
      </w:r>
      <w:r w:rsidRPr="00E200A5">
        <w:t>, 584500. https://doi.org/10.3389/fpsyg.2020.584500</w:t>
      </w:r>
    </w:p>
    <w:p w14:paraId="043DE2B4" w14:textId="77777777" w:rsidR="00285CCC" w:rsidRPr="00E200A5" w:rsidRDefault="00285CCC" w:rsidP="00285CCC">
      <w:pPr>
        <w:pStyle w:val="Bibliography"/>
      </w:pPr>
      <w:r w:rsidRPr="00E200A5">
        <w:t xml:space="preserve">Robertson, E. (2021). Predictors of COVID-19 vaccine hesitancy in the UK household longitudinal study. </w:t>
      </w:r>
      <w:r w:rsidRPr="00E200A5">
        <w:rPr>
          <w:i/>
          <w:iCs/>
        </w:rPr>
        <w:t>Brain Behavior and Immunity</w:t>
      </w:r>
      <w:r w:rsidRPr="00E200A5">
        <w:t>, 10.</w:t>
      </w:r>
    </w:p>
    <w:p w14:paraId="552ED4A7" w14:textId="77777777" w:rsidR="00285CCC" w:rsidRPr="00E200A5" w:rsidRDefault="00285CCC" w:rsidP="00285CCC">
      <w:pPr>
        <w:pStyle w:val="Bibliography"/>
      </w:pPr>
      <w:r w:rsidRPr="00E200A5">
        <w:t xml:space="preserve">Roozenbeek, J., Schneider, C. R., Dryhurst, S., Kerr, J., Freeman, A. L. J., Recchia, G., van der Bles, A. M., &amp; van der Linden, S. (2020). Susceptibility to misinformation about covid-19 around the world. </w:t>
      </w:r>
      <w:r w:rsidRPr="00E200A5">
        <w:rPr>
          <w:i/>
          <w:iCs/>
        </w:rPr>
        <w:t>Royal Society Open Science</w:t>
      </w:r>
      <w:r w:rsidRPr="00E200A5">
        <w:t xml:space="preserve">, </w:t>
      </w:r>
      <w:r w:rsidRPr="00E200A5">
        <w:rPr>
          <w:i/>
          <w:iCs/>
        </w:rPr>
        <w:t>7</w:t>
      </w:r>
      <w:r w:rsidRPr="00E200A5">
        <w:t>(10), 201199. https://doi.org/10.1098/rsos.201199</w:t>
      </w:r>
    </w:p>
    <w:p w14:paraId="00A0EC87" w14:textId="77777777" w:rsidR="00285CCC" w:rsidRPr="00E200A5" w:rsidRDefault="00285CCC" w:rsidP="00285CCC">
      <w:pPr>
        <w:pStyle w:val="Bibliography"/>
      </w:pPr>
      <w:r w:rsidRPr="00E200A5">
        <w:t xml:space="preserve">Sah, P., Vilches, T. N., Moghadas, S. M., Fitzpatrick, M. C., Singer, B. H., Hotez, P. J., &amp; Galvani, A. P. (2021). Accelerated vaccine rollout is imperative to mitigate highly transmissible covid-19 variants. </w:t>
      </w:r>
      <w:r w:rsidRPr="00E200A5">
        <w:rPr>
          <w:i/>
          <w:iCs/>
        </w:rPr>
        <w:t>EClinicalMedicine</w:t>
      </w:r>
      <w:r w:rsidRPr="00E200A5">
        <w:t xml:space="preserve">, </w:t>
      </w:r>
      <w:r w:rsidRPr="00E200A5">
        <w:rPr>
          <w:i/>
          <w:iCs/>
        </w:rPr>
        <w:t>35</w:t>
      </w:r>
      <w:r w:rsidRPr="00E200A5">
        <w:t>, 100865. https://doi.org/10.1016/j.eclinm.2021.100865</w:t>
      </w:r>
    </w:p>
    <w:p w14:paraId="389EB310" w14:textId="77777777" w:rsidR="00285CCC" w:rsidRPr="00E200A5" w:rsidRDefault="00285CCC" w:rsidP="00285CCC">
      <w:pPr>
        <w:pStyle w:val="Bibliography"/>
      </w:pPr>
      <w:r w:rsidRPr="00E200A5">
        <w:t xml:space="preserve">Sheldon, K. M., Ryan, R. M., Rawsthorne, L. J., &amp; Ilardi, B. (1997). </w:t>
      </w:r>
      <w:r w:rsidRPr="00E200A5">
        <w:rPr>
          <w:i/>
          <w:iCs/>
        </w:rPr>
        <w:t>Trait Self and True Self: Cross-Role Variation in the Big-Five Personality Traits and Its Relations With Psychological Authenticity and Subjective Well-Being</w:t>
      </w:r>
      <w:r w:rsidRPr="00E200A5">
        <w:t>. 14.</w:t>
      </w:r>
    </w:p>
    <w:p w14:paraId="3B48333F" w14:textId="77777777" w:rsidR="00285CCC" w:rsidRPr="00E200A5" w:rsidRDefault="00285CCC" w:rsidP="00285CCC">
      <w:pPr>
        <w:pStyle w:val="Bibliography"/>
      </w:pPr>
      <w:r w:rsidRPr="00E200A5">
        <w:t xml:space="preserve">Sobkow, A., Olszewska, A., &amp; Traczyk, J. (2020). Multiple numeric competencies predict decision outcomes beyond fluid intelligence and cognitive reflection. </w:t>
      </w:r>
      <w:r w:rsidRPr="00E200A5">
        <w:rPr>
          <w:i/>
          <w:iCs/>
        </w:rPr>
        <w:t>Intelligence</w:t>
      </w:r>
      <w:r w:rsidRPr="00E200A5">
        <w:t xml:space="preserve">, </w:t>
      </w:r>
      <w:r w:rsidRPr="00E200A5">
        <w:rPr>
          <w:i/>
          <w:iCs/>
        </w:rPr>
        <w:t>80</w:t>
      </w:r>
      <w:r w:rsidRPr="00E200A5">
        <w:t>, 101452. https://doi.org/10.1016/j.intell.2020.101452</w:t>
      </w:r>
    </w:p>
    <w:p w14:paraId="5BE2D34C" w14:textId="77777777" w:rsidR="00285CCC" w:rsidRPr="00E200A5" w:rsidRDefault="00285CCC" w:rsidP="00285CCC">
      <w:pPr>
        <w:pStyle w:val="Bibliography"/>
      </w:pPr>
      <w:r w:rsidRPr="00E200A5">
        <w:lastRenderedPageBreak/>
        <w:t xml:space="preserve">Sorić, I., Penezić, Z., &amp; Burić, I. (2017). The Big Five personality traits, goal orientations, and academic achievement. </w:t>
      </w:r>
      <w:r w:rsidRPr="00E200A5">
        <w:rPr>
          <w:i/>
          <w:iCs/>
        </w:rPr>
        <w:t>Learning and Individual Differences</w:t>
      </w:r>
      <w:r w:rsidRPr="00E200A5">
        <w:t xml:space="preserve">, </w:t>
      </w:r>
      <w:r w:rsidRPr="00E200A5">
        <w:rPr>
          <w:i/>
          <w:iCs/>
        </w:rPr>
        <w:t>54</w:t>
      </w:r>
      <w:r w:rsidRPr="00E200A5">
        <w:t>, 126–134. https://doi.org/10.1016/j.lindif.2017.01.024</w:t>
      </w:r>
    </w:p>
    <w:p w14:paraId="27D0FB87" w14:textId="77777777" w:rsidR="00285CCC" w:rsidRPr="00E200A5" w:rsidRDefault="00285CCC" w:rsidP="00285CCC">
      <w:pPr>
        <w:pStyle w:val="Bibliography"/>
      </w:pPr>
      <w:r w:rsidRPr="00E200A5">
        <w:t xml:space="preserve">Soto, C. J., &amp; John, O. P. (2017a). The next big five inventory (bfi-2): Developing and assessing a hierarchical model with 15 facets to enhance bandwidth, fidelity, and predictive power. </w:t>
      </w:r>
      <w:r w:rsidRPr="00E200A5">
        <w:rPr>
          <w:i/>
          <w:iCs/>
        </w:rPr>
        <w:t>Journal of Personality and Social Psychology</w:t>
      </w:r>
      <w:r w:rsidRPr="00E200A5">
        <w:t xml:space="preserve">, </w:t>
      </w:r>
      <w:r w:rsidRPr="00E200A5">
        <w:rPr>
          <w:i/>
          <w:iCs/>
        </w:rPr>
        <w:t>113</w:t>
      </w:r>
      <w:r w:rsidRPr="00E200A5">
        <w:t>(1), 117–143. https://doi.org/10.1037/pspp0000096</w:t>
      </w:r>
    </w:p>
    <w:p w14:paraId="174E399F" w14:textId="77777777" w:rsidR="00285CCC" w:rsidRPr="00E200A5" w:rsidRDefault="00285CCC" w:rsidP="00285CCC">
      <w:pPr>
        <w:pStyle w:val="Bibliography"/>
      </w:pPr>
      <w:r w:rsidRPr="00E200A5">
        <w:t xml:space="preserve">Soto, C. J., &amp; John, O. P. (2017b). Short and extra-short forms of the big five inventory–2: The bfi-2-s and bfi-2-xs. </w:t>
      </w:r>
      <w:r w:rsidRPr="00E200A5">
        <w:rPr>
          <w:i/>
          <w:iCs/>
        </w:rPr>
        <w:t>Journal of Research in Personality</w:t>
      </w:r>
      <w:r w:rsidRPr="00E200A5">
        <w:t xml:space="preserve">, </w:t>
      </w:r>
      <w:r w:rsidRPr="00E200A5">
        <w:rPr>
          <w:i/>
          <w:iCs/>
        </w:rPr>
        <w:t>68</w:t>
      </w:r>
      <w:r w:rsidRPr="00E200A5">
        <w:t>, 69–81. https://doi.org/10.1016/j.jrp.2017.02.004</w:t>
      </w:r>
    </w:p>
    <w:p w14:paraId="2F05387E" w14:textId="77777777" w:rsidR="00285CCC" w:rsidRPr="00E200A5" w:rsidRDefault="00285CCC" w:rsidP="00285CCC">
      <w:pPr>
        <w:pStyle w:val="Bibliography"/>
      </w:pPr>
      <w:r w:rsidRPr="00E200A5">
        <w:t xml:space="preserve">Strauss, E., Sherman, E. M. S., Spreen, O., &amp; Spreen, O. (2006). </w:t>
      </w:r>
      <w:r w:rsidRPr="00E200A5">
        <w:rPr>
          <w:i/>
          <w:iCs/>
        </w:rPr>
        <w:t>A compendium of neuropsychological tests: Administration, norms, and commentary</w:t>
      </w:r>
      <w:r w:rsidRPr="00E200A5">
        <w:t xml:space="preserve"> (3rd ed).</w:t>
      </w:r>
    </w:p>
    <w:p w14:paraId="7655084C" w14:textId="77777777" w:rsidR="00285CCC" w:rsidRPr="00E200A5" w:rsidRDefault="00285CCC" w:rsidP="00285CCC">
      <w:pPr>
        <w:pStyle w:val="Bibliography"/>
      </w:pPr>
      <w:r w:rsidRPr="00E200A5">
        <w:t xml:space="preserve">Tahamtan, A., Charostad, J., Shokouh, S. J. H., &amp; Barati, M. (2017). </w:t>
      </w:r>
      <w:r w:rsidRPr="00E200A5">
        <w:rPr>
          <w:i/>
          <w:iCs/>
        </w:rPr>
        <w:t>An overview of history, evolution, and manufacturing of various generations of vaccines</w:t>
      </w:r>
      <w:r w:rsidRPr="00E200A5">
        <w:t>. 7.</w:t>
      </w:r>
    </w:p>
    <w:p w14:paraId="372C333C" w14:textId="77777777" w:rsidR="00285CCC" w:rsidRPr="00E200A5" w:rsidRDefault="00285CCC" w:rsidP="00285CCC">
      <w:pPr>
        <w:pStyle w:val="Bibliography"/>
      </w:pPr>
      <w:r w:rsidRPr="00E200A5">
        <w:t xml:space="preserve">The World Health Organization. (2021). </w:t>
      </w:r>
      <w:r w:rsidRPr="00E200A5">
        <w:rPr>
          <w:i/>
          <w:iCs/>
        </w:rPr>
        <w:t>COVID-19 vaccines</w:t>
      </w:r>
      <w:r w:rsidRPr="00E200A5">
        <w:t>. https://www.who.int/emergencies/diseases/novel-coronavirus-2019/covid-19-vaccines</w:t>
      </w:r>
    </w:p>
    <w:p w14:paraId="35B666BB" w14:textId="77777777" w:rsidR="00285CCC" w:rsidRPr="00E200A5" w:rsidRDefault="00285CCC" w:rsidP="00285CCC">
      <w:pPr>
        <w:pStyle w:val="Bibliography"/>
      </w:pPr>
      <w:r w:rsidRPr="00E200A5">
        <w:t xml:space="preserve">University Of Essex, I. F. S. (2020). </w:t>
      </w:r>
      <w:r w:rsidRPr="00E200A5">
        <w:rPr>
          <w:i/>
          <w:iCs/>
        </w:rPr>
        <w:t>United Kingdom Household Longitudinal StudyUnderstanding Society: Waves 1- , 2008-Understanding Society: Waves 1-10, 2009-2019 and Harmonised BHPS: Waves 1-18, 1991-2009</w:t>
      </w:r>
      <w:r w:rsidRPr="00E200A5">
        <w:t xml:space="preserve"> (13th Edition) [Data set]. UK Data Service. https://doi.org/10.5255/UKDA-SN-6614-14</w:t>
      </w:r>
    </w:p>
    <w:p w14:paraId="318FD6EC" w14:textId="77777777" w:rsidR="00285CCC" w:rsidRPr="00E200A5" w:rsidRDefault="00285CCC" w:rsidP="00285CCC">
      <w:pPr>
        <w:pStyle w:val="Bibliography"/>
      </w:pPr>
      <w:r w:rsidRPr="00E200A5">
        <w:t xml:space="preserve">Velan, B., Kaplan, G., Ziv, A., Boyko, V., &amp; Lerner-Geva, L. (2011). Major motives in non-acceptance of a/h1n1 flu vaccination: The weight of rational assessment. </w:t>
      </w:r>
      <w:r w:rsidRPr="00E200A5">
        <w:rPr>
          <w:i/>
          <w:iCs/>
        </w:rPr>
        <w:t>Vaccine</w:t>
      </w:r>
      <w:r w:rsidRPr="00E200A5">
        <w:t xml:space="preserve">, </w:t>
      </w:r>
      <w:r w:rsidRPr="00E200A5">
        <w:rPr>
          <w:i/>
          <w:iCs/>
        </w:rPr>
        <w:t>29</w:t>
      </w:r>
      <w:r w:rsidRPr="00E200A5">
        <w:t>(6), 1173–1179. https://doi.org/10.1016/j.vaccine.2010.12.006</w:t>
      </w:r>
    </w:p>
    <w:p w14:paraId="7634DE0B" w14:textId="77777777" w:rsidR="00285CCC" w:rsidRPr="00E200A5" w:rsidRDefault="00285CCC" w:rsidP="00285CCC">
      <w:pPr>
        <w:pStyle w:val="Bibliography"/>
      </w:pPr>
      <w:r w:rsidRPr="00E200A5">
        <w:t xml:space="preserve">Williams, R. (2006). Generalized Ordered Logit/Partial Proportional Odds Models for Ordinal Dependent Variables. </w:t>
      </w:r>
      <w:r w:rsidRPr="00E200A5">
        <w:rPr>
          <w:i/>
          <w:iCs/>
        </w:rPr>
        <w:t>The Stata Journal: Promoting Communications on Statistics and Stata</w:t>
      </w:r>
      <w:r w:rsidRPr="00E200A5">
        <w:t xml:space="preserve">, </w:t>
      </w:r>
      <w:r w:rsidRPr="00E200A5">
        <w:rPr>
          <w:i/>
          <w:iCs/>
        </w:rPr>
        <w:t>6</w:t>
      </w:r>
      <w:r w:rsidRPr="00E200A5">
        <w:t>(1), 58–82. https://doi.org/10.1177/1536867X0600600104</w:t>
      </w:r>
    </w:p>
    <w:p w14:paraId="653742AE" w14:textId="77777777" w:rsidR="00285CCC" w:rsidRPr="00E200A5" w:rsidRDefault="00285CCC" w:rsidP="00285CCC">
      <w:pPr>
        <w:pStyle w:val="Bibliography"/>
      </w:pPr>
      <w:r w:rsidRPr="00E200A5">
        <w:t xml:space="preserve">Ziarnowski, K. L., Brewer, N. T., &amp; Weber, B. (2009). Present choices, future outcomes: Anticipated regret and hpv vaccination. </w:t>
      </w:r>
      <w:r w:rsidRPr="00E200A5">
        <w:rPr>
          <w:i/>
          <w:iCs/>
        </w:rPr>
        <w:t>Preventive Medicine</w:t>
      </w:r>
      <w:r w:rsidRPr="00E200A5">
        <w:t xml:space="preserve">, </w:t>
      </w:r>
      <w:r w:rsidRPr="00E200A5">
        <w:rPr>
          <w:i/>
          <w:iCs/>
        </w:rPr>
        <w:t>48</w:t>
      </w:r>
      <w:r w:rsidRPr="00E200A5">
        <w:t>(5), 411–414. https://doi.org/10.1016/j.ypmed.2008.10.006</w:t>
      </w:r>
    </w:p>
    <w:p w14:paraId="140602A0" w14:textId="77777777" w:rsidR="00285CCC" w:rsidRPr="00E200A5" w:rsidRDefault="00285CCC" w:rsidP="00285CCC">
      <w:pPr>
        <w:pStyle w:val="Bibliography"/>
      </w:pPr>
      <w:r w:rsidRPr="00E200A5">
        <w:t xml:space="preserve">Zillig, L. M. P., Hemenover, S. H., &amp; Dienstbier, R. A. (2002). What Do We Assess when We Assess a Big 5 Trait? A Content Analysis of the Affective, Behavioral, and Cognitive Processes Represented in Big 5 Personality Inventories. </w:t>
      </w:r>
      <w:r w:rsidRPr="00E200A5">
        <w:rPr>
          <w:i/>
          <w:iCs/>
        </w:rPr>
        <w:t>Personality and Social Psychology Bulletin</w:t>
      </w:r>
      <w:r w:rsidRPr="00E200A5">
        <w:t xml:space="preserve">, </w:t>
      </w:r>
      <w:r w:rsidRPr="00E200A5">
        <w:rPr>
          <w:i/>
          <w:iCs/>
        </w:rPr>
        <w:t>28</w:t>
      </w:r>
      <w:r w:rsidRPr="00E200A5">
        <w:t>(6), 847–858. https://doi.org/10.1177/0146167202289013</w:t>
      </w:r>
    </w:p>
    <w:p w14:paraId="459F7FCD" w14:textId="77777777" w:rsidR="00285CCC" w:rsidRPr="00E200A5" w:rsidRDefault="00285CCC" w:rsidP="00285CCC">
      <w:pPr>
        <w:pStyle w:val="Bibliography"/>
      </w:pPr>
      <w:r w:rsidRPr="00E200A5">
        <w:t xml:space="preserve">Zimmerman, R. K., Giehink, G. S., &amp; Street, H. B. (1995). </w:t>
      </w:r>
      <w:r w:rsidRPr="00E200A5">
        <w:rPr>
          <w:i/>
          <w:iCs/>
        </w:rPr>
        <w:t>Knowledge and attitudes of minnesota primary care physicians about barriers to measles and pertussis immunization</w:t>
      </w:r>
      <w:r w:rsidRPr="00E200A5">
        <w:t>. 8.</w:t>
      </w:r>
    </w:p>
    <w:p w14:paraId="64C536E1" w14:textId="0071C31B" w:rsidR="00322406" w:rsidRPr="00826D93" w:rsidRDefault="00D5010D" w:rsidP="00C915C8">
      <w:pPr>
        <w:spacing w:line="360" w:lineRule="auto"/>
        <w:ind w:left="720" w:hanging="720"/>
        <w:rPr>
          <w:rFonts w:ascii="Times New Roman" w:hAnsi="Times New Roman" w:cs="Times New Roman"/>
          <w:sz w:val="24"/>
          <w:szCs w:val="24"/>
        </w:rPr>
      </w:pPr>
      <w:r w:rsidRPr="00E200A5">
        <w:rPr>
          <w:rFonts w:ascii="Times New Roman" w:hAnsi="Times New Roman" w:cs="Times New Roman"/>
          <w:sz w:val="24"/>
          <w:szCs w:val="24"/>
        </w:rPr>
        <w:fldChar w:fldCharType="end"/>
      </w:r>
    </w:p>
    <w:sectPr w:rsidR="00322406" w:rsidRPr="00826D93" w:rsidSect="00C915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494E" w14:textId="77777777" w:rsidR="00ED4476" w:rsidRDefault="00ED4476" w:rsidP="00FC399E">
      <w:pPr>
        <w:spacing w:after="0" w:line="240" w:lineRule="auto"/>
      </w:pPr>
      <w:r>
        <w:separator/>
      </w:r>
    </w:p>
  </w:endnote>
  <w:endnote w:type="continuationSeparator" w:id="0">
    <w:p w14:paraId="1A16DED0" w14:textId="77777777" w:rsidR="00ED4476" w:rsidRDefault="00ED4476" w:rsidP="00FC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0524807"/>
      <w:docPartObj>
        <w:docPartGallery w:val="Page Numbers (Bottom of Page)"/>
        <w:docPartUnique/>
      </w:docPartObj>
    </w:sdtPr>
    <w:sdtEndPr>
      <w:rPr>
        <w:rStyle w:val="PageNumber"/>
      </w:rPr>
    </w:sdtEndPr>
    <w:sdtContent>
      <w:p w14:paraId="2A13C840" w14:textId="1FFFDDA1" w:rsidR="00F306DA" w:rsidRDefault="00F306DA" w:rsidP="00BD50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A0D10" w14:textId="77777777" w:rsidR="00F306DA" w:rsidRDefault="00F306DA" w:rsidP="00FC39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789239"/>
      <w:docPartObj>
        <w:docPartGallery w:val="Page Numbers (Bottom of Page)"/>
        <w:docPartUnique/>
      </w:docPartObj>
    </w:sdtPr>
    <w:sdtEndPr>
      <w:rPr>
        <w:rStyle w:val="PageNumber"/>
      </w:rPr>
    </w:sdtEndPr>
    <w:sdtContent>
      <w:p w14:paraId="303680BA" w14:textId="31B4E892" w:rsidR="00F306DA" w:rsidRDefault="00F306DA" w:rsidP="00BD50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632226C7" w14:textId="77777777" w:rsidR="00F306DA" w:rsidRDefault="00F306DA" w:rsidP="00FC39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38B" w14:textId="77777777" w:rsidR="004F70A6" w:rsidRDefault="004F7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F872" w14:textId="77777777" w:rsidR="00ED4476" w:rsidRDefault="00ED4476" w:rsidP="00FC399E">
      <w:pPr>
        <w:spacing w:after="0" w:line="240" w:lineRule="auto"/>
      </w:pPr>
      <w:r>
        <w:separator/>
      </w:r>
    </w:p>
  </w:footnote>
  <w:footnote w:type="continuationSeparator" w:id="0">
    <w:p w14:paraId="13F0D7E7" w14:textId="77777777" w:rsidR="00ED4476" w:rsidRDefault="00ED4476" w:rsidP="00FC3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D5E5" w14:textId="77777777" w:rsidR="004F70A6" w:rsidRDefault="004F7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DEB8" w14:textId="77777777" w:rsidR="004F70A6" w:rsidRDefault="004F7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70DD" w14:textId="77777777" w:rsidR="004F70A6" w:rsidRDefault="004F7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F10"/>
    <w:multiLevelType w:val="hybridMultilevel"/>
    <w:tmpl w:val="75F2215A"/>
    <w:lvl w:ilvl="0" w:tplc="A8AA195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0551"/>
    <w:multiLevelType w:val="hybridMultilevel"/>
    <w:tmpl w:val="B0EE3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0197A"/>
    <w:multiLevelType w:val="hybridMultilevel"/>
    <w:tmpl w:val="2480B4EE"/>
    <w:lvl w:ilvl="0" w:tplc="DCAA209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DC09C3"/>
    <w:multiLevelType w:val="hybridMultilevel"/>
    <w:tmpl w:val="7248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12593"/>
    <w:multiLevelType w:val="hybridMultilevel"/>
    <w:tmpl w:val="CABC4B7A"/>
    <w:lvl w:ilvl="0" w:tplc="0D0CD4B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E3"/>
    <w:rsid w:val="00002994"/>
    <w:rsid w:val="00002B13"/>
    <w:rsid w:val="0000411B"/>
    <w:rsid w:val="00005B3B"/>
    <w:rsid w:val="00010A7F"/>
    <w:rsid w:val="0001181D"/>
    <w:rsid w:val="00014163"/>
    <w:rsid w:val="000144E8"/>
    <w:rsid w:val="000212BA"/>
    <w:rsid w:val="000218BD"/>
    <w:rsid w:val="00024857"/>
    <w:rsid w:val="00025AAA"/>
    <w:rsid w:val="00026980"/>
    <w:rsid w:val="00032633"/>
    <w:rsid w:val="00033028"/>
    <w:rsid w:val="00033924"/>
    <w:rsid w:val="000346E7"/>
    <w:rsid w:val="0003689C"/>
    <w:rsid w:val="00041423"/>
    <w:rsid w:val="00041C10"/>
    <w:rsid w:val="00043B6F"/>
    <w:rsid w:val="000448DE"/>
    <w:rsid w:val="00045A41"/>
    <w:rsid w:val="00050190"/>
    <w:rsid w:val="00060A8E"/>
    <w:rsid w:val="00060CB5"/>
    <w:rsid w:val="00061776"/>
    <w:rsid w:val="00061F80"/>
    <w:rsid w:val="00064AD6"/>
    <w:rsid w:val="0006525B"/>
    <w:rsid w:val="00066E2C"/>
    <w:rsid w:val="00070BE7"/>
    <w:rsid w:val="00070F7D"/>
    <w:rsid w:val="00071675"/>
    <w:rsid w:val="00072BE3"/>
    <w:rsid w:val="00073BF7"/>
    <w:rsid w:val="00074FFE"/>
    <w:rsid w:val="0007533E"/>
    <w:rsid w:val="000807A9"/>
    <w:rsid w:val="000816E3"/>
    <w:rsid w:val="00083E8B"/>
    <w:rsid w:val="00085B78"/>
    <w:rsid w:val="000866F9"/>
    <w:rsid w:val="000922D4"/>
    <w:rsid w:val="00092A92"/>
    <w:rsid w:val="00093500"/>
    <w:rsid w:val="0009511F"/>
    <w:rsid w:val="00095E57"/>
    <w:rsid w:val="000976B6"/>
    <w:rsid w:val="000A0940"/>
    <w:rsid w:val="000A1A49"/>
    <w:rsid w:val="000A22C6"/>
    <w:rsid w:val="000A6830"/>
    <w:rsid w:val="000A6D1D"/>
    <w:rsid w:val="000A7EFD"/>
    <w:rsid w:val="000B13B7"/>
    <w:rsid w:val="000B382D"/>
    <w:rsid w:val="000B466E"/>
    <w:rsid w:val="000B46C6"/>
    <w:rsid w:val="000B4FBC"/>
    <w:rsid w:val="000B5651"/>
    <w:rsid w:val="000B5EB7"/>
    <w:rsid w:val="000B649E"/>
    <w:rsid w:val="000B75E3"/>
    <w:rsid w:val="000C2200"/>
    <w:rsid w:val="000D1673"/>
    <w:rsid w:val="000D1CEC"/>
    <w:rsid w:val="000E041D"/>
    <w:rsid w:val="000E0670"/>
    <w:rsid w:val="000E208C"/>
    <w:rsid w:val="000E29FE"/>
    <w:rsid w:val="000E32BB"/>
    <w:rsid w:val="000E572A"/>
    <w:rsid w:val="000F0765"/>
    <w:rsid w:val="000F1D49"/>
    <w:rsid w:val="000F35A5"/>
    <w:rsid w:val="000F51A3"/>
    <w:rsid w:val="000F7FD4"/>
    <w:rsid w:val="001106CE"/>
    <w:rsid w:val="00111443"/>
    <w:rsid w:val="00111F00"/>
    <w:rsid w:val="001132DE"/>
    <w:rsid w:val="001219FB"/>
    <w:rsid w:val="00124FCF"/>
    <w:rsid w:val="0012783C"/>
    <w:rsid w:val="00130E7C"/>
    <w:rsid w:val="00132D2C"/>
    <w:rsid w:val="00133362"/>
    <w:rsid w:val="00134C80"/>
    <w:rsid w:val="00137A2F"/>
    <w:rsid w:val="00137D35"/>
    <w:rsid w:val="00140D21"/>
    <w:rsid w:val="00142FA7"/>
    <w:rsid w:val="00143374"/>
    <w:rsid w:val="00150D0D"/>
    <w:rsid w:val="001512F0"/>
    <w:rsid w:val="001541A1"/>
    <w:rsid w:val="001546ED"/>
    <w:rsid w:val="00154819"/>
    <w:rsid w:val="00154B87"/>
    <w:rsid w:val="0015654B"/>
    <w:rsid w:val="00156E3E"/>
    <w:rsid w:val="0016225F"/>
    <w:rsid w:val="00162814"/>
    <w:rsid w:val="001666BE"/>
    <w:rsid w:val="00167753"/>
    <w:rsid w:val="00170806"/>
    <w:rsid w:val="00170FBF"/>
    <w:rsid w:val="00172F9E"/>
    <w:rsid w:val="00174E65"/>
    <w:rsid w:val="001833FD"/>
    <w:rsid w:val="00184715"/>
    <w:rsid w:val="00184CDD"/>
    <w:rsid w:val="00184E0A"/>
    <w:rsid w:val="00185464"/>
    <w:rsid w:val="00186569"/>
    <w:rsid w:val="00190EDD"/>
    <w:rsid w:val="00191A72"/>
    <w:rsid w:val="00193F71"/>
    <w:rsid w:val="001949E7"/>
    <w:rsid w:val="00195B5A"/>
    <w:rsid w:val="00195D78"/>
    <w:rsid w:val="00195F92"/>
    <w:rsid w:val="001976B6"/>
    <w:rsid w:val="001A426D"/>
    <w:rsid w:val="001A5009"/>
    <w:rsid w:val="001A5779"/>
    <w:rsid w:val="001A7886"/>
    <w:rsid w:val="001B2601"/>
    <w:rsid w:val="001B2A7B"/>
    <w:rsid w:val="001B5C92"/>
    <w:rsid w:val="001C002A"/>
    <w:rsid w:val="001C0E70"/>
    <w:rsid w:val="001C230D"/>
    <w:rsid w:val="001C49B6"/>
    <w:rsid w:val="001C4D5F"/>
    <w:rsid w:val="001C6991"/>
    <w:rsid w:val="001C6FE3"/>
    <w:rsid w:val="001C75BB"/>
    <w:rsid w:val="001D2861"/>
    <w:rsid w:val="001D28DF"/>
    <w:rsid w:val="001D3F1D"/>
    <w:rsid w:val="001D445F"/>
    <w:rsid w:val="001D6251"/>
    <w:rsid w:val="001E42C5"/>
    <w:rsid w:val="001E4A67"/>
    <w:rsid w:val="001E64F7"/>
    <w:rsid w:val="001E6E48"/>
    <w:rsid w:val="001E771D"/>
    <w:rsid w:val="001E77AD"/>
    <w:rsid w:val="001F05F7"/>
    <w:rsid w:val="001F1821"/>
    <w:rsid w:val="001F1E45"/>
    <w:rsid w:val="001F3232"/>
    <w:rsid w:val="001F711D"/>
    <w:rsid w:val="0020087C"/>
    <w:rsid w:val="00204DE1"/>
    <w:rsid w:val="002056FB"/>
    <w:rsid w:val="002109A2"/>
    <w:rsid w:val="00210AFE"/>
    <w:rsid w:val="00212573"/>
    <w:rsid w:val="0021419A"/>
    <w:rsid w:val="00216650"/>
    <w:rsid w:val="00216831"/>
    <w:rsid w:val="002203B1"/>
    <w:rsid w:val="002265B4"/>
    <w:rsid w:val="002274E5"/>
    <w:rsid w:val="00233DC7"/>
    <w:rsid w:val="0023518F"/>
    <w:rsid w:val="00235B17"/>
    <w:rsid w:val="0023696A"/>
    <w:rsid w:val="00236CE7"/>
    <w:rsid w:val="002402CD"/>
    <w:rsid w:val="00241F7B"/>
    <w:rsid w:val="00243914"/>
    <w:rsid w:val="002440DB"/>
    <w:rsid w:val="00250EF3"/>
    <w:rsid w:val="00254015"/>
    <w:rsid w:val="002575C0"/>
    <w:rsid w:val="0026016E"/>
    <w:rsid w:val="00262394"/>
    <w:rsid w:val="0026308D"/>
    <w:rsid w:val="00265565"/>
    <w:rsid w:val="00267DC5"/>
    <w:rsid w:val="00271CE8"/>
    <w:rsid w:val="00272707"/>
    <w:rsid w:val="00273887"/>
    <w:rsid w:val="00273F3D"/>
    <w:rsid w:val="00274A47"/>
    <w:rsid w:val="00276515"/>
    <w:rsid w:val="002765C0"/>
    <w:rsid w:val="00276618"/>
    <w:rsid w:val="00283954"/>
    <w:rsid w:val="00285745"/>
    <w:rsid w:val="00285CCC"/>
    <w:rsid w:val="00285F32"/>
    <w:rsid w:val="00286C43"/>
    <w:rsid w:val="00287F53"/>
    <w:rsid w:val="0029201D"/>
    <w:rsid w:val="00294603"/>
    <w:rsid w:val="002A0935"/>
    <w:rsid w:val="002A0941"/>
    <w:rsid w:val="002A10F2"/>
    <w:rsid w:val="002A18FC"/>
    <w:rsid w:val="002A20FA"/>
    <w:rsid w:val="002A3908"/>
    <w:rsid w:val="002A4367"/>
    <w:rsid w:val="002A6E9C"/>
    <w:rsid w:val="002A7FE3"/>
    <w:rsid w:val="002B0F92"/>
    <w:rsid w:val="002B16D2"/>
    <w:rsid w:val="002B2AB2"/>
    <w:rsid w:val="002B5FD9"/>
    <w:rsid w:val="002C2DAB"/>
    <w:rsid w:val="002C2E35"/>
    <w:rsid w:val="002C32F5"/>
    <w:rsid w:val="002C5047"/>
    <w:rsid w:val="002C508B"/>
    <w:rsid w:val="002C66FC"/>
    <w:rsid w:val="002C6D5A"/>
    <w:rsid w:val="002D0287"/>
    <w:rsid w:val="002D11B3"/>
    <w:rsid w:val="002D72D5"/>
    <w:rsid w:val="002E178C"/>
    <w:rsid w:val="002E35CB"/>
    <w:rsid w:val="002E5987"/>
    <w:rsid w:val="002E748D"/>
    <w:rsid w:val="002F012E"/>
    <w:rsid w:val="002F107D"/>
    <w:rsid w:val="002F25C5"/>
    <w:rsid w:val="002F2ED8"/>
    <w:rsid w:val="002F5AEA"/>
    <w:rsid w:val="002F5BD7"/>
    <w:rsid w:val="002F5FF3"/>
    <w:rsid w:val="0030127C"/>
    <w:rsid w:val="00303D7D"/>
    <w:rsid w:val="00307000"/>
    <w:rsid w:val="00307F2D"/>
    <w:rsid w:val="00314005"/>
    <w:rsid w:val="003164E8"/>
    <w:rsid w:val="003173AB"/>
    <w:rsid w:val="00317DE3"/>
    <w:rsid w:val="00322406"/>
    <w:rsid w:val="00322AD1"/>
    <w:rsid w:val="00325489"/>
    <w:rsid w:val="00326150"/>
    <w:rsid w:val="00326207"/>
    <w:rsid w:val="00327A9D"/>
    <w:rsid w:val="0033003A"/>
    <w:rsid w:val="0033008F"/>
    <w:rsid w:val="0033416D"/>
    <w:rsid w:val="00335C9D"/>
    <w:rsid w:val="00335CA0"/>
    <w:rsid w:val="00336B52"/>
    <w:rsid w:val="003376FC"/>
    <w:rsid w:val="00337FDD"/>
    <w:rsid w:val="00340111"/>
    <w:rsid w:val="003429B1"/>
    <w:rsid w:val="00343C10"/>
    <w:rsid w:val="003509D1"/>
    <w:rsid w:val="003510CD"/>
    <w:rsid w:val="00351F33"/>
    <w:rsid w:val="003524A0"/>
    <w:rsid w:val="00352626"/>
    <w:rsid w:val="00352777"/>
    <w:rsid w:val="00356780"/>
    <w:rsid w:val="003568F7"/>
    <w:rsid w:val="00357031"/>
    <w:rsid w:val="00360A44"/>
    <w:rsid w:val="00362F2F"/>
    <w:rsid w:val="00364201"/>
    <w:rsid w:val="00370D52"/>
    <w:rsid w:val="00373052"/>
    <w:rsid w:val="00373AEE"/>
    <w:rsid w:val="00374BA1"/>
    <w:rsid w:val="00376E0D"/>
    <w:rsid w:val="00381CFF"/>
    <w:rsid w:val="00383989"/>
    <w:rsid w:val="0038521E"/>
    <w:rsid w:val="00386808"/>
    <w:rsid w:val="00386920"/>
    <w:rsid w:val="00386F60"/>
    <w:rsid w:val="0038794D"/>
    <w:rsid w:val="00391366"/>
    <w:rsid w:val="003A218C"/>
    <w:rsid w:val="003A2A98"/>
    <w:rsid w:val="003A3164"/>
    <w:rsid w:val="003A49C7"/>
    <w:rsid w:val="003A5B51"/>
    <w:rsid w:val="003A708D"/>
    <w:rsid w:val="003B195E"/>
    <w:rsid w:val="003B2D13"/>
    <w:rsid w:val="003B3B75"/>
    <w:rsid w:val="003B59FE"/>
    <w:rsid w:val="003C0AAB"/>
    <w:rsid w:val="003C4625"/>
    <w:rsid w:val="003C5A3E"/>
    <w:rsid w:val="003C7355"/>
    <w:rsid w:val="003D19E6"/>
    <w:rsid w:val="003D3516"/>
    <w:rsid w:val="003E02EB"/>
    <w:rsid w:val="003E0D29"/>
    <w:rsid w:val="003E44B7"/>
    <w:rsid w:val="003E5ACE"/>
    <w:rsid w:val="003F0ADD"/>
    <w:rsid w:val="003F19FD"/>
    <w:rsid w:val="003F1A6E"/>
    <w:rsid w:val="003F2BC2"/>
    <w:rsid w:val="003F30C2"/>
    <w:rsid w:val="003F3720"/>
    <w:rsid w:val="003F3872"/>
    <w:rsid w:val="003F38AE"/>
    <w:rsid w:val="003F38F4"/>
    <w:rsid w:val="003F41F0"/>
    <w:rsid w:val="003F426A"/>
    <w:rsid w:val="003F5854"/>
    <w:rsid w:val="003F7020"/>
    <w:rsid w:val="00402FE2"/>
    <w:rsid w:val="00404063"/>
    <w:rsid w:val="004040CB"/>
    <w:rsid w:val="00410BF6"/>
    <w:rsid w:val="0041417B"/>
    <w:rsid w:val="004144A8"/>
    <w:rsid w:val="00415346"/>
    <w:rsid w:val="004153B6"/>
    <w:rsid w:val="004217B9"/>
    <w:rsid w:val="004227A3"/>
    <w:rsid w:val="0042372A"/>
    <w:rsid w:val="00424655"/>
    <w:rsid w:val="00425E73"/>
    <w:rsid w:val="00426189"/>
    <w:rsid w:val="004265CB"/>
    <w:rsid w:val="004272FE"/>
    <w:rsid w:val="00431609"/>
    <w:rsid w:val="004342EC"/>
    <w:rsid w:val="0043709D"/>
    <w:rsid w:val="00437D4A"/>
    <w:rsid w:val="00442966"/>
    <w:rsid w:val="00442A11"/>
    <w:rsid w:val="00443EF3"/>
    <w:rsid w:val="00444FB2"/>
    <w:rsid w:val="004476FF"/>
    <w:rsid w:val="0045008E"/>
    <w:rsid w:val="00462906"/>
    <w:rsid w:val="00463E0D"/>
    <w:rsid w:val="004674D9"/>
    <w:rsid w:val="0047031B"/>
    <w:rsid w:val="00473D5C"/>
    <w:rsid w:val="00473ECE"/>
    <w:rsid w:val="004754DF"/>
    <w:rsid w:val="004771D2"/>
    <w:rsid w:val="00481FC6"/>
    <w:rsid w:val="004857B4"/>
    <w:rsid w:val="00485E04"/>
    <w:rsid w:val="004865A1"/>
    <w:rsid w:val="004875CC"/>
    <w:rsid w:val="004903D9"/>
    <w:rsid w:val="004935DF"/>
    <w:rsid w:val="004962D6"/>
    <w:rsid w:val="004964F0"/>
    <w:rsid w:val="00496696"/>
    <w:rsid w:val="004A04C6"/>
    <w:rsid w:val="004A059B"/>
    <w:rsid w:val="004A1DDF"/>
    <w:rsid w:val="004A2FE3"/>
    <w:rsid w:val="004A7219"/>
    <w:rsid w:val="004A7636"/>
    <w:rsid w:val="004B30E4"/>
    <w:rsid w:val="004B6341"/>
    <w:rsid w:val="004B6768"/>
    <w:rsid w:val="004B6DD3"/>
    <w:rsid w:val="004B763B"/>
    <w:rsid w:val="004C052C"/>
    <w:rsid w:val="004C112E"/>
    <w:rsid w:val="004C5FAA"/>
    <w:rsid w:val="004E086B"/>
    <w:rsid w:val="004E103A"/>
    <w:rsid w:val="004E29EE"/>
    <w:rsid w:val="004E48C1"/>
    <w:rsid w:val="004E6F69"/>
    <w:rsid w:val="004E74EB"/>
    <w:rsid w:val="004E7565"/>
    <w:rsid w:val="004F1AA6"/>
    <w:rsid w:val="004F287A"/>
    <w:rsid w:val="004F2EEF"/>
    <w:rsid w:val="004F70A6"/>
    <w:rsid w:val="004F7D80"/>
    <w:rsid w:val="00501D92"/>
    <w:rsid w:val="005041B0"/>
    <w:rsid w:val="00504DF4"/>
    <w:rsid w:val="0050545E"/>
    <w:rsid w:val="005136BB"/>
    <w:rsid w:val="005239E9"/>
    <w:rsid w:val="00527508"/>
    <w:rsid w:val="005307BE"/>
    <w:rsid w:val="00532892"/>
    <w:rsid w:val="00532F88"/>
    <w:rsid w:val="00533D82"/>
    <w:rsid w:val="0053569D"/>
    <w:rsid w:val="00541CB3"/>
    <w:rsid w:val="00541D12"/>
    <w:rsid w:val="0054227C"/>
    <w:rsid w:val="00542865"/>
    <w:rsid w:val="00547CB1"/>
    <w:rsid w:val="00551AAC"/>
    <w:rsid w:val="00553869"/>
    <w:rsid w:val="00561E30"/>
    <w:rsid w:val="00561EDC"/>
    <w:rsid w:val="005626F2"/>
    <w:rsid w:val="005639D2"/>
    <w:rsid w:val="00563E8E"/>
    <w:rsid w:val="005652A4"/>
    <w:rsid w:val="00565A34"/>
    <w:rsid w:val="0057010F"/>
    <w:rsid w:val="0057080E"/>
    <w:rsid w:val="00570F6E"/>
    <w:rsid w:val="005717F1"/>
    <w:rsid w:val="00574952"/>
    <w:rsid w:val="00577C08"/>
    <w:rsid w:val="00582148"/>
    <w:rsid w:val="0058381F"/>
    <w:rsid w:val="005840D5"/>
    <w:rsid w:val="00584D1A"/>
    <w:rsid w:val="005851D7"/>
    <w:rsid w:val="00586BE6"/>
    <w:rsid w:val="005875C9"/>
    <w:rsid w:val="00590866"/>
    <w:rsid w:val="005925C6"/>
    <w:rsid w:val="00596528"/>
    <w:rsid w:val="005A2589"/>
    <w:rsid w:val="005A307A"/>
    <w:rsid w:val="005A5E76"/>
    <w:rsid w:val="005A7112"/>
    <w:rsid w:val="005B330D"/>
    <w:rsid w:val="005B3583"/>
    <w:rsid w:val="005B3C59"/>
    <w:rsid w:val="005B42F9"/>
    <w:rsid w:val="005B6736"/>
    <w:rsid w:val="005B7802"/>
    <w:rsid w:val="005B7B2A"/>
    <w:rsid w:val="005C1298"/>
    <w:rsid w:val="005C1EB4"/>
    <w:rsid w:val="005C3CA9"/>
    <w:rsid w:val="005C41AA"/>
    <w:rsid w:val="005D038F"/>
    <w:rsid w:val="005D12EE"/>
    <w:rsid w:val="005D79BE"/>
    <w:rsid w:val="005E15B7"/>
    <w:rsid w:val="005E3CF3"/>
    <w:rsid w:val="005E40E2"/>
    <w:rsid w:val="005E5A6B"/>
    <w:rsid w:val="005F06EE"/>
    <w:rsid w:val="005F1437"/>
    <w:rsid w:val="005F1F5A"/>
    <w:rsid w:val="005F20BF"/>
    <w:rsid w:val="005F2B0D"/>
    <w:rsid w:val="005F46FC"/>
    <w:rsid w:val="005F4D76"/>
    <w:rsid w:val="005F75EF"/>
    <w:rsid w:val="005F7776"/>
    <w:rsid w:val="005F7E51"/>
    <w:rsid w:val="005F7FE8"/>
    <w:rsid w:val="006052DC"/>
    <w:rsid w:val="00606534"/>
    <w:rsid w:val="00606848"/>
    <w:rsid w:val="00606EF2"/>
    <w:rsid w:val="0061183A"/>
    <w:rsid w:val="00613773"/>
    <w:rsid w:val="00613A9F"/>
    <w:rsid w:val="00615E9D"/>
    <w:rsid w:val="00616651"/>
    <w:rsid w:val="00620111"/>
    <w:rsid w:val="00620FCE"/>
    <w:rsid w:val="00625B4B"/>
    <w:rsid w:val="00625E4B"/>
    <w:rsid w:val="00636EE9"/>
    <w:rsid w:val="006430B2"/>
    <w:rsid w:val="0064393D"/>
    <w:rsid w:val="0064494B"/>
    <w:rsid w:val="00645FBC"/>
    <w:rsid w:val="00647335"/>
    <w:rsid w:val="00647611"/>
    <w:rsid w:val="00651A4A"/>
    <w:rsid w:val="006542DA"/>
    <w:rsid w:val="0065489A"/>
    <w:rsid w:val="00660162"/>
    <w:rsid w:val="006608F8"/>
    <w:rsid w:val="00664754"/>
    <w:rsid w:val="00664E59"/>
    <w:rsid w:val="00666CE2"/>
    <w:rsid w:val="0066777C"/>
    <w:rsid w:val="006702ED"/>
    <w:rsid w:val="006713F8"/>
    <w:rsid w:val="00671B31"/>
    <w:rsid w:val="00671E62"/>
    <w:rsid w:val="00674581"/>
    <w:rsid w:val="00674A66"/>
    <w:rsid w:val="0068007D"/>
    <w:rsid w:val="00682C78"/>
    <w:rsid w:val="00684D4C"/>
    <w:rsid w:val="00685DD7"/>
    <w:rsid w:val="00686F26"/>
    <w:rsid w:val="00687714"/>
    <w:rsid w:val="00687900"/>
    <w:rsid w:val="00692FB2"/>
    <w:rsid w:val="00695A11"/>
    <w:rsid w:val="00695B9F"/>
    <w:rsid w:val="006974E3"/>
    <w:rsid w:val="006A14B3"/>
    <w:rsid w:val="006A3DB2"/>
    <w:rsid w:val="006A5DD9"/>
    <w:rsid w:val="006A74D4"/>
    <w:rsid w:val="006A7573"/>
    <w:rsid w:val="006B06DA"/>
    <w:rsid w:val="006B6DB5"/>
    <w:rsid w:val="006B6EFA"/>
    <w:rsid w:val="006C1084"/>
    <w:rsid w:val="006C4A8D"/>
    <w:rsid w:val="006C4B61"/>
    <w:rsid w:val="006C53AF"/>
    <w:rsid w:val="006C6664"/>
    <w:rsid w:val="006C74FD"/>
    <w:rsid w:val="006D6C5E"/>
    <w:rsid w:val="006E3CB5"/>
    <w:rsid w:val="006E5D0F"/>
    <w:rsid w:val="006E6824"/>
    <w:rsid w:val="006F02E5"/>
    <w:rsid w:val="006F3A6D"/>
    <w:rsid w:val="006F4E2C"/>
    <w:rsid w:val="006F5102"/>
    <w:rsid w:val="006F51D9"/>
    <w:rsid w:val="006F6A53"/>
    <w:rsid w:val="00705E52"/>
    <w:rsid w:val="007064A0"/>
    <w:rsid w:val="00710CEF"/>
    <w:rsid w:val="0071315E"/>
    <w:rsid w:val="007133F7"/>
    <w:rsid w:val="00713681"/>
    <w:rsid w:val="0071414E"/>
    <w:rsid w:val="0071485B"/>
    <w:rsid w:val="00716052"/>
    <w:rsid w:val="00721043"/>
    <w:rsid w:val="0072167D"/>
    <w:rsid w:val="00721EB2"/>
    <w:rsid w:val="00722772"/>
    <w:rsid w:val="00723D04"/>
    <w:rsid w:val="00725F8D"/>
    <w:rsid w:val="00730DD8"/>
    <w:rsid w:val="00732C70"/>
    <w:rsid w:val="00735375"/>
    <w:rsid w:val="00736DD4"/>
    <w:rsid w:val="007412A0"/>
    <w:rsid w:val="00743E72"/>
    <w:rsid w:val="00743F36"/>
    <w:rsid w:val="0074417E"/>
    <w:rsid w:val="0074449E"/>
    <w:rsid w:val="00751603"/>
    <w:rsid w:val="00752559"/>
    <w:rsid w:val="0075365E"/>
    <w:rsid w:val="0075571A"/>
    <w:rsid w:val="007632EA"/>
    <w:rsid w:val="0076449D"/>
    <w:rsid w:val="00765DD6"/>
    <w:rsid w:val="00766E6F"/>
    <w:rsid w:val="00770B16"/>
    <w:rsid w:val="00772195"/>
    <w:rsid w:val="007727BE"/>
    <w:rsid w:val="007741CC"/>
    <w:rsid w:val="007747CE"/>
    <w:rsid w:val="00775902"/>
    <w:rsid w:val="00775B16"/>
    <w:rsid w:val="00777211"/>
    <w:rsid w:val="00777AE3"/>
    <w:rsid w:val="00780C4C"/>
    <w:rsid w:val="007819C6"/>
    <w:rsid w:val="007846D7"/>
    <w:rsid w:val="0078630E"/>
    <w:rsid w:val="00786CAB"/>
    <w:rsid w:val="00787FA6"/>
    <w:rsid w:val="00794250"/>
    <w:rsid w:val="0079438E"/>
    <w:rsid w:val="007A262E"/>
    <w:rsid w:val="007A3944"/>
    <w:rsid w:val="007A4EE0"/>
    <w:rsid w:val="007A6262"/>
    <w:rsid w:val="007A6FAA"/>
    <w:rsid w:val="007A708E"/>
    <w:rsid w:val="007B03EC"/>
    <w:rsid w:val="007B6ADF"/>
    <w:rsid w:val="007C0527"/>
    <w:rsid w:val="007C20C2"/>
    <w:rsid w:val="007C3074"/>
    <w:rsid w:val="007C53C9"/>
    <w:rsid w:val="007D18D5"/>
    <w:rsid w:val="007D1BFB"/>
    <w:rsid w:val="007D36E5"/>
    <w:rsid w:val="007D3F8C"/>
    <w:rsid w:val="007D418F"/>
    <w:rsid w:val="007D63A8"/>
    <w:rsid w:val="007E1FA3"/>
    <w:rsid w:val="007E514F"/>
    <w:rsid w:val="007F14C0"/>
    <w:rsid w:val="007F16CD"/>
    <w:rsid w:val="007F1E93"/>
    <w:rsid w:val="007F4372"/>
    <w:rsid w:val="007F619C"/>
    <w:rsid w:val="00801905"/>
    <w:rsid w:val="00803697"/>
    <w:rsid w:val="00806599"/>
    <w:rsid w:val="008072F5"/>
    <w:rsid w:val="0081032F"/>
    <w:rsid w:val="008116D4"/>
    <w:rsid w:val="008121C3"/>
    <w:rsid w:val="0081293F"/>
    <w:rsid w:val="008136F2"/>
    <w:rsid w:val="008138A1"/>
    <w:rsid w:val="00814312"/>
    <w:rsid w:val="0081704C"/>
    <w:rsid w:val="00817500"/>
    <w:rsid w:val="0081785A"/>
    <w:rsid w:val="00825F75"/>
    <w:rsid w:val="00826252"/>
    <w:rsid w:val="00826D93"/>
    <w:rsid w:val="00831590"/>
    <w:rsid w:val="008338B3"/>
    <w:rsid w:val="00836DC9"/>
    <w:rsid w:val="00837185"/>
    <w:rsid w:val="008433F0"/>
    <w:rsid w:val="00845C2B"/>
    <w:rsid w:val="00846168"/>
    <w:rsid w:val="00847074"/>
    <w:rsid w:val="00847B33"/>
    <w:rsid w:val="00851B86"/>
    <w:rsid w:val="00851C69"/>
    <w:rsid w:val="00852603"/>
    <w:rsid w:val="008552A1"/>
    <w:rsid w:val="00860CD6"/>
    <w:rsid w:val="00860E13"/>
    <w:rsid w:val="00860EAC"/>
    <w:rsid w:val="008715D0"/>
    <w:rsid w:val="00871CC7"/>
    <w:rsid w:val="00874478"/>
    <w:rsid w:val="00876778"/>
    <w:rsid w:val="0087724D"/>
    <w:rsid w:val="00880671"/>
    <w:rsid w:val="008818D4"/>
    <w:rsid w:val="00881B43"/>
    <w:rsid w:val="00885B43"/>
    <w:rsid w:val="00885C56"/>
    <w:rsid w:val="0089001F"/>
    <w:rsid w:val="00891DB1"/>
    <w:rsid w:val="008926F6"/>
    <w:rsid w:val="00895515"/>
    <w:rsid w:val="008A09C9"/>
    <w:rsid w:val="008A186C"/>
    <w:rsid w:val="008A1F2C"/>
    <w:rsid w:val="008A3A95"/>
    <w:rsid w:val="008A56AA"/>
    <w:rsid w:val="008A58FF"/>
    <w:rsid w:val="008A68A7"/>
    <w:rsid w:val="008A6C1C"/>
    <w:rsid w:val="008A70DD"/>
    <w:rsid w:val="008B21E9"/>
    <w:rsid w:val="008B3D53"/>
    <w:rsid w:val="008B43B7"/>
    <w:rsid w:val="008B5E30"/>
    <w:rsid w:val="008C1999"/>
    <w:rsid w:val="008C2445"/>
    <w:rsid w:val="008C2AF3"/>
    <w:rsid w:val="008D5220"/>
    <w:rsid w:val="008D5531"/>
    <w:rsid w:val="008D5639"/>
    <w:rsid w:val="008D617F"/>
    <w:rsid w:val="008D61DA"/>
    <w:rsid w:val="008D76F2"/>
    <w:rsid w:val="008E3718"/>
    <w:rsid w:val="008E5A78"/>
    <w:rsid w:val="008E6DD8"/>
    <w:rsid w:val="008E6F1D"/>
    <w:rsid w:val="008F192E"/>
    <w:rsid w:val="008F1BCE"/>
    <w:rsid w:val="008F41BC"/>
    <w:rsid w:val="008F4A72"/>
    <w:rsid w:val="008F5AD4"/>
    <w:rsid w:val="008F5C91"/>
    <w:rsid w:val="008F769C"/>
    <w:rsid w:val="00904E7F"/>
    <w:rsid w:val="009054B1"/>
    <w:rsid w:val="00906F43"/>
    <w:rsid w:val="00913834"/>
    <w:rsid w:val="009151DA"/>
    <w:rsid w:val="00922559"/>
    <w:rsid w:val="009240FA"/>
    <w:rsid w:val="00925CF7"/>
    <w:rsid w:val="00932C41"/>
    <w:rsid w:val="0093550D"/>
    <w:rsid w:val="009366F3"/>
    <w:rsid w:val="00937D06"/>
    <w:rsid w:val="0094006E"/>
    <w:rsid w:val="00940B35"/>
    <w:rsid w:val="00944FCC"/>
    <w:rsid w:val="00946720"/>
    <w:rsid w:val="00952312"/>
    <w:rsid w:val="00954117"/>
    <w:rsid w:val="009606AE"/>
    <w:rsid w:val="0096337F"/>
    <w:rsid w:val="00965D1B"/>
    <w:rsid w:val="00967F49"/>
    <w:rsid w:val="009721A3"/>
    <w:rsid w:val="00973B51"/>
    <w:rsid w:val="009742C7"/>
    <w:rsid w:val="00974A06"/>
    <w:rsid w:val="00975250"/>
    <w:rsid w:val="00976438"/>
    <w:rsid w:val="009764FA"/>
    <w:rsid w:val="009833D2"/>
    <w:rsid w:val="0098787B"/>
    <w:rsid w:val="00991F13"/>
    <w:rsid w:val="00992FC5"/>
    <w:rsid w:val="00994665"/>
    <w:rsid w:val="00996F6B"/>
    <w:rsid w:val="009A0AA9"/>
    <w:rsid w:val="009A50D9"/>
    <w:rsid w:val="009A6260"/>
    <w:rsid w:val="009B2841"/>
    <w:rsid w:val="009C036A"/>
    <w:rsid w:val="009C42DF"/>
    <w:rsid w:val="009C4EE0"/>
    <w:rsid w:val="009C66D7"/>
    <w:rsid w:val="009D38B0"/>
    <w:rsid w:val="009D3B55"/>
    <w:rsid w:val="009E0643"/>
    <w:rsid w:val="009E222A"/>
    <w:rsid w:val="009E3100"/>
    <w:rsid w:val="009E3F7D"/>
    <w:rsid w:val="009E6B1E"/>
    <w:rsid w:val="009F22FD"/>
    <w:rsid w:val="009F2A5C"/>
    <w:rsid w:val="009F3967"/>
    <w:rsid w:val="009F656C"/>
    <w:rsid w:val="009F671E"/>
    <w:rsid w:val="009F6E27"/>
    <w:rsid w:val="00A01A7F"/>
    <w:rsid w:val="00A040DE"/>
    <w:rsid w:val="00A042B3"/>
    <w:rsid w:val="00A04E68"/>
    <w:rsid w:val="00A04ED0"/>
    <w:rsid w:val="00A11427"/>
    <w:rsid w:val="00A12003"/>
    <w:rsid w:val="00A12392"/>
    <w:rsid w:val="00A12B01"/>
    <w:rsid w:val="00A169B9"/>
    <w:rsid w:val="00A16E43"/>
    <w:rsid w:val="00A2180C"/>
    <w:rsid w:val="00A27C06"/>
    <w:rsid w:val="00A32EE3"/>
    <w:rsid w:val="00A34873"/>
    <w:rsid w:val="00A34E1A"/>
    <w:rsid w:val="00A35FF0"/>
    <w:rsid w:val="00A37084"/>
    <w:rsid w:val="00A3774E"/>
    <w:rsid w:val="00A37FCC"/>
    <w:rsid w:val="00A42154"/>
    <w:rsid w:val="00A42F54"/>
    <w:rsid w:val="00A4341C"/>
    <w:rsid w:val="00A43BFD"/>
    <w:rsid w:val="00A472F2"/>
    <w:rsid w:val="00A47A12"/>
    <w:rsid w:val="00A50771"/>
    <w:rsid w:val="00A564E6"/>
    <w:rsid w:val="00A56670"/>
    <w:rsid w:val="00A56C10"/>
    <w:rsid w:val="00A621EA"/>
    <w:rsid w:val="00A62A76"/>
    <w:rsid w:val="00A63465"/>
    <w:rsid w:val="00A64758"/>
    <w:rsid w:val="00A66CB4"/>
    <w:rsid w:val="00A67352"/>
    <w:rsid w:val="00A72705"/>
    <w:rsid w:val="00A72B37"/>
    <w:rsid w:val="00A72D39"/>
    <w:rsid w:val="00A73E58"/>
    <w:rsid w:val="00A74C69"/>
    <w:rsid w:val="00A751FD"/>
    <w:rsid w:val="00A75DDE"/>
    <w:rsid w:val="00A77609"/>
    <w:rsid w:val="00A81D1A"/>
    <w:rsid w:val="00A8434F"/>
    <w:rsid w:val="00A847A7"/>
    <w:rsid w:val="00A8540F"/>
    <w:rsid w:val="00A85488"/>
    <w:rsid w:val="00A9114D"/>
    <w:rsid w:val="00A913D5"/>
    <w:rsid w:val="00A92978"/>
    <w:rsid w:val="00A97B55"/>
    <w:rsid w:val="00AA08C1"/>
    <w:rsid w:val="00AA0D75"/>
    <w:rsid w:val="00AA1CCD"/>
    <w:rsid w:val="00AA2A33"/>
    <w:rsid w:val="00AA2D97"/>
    <w:rsid w:val="00AA325B"/>
    <w:rsid w:val="00AA6B43"/>
    <w:rsid w:val="00AA77D9"/>
    <w:rsid w:val="00AB000D"/>
    <w:rsid w:val="00AB45D4"/>
    <w:rsid w:val="00AB4947"/>
    <w:rsid w:val="00AB4E60"/>
    <w:rsid w:val="00AB5B88"/>
    <w:rsid w:val="00AC2F8A"/>
    <w:rsid w:val="00AC5C6C"/>
    <w:rsid w:val="00AC6051"/>
    <w:rsid w:val="00AC61BC"/>
    <w:rsid w:val="00AD506C"/>
    <w:rsid w:val="00AD7995"/>
    <w:rsid w:val="00AE0039"/>
    <w:rsid w:val="00AE1263"/>
    <w:rsid w:val="00AE39FB"/>
    <w:rsid w:val="00AE71B9"/>
    <w:rsid w:val="00AE7DBA"/>
    <w:rsid w:val="00AF0251"/>
    <w:rsid w:val="00AF2294"/>
    <w:rsid w:val="00AF3239"/>
    <w:rsid w:val="00AF4544"/>
    <w:rsid w:val="00AF6971"/>
    <w:rsid w:val="00AF6E5F"/>
    <w:rsid w:val="00B0069B"/>
    <w:rsid w:val="00B00972"/>
    <w:rsid w:val="00B0138B"/>
    <w:rsid w:val="00B02C28"/>
    <w:rsid w:val="00B0330C"/>
    <w:rsid w:val="00B04CDF"/>
    <w:rsid w:val="00B07B2F"/>
    <w:rsid w:val="00B109C7"/>
    <w:rsid w:val="00B1449E"/>
    <w:rsid w:val="00B1528A"/>
    <w:rsid w:val="00B15D9A"/>
    <w:rsid w:val="00B1746C"/>
    <w:rsid w:val="00B23C51"/>
    <w:rsid w:val="00B24DE1"/>
    <w:rsid w:val="00B274E6"/>
    <w:rsid w:val="00B3486D"/>
    <w:rsid w:val="00B36ADB"/>
    <w:rsid w:val="00B4096E"/>
    <w:rsid w:val="00B40C33"/>
    <w:rsid w:val="00B4190D"/>
    <w:rsid w:val="00B42321"/>
    <w:rsid w:val="00B4365F"/>
    <w:rsid w:val="00B508B5"/>
    <w:rsid w:val="00B517C4"/>
    <w:rsid w:val="00B5396C"/>
    <w:rsid w:val="00B55324"/>
    <w:rsid w:val="00B57CB5"/>
    <w:rsid w:val="00B60977"/>
    <w:rsid w:val="00B66D3D"/>
    <w:rsid w:val="00B67625"/>
    <w:rsid w:val="00B6781A"/>
    <w:rsid w:val="00B72DAA"/>
    <w:rsid w:val="00B767C9"/>
    <w:rsid w:val="00B77297"/>
    <w:rsid w:val="00B77E9A"/>
    <w:rsid w:val="00B846AE"/>
    <w:rsid w:val="00B853CD"/>
    <w:rsid w:val="00B856A7"/>
    <w:rsid w:val="00B947BE"/>
    <w:rsid w:val="00B95920"/>
    <w:rsid w:val="00BA473F"/>
    <w:rsid w:val="00BA5CA5"/>
    <w:rsid w:val="00BA66B2"/>
    <w:rsid w:val="00BB266D"/>
    <w:rsid w:val="00BB3CBD"/>
    <w:rsid w:val="00BB5145"/>
    <w:rsid w:val="00BB51E7"/>
    <w:rsid w:val="00BB5CD3"/>
    <w:rsid w:val="00BB6176"/>
    <w:rsid w:val="00BB63E6"/>
    <w:rsid w:val="00BB68FB"/>
    <w:rsid w:val="00BB7C89"/>
    <w:rsid w:val="00BC0608"/>
    <w:rsid w:val="00BC2836"/>
    <w:rsid w:val="00BC32AF"/>
    <w:rsid w:val="00BD06B4"/>
    <w:rsid w:val="00BD1E5F"/>
    <w:rsid w:val="00BD22AA"/>
    <w:rsid w:val="00BD2EBB"/>
    <w:rsid w:val="00BD3937"/>
    <w:rsid w:val="00BD5060"/>
    <w:rsid w:val="00BD5215"/>
    <w:rsid w:val="00BD6462"/>
    <w:rsid w:val="00BD6652"/>
    <w:rsid w:val="00BD6A64"/>
    <w:rsid w:val="00BD7994"/>
    <w:rsid w:val="00BE5743"/>
    <w:rsid w:val="00BF0A46"/>
    <w:rsid w:val="00BF0D60"/>
    <w:rsid w:val="00BF3F9E"/>
    <w:rsid w:val="00BF4EC6"/>
    <w:rsid w:val="00BF617F"/>
    <w:rsid w:val="00C00286"/>
    <w:rsid w:val="00C00563"/>
    <w:rsid w:val="00C03ADE"/>
    <w:rsid w:val="00C06C9E"/>
    <w:rsid w:val="00C10200"/>
    <w:rsid w:val="00C1188D"/>
    <w:rsid w:val="00C143B7"/>
    <w:rsid w:val="00C14DBC"/>
    <w:rsid w:val="00C155A0"/>
    <w:rsid w:val="00C162DC"/>
    <w:rsid w:val="00C22104"/>
    <w:rsid w:val="00C2619E"/>
    <w:rsid w:val="00C30C61"/>
    <w:rsid w:val="00C30DB0"/>
    <w:rsid w:val="00C317AB"/>
    <w:rsid w:val="00C32474"/>
    <w:rsid w:val="00C3457E"/>
    <w:rsid w:val="00C350C6"/>
    <w:rsid w:val="00C35173"/>
    <w:rsid w:val="00C35610"/>
    <w:rsid w:val="00C42B41"/>
    <w:rsid w:val="00C42F95"/>
    <w:rsid w:val="00C43034"/>
    <w:rsid w:val="00C470B5"/>
    <w:rsid w:val="00C47884"/>
    <w:rsid w:val="00C47F6A"/>
    <w:rsid w:val="00C53173"/>
    <w:rsid w:val="00C54B44"/>
    <w:rsid w:val="00C570E0"/>
    <w:rsid w:val="00C60B36"/>
    <w:rsid w:val="00C631B1"/>
    <w:rsid w:val="00C6388A"/>
    <w:rsid w:val="00C6424B"/>
    <w:rsid w:val="00C65D81"/>
    <w:rsid w:val="00C67DD8"/>
    <w:rsid w:val="00C701A7"/>
    <w:rsid w:val="00C73E75"/>
    <w:rsid w:val="00C741DD"/>
    <w:rsid w:val="00C77CBD"/>
    <w:rsid w:val="00C77D81"/>
    <w:rsid w:val="00C80D4A"/>
    <w:rsid w:val="00C82C1E"/>
    <w:rsid w:val="00C85852"/>
    <w:rsid w:val="00C85D99"/>
    <w:rsid w:val="00C86127"/>
    <w:rsid w:val="00C86411"/>
    <w:rsid w:val="00C86701"/>
    <w:rsid w:val="00C86979"/>
    <w:rsid w:val="00C87B9B"/>
    <w:rsid w:val="00C90F5B"/>
    <w:rsid w:val="00C915C8"/>
    <w:rsid w:val="00C9246E"/>
    <w:rsid w:val="00C939C0"/>
    <w:rsid w:val="00C93E8C"/>
    <w:rsid w:val="00C94807"/>
    <w:rsid w:val="00C95B53"/>
    <w:rsid w:val="00C95D62"/>
    <w:rsid w:val="00C97A33"/>
    <w:rsid w:val="00CA1C70"/>
    <w:rsid w:val="00CA504A"/>
    <w:rsid w:val="00CA5D8E"/>
    <w:rsid w:val="00CB444B"/>
    <w:rsid w:val="00CB4D68"/>
    <w:rsid w:val="00CB68A0"/>
    <w:rsid w:val="00CB7292"/>
    <w:rsid w:val="00CC0CE2"/>
    <w:rsid w:val="00CC1E73"/>
    <w:rsid w:val="00CC359F"/>
    <w:rsid w:val="00CC74C3"/>
    <w:rsid w:val="00CD404F"/>
    <w:rsid w:val="00CD5B94"/>
    <w:rsid w:val="00CD65BE"/>
    <w:rsid w:val="00CE0D11"/>
    <w:rsid w:val="00CE18B5"/>
    <w:rsid w:val="00CE2FA0"/>
    <w:rsid w:val="00CE3777"/>
    <w:rsid w:val="00CE3D7C"/>
    <w:rsid w:val="00CE42C9"/>
    <w:rsid w:val="00CE4EA5"/>
    <w:rsid w:val="00CE5113"/>
    <w:rsid w:val="00CE53DB"/>
    <w:rsid w:val="00CE6212"/>
    <w:rsid w:val="00CF1A6C"/>
    <w:rsid w:val="00CF22B6"/>
    <w:rsid w:val="00CF4943"/>
    <w:rsid w:val="00CF6A6F"/>
    <w:rsid w:val="00CF7652"/>
    <w:rsid w:val="00D0142B"/>
    <w:rsid w:val="00D01C6A"/>
    <w:rsid w:val="00D02B64"/>
    <w:rsid w:val="00D03ED1"/>
    <w:rsid w:val="00D05289"/>
    <w:rsid w:val="00D05AAE"/>
    <w:rsid w:val="00D05C93"/>
    <w:rsid w:val="00D077F5"/>
    <w:rsid w:val="00D11512"/>
    <w:rsid w:val="00D1157F"/>
    <w:rsid w:val="00D12242"/>
    <w:rsid w:val="00D1244F"/>
    <w:rsid w:val="00D134F2"/>
    <w:rsid w:val="00D14087"/>
    <w:rsid w:val="00D14623"/>
    <w:rsid w:val="00D1474F"/>
    <w:rsid w:val="00D14E6F"/>
    <w:rsid w:val="00D17DA9"/>
    <w:rsid w:val="00D23643"/>
    <w:rsid w:val="00D23735"/>
    <w:rsid w:val="00D24152"/>
    <w:rsid w:val="00D2602E"/>
    <w:rsid w:val="00D27A12"/>
    <w:rsid w:val="00D312DE"/>
    <w:rsid w:val="00D33094"/>
    <w:rsid w:val="00D36B1D"/>
    <w:rsid w:val="00D372C9"/>
    <w:rsid w:val="00D40737"/>
    <w:rsid w:val="00D408E5"/>
    <w:rsid w:val="00D458BE"/>
    <w:rsid w:val="00D4740A"/>
    <w:rsid w:val="00D47D7A"/>
    <w:rsid w:val="00D47FDB"/>
    <w:rsid w:val="00D5010D"/>
    <w:rsid w:val="00D506F1"/>
    <w:rsid w:val="00D525CB"/>
    <w:rsid w:val="00D529B6"/>
    <w:rsid w:val="00D545F8"/>
    <w:rsid w:val="00D5664E"/>
    <w:rsid w:val="00D57B44"/>
    <w:rsid w:val="00D57D7D"/>
    <w:rsid w:val="00D60154"/>
    <w:rsid w:val="00D60EA1"/>
    <w:rsid w:val="00D61BA3"/>
    <w:rsid w:val="00D61BDB"/>
    <w:rsid w:val="00D628FE"/>
    <w:rsid w:val="00D63A05"/>
    <w:rsid w:val="00D6428E"/>
    <w:rsid w:val="00D67086"/>
    <w:rsid w:val="00D70063"/>
    <w:rsid w:val="00D7096F"/>
    <w:rsid w:val="00D727CC"/>
    <w:rsid w:val="00D803C0"/>
    <w:rsid w:val="00D869CE"/>
    <w:rsid w:val="00D911ED"/>
    <w:rsid w:val="00D96BDB"/>
    <w:rsid w:val="00D97021"/>
    <w:rsid w:val="00D97B05"/>
    <w:rsid w:val="00D97FD2"/>
    <w:rsid w:val="00DA15A0"/>
    <w:rsid w:val="00DA27F4"/>
    <w:rsid w:val="00DA4A04"/>
    <w:rsid w:val="00DA5076"/>
    <w:rsid w:val="00DA5993"/>
    <w:rsid w:val="00DA6599"/>
    <w:rsid w:val="00DA7658"/>
    <w:rsid w:val="00DA7ED2"/>
    <w:rsid w:val="00DB11F2"/>
    <w:rsid w:val="00DB1D16"/>
    <w:rsid w:val="00DB2966"/>
    <w:rsid w:val="00DB442C"/>
    <w:rsid w:val="00DB761C"/>
    <w:rsid w:val="00DC1641"/>
    <w:rsid w:val="00DC1A42"/>
    <w:rsid w:val="00DC2439"/>
    <w:rsid w:val="00DC32F8"/>
    <w:rsid w:val="00DC5092"/>
    <w:rsid w:val="00DC58FA"/>
    <w:rsid w:val="00DC74C0"/>
    <w:rsid w:val="00DD182A"/>
    <w:rsid w:val="00DD3634"/>
    <w:rsid w:val="00DD73FB"/>
    <w:rsid w:val="00DE4B03"/>
    <w:rsid w:val="00DE6895"/>
    <w:rsid w:val="00DE6C55"/>
    <w:rsid w:val="00DF3915"/>
    <w:rsid w:val="00DF4DA5"/>
    <w:rsid w:val="00E0085A"/>
    <w:rsid w:val="00E010D5"/>
    <w:rsid w:val="00E01568"/>
    <w:rsid w:val="00E022EE"/>
    <w:rsid w:val="00E03794"/>
    <w:rsid w:val="00E03F54"/>
    <w:rsid w:val="00E04922"/>
    <w:rsid w:val="00E05334"/>
    <w:rsid w:val="00E116E2"/>
    <w:rsid w:val="00E13938"/>
    <w:rsid w:val="00E17161"/>
    <w:rsid w:val="00E17232"/>
    <w:rsid w:val="00E1771F"/>
    <w:rsid w:val="00E200A5"/>
    <w:rsid w:val="00E20AAF"/>
    <w:rsid w:val="00E21F8B"/>
    <w:rsid w:val="00E25FA2"/>
    <w:rsid w:val="00E27DD0"/>
    <w:rsid w:val="00E308FA"/>
    <w:rsid w:val="00E3292B"/>
    <w:rsid w:val="00E33168"/>
    <w:rsid w:val="00E42AC0"/>
    <w:rsid w:val="00E45C78"/>
    <w:rsid w:val="00E46702"/>
    <w:rsid w:val="00E4682F"/>
    <w:rsid w:val="00E47314"/>
    <w:rsid w:val="00E50BB8"/>
    <w:rsid w:val="00E53A51"/>
    <w:rsid w:val="00E567EF"/>
    <w:rsid w:val="00E56B6F"/>
    <w:rsid w:val="00E57296"/>
    <w:rsid w:val="00E57905"/>
    <w:rsid w:val="00E60BA1"/>
    <w:rsid w:val="00E61046"/>
    <w:rsid w:val="00E6170B"/>
    <w:rsid w:val="00E62564"/>
    <w:rsid w:val="00E62754"/>
    <w:rsid w:val="00E63D71"/>
    <w:rsid w:val="00E717A1"/>
    <w:rsid w:val="00E71B18"/>
    <w:rsid w:val="00E72269"/>
    <w:rsid w:val="00E7278C"/>
    <w:rsid w:val="00E7384A"/>
    <w:rsid w:val="00E73C3E"/>
    <w:rsid w:val="00E75B86"/>
    <w:rsid w:val="00E76179"/>
    <w:rsid w:val="00E7642A"/>
    <w:rsid w:val="00E77859"/>
    <w:rsid w:val="00E81FBA"/>
    <w:rsid w:val="00E82145"/>
    <w:rsid w:val="00E869EC"/>
    <w:rsid w:val="00E86ACA"/>
    <w:rsid w:val="00E878EA"/>
    <w:rsid w:val="00E925AB"/>
    <w:rsid w:val="00E934DD"/>
    <w:rsid w:val="00E94569"/>
    <w:rsid w:val="00E94A99"/>
    <w:rsid w:val="00E96AFF"/>
    <w:rsid w:val="00EA0A34"/>
    <w:rsid w:val="00EA0D33"/>
    <w:rsid w:val="00EA0D98"/>
    <w:rsid w:val="00EA10D7"/>
    <w:rsid w:val="00EA281A"/>
    <w:rsid w:val="00EA4506"/>
    <w:rsid w:val="00EA5CC7"/>
    <w:rsid w:val="00EA63F4"/>
    <w:rsid w:val="00EA672E"/>
    <w:rsid w:val="00EA7FC8"/>
    <w:rsid w:val="00EB146D"/>
    <w:rsid w:val="00EB1628"/>
    <w:rsid w:val="00EB2522"/>
    <w:rsid w:val="00EB2977"/>
    <w:rsid w:val="00EB4CD5"/>
    <w:rsid w:val="00EB56CB"/>
    <w:rsid w:val="00EB6A4C"/>
    <w:rsid w:val="00EB73EE"/>
    <w:rsid w:val="00EB7C1E"/>
    <w:rsid w:val="00EC2001"/>
    <w:rsid w:val="00ED4476"/>
    <w:rsid w:val="00ED4EEA"/>
    <w:rsid w:val="00ED749A"/>
    <w:rsid w:val="00EE6225"/>
    <w:rsid w:val="00EE6302"/>
    <w:rsid w:val="00EE6795"/>
    <w:rsid w:val="00EE68B9"/>
    <w:rsid w:val="00EF0BB0"/>
    <w:rsid w:val="00EF13E1"/>
    <w:rsid w:val="00EF32AA"/>
    <w:rsid w:val="00EF5AC9"/>
    <w:rsid w:val="00EF7E3A"/>
    <w:rsid w:val="00F01A0E"/>
    <w:rsid w:val="00F02D36"/>
    <w:rsid w:val="00F04178"/>
    <w:rsid w:val="00F05C52"/>
    <w:rsid w:val="00F06121"/>
    <w:rsid w:val="00F07656"/>
    <w:rsid w:val="00F07F3B"/>
    <w:rsid w:val="00F106E3"/>
    <w:rsid w:val="00F12410"/>
    <w:rsid w:val="00F125ED"/>
    <w:rsid w:val="00F212F0"/>
    <w:rsid w:val="00F24833"/>
    <w:rsid w:val="00F24BE0"/>
    <w:rsid w:val="00F24C9F"/>
    <w:rsid w:val="00F256FC"/>
    <w:rsid w:val="00F26872"/>
    <w:rsid w:val="00F306DA"/>
    <w:rsid w:val="00F308D4"/>
    <w:rsid w:val="00F32E30"/>
    <w:rsid w:val="00F32EF5"/>
    <w:rsid w:val="00F3316F"/>
    <w:rsid w:val="00F35B1E"/>
    <w:rsid w:val="00F41019"/>
    <w:rsid w:val="00F425AC"/>
    <w:rsid w:val="00F44BFB"/>
    <w:rsid w:val="00F46D4C"/>
    <w:rsid w:val="00F51460"/>
    <w:rsid w:val="00F52788"/>
    <w:rsid w:val="00F55220"/>
    <w:rsid w:val="00F56064"/>
    <w:rsid w:val="00F567E8"/>
    <w:rsid w:val="00F56F85"/>
    <w:rsid w:val="00F6015B"/>
    <w:rsid w:val="00F74EA1"/>
    <w:rsid w:val="00F81FCE"/>
    <w:rsid w:val="00F83BAC"/>
    <w:rsid w:val="00F858E1"/>
    <w:rsid w:val="00F85911"/>
    <w:rsid w:val="00F85A48"/>
    <w:rsid w:val="00F86FE6"/>
    <w:rsid w:val="00F876C2"/>
    <w:rsid w:val="00F93D59"/>
    <w:rsid w:val="00F942CC"/>
    <w:rsid w:val="00F9482B"/>
    <w:rsid w:val="00F95E3A"/>
    <w:rsid w:val="00F960E4"/>
    <w:rsid w:val="00F97C30"/>
    <w:rsid w:val="00FA0E72"/>
    <w:rsid w:val="00FA4A77"/>
    <w:rsid w:val="00FA5715"/>
    <w:rsid w:val="00FA7549"/>
    <w:rsid w:val="00FB0965"/>
    <w:rsid w:val="00FB5CAF"/>
    <w:rsid w:val="00FB7592"/>
    <w:rsid w:val="00FC0B19"/>
    <w:rsid w:val="00FC1479"/>
    <w:rsid w:val="00FC1A62"/>
    <w:rsid w:val="00FC399E"/>
    <w:rsid w:val="00FC4204"/>
    <w:rsid w:val="00FC65CD"/>
    <w:rsid w:val="00FD073A"/>
    <w:rsid w:val="00FD0820"/>
    <w:rsid w:val="00FD3E23"/>
    <w:rsid w:val="00FD5762"/>
    <w:rsid w:val="00FD5CD5"/>
    <w:rsid w:val="00FE337D"/>
    <w:rsid w:val="00FE6817"/>
    <w:rsid w:val="00FE7356"/>
    <w:rsid w:val="00FE752E"/>
    <w:rsid w:val="00FF2162"/>
    <w:rsid w:val="00FF32BD"/>
    <w:rsid w:val="00FF3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27801"/>
  <w15:chartTrackingRefBased/>
  <w15:docId w15:val="{1B5BE27E-2F5E-4285-99B7-B7E32F00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6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16E3"/>
    <w:rPr>
      <w:color w:val="0000FF"/>
      <w:u w:val="single"/>
    </w:rPr>
  </w:style>
  <w:style w:type="character" w:customStyle="1" w:styleId="apple-tab-span">
    <w:name w:val="apple-tab-span"/>
    <w:basedOn w:val="DefaultParagraphFont"/>
    <w:rsid w:val="000816E3"/>
  </w:style>
  <w:style w:type="paragraph" w:styleId="Bibliography">
    <w:name w:val="Bibliography"/>
    <w:basedOn w:val="Normal"/>
    <w:next w:val="Normal"/>
    <w:uiPriority w:val="37"/>
    <w:unhideWhenUsed/>
    <w:rsid w:val="00322406"/>
  </w:style>
  <w:style w:type="character" w:styleId="Strong">
    <w:name w:val="Strong"/>
    <w:basedOn w:val="DefaultParagraphFont"/>
    <w:uiPriority w:val="22"/>
    <w:qFormat/>
    <w:rsid w:val="00AB5B88"/>
    <w:rPr>
      <w:b/>
      <w:bCs/>
    </w:rPr>
  </w:style>
  <w:style w:type="paragraph" w:customStyle="1" w:styleId="gtfootnote">
    <w:name w:val="gt_footnote"/>
    <w:basedOn w:val="Normal"/>
    <w:rsid w:val="00AB5B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B5B88"/>
    <w:rPr>
      <w:i/>
      <w:iCs/>
    </w:rPr>
  </w:style>
  <w:style w:type="paragraph" w:styleId="HTMLPreformatted">
    <w:name w:val="HTML Preformatted"/>
    <w:basedOn w:val="Normal"/>
    <w:link w:val="HTMLPreformattedChar"/>
    <w:uiPriority w:val="99"/>
    <w:semiHidden/>
    <w:unhideWhenUsed/>
    <w:rsid w:val="004F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F2EEF"/>
    <w:rPr>
      <w:rFonts w:ascii="Courier New" w:eastAsia="Times New Roman" w:hAnsi="Courier New" w:cs="Courier New"/>
      <w:sz w:val="20"/>
      <w:szCs w:val="20"/>
      <w:lang w:eastAsia="en-GB"/>
    </w:rPr>
  </w:style>
  <w:style w:type="character" w:customStyle="1" w:styleId="gnkrckgcgsb">
    <w:name w:val="gnkrckgcgsb"/>
    <w:basedOn w:val="DefaultParagraphFont"/>
    <w:rsid w:val="004F2EEF"/>
  </w:style>
  <w:style w:type="table" w:styleId="TableGrid">
    <w:name w:val="Table Grid"/>
    <w:basedOn w:val="TableNormal"/>
    <w:uiPriority w:val="39"/>
    <w:rsid w:val="00E0085A"/>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4C0"/>
    <w:pPr>
      <w:ind w:left="720"/>
      <w:contextualSpacing/>
    </w:pPr>
  </w:style>
  <w:style w:type="character" w:styleId="CommentReference">
    <w:name w:val="annotation reference"/>
    <w:basedOn w:val="DefaultParagraphFont"/>
    <w:uiPriority w:val="99"/>
    <w:semiHidden/>
    <w:unhideWhenUsed/>
    <w:rsid w:val="00D97FD2"/>
    <w:rPr>
      <w:sz w:val="16"/>
      <w:szCs w:val="16"/>
    </w:rPr>
  </w:style>
  <w:style w:type="paragraph" w:styleId="CommentText">
    <w:name w:val="annotation text"/>
    <w:basedOn w:val="Normal"/>
    <w:link w:val="CommentTextChar"/>
    <w:uiPriority w:val="99"/>
    <w:unhideWhenUsed/>
    <w:rsid w:val="00D97FD2"/>
    <w:pPr>
      <w:spacing w:line="240" w:lineRule="auto"/>
    </w:pPr>
    <w:rPr>
      <w:sz w:val="20"/>
      <w:szCs w:val="20"/>
    </w:rPr>
  </w:style>
  <w:style w:type="character" w:customStyle="1" w:styleId="CommentTextChar">
    <w:name w:val="Comment Text Char"/>
    <w:basedOn w:val="DefaultParagraphFont"/>
    <w:link w:val="CommentText"/>
    <w:uiPriority w:val="99"/>
    <w:rsid w:val="00D97FD2"/>
    <w:rPr>
      <w:sz w:val="20"/>
      <w:szCs w:val="20"/>
    </w:rPr>
  </w:style>
  <w:style w:type="paragraph" w:styleId="CommentSubject">
    <w:name w:val="annotation subject"/>
    <w:basedOn w:val="CommentText"/>
    <w:next w:val="CommentText"/>
    <w:link w:val="CommentSubjectChar"/>
    <w:uiPriority w:val="99"/>
    <w:semiHidden/>
    <w:unhideWhenUsed/>
    <w:rsid w:val="00D97FD2"/>
    <w:rPr>
      <w:b/>
      <w:bCs/>
    </w:rPr>
  </w:style>
  <w:style w:type="character" w:customStyle="1" w:styleId="CommentSubjectChar">
    <w:name w:val="Comment Subject Char"/>
    <w:basedOn w:val="CommentTextChar"/>
    <w:link w:val="CommentSubject"/>
    <w:uiPriority w:val="99"/>
    <w:semiHidden/>
    <w:rsid w:val="00D97FD2"/>
    <w:rPr>
      <w:b/>
      <w:bCs/>
      <w:sz w:val="20"/>
      <w:szCs w:val="20"/>
    </w:rPr>
  </w:style>
  <w:style w:type="paragraph" w:styleId="Revision">
    <w:name w:val="Revision"/>
    <w:hidden/>
    <w:uiPriority w:val="99"/>
    <w:semiHidden/>
    <w:rsid w:val="00D97FD2"/>
    <w:pPr>
      <w:spacing w:after="0" w:line="240" w:lineRule="auto"/>
      <w:ind w:firstLine="0"/>
    </w:pPr>
  </w:style>
  <w:style w:type="paragraph" w:styleId="Footer">
    <w:name w:val="footer"/>
    <w:basedOn w:val="Normal"/>
    <w:link w:val="FooterChar"/>
    <w:uiPriority w:val="99"/>
    <w:unhideWhenUsed/>
    <w:rsid w:val="00FC3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99E"/>
  </w:style>
  <w:style w:type="character" w:styleId="PageNumber">
    <w:name w:val="page number"/>
    <w:basedOn w:val="DefaultParagraphFont"/>
    <w:uiPriority w:val="99"/>
    <w:semiHidden/>
    <w:unhideWhenUsed/>
    <w:rsid w:val="00FC399E"/>
  </w:style>
  <w:style w:type="character" w:customStyle="1" w:styleId="UnresolvedMention1">
    <w:name w:val="Unresolved Mention1"/>
    <w:basedOn w:val="DefaultParagraphFont"/>
    <w:uiPriority w:val="99"/>
    <w:semiHidden/>
    <w:unhideWhenUsed/>
    <w:rsid w:val="00C97A33"/>
    <w:rPr>
      <w:color w:val="605E5C"/>
      <w:shd w:val="clear" w:color="auto" w:fill="E1DFDD"/>
    </w:rPr>
  </w:style>
  <w:style w:type="paragraph" w:styleId="BalloonText">
    <w:name w:val="Balloon Text"/>
    <w:basedOn w:val="Normal"/>
    <w:link w:val="BalloonTextChar"/>
    <w:uiPriority w:val="99"/>
    <w:semiHidden/>
    <w:unhideWhenUsed/>
    <w:rsid w:val="00DA1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5A0"/>
    <w:rPr>
      <w:rFonts w:ascii="Segoe UI" w:hAnsi="Segoe UI" w:cs="Segoe UI"/>
      <w:sz w:val="18"/>
      <w:szCs w:val="18"/>
    </w:rPr>
  </w:style>
  <w:style w:type="paragraph" w:styleId="Header">
    <w:name w:val="header"/>
    <w:basedOn w:val="Normal"/>
    <w:link w:val="HeaderChar"/>
    <w:uiPriority w:val="99"/>
    <w:unhideWhenUsed/>
    <w:rsid w:val="004F7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0A6"/>
  </w:style>
  <w:style w:type="character" w:styleId="UnresolvedMention">
    <w:name w:val="Unresolved Mention"/>
    <w:basedOn w:val="DefaultParagraphFont"/>
    <w:uiPriority w:val="99"/>
    <w:semiHidden/>
    <w:unhideWhenUsed/>
    <w:rsid w:val="00D1474F"/>
    <w:rPr>
      <w:color w:val="605E5C"/>
      <w:shd w:val="clear" w:color="auto" w:fill="E1DFDD"/>
    </w:rPr>
  </w:style>
  <w:style w:type="character" w:styleId="LineNumber">
    <w:name w:val="line number"/>
    <w:basedOn w:val="DefaultParagraphFont"/>
    <w:uiPriority w:val="99"/>
    <w:semiHidden/>
    <w:unhideWhenUsed/>
    <w:rsid w:val="00254015"/>
  </w:style>
  <w:style w:type="character" w:styleId="FollowedHyperlink">
    <w:name w:val="FollowedHyperlink"/>
    <w:basedOn w:val="DefaultParagraphFont"/>
    <w:uiPriority w:val="99"/>
    <w:semiHidden/>
    <w:unhideWhenUsed/>
    <w:rsid w:val="007141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623">
      <w:bodyDiv w:val="1"/>
      <w:marLeft w:val="0"/>
      <w:marRight w:val="0"/>
      <w:marTop w:val="0"/>
      <w:marBottom w:val="0"/>
      <w:divBdr>
        <w:top w:val="none" w:sz="0" w:space="0" w:color="auto"/>
        <w:left w:val="none" w:sz="0" w:space="0" w:color="auto"/>
        <w:bottom w:val="none" w:sz="0" w:space="0" w:color="auto"/>
        <w:right w:val="none" w:sz="0" w:space="0" w:color="auto"/>
      </w:divBdr>
    </w:div>
    <w:div w:id="36779539">
      <w:bodyDiv w:val="1"/>
      <w:marLeft w:val="0"/>
      <w:marRight w:val="0"/>
      <w:marTop w:val="0"/>
      <w:marBottom w:val="0"/>
      <w:divBdr>
        <w:top w:val="none" w:sz="0" w:space="0" w:color="auto"/>
        <w:left w:val="none" w:sz="0" w:space="0" w:color="auto"/>
        <w:bottom w:val="none" w:sz="0" w:space="0" w:color="auto"/>
        <w:right w:val="none" w:sz="0" w:space="0" w:color="auto"/>
      </w:divBdr>
    </w:div>
    <w:div w:id="106704470">
      <w:bodyDiv w:val="1"/>
      <w:marLeft w:val="0"/>
      <w:marRight w:val="0"/>
      <w:marTop w:val="0"/>
      <w:marBottom w:val="0"/>
      <w:divBdr>
        <w:top w:val="none" w:sz="0" w:space="0" w:color="auto"/>
        <w:left w:val="none" w:sz="0" w:space="0" w:color="auto"/>
        <w:bottom w:val="none" w:sz="0" w:space="0" w:color="auto"/>
        <w:right w:val="none" w:sz="0" w:space="0" w:color="auto"/>
      </w:divBdr>
    </w:div>
    <w:div w:id="116682125">
      <w:bodyDiv w:val="1"/>
      <w:marLeft w:val="0"/>
      <w:marRight w:val="0"/>
      <w:marTop w:val="0"/>
      <w:marBottom w:val="0"/>
      <w:divBdr>
        <w:top w:val="none" w:sz="0" w:space="0" w:color="auto"/>
        <w:left w:val="none" w:sz="0" w:space="0" w:color="auto"/>
        <w:bottom w:val="none" w:sz="0" w:space="0" w:color="auto"/>
        <w:right w:val="none" w:sz="0" w:space="0" w:color="auto"/>
      </w:divBdr>
    </w:div>
    <w:div w:id="119298678">
      <w:bodyDiv w:val="1"/>
      <w:marLeft w:val="0"/>
      <w:marRight w:val="0"/>
      <w:marTop w:val="0"/>
      <w:marBottom w:val="0"/>
      <w:divBdr>
        <w:top w:val="none" w:sz="0" w:space="0" w:color="auto"/>
        <w:left w:val="none" w:sz="0" w:space="0" w:color="auto"/>
        <w:bottom w:val="none" w:sz="0" w:space="0" w:color="auto"/>
        <w:right w:val="none" w:sz="0" w:space="0" w:color="auto"/>
      </w:divBdr>
    </w:div>
    <w:div w:id="172914047">
      <w:bodyDiv w:val="1"/>
      <w:marLeft w:val="0"/>
      <w:marRight w:val="0"/>
      <w:marTop w:val="0"/>
      <w:marBottom w:val="0"/>
      <w:divBdr>
        <w:top w:val="none" w:sz="0" w:space="0" w:color="auto"/>
        <w:left w:val="none" w:sz="0" w:space="0" w:color="auto"/>
        <w:bottom w:val="none" w:sz="0" w:space="0" w:color="auto"/>
        <w:right w:val="none" w:sz="0" w:space="0" w:color="auto"/>
      </w:divBdr>
    </w:div>
    <w:div w:id="196049912">
      <w:bodyDiv w:val="1"/>
      <w:marLeft w:val="0"/>
      <w:marRight w:val="0"/>
      <w:marTop w:val="0"/>
      <w:marBottom w:val="0"/>
      <w:divBdr>
        <w:top w:val="none" w:sz="0" w:space="0" w:color="auto"/>
        <w:left w:val="none" w:sz="0" w:space="0" w:color="auto"/>
        <w:bottom w:val="none" w:sz="0" w:space="0" w:color="auto"/>
        <w:right w:val="none" w:sz="0" w:space="0" w:color="auto"/>
      </w:divBdr>
    </w:div>
    <w:div w:id="293097165">
      <w:bodyDiv w:val="1"/>
      <w:marLeft w:val="0"/>
      <w:marRight w:val="0"/>
      <w:marTop w:val="0"/>
      <w:marBottom w:val="0"/>
      <w:divBdr>
        <w:top w:val="none" w:sz="0" w:space="0" w:color="auto"/>
        <w:left w:val="none" w:sz="0" w:space="0" w:color="auto"/>
        <w:bottom w:val="none" w:sz="0" w:space="0" w:color="auto"/>
        <w:right w:val="none" w:sz="0" w:space="0" w:color="auto"/>
      </w:divBdr>
    </w:div>
    <w:div w:id="296687065">
      <w:bodyDiv w:val="1"/>
      <w:marLeft w:val="0"/>
      <w:marRight w:val="0"/>
      <w:marTop w:val="0"/>
      <w:marBottom w:val="0"/>
      <w:divBdr>
        <w:top w:val="none" w:sz="0" w:space="0" w:color="auto"/>
        <w:left w:val="none" w:sz="0" w:space="0" w:color="auto"/>
        <w:bottom w:val="none" w:sz="0" w:space="0" w:color="auto"/>
        <w:right w:val="none" w:sz="0" w:space="0" w:color="auto"/>
      </w:divBdr>
    </w:div>
    <w:div w:id="377900466">
      <w:bodyDiv w:val="1"/>
      <w:marLeft w:val="0"/>
      <w:marRight w:val="0"/>
      <w:marTop w:val="0"/>
      <w:marBottom w:val="0"/>
      <w:divBdr>
        <w:top w:val="none" w:sz="0" w:space="0" w:color="auto"/>
        <w:left w:val="none" w:sz="0" w:space="0" w:color="auto"/>
        <w:bottom w:val="none" w:sz="0" w:space="0" w:color="auto"/>
        <w:right w:val="none" w:sz="0" w:space="0" w:color="auto"/>
      </w:divBdr>
    </w:div>
    <w:div w:id="454182371">
      <w:bodyDiv w:val="1"/>
      <w:marLeft w:val="0"/>
      <w:marRight w:val="0"/>
      <w:marTop w:val="0"/>
      <w:marBottom w:val="0"/>
      <w:divBdr>
        <w:top w:val="none" w:sz="0" w:space="0" w:color="auto"/>
        <w:left w:val="none" w:sz="0" w:space="0" w:color="auto"/>
        <w:bottom w:val="none" w:sz="0" w:space="0" w:color="auto"/>
        <w:right w:val="none" w:sz="0" w:space="0" w:color="auto"/>
      </w:divBdr>
    </w:div>
    <w:div w:id="468983857">
      <w:bodyDiv w:val="1"/>
      <w:marLeft w:val="0"/>
      <w:marRight w:val="0"/>
      <w:marTop w:val="0"/>
      <w:marBottom w:val="0"/>
      <w:divBdr>
        <w:top w:val="none" w:sz="0" w:space="0" w:color="auto"/>
        <w:left w:val="none" w:sz="0" w:space="0" w:color="auto"/>
        <w:bottom w:val="none" w:sz="0" w:space="0" w:color="auto"/>
        <w:right w:val="none" w:sz="0" w:space="0" w:color="auto"/>
      </w:divBdr>
    </w:div>
    <w:div w:id="527523290">
      <w:bodyDiv w:val="1"/>
      <w:marLeft w:val="0"/>
      <w:marRight w:val="0"/>
      <w:marTop w:val="0"/>
      <w:marBottom w:val="0"/>
      <w:divBdr>
        <w:top w:val="none" w:sz="0" w:space="0" w:color="auto"/>
        <w:left w:val="none" w:sz="0" w:space="0" w:color="auto"/>
        <w:bottom w:val="none" w:sz="0" w:space="0" w:color="auto"/>
        <w:right w:val="none" w:sz="0" w:space="0" w:color="auto"/>
      </w:divBdr>
    </w:div>
    <w:div w:id="638729207">
      <w:bodyDiv w:val="1"/>
      <w:marLeft w:val="0"/>
      <w:marRight w:val="0"/>
      <w:marTop w:val="0"/>
      <w:marBottom w:val="0"/>
      <w:divBdr>
        <w:top w:val="none" w:sz="0" w:space="0" w:color="auto"/>
        <w:left w:val="none" w:sz="0" w:space="0" w:color="auto"/>
        <w:bottom w:val="none" w:sz="0" w:space="0" w:color="auto"/>
        <w:right w:val="none" w:sz="0" w:space="0" w:color="auto"/>
      </w:divBdr>
    </w:div>
    <w:div w:id="640573206">
      <w:bodyDiv w:val="1"/>
      <w:marLeft w:val="0"/>
      <w:marRight w:val="0"/>
      <w:marTop w:val="0"/>
      <w:marBottom w:val="0"/>
      <w:divBdr>
        <w:top w:val="none" w:sz="0" w:space="0" w:color="auto"/>
        <w:left w:val="none" w:sz="0" w:space="0" w:color="auto"/>
        <w:bottom w:val="none" w:sz="0" w:space="0" w:color="auto"/>
        <w:right w:val="none" w:sz="0" w:space="0" w:color="auto"/>
      </w:divBdr>
    </w:div>
    <w:div w:id="663433029">
      <w:bodyDiv w:val="1"/>
      <w:marLeft w:val="0"/>
      <w:marRight w:val="0"/>
      <w:marTop w:val="0"/>
      <w:marBottom w:val="0"/>
      <w:divBdr>
        <w:top w:val="none" w:sz="0" w:space="0" w:color="auto"/>
        <w:left w:val="none" w:sz="0" w:space="0" w:color="auto"/>
        <w:bottom w:val="none" w:sz="0" w:space="0" w:color="auto"/>
        <w:right w:val="none" w:sz="0" w:space="0" w:color="auto"/>
      </w:divBdr>
    </w:div>
    <w:div w:id="670252366">
      <w:bodyDiv w:val="1"/>
      <w:marLeft w:val="0"/>
      <w:marRight w:val="0"/>
      <w:marTop w:val="0"/>
      <w:marBottom w:val="0"/>
      <w:divBdr>
        <w:top w:val="none" w:sz="0" w:space="0" w:color="auto"/>
        <w:left w:val="none" w:sz="0" w:space="0" w:color="auto"/>
        <w:bottom w:val="none" w:sz="0" w:space="0" w:color="auto"/>
        <w:right w:val="none" w:sz="0" w:space="0" w:color="auto"/>
      </w:divBdr>
    </w:div>
    <w:div w:id="699282882">
      <w:bodyDiv w:val="1"/>
      <w:marLeft w:val="0"/>
      <w:marRight w:val="0"/>
      <w:marTop w:val="0"/>
      <w:marBottom w:val="0"/>
      <w:divBdr>
        <w:top w:val="none" w:sz="0" w:space="0" w:color="auto"/>
        <w:left w:val="none" w:sz="0" w:space="0" w:color="auto"/>
        <w:bottom w:val="none" w:sz="0" w:space="0" w:color="auto"/>
        <w:right w:val="none" w:sz="0" w:space="0" w:color="auto"/>
      </w:divBdr>
    </w:div>
    <w:div w:id="711809766">
      <w:bodyDiv w:val="1"/>
      <w:marLeft w:val="0"/>
      <w:marRight w:val="0"/>
      <w:marTop w:val="0"/>
      <w:marBottom w:val="0"/>
      <w:divBdr>
        <w:top w:val="none" w:sz="0" w:space="0" w:color="auto"/>
        <w:left w:val="none" w:sz="0" w:space="0" w:color="auto"/>
        <w:bottom w:val="none" w:sz="0" w:space="0" w:color="auto"/>
        <w:right w:val="none" w:sz="0" w:space="0" w:color="auto"/>
      </w:divBdr>
    </w:div>
    <w:div w:id="712382656">
      <w:bodyDiv w:val="1"/>
      <w:marLeft w:val="0"/>
      <w:marRight w:val="0"/>
      <w:marTop w:val="0"/>
      <w:marBottom w:val="0"/>
      <w:divBdr>
        <w:top w:val="none" w:sz="0" w:space="0" w:color="auto"/>
        <w:left w:val="none" w:sz="0" w:space="0" w:color="auto"/>
        <w:bottom w:val="none" w:sz="0" w:space="0" w:color="auto"/>
        <w:right w:val="none" w:sz="0" w:space="0" w:color="auto"/>
      </w:divBdr>
    </w:div>
    <w:div w:id="757336751">
      <w:bodyDiv w:val="1"/>
      <w:marLeft w:val="0"/>
      <w:marRight w:val="0"/>
      <w:marTop w:val="0"/>
      <w:marBottom w:val="0"/>
      <w:divBdr>
        <w:top w:val="none" w:sz="0" w:space="0" w:color="auto"/>
        <w:left w:val="none" w:sz="0" w:space="0" w:color="auto"/>
        <w:bottom w:val="none" w:sz="0" w:space="0" w:color="auto"/>
        <w:right w:val="none" w:sz="0" w:space="0" w:color="auto"/>
      </w:divBdr>
      <w:divsChild>
        <w:div w:id="782260822">
          <w:marLeft w:val="480"/>
          <w:marRight w:val="0"/>
          <w:marTop w:val="0"/>
          <w:marBottom w:val="0"/>
          <w:divBdr>
            <w:top w:val="none" w:sz="0" w:space="0" w:color="auto"/>
            <w:left w:val="none" w:sz="0" w:space="0" w:color="auto"/>
            <w:bottom w:val="none" w:sz="0" w:space="0" w:color="auto"/>
            <w:right w:val="none" w:sz="0" w:space="0" w:color="auto"/>
          </w:divBdr>
          <w:divsChild>
            <w:div w:id="19410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8256">
      <w:bodyDiv w:val="1"/>
      <w:marLeft w:val="0"/>
      <w:marRight w:val="0"/>
      <w:marTop w:val="0"/>
      <w:marBottom w:val="0"/>
      <w:divBdr>
        <w:top w:val="none" w:sz="0" w:space="0" w:color="auto"/>
        <w:left w:val="none" w:sz="0" w:space="0" w:color="auto"/>
        <w:bottom w:val="none" w:sz="0" w:space="0" w:color="auto"/>
        <w:right w:val="none" w:sz="0" w:space="0" w:color="auto"/>
      </w:divBdr>
    </w:div>
    <w:div w:id="780304243">
      <w:bodyDiv w:val="1"/>
      <w:marLeft w:val="0"/>
      <w:marRight w:val="0"/>
      <w:marTop w:val="0"/>
      <w:marBottom w:val="0"/>
      <w:divBdr>
        <w:top w:val="none" w:sz="0" w:space="0" w:color="auto"/>
        <w:left w:val="none" w:sz="0" w:space="0" w:color="auto"/>
        <w:bottom w:val="none" w:sz="0" w:space="0" w:color="auto"/>
        <w:right w:val="none" w:sz="0" w:space="0" w:color="auto"/>
      </w:divBdr>
    </w:div>
    <w:div w:id="797575708">
      <w:bodyDiv w:val="1"/>
      <w:marLeft w:val="0"/>
      <w:marRight w:val="0"/>
      <w:marTop w:val="0"/>
      <w:marBottom w:val="0"/>
      <w:divBdr>
        <w:top w:val="none" w:sz="0" w:space="0" w:color="auto"/>
        <w:left w:val="none" w:sz="0" w:space="0" w:color="auto"/>
        <w:bottom w:val="none" w:sz="0" w:space="0" w:color="auto"/>
        <w:right w:val="none" w:sz="0" w:space="0" w:color="auto"/>
      </w:divBdr>
    </w:div>
    <w:div w:id="837695488">
      <w:bodyDiv w:val="1"/>
      <w:marLeft w:val="0"/>
      <w:marRight w:val="0"/>
      <w:marTop w:val="0"/>
      <w:marBottom w:val="0"/>
      <w:divBdr>
        <w:top w:val="none" w:sz="0" w:space="0" w:color="auto"/>
        <w:left w:val="none" w:sz="0" w:space="0" w:color="auto"/>
        <w:bottom w:val="none" w:sz="0" w:space="0" w:color="auto"/>
        <w:right w:val="none" w:sz="0" w:space="0" w:color="auto"/>
      </w:divBdr>
      <w:divsChild>
        <w:div w:id="169880263">
          <w:marLeft w:val="480"/>
          <w:marRight w:val="0"/>
          <w:marTop w:val="0"/>
          <w:marBottom w:val="0"/>
          <w:divBdr>
            <w:top w:val="none" w:sz="0" w:space="0" w:color="auto"/>
            <w:left w:val="none" w:sz="0" w:space="0" w:color="auto"/>
            <w:bottom w:val="none" w:sz="0" w:space="0" w:color="auto"/>
            <w:right w:val="none" w:sz="0" w:space="0" w:color="auto"/>
          </w:divBdr>
          <w:divsChild>
            <w:div w:id="19466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4686">
      <w:bodyDiv w:val="1"/>
      <w:marLeft w:val="0"/>
      <w:marRight w:val="0"/>
      <w:marTop w:val="0"/>
      <w:marBottom w:val="0"/>
      <w:divBdr>
        <w:top w:val="none" w:sz="0" w:space="0" w:color="auto"/>
        <w:left w:val="none" w:sz="0" w:space="0" w:color="auto"/>
        <w:bottom w:val="none" w:sz="0" w:space="0" w:color="auto"/>
        <w:right w:val="none" w:sz="0" w:space="0" w:color="auto"/>
      </w:divBdr>
    </w:div>
    <w:div w:id="979724980">
      <w:bodyDiv w:val="1"/>
      <w:marLeft w:val="0"/>
      <w:marRight w:val="0"/>
      <w:marTop w:val="0"/>
      <w:marBottom w:val="0"/>
      <w:divBdr>
        <w:top w:val="none" w:sz="0" w:space="0" w:color="auto"/>
        <w:left w:val="none" w:sz="0" w:space="0" w:color="auto"/>
        <w:bottom w:val="none" w:sz="0" w:space="0" w:color="auto"/>
        <w:right w:val="none" w:sz="0" w:space="0" w:color="auto"/>
      </w:divBdr>
    </w:div>
    <w:div w:id="1021054040">
      <w:bodyDiv w:val="1"/>
      <w:marLeft w:val="0"/>
      <w:marRight w:val="0"/>
      <w:marTop w:val="0"/>
      <w:marBottom w:val="0"/>
      <w:divBdr>
        <w:top w:val="none" w:sz="0" w:space="0" w:color="auto"/>
        <w:left w:val="none" w:sz="0" w:space="0" w:color="auto"/>
        <w:bottom w:val="none" w:sz="0" w:space="0" w:color="auto"/>
        <w:right w:val="none" w:sz="0" w:space="0" w:color="auto"/>
      </w:divBdr>
    </w:div>
    <w:div w:id="1099788928">
      <w:bodyDiv w:val="1"/>
      <w:marLeft w:val="0"/>
      <w:marRight w:val="0"/>
      <w:marTop w:val="0"/>
      <w:marBottom w:val="0"/>
      <w:divBdr>
        <w:top w:val="none" w:sz="0" w:space="0" w:color="auto"/>
        <w:left w:val="none" w:sz="0" w:space="0" w:color="auto"/>
        <w:bottom w:val="none" w:sz="0" w:space="0" w:color="auto"/>
        <w:right w:val="none" w:sz="0" w:space="0" w:color="auto"/>
      </w:divBdr>
    </w:div>
    <w:div w:id="1114129946">
      <w:bodyDiv w:val="1"/>
      <w:marLeft w:val="0"/>
      <w:marRight w:val="0"/>
      <w:marTop w:val="0"/>
      <w:marBottom w:val="0"/>
      <w:divBdr>
        <w:top w:val="none" w:sz="0" w:space="0" w:color="auto"/>
        <w:left w:val="none" w:sz="0" w:space="0" w:color="auto"/>
        <w:bottom w:val="none" w:sz="0" w:space="0" w:color="auto"/>
        <w:right w:val="none" w:sz="0" w:space="0" w:color="auto"/>
      </w:divBdr>
    </w:div>
    <w:div w:id="1115949807">
      <w:bodyDiv w:val="1"/>
      <w:marLeft w:val="0"/>
      <w:marRight w:val="0"/>
      <w:marTop w:val="0"/>
      <w:marBottom w:val="0"/>
      <w:divBdr>
        <w:top w:val="none" w:sz="0" w:space="0" w:color="auto"/>
        <w:left w:val="none" w:sz="0" w:space="0" w:color="auto"/>
        <w:bottom w:val="none" w:sz="0" w:space="0" w:color="auto"/>
        <w:right w:val="none" w:sz="0" w:space="0" w:color="auto"/>
      </w:divBdr>
    </w:div>
    <w:div w:id="1126896887">
      <w:bodyDiv w:val="1"/>
      <w:marLeft w:val="0"/>
      <w:marRight w:val="0"/>
      <w:marTop w:val="0"/>
      <w:marBottom w:val="0"/>
      <w:divBdr>
        <w:top w:val="none" w:sz="0" w:space="0" w:color="auto"/>
        <w:left w:val="none" w:sz="0" w:space="0" w:color="auto"/>
        <w:bottom w:val="none" w:sz="0" w:space="0" w:color="auto"/>
        <w:right w:val="none" w:sz="0" w:space="0" w:color="auto"/>
      </w:divBdr>
    </w:div>
    <w:div w:id="1131095302">
      <w:bodyDiv w:val="1"/>
      <w:marLeft w:val="0"/>
      <w:marRight w:val="0"/>
      <w:marTop w:val="0"/>
      <w:marBottom w:val="0"/>
      <w:divBdr>
        <w:top w:val="none" w:sz="0" w:space="0" w:color="auto"/>
        <w:left w:val="none" w:sz="0" w:space="0" w:color="auto"/>
        <w:bottom w:val="none" w:sz="0" w:space="0" w:color="auto"/>
        <w:right w:val="none" w:sz="0" w:space="0" w:color="auto"/>
      </w:divBdr>
    </w:div>
    <w:div w:id="1210141767">
      <w:bodyDiv w:val="1"/>
      <w:marLeft w:val="0"/>
      <w:marRight w:val="0"/>
      <w:marTop w:val="0"/>
      <w:marBottom w:val="0"/>
      <w:divBdr>
        <w:top w:val="none" w:sz="0" w:space="0" w:color="auto"/>
        <w:left w:val="none" w:sz="0" w:space="0" w:color="auto"/>
        <w:bottom w:val="none" w:sz="0" w:space="0" w:color="auto"/>
        <w:right w:val="none" w:sz="0" w:space="0" w:color="auto"/>
      </w:divBdr>
    </w:div>
    <w:div w:id="1446924588">
      <w:bodyDiv w:val="1"/>
      <w:marLeft w:val="0"/>
      <w:marRight w:val="0"/>
      <w:marTop w:val="0"/>
      <w:marBottom w:val="0"/>
      <w:divBdr>
        <w:top w:val="none" w:sz="0" w:space="0" w:color="auto"/>
        <w:left w:val="none" w:sz="0" w:space="0" w:color="auto"/>
        <w:bottom w:val="none" w:sz="0" w:space="0" w:color="auto"/>
        <w:right w:val="none" w:sz="0" w:space="0" w:color="auto"/>
      </w:divBdr>
    </w:div>
    <w:div w:id="1501192285">
      <w:bodyDiv w:val="1"/>
      <w:marLeft w:val="0"/>
      <w:marRight w:val="0"/>
      <w:marTop w:val="0"/>
      <w:marBottom w:val="0"/>
      <w:divBdr>
        <w:top w:val="none" w:sz="0" w:space="0" w:color="auto"/>
        <w:left w:val="none" w:sz="0" w:space="0" w:color="auto"/>
        <w:bottom w:val="none" w:sz="0" w:space="0" w:color="auto"/>
        <w:right w:val="none" w:sz="0" w:space="0" w:color="auto"/>
      </w:divBdr>
    </w:div>
    <w:div w:id="1563951588">
      <w:bodyDiv w:val="1"/>
      <w:marLeft w:val="0"/>
      <w:marRight w:val="0"/>
      <w:marTop w:val="0"/>
      <w:marBottom w:val="0"/>
      <w:divBdr>
        <w:top w:val="none" w:sz="0" w:space="0" w:color="auto"/>
        <w:left w:val="none" w:sz="0" w:space="0" w:color="auto"/>
        <w:bottom w:val="none" w:sz="0" w:space="0" w:color="auto"/>
        <w:right w:val="none" w:sz="0" w:space="0" w:color="auto"/>
      </w:divBdr>
    </w:div>
    <w:div w:id="1599218720">
      <w:bodyDiv w:val="1"/>
      <w:marLeft w:val="0"/>
      <w:marRight w:val="0"/>
      <w:marTop w:val="0"/>
      <w:marBottom w:val="0"/>
      <w:divBdr>
        <w:top w:val="none" w:sz="0" w:space="0" w:color="auto"/>
        <w:left w:val="none" w:sz="0" w:space="0" w:color="auto"/>
        <w:bottom w:val="none" w:sz="0" w:space="0" w:color="auto"/>
        <w:right w:val="none" w:sz="0" w:space="0" w:color="auto"/>
      </w:divBdr>
    </w:div>
    <w:div w:id="1601714751">
      <w:bodyDiv w:val="1"/>
      <w:marLeft w:val="0"/>
      <w:marRight w:val="0"/>
      <w:marTop w:val="0"/>
      <w:marBottom w:val="0"/>
      <w:divBdr>
        <w:top w:val="none" w:sz="0" w:space="0" w:color="auto"/>
        <w:left w:val="none" w:sz="0" w:space="0" w:color="auto"/>
        <w:bottom w:val="none" w:sz="0" w:space="0" w:color="auto"/>
        <w:right w:val="none" w:sz="0" w:space="0" w:color="auto"/>
      </w:divBdr>
    </w:div>
    <w:div w:id="1632899212">
      <w:bodyDiv w:val="1"/>
      <w:marLeft w:val="0"/>
      <w:marRight w:val="0"/>
      <w:marTop w:val="0"/>
      <w:marBottom w:val="0"/>
      <w:divBdr>
        <w:top w:val="none" w:sz="0" w:space="0" w:color="auto"/>
        <w:left w:val="none" w:sz="0" w:space="0" w:color="auto"/>
        <w:bottom w:val="none" w:sz="0" w:space="0" w:color="auto"/>
        <w:right w:val="none" w:sz="0" w:space="0" w:color="auto"/>
      </w:divBdr>
    </w:div>
    <w:div w:id="1772891334">
      <w:bodyDiv w:val="1"/>
      <w:marLeft w:val="0"/>
      <w:marRight w:val="0"/>
      <w:marTop w:val="0"/>
      <w:marBottom w:val="0"/>
      <w:divBdr>
        <w:top w:val="none" w:sz="0" w:space="0" w:color="auto"/>
        <w:left w:val="none" w:sz="0" w:space="0" w:color="auto"/>
        <w:bottom w:val="none" w:sz="0" w:space="0" w:color="auto"/>
        <w:right w:val="none" w:sz="0" w:space="0" w:color="auto"/>
      </w:divBdr>
    </w:div>
    <w:div w:id="1783761313">
      <w:bodyDiv w:val="1"/>
      <w:marLeft w:val="0"/>
      <w:marRight w:val="0"/>
      <w:marTop w:val="0"/>
      <w:marBottom w:val="0"/>
      <w:divBdr>
        <w:top w:val="none" w:sz="0" w:space="0" w:color="auto"/>
        <w:left w:val="none" w:sz="0" w:space="0" w:color="auto"/>
        <w:bottom w:val="none" w:sz="0" w:space="0" w:color="auto"/>
        <w:right w:val="none" w:sz="0" w:space="0" w:color="auto"/>
      </w:divBdr>
    </w:div>
    <w:div w:id="1816799971">
      <w:bodyDiv w:val="1"/>
      <w:marLeft w:val="0"/>
      <w:marRight w:val="0"/>
      <w:marTop w:val="0"/>
      <w:marBottom w:val="0"/>
      <w:divBdr>
        <w:top w:val="none" w:sz="0" w:space="0" w:color="auto"/>
        <w:left w:val="none" w:sz="0" w:space="0" w:color="auto"/>
        <w:bottom w:val="none" w:sz="0" w:space="0" w:color="auto"/>
        <w:right w:val="none" w:sz="0" w:space="0" w:color="auto"/>
      </w:divBdr>
    </w:div>
    <w:div w:id="1831486701">
      <w:bodyDiv w:val="1"/>
      <w:marLeft w:val="0"/>
      <w:marRight w:val="0"/>
      <w:marTop w:val="0"/>
      <w:marBottom w:val="0"/>
      <w:divBdr>
        <w:top w:val="none" w:sz="0" w:space="0" w:color="auto"/>
        <w:left w:val="none" w:sz="0" w:space="0" w:color="auto"/>
        <w:bottom w:val="none" w:sz="0" w:space="0" w:color="auto"/>
        <w:right w:val="none" w:sz="0" w:space="0" w:color="auto"/>
      </w:divBdr>
    </w:div>
    <w:div w:id="1855142754">
      <w:bodyDiv w:val="1"/>
      <w:marLeft w:val="0"/>
      <w:marRight w:val="0"/>
      <w:marTop w:val="0"/>
      <w:marBottom w:val="0"/>
      <w:divBdr>
        <w:top w:val="none" w:sz="0" w:space="0" w:color="auto"/>
        <w:left w:val="none" w:sz="0" w:space="0" w:color="auto"/>
        <w:bottom w:val="none" w:sz="0" w:space="0" w:color="auto"/>
        <w:right w:val="none" w:sz="0" w:space="0" w:color="auto"/>
      </w:divBdr>
    </w:div>
    <w:div w:id="1926648023">
      <w:bodyDiv w:val="1"/>
      <w:marLeft w:val="0"/>
      <w:marRight w:val="0"/>
      <w:marTop w:val="0"/>
      <w:marBottom w:val="0"/>
      <w:divBdr>
        <w:top w:val="none" w:sz="0" w:space="0" w:color="auto"/>
        <w:left w:val="none" w:sz="0" w:space="0" w:color="auto"/>
        <w:bottom w:val="none" w:sz="0" w:space="0" w:color="auto"/>
        <w:right w:val="none" w:sz="0" w:space="0" w:color="auto"/>
      </w:divBdr>
    </w:div>
    <w:div w:id="1971091529">
      <w:bodyDiv w:val="1"/>
      <w:marLeft w:val="0"/>
      <w:marRight w:val="0"/>
      <w:marTop w:val="0"/>
      <w:marBottom w:val="0"/>
      <w:divBdr>
        <w:top w:val="none" w:sz="0" w:space="0" w:color="auto"/>
        <w:left w:val="none" w:sz="0" w:space="0" w:color="auto"/>
        <w:bottom w:val="none" w:sz="0" w:space="0" w:color="auto"/>
        <w:right w:val="none" w:sz="0" w:space="0" w:color="auto"/>
      </w:divBdr>
    </w:div>
    <w:div w:id="21470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standingsociety.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258F-D09B-4DB6-911E-997332D0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23777</Words>
  <Characters>135534</Characters>
  <Application>Microsoft Office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Halstead, Isaac (2018)</dc:creator>
  <cp:keywords/>
  <dc:description/>
  <cp:lastModifiedBy>Isaac Halstead</cp:lastModifiedBy>
  <cp:revision>4</cp:revision>
  <dcterms:created xsi:type="dcterms:W3CDTF">2022-04-30T11:04:00Z</dcterms:created>
  <dcterms:modified xsi:type="dcterms:W3CDTF">2022-04-30T11:25:00Z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2021-04-28T08:10:16Z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ea5fb834-2b10-43e8-9702-d04cde5c4f24</vt:lpwstr>
  </property>
  <property fmtid="{D5CDD505-2E9C-101B-9397-08002B2CF9AE}" pid="8" name="MSIP_Label_c4496a64-e0e3-4038-91bc-493f618853ad_ContentBits">
    <vt:lpwstr>0</vt:lpwstr>
  </property>
  <property fmtid="{D5CDD505-2E9C-101B-9397-08002B2CF9AE}" pid="9" name="ZOTERO_PREF_1">
    <vt:lpwstr>&lt;data data-version="3" zotero-version="6.0.6"&gt;&lt;session id="fCjLI9BV"/&gt;&lt;style id="http://www.zotero.org/styles/apa" locale="en-GB" hasBibliography="1" bibliographyStyleHasBeenSet="1"/&gt;&lt;prefs&gt;&lt;pref name="fieldType" value="Field"/&gt;&lt;pref name="automaticJourna</vt:lpwstr>
  </property>
  <property fmtid="{D5CDD505-2E9C-101B-9397-08002B2CF9AE}" pid="10" name="ZOTERO_PREF_2">
    <vt:lpwstr>lAbbreviations" value="true"/&gt;&lt;/prefs&gt;&lt;/data&gt;</vt:lpwstr>
  </property>
</Properties>
</file>