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57" w:rsidRPr="003A3DD1" w:rsidRDefault="00AD7657" w:rsidP="00AD7657">
      <w:pPr>
        <w:rPr>
          <w:szCs w:val="24"/>
        </w:rPr>
      </w:pPr>
      <w:proofErr w:type="spellStart"/>
      <w:r w:rsidRPr="003A3DD1">
        <w:rPr>
          <w:b/>
          <w:szCs w:val="24"/>
        </w:rPr>
        <w:t>Gobineau</w:t>
      </w:r>
      <w:proofErr w:type="spellEnd"/>
      <w:r w:rsidRPr="003A3DD1">
        <w:rPr>
          <w:b/>
          <w:szCs w:val="24"/>
        </w:rPr>
        <w:t xml:space="preserve">, (Joseph) Arthur, Comte de </w:t>
      </w:r>
      <w:r w:rsidRPr="003A3DD1">
        <w:rPr>
          <w:szCs w:val="24"/>
        </w:rPr>
        <w:t>(b</w:t>
      </w:r>
      <w:r w:rsidR="003A3DD1" w:rsidRPr="003A3DD1">
        <w:rPr>
          <w:szCs w:val="24"/>
        </w:rPr>
        <w:t xml:space="preserve">. </w:t>
      </w:r>
      <w:r w:rsidR="00873C74" w:rsidRPr="003A3DD1">
        <w:rPr>
          <w:szCs w:val="24"/>
        </w:rPr>
        <w:t xml:space="preserve">Ville </w:t>
      </w:r>
      <w:proofErr w:type="spellStart"/>
      <w:r w:rsidR="00873C74" w:rsidRPr="003A3DD1">
        <w:rPr>
          <w:szCs w:val="24"/>
        </w:rPr>
        <w:t>d’Avray</w:t>
      </w:r>
      <w:proofErr w:type="spellEnd"/>
      <w:r w:rsidR="00873C74">
        <w:rPr>
          <w:szCs w:val="24"/>
        </w:rPr>
        <w:t>,</w:t>
      </w:r>
      <w:r w:rsidR="00873C74" w:rsidRPr="003A3DD1">
        <w:rPr>
          <w:szCs w:val="24"/>
        </w:rPr>
        <w:t xml:space="preserve"> </w:t>
      </w:r>
      <w:r w:rsidRPr="003A3DD1">
        <w:rPr>
          <w:szCs w:val="24"/>
        </w:rPr>
        <w:t>14 Jul</w:t>
      </w:r>
      <w:r w:rsidR="00873C74">
        <w:rPr>
          <w:szCs w:val="24"/>
        </w:rPr>
        <w:t>y 1816</w:t>
      </w:r>
      <w:r w:rsidRPr="003A3DD1">
        <w:rPr>
          <w:szCs w:val="24"/>
        </w:rPr>
        <w:t>; d</w:t>
      </w:r>
      <w:r w:rsidR="001E5CE5" w:rsidRPr="003A3DD1">
        <w:rPr>
          <w:szCs w:val="24"/>
        </w:rPr>
        <w:t>.</w:t>
      </w:r>
      <w:r w:rsidRPr="003A3DD1">
        <w:rPr>
          <w:szCs w:val="24"/>
        </w:rPr>
        <w:t xml:space="preserve"> </w:t>
      </w:r>
      <w:r w:rsidR="00873C74" w:rsidRPr="003A3DD1">
        <w:rPr>
          <w:szCs w:val="24"/>
        </w:rPr>
        <w:t>Turin</w:t>
      </w:r>
      <w:r w:rsidR="00873C74">
        <w:rPr>
          <w:szCs w:val="24"/>
        </w:rPr>
        <w:t>,</w:t>
      </w:r>
      <w:r w:rsidR="00873C74" w:rsidRPr="003A3DD1">
        <w:rPr>
          <w:szCs w:val="24"/>
        </w:rPr>
        <w:t xml:space="preserve"> </w:t>
      </w:r>
      <w:r w:rsidRPr="003A3DD1">
        <w:rPr>
          <w:szCs w:val="24"/>
        </w:rPr>
        <w:t>13 Oct</w:t>
      </w:r>
      <w:r w:rsidR="00873C74">
        <w:rPr>
          <w:szCs w:val="24"/>
        </w:rPr>
        <w:t>. 1882</w:t>
      </w:r>
      <w:r w:rsidRPr="003A3DD1">
        <w:rPr>
          <w:szCs w:val="24"/>
        </w:rPr>
        <w:t>)</w:t>
      </w:r>
      <w:r w:rsidR="00873C74">
        <w:rPr>
          <w:szCs w:val="24"/>
        </w:rPr>
        <w:t>,</w:t>
      </w:r>
      <w:r w:rsidR="001E5CE5" w:rsidRPr="003A3DD1">
        <w:rPr>
          <w:szCs w:val="24"/>
        </w:rPr>
        <w:t xml:space="preserve"> </w:t>
      </w:r>
      <w:r w:rsidR="00873C74">
        <w:rPr>
          <w:szCs w:val="24"/>
        </w:rPr>
        <w:t>n</w:t>
      </w:r>
      <w:r w:rsidRPr="003A3DD1">
        <w:rPr>
          <w:szCs w:val="24"/>
        </w:rPr>
        <w:t xml:space="preserve">ovelist, diplomat, essayist, ethnologist. Protégé of Alexis de Tocqueville, who as Foreign Minister appointed </w:t>
      </w:r>
      <w:proofErr w:type="spellStart"/>
      <w:r w:rsidRPr="003A3DD1">
        <w:rPr>
          <w:szCs w:val="24"/>
        </w:rPr>
        <w:t>Gobineau</w:t>
      </w:r>
      <w:proofErr w:type="spellEnd"/>
      <w:r w:rsidRPr="003A3DD1">
        <w:rPr>
          <w:szCs w:val="24"/>
        </w:rPr>
        <w:t xml:space="preserve"> his </w:t>
      </w:r>
      <w:r w:rsidR="00D1266B">
        <w:rPr>
          <w:szCs w:val="24"/>
        </w:rPr>
        <w:t>Cabinet</w:t>
      </w:r>
      <w:r w:rsidR="00D1266B" w:rsidRPr="003A3DD1">
        <w:rPr>
          <w:szCs w:val="24"/>
        </w:rPr>
        <w:t xml:space="preserve"> </w:t>
      </w:r>
      <w:r w:rsidRPr="003A3DD1">
        <w:rPr>
          <w:szCs w:val="24"/>
        </w:rPr>
        <w:t xml:space="preserve">Head. </w:t>
      </w:r>
      <w:proofErr w:type="spellStart"/>
      <w:r w:rsidRPr="003A3DD1">
        <w:rPr>
          <w:szCs w:val="24"/>
        </w:rPr>
        <w:t>Gobineau’s</w:t>
      </w:r>
      <w:proofErr w:type="spellEnd"/>
      <w:r w:rsidRPr="003A3DD1">
        <w:rPr>
          <w:szCs w:val="24"/>
        </w:rPr>
        <w:t xml:space="preserve"> diplomatic career took in Germany, Persia, Brazil, and Sweden. In </w:t>
      </w:r>
      <w:proofErr w:type="spellStart"/>
      <w:r w:rsidRPr="003A3DD1">
        <w:rPr>
          <w:i/>
          <w:szCs w:val="24"/>
        </w:rPr>
        <w:t>Essai</w:t>
      </w:r>
      <w:proofErr w:type="spellEnd"/>
      <w:r w:rsidRPr="003A3DD1">
        <w:rPr>
          <w:i/>
          <w:szCs w:val="24"/>
        </w:rPr>
        <w:t xml:space="preserve"> </w:t>
      </w:r>
      <w:proofErr w:type="spellStart"/>
      <w:r w:rsidRPr="003A3DD1">
        <w:rPr>
          <w:i/>
          <w:color w:val="000000"/>
          <w:szCs w:val="24"/>
        </w:rPr>
        <w:t>sur</w:t>
      </w:r>
      <w:proofErr w:type="spellEnd"/>
      <w:r w:rsidRPr="003A3DD1">
        <w:rPr>
          <w:i/>
          <w:color w:val="000000"/>
          <w:szCs w:val="24"/>
        </w:rPr>
        <w:t xml:space="preserve"> </w:t>
      </w:r>
      <w:proofErr w:type="spellStart"/>
      <w:r w:rsidRPr="003A3DD1">
        <w:rPr>
          <w:i/>
          <w:color w:val="000000"/>
          <w:szCs w:val="24"/>
        </w:rPr>
        <w:t>l'inégalité</w:t>
      </w:r>
      <w:proofErr w:type="spellEnd"/>
      <w:r w:rsidRPr="003A3DD1">
        <w:rPr>
          <w:i/>
          <w:color w:val="000000"/>
          <w:szCs w:val="24"/>
        </w:rPr>
        <w:t xml:space="preserve"> des races </w:t>
      </w:r>
      <w:proofErr w:type="spellStart"/>
      <w:r w:rsidRPr="003A3DD1">
        <w:rPr>
          <w:i/>
          <w:color w:val="000000"/>
          <w:szCs w:val="24"/>
        </w:rPr>
        <w:t>humaines</w:t>
      </w:r>
      <w:proofErr w:type="spellEnd"/>
      <w:r w:rsidRPr="003A3DD1">
        <w:rPr>
          <w:i/>
          <w:color w:val="000000"/>
          <w:szCs w:val="24"/>
        </w:rPr>
        <w:t xml:space="preserve"> </w:t>
      </w:r>
      <w:r w:rsidRPr="003A3DD1">
        <w:rPr>
          <w:color w:val="000000"/>
          <w:szCs w:val="24"/>
        </w:rPr>
        <w:t>(</w:t>
      </w:r>
      <w:r w:rsidR="000F159A" w:rsidRPr="003A3DD1">
        <w:rPr>
          <w:i/>
          <w:szCs w:val="24"/>
        </w:rPr>
        <w:t>The Inequality of Human Races</w:t>
      </w:r>
      <w:r w:rsidR="000F159A" w:rsidRPr="003A3DD1">
        <w:rPr>
          <w:szCs w:val="24"/>
        </w:rPr>
        <w:t>,</w:t>
      </w:r>
      <w:r w:rsidR="000F159A" w:rsidRPr="003A3DD1">
        <w:rPr>
          <w:color w:val="000000"/>
          <w:szCs w:val="24"/>
        </w:rPr>
        <w:t xml:space="preserve"> </w:t>
      </w:r>
      <w:r w:rsidRPr="003A3DD1">
        <w:rPr>
          <w:color w:val="000000"/>
          <w:szCs w:val="24"/>
        </w:rPr>
        <w:t xml:space="preserve">1853-5), </w:t>
      </w:r>
      <w:proofErr w:type="spellStart"/>
      <w:r w:rsidRPr="003A3DD1">
        <w:rPr>
          <w:color w:val="000000"/>
          <w:szCs w:val="24"/>
        </w:rPr>
        <w:t>Gobineau</w:t>
      </w:r>
      <w:proofErr w:type="spellEnd"/>
      <w:r w:rsidRPr="003A3DD1">
        <w:rPr>
          <w:color w:val="000000"/>
          <w:szCs w:val="24"/>
        </w:rPr>
        <w:t xml:space="preserve"> made racial distinction – white (intelligent, courageous), black (sensual, brutal), and yellow (materialistic, feeble) – history’s guiding principle. The white race, whether Germanic, ancient Greek, </w:t>
      </w:r>
      <w:r w:rsidR="001E5CE5" w:rsidRPr="003A3DD1">
        <w:rPr>
          <w:color w:val="000000"/>
          <w:szCs w:val="24"/>
        </w:rPr>
        <w:t>or Indo-European (“Aryan”</w:t>
      </w:r>
      <w:r w:rsidRPr="003A3DD1">
        <w:rPr>
          <w:color w:val="000000"/>
          <w:szCs w:val="24"/>
        </w:rPr>
        <w:t>), enabled</w:t>
      </w:r>
      <w:r w:rsidR="001E5CE5" w:rsidRPr="003A3DD1">
        <w:rPr>
          <w:color w:val="000000"/>
          <w:szCs w:val="24"/>
        </w:rPr>
        <w:t xml:space="preserve"> civiliz</w:t>
      </w:r>
      <w:r w:rsidRPr="003A3DD1">
        <w:rPr>
          <w:color w:val="000000"/>
          <w:szCs w:val="24"/>
        </w:rPr>
        <w:t xml:space="preserve">ation. Apparent exceptions, </w:t>
      </w:r>
      <w:r w:rsidR="00166BAC">
        <w:rPr>
          <w:color w:val="000000"/>
          <w:szCs w:val="24"/>
        </w:rPr>
        <w:t>such as</w:t>
      </w:r>
      <w:r w:rsidR="00321EB7" w:rsidRPr="003A3DD1">
        <w:rPr>
          <w:color w:val="000000"/>
          <w:szCs w:val="24"/>
        </w:rPr>
        <w:t xml:space="preserve"> </w:t>
      </w:r>
      <w:r w:rsidRPr="003A3DD1">
        <w:rPr>
          <w:color w:val="000000"/>
          <w:szCs w:val="24"/>
        </w:rPr>
        <w:t xml:space="preserve">China, were ascribed to white influence. </w:t>
      </w:r>
      <w:r w:rsidR="001E5CE5" w:rsidRPr="003A3DD1">
        <w:rPr>
          <w:color w:val="000000"/>
          <w:szCs w:val="24"/>
        </w:rPr>
        <w:t>Civiliz</w:t>
      </w:r>
      <w:r w:rsidRPr="003A3DD1">
        <w:rPr>
          <w:color w:val="000000"/>
          <w:szCs w:val="24"/>
        </w:rPr>
        <w:t xml:space="preserve">ation partly depended upon miscegenation, interracial breeding, yet in that dilution lay its downfall. </w:t>
      </w:r>
      <w:proofErr w:type="spellStart"/>
      <w:r w:rsidRPr="003A3DD1">
        <w:rPr>
          <w:color w:val="000000"/>
          <w:szCs w:val="24"/>
        </w:rPr>
        <w:t>Gobineau</w:t>
      </w:r>
      <w:proofErr w:type="spellEnd"/>
      <w:r w:rsidRPr="003A3DD1">
        <w:rPr>
          <w:color w:val="000000"/>
          <w:szCs w:val="24"/>
        </w:rPr>
        <w:t xml:space="preserve"> was not anti-Semitic; he admired the</w:t>
      </w:r>
      <w:r w:rsidR="001E5CE5" w:rsidRPr="003A3DD1">
        <w:rPr>
          <w:color w:val="000000"/>
          <w:szCs w:val="24"/>
        </w:rPr>
        <w:t xml:space="preserve"> effort of “white”</w:t>
      </w:r>
      <w:r w:rsidRPr="003A3DD1">
        <w:rPr>
          <w:color w:val="000000"/>
          <w:szCs w:val="24"/>
        </w:rPr>
        <w:t xml:space="preserve"> Jews through</w:t>
      </w:r>
      <w:r w:rsidR="001E5CE5" w:rsidRPr="003A3DD1">
        <w:rPr>
          <w:color w:val="000000"/>
          <w:szCs w:val="24"/>
        </w:rPr>
        <w:t xml:space="preserve"> Mosaic </w:t>
      </w:r>
      <w:r w:rsidR="00D1266B" w:rsidRPr="003A3DD1">
        <w:rPr>
          <w:color w:val="000000"/>
          <w:szCs w:val="24"/>
        </w:rPr>
        <w:t>Law</w:t>
      </w:r>
      <w:r w:rsidR="001E5CE5" w:rsidRPr="003A3DD1">
        <w:rPr>
          <w:color w:val="000000"/>
          <w:szCs w:val="24"/>
        </w:rPr>
        <w:t xml:space="preserve"> to maintain their “</w:t>
      </w:r>
      <w:r w:rsidRPr="003A3DD1">
        <w:rPr>
          <w:color w:val="000000"/>
          <w:szCs w:val="24"/>
        </w:rPr>
        <w:t>purity.</w:t>
      </w:r>
      <w:r w:rsidR="001E5CE5" w:rsidRPr="003A3DD1">
        <w:rPr>
          <w:color w:val="000000"/>
          <w:szCs w:val="24"/>
        </w:rPr>
        <w:t>”</w:t>
      </w:r>
      <w:r w:rsidRPr="003A3DD1">
        <w:rPr>
          <w:color w:val="000000"/>
          <w:szCs w:val="24"/>
        </w:rPr>
        <w:t xml:space="preserve"> Tocqueville protested that </w:t>
      </w:r>
      <w:proofErr w:type="spellStart"/>
      <w:r w:rsidRPr="003A3DD1">
        <w:rPr>
          <w:color w:val="000000"/>
          <w:szCs w:val="24"/>
        </w:rPr>
        <w:t>Gobineau’s</w:t>
      </w:r>
      <w:proofErr w:type="spellEnd"/>
      <w:r w:rsidRPr="003A3DD1">
        <w:rPr>
          <w:color w:val="000000"/>
          <w:szCs w:val="24"/>
        </w:rPr>
        <w:t xml:space="preserve"> argument was probably wrong and certainly pernicious.</w:t>
      </w:r>
    </w:p>
    <w:p w:rsidR="00AD7657" w:rsidRPr="00B15FCE" w:rsidRDefault="00AD7657" w:rsidP="00E85BB3">
      <w:pPr>
        <w:ind w:firstLine="720"/>
        <w:rPr>
          <w:rFonts w:ascii="Arial" w:eastAsia="Times New Roman" w:hAnsi="Arial" w:cs="Arial"/>
          <w:sz w:val="22"/>
          <w:lang w:val="en-GB"/>
        </w:rPr>
      </w:pPr>
      <w:r w:rsidRPr="003A3DD1">
        <w:rPr>
          <w:szCs w:val="24"/>
        </w:rPr>
        <w:t xml:space="preserve">The </w:t>
      </w:r>
      <w:proofErr w:type="spellStart"/>
      <w:r w:rsidRPr="003A3DD1">
        <w:rPr>
          <w:szCs w:val="24"/>
        </w:rPr>
        <w:t>Wagners</w:t>
      </w:r>
      <w:proofErr w:type="spellEnd"/>
      <w:r w:rsidRPr="003A3DD1">
        <w:rPr>
          <w:szCs w:val="24"/>
        </w:rPr>
        <w:t xml:space="preserve"> briefly met </w:t>
      </w:r>
      <w:proofErr w:type="spellStart"/>
      <w:r w:rsidRPr="003A3DD1">
        <w:rPr>
          <w:szCs w:val="24"/>
        </w:rPr>
        <w:t>Gobineau</w:t>
      </w:r>
      <w:proofErr w:type="spellEnd"/>
      <w:r w:rsidRPr="003A3DD1">
        <w:rPr>
          <w:szCs w:val="24"/>
        </w:rPr>
        <w:t xml:space="preserve"> in Rome in 1876. There is neither evidence nor likelihood that Wagner read </w:t>
      </w:r>
      <w:proofErr w:type="spellStart"/>
      <w:r w:rsidRPr="003A3DD1">
        <w:rPr>
          <w:szCs w:val="24"/>
        </w:rPr>
        <w:t>Gobineau</w:t>
      </w:r>
      <w:proofErr w:type="spellEnd"/>
      <w:r w:rsidRPr="003A3DD1">
        <w:rPr>
          <w:szCs w:val="24"/>
        </w:rPr>
        <w:t xml:space="preserve"> or learned of his ideas until after their 1880 meeting in </w:t>
      </w:r>
      <w:r w:rsidRPr="00D1266B">
        <w:rPr>
          <w:smallCaps/>
          <w:szCs w:val="24"/>
        </w:rPr>
        <w:t>Venice</w:t>
      </w:r>
      <w:r w:rsidRPr="003A3DD1">
        <w:rPr>
          <w:szCs w:val="24"/>
        </w:rPr>
        <w:t xml:space="preserve">; </w:t>
      </w:r>
      <w:r w:rsidR="00283B9E" w:rsidRPr="00283B9E">
        <w:rPr>
          <w:szCs w:val="24"/>
        </w:rPr>
        <w:t xml:space="preserve">Wagner makes no mention of </w:t>
      </w:r>
      <w:proofErr w:type="spellStart"/>
      <w:r w:rsidR="00283B9E">
        <w:rPr>
          <w:szCs w:val="24"/>
        </w:rPr>
        <w:t>Gobineau’s</w:t>
      </w:r>
      <w:proofErr w:type="spellEnd"/>
      <w:r w:rsidR="00283B9E">
        <w:rPr>
          <w:szCs w:val="24"/>
        </w:rPr>
        <w:t xml:space="preserve"> theories before 1880,</w:t>
      </w:r>
      <w:r w:rsidR="00283B9E" w:rsidRPr="00283B9E">
        <w:rPr>
          <w:szCs w:val="24"/>
        </w:rPr>
        <w:t xml:space="preserve"> nor does Cosima in her diaries.</w:t>
      </w:r>
      <w:r w:rsidRPr="003A3DD1">
        <w:rPr>
          <w:szCs w:val="24"/>
        </w:rPr>
        <w:t xml:space="preserve"> </w:t>
      </w:r>
      <w:r w:rsidR="00283B9E">
        <w:rPr>
          <w:szCs w:val="24"/>
        </w:rPr>
        <w:t>Thus, d</w:t>
      </w:r>
      <w:r w:rsidR="00B15FCE" w:rsidRPr="00B15FCE">
        <w:rPr>
          <w:rFonts w:eastAsia="Times New Roman"/>
          <w:szCs w:val="24"/>
        </w:rPr>
        <w:t xml:space="preserve">espite the claims of writers such as Robert </w:t>
      </w:r>
      <w:proofErr w:type="spellStart"/>
      <w:r w:rsidR="00B15FCE" w:rsidRPr="00B15FCE">
        <w:rPr>
          <w:rFonts w:eastAsia="Times New Roman"/>
          <w:szCs w:val="24"/>
        </w:rPr>
        <w:t>Gutman</w:t>
      </w:r>
      <w:proofErr w:type="spellEnd"/>
      <w:r w:rsidR="00B15FCE">
        <w:rPr>
          <w:rFonts w:eastAsia="Times New Roman"/>
          <w:szCs w:val="24"/>
        </w:rPr>
        <w:t xml:space="preserve"> (</w:t>
      </w:r>
      <w:proofErr w:type="spellStart"/>
      <w:r w:rsidR="00B15FCE">
        <w:rPr>
          <w:rFonts w:eastAsia="Times New Roman"/>
          <w:szCs w:val="24"/>
        </w:rPr>
        <w:t>ch.</w:t>
      </w:r>
      <w:proofErr w:type="spellEnd"/>
      <w:r w:rsidR="00B15FCE">
        <w:rPr>
          <w:rFonts w:eastAsia="Times New Roman"/>
          <w:szCs w:val="24"/>
        </w:rPr>
        <w:t xml:space="preserve"> 13)</w:t>
      </w:r>
      <w:r w:rsidR="00B15FCE" w:rsidRPr="00B15FCE">
        <w:rPr>
          <w:rFonts w:eastAsia="Times New Roman"/>
          <w:szCs w:val="24"/>
        </w:rPr>
        <w:t xml:space="preserve">, the possibility of influence upon </w:t>
      </w:r>
      <w:r w:rsidR="00B15FCE" w:rsidRPr="00B15FCE">
        <w:rPr>
          <w:rFonts w:eastAsia="Times New Roman"/>
          <w:i/>
          <w:iCs/>
          <w:smallCaps/>
          <w:szCs w:val="24"/>
        </w:rPr>
        <w:t>Parsifal</w:t>
      </w:r>
      <w:r w:rsidR="00B15FCE" w:rsidRPr="00B15FCE">
        <w:rPr>
          <w:rFonts w:eastAsia="Times New Roman"/>
          <w:szCs w:val="24"/>
        </w:rPr>
        <w:t xml:space="preserve">, whose poem was essentially completed in 1877, its “orchestral sketch” in 1879, </w:t>
      </w:r>
      <w:bookmarkStart w:id="0" w:name="_GoBack"/>
      <w:bookmarkEnd w:id="0"/>
      <w:r w:rsidR="00B15FCE" w:rsidRPr="00B15FCE">
        <w:rPr>
          <w:rFonts w:eastAsia="Times New Roman"/>
          <w:szCs w:val="24"/>
        </w:rPr>
        <w:t>tends towards zero.</w:t>
      </w:r>
      <w:r w:rsidR="00B15FCE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3A3DD1">
        <w:rPr>
          <w:szCs w:val="24"/>
        </w:rPr>
        <w:t>Gobineau</w:t>
      </w:r>
      <w:proofErr w:type="spellEnd"/>
      <w:r w:rsidRPr="003A3DD1">
        <w:rPr>
          <w:szCs w:val="24"/>
        </w:rPr>
        <w:t xml:space="preserve"> visited </w:t>
      </w:r>
      <w:proofErr w:type="spellStart"/>
      <w:r w:rsidRPr="00D1266B">
        <w:rPr>
          <w:smallCaps/>
          <w:szCs w:val="24"/>
        </w:rPr>
        <w:t>Wahnfried</w:t>
      </w:r>
      <w:proofErr w:type="spellEnd"/>
      <w:r w:rsidRPr="003A3DD1">
        <w:rPr>
          <w:szCs w:val="24"/>
        </w:rPr>
        <w:t xml:space="preserve"> in 1881</w:t>
      </w:r>
      <w:r w:rsidR="001E5CE5" w:rsidRPr="003A3DD1">
        <w:rPr>
          <w:szCs w:val="24"/>
        </w:rPr>
        <w:t xml:space="preserve"> (</w:t>
      </w:r>
      <w:r w:rsidRPr="003A3DD1">
        <w:rPr>
          <w:szCs w:val="24"/>
        </w:rPr>
        <w:t>when Wagner prese</w:t>
      </w:r>
      <w:r w:rsidR="001E5CE5" w:rsidRPr="003A3DD1">
        <w:rPr>
          <w:szCs w:val="24"/>
        </w:rPr>
        <w:t>nted his collected writings to “the Count”)</w:t>
      </w:r>
      <w:r w:rsidRPr="003A3DD1">
        <w:rPr>
          <w:szCs w:val="24"/>
        </w:rPr>
        <w:t xml:space="preserve"> and </w:t>
      </w:r>
      <w:r w:rsidR="001E5CE5" w:rsidRPr="003A3DD1">
        <w:rPr>
          <w:szCs w:val="24"/>
        </w:rPr>
        <w:t xml:space="preserve">in </w:t>
      </w:r>
      <w:r w:rsidRPr="003A3DD1">
        <w:rPr>
          <w:szCs w:val="24"/>
        </w:rPr>
        <w:t>1882.</w:t>
      </w:r>
    </w:p>
    <w:p w:rsidR="00AD7657" w:rsidRPr="003A3DD1" w:rsidRDefault="001E5CE5" w:rsidP="00E85BB3">
      <w:pPr>
        <w:ind w:firstLine="720"/>
        <w:rPr>
          <w:szCs w:val="24"/>
        </w:rPr>
      </w:pPr>
      <w:r w:rsidRPr="003A3DD1">
        <w:rPr>
          <w:szCs w:val="24"/>
        </w:rPr>
        <w:t>“Scientific”</w:t>
      </w:r>
      <w:r w:rsidR="00AD7657" w:rsidRPr="003A3DD1">
        <w:rPr>
          <w:szCs w:val="24"/>
        </w:rPr>
        <w:t xml:space="preserve"> fatalism might appeal to Wagner as </w:t>
      </w:r>
      <w:r w:rsidR="00AD7657" w:rsidRPr="00D1266B">
        <w:rPr>
          <w:smallCaps/>
          <w:szCs w:val="24"/>
        </w:rPr>
        <w:t>Schopenhauer</w:t>
      </w:r>
      <w:r w:rsidR="00AD7657" w:rsidRPr="003A3DD1">
        <w:rPr>
          <w:szCs w:val="24"/>
        </w:rPr>
        <w:t xml:space="preserve">’s disciple, though not as revolutionary. </w:t>
      </w:r>
      <w:proofErr w:type="spellStart"/>
      <w:r w:rsidR="00AD7657" w:rsidRPr="003A3DD1">
        <w:rPr>
          <w:szCs w:val="24"/>
        </w:rPr>
        <w:t>Gobineau</w:t>
      </w:r>
      <w:proofErr w:type="spellEnd"/>
      <w:r w:rsidR="00AD7657" w:rsidRPr="003A3DD1">
        <w:rPr>
          <w:szCs w:val="24"/>
        </w:rPr>
        <w:t xml:space="preserve"> presented not a</w:t>
      </w:r>
      <w:r w:rsidRPr="003A3DD1">
        <w:rPr>
          <w:szCs w:val="24"/>
        </w:rPr>
        <w:t xml:space="preserve"> political program</w:t>
      </w:r>
      <w:r w:rsidR="00AD7657" w:rsidRPr="003A3DD1">
        <w:rPr>
          <w:szCs w:val="24"/>
        </w:rPr>
        <w:t xml:space="preserve">, but an alleged scientific truth, echoing the Enlightenment project of discerning fundamental historical laws, akin to those of Newton – or, as later racists would prefer, Darwin. </w:t>
      </w:r>
      <w:proofErr w:type="spellStart"/>
      <w:r w:rsidR="00AD7657" w:rsidRPr="003A3DD1">
        <w:rPr>
          <w:szCs w:val="24"/>
        </w:rPr>
        <w:t>Gobineau</w:t>
      </w:r>
      <w:proofErr w:type="spellEnd"/>
      <w:r w:rsidR="00AD7657" w:rsidRPr="003A3DD1">
        <w:rPr>
          <w:szCs w:val="24"/>
        </w:rPr>
        <w:t xml:space="preserve"> believed in human degeneration; Wagner varied. Whereas </w:t>
      </w:r>
      <w:proofErr w:type="spellStart"/>
      <w:r w:rsidR="00AD7657" w:rsidRPr="003A3DD1">
        <w:rPr>
          <w:szCs w:val="24"/>
        </w:rPr>
        <w:t>Gobineau’s</w:t>
      </w:r>
      <w:proofErr w:type="spellEnd"/>
      <w:r w:rsidR="00AD7657" w:rsidRPr="003A3DD1">
        <w:rPr>
          <w:szCs w:val="24"/>
        </w:rPr>
        <w:t xml:space="preserve"> driving force was miscegenation, Wagner, in a late echo of Feuerbach, pointed to dietary change. Though Wagner seems to </w:t>
      </w:r>
      <w:r w:rsidR="00AD7657" w:rsidRPr="003A3DD1">
        <w:rPr>
          <w:szCs w:val="24"/>
        </w:rPr>
        <w:lastRenderedPageBreak/>
        <w:t xml:space="preserve">have come to attribute some importance to miscegenation, he introduced a </w:t>
      </w:r>
      <w:r w:rsidR="00AD7657" w:rsidRPr="00D1266B">
        <w:rPr>
          <w:smallCaps/>
          <w:szCs w:val="24"/>
        </w:rPr>
        <w:t>gender</w:t>
      </w:r>
      <w:r w:rsidR="00AD7657" w:rsidRPr="003A3DD1">
        <w:rPr>
          <w:szCs w:val="24"/>
        </w:rPr>
        <w:t xml:space="preserve">ed element and retained the prospect of </w:t>
      </w:r>
      <w:r w:rsidR="00AD7657" w:rsidRPr="003A3DD1">
        <w:rPr>
          <w:smallCaps/>
          <w:szCs w:val="24"/>
        </w:rPr>
        <w:t>regeneration</w:t>
      </w:r>
      <w:r w:rsidR="00AD7657" w:rsidRPr="003A3DD1">
        <w:rPr>
          <w:szCs w:val="24"/>
        </w:rPr>
        <w:t xml:space="preserve"> or </w:t>
      </w:r>
      <w:r w:rsidR="00AD7657" w:rsidRPr="003A3DD1">
        <w:rPr>
          <w:smallCaps/>
          <w:szCs w:val="24"/>
        </w:rPr>
        <w:t>redemption</w:t>
      </w:r>
      <w:r w:rsidR="00AD7657" w:rsidRPr="003A3DD1">
        <w:rPr>
          <w:szCs w:val="24"/>
        </w:rPr>
        <w:t xml:space="preserve"> through art and </w:t>
      </w:r>
      <w:r w:rsidR="00AD7657" w:rsidRPr="003A3DD1">
        <w:rPr>
          <w:smallCaps/>
          <w:szCs w:val="24"/>
        </w:rPr>
        <w:t>religion</w:t>
      </w:r>
      <w:r w:rsidR="00AD7657" w:rsidRPr="003A3DD1">
        <w:rPr>
          <w:szCs w:val="24"/>
        </w:rPr>
        <w:t xml:space="preserve">. Thus an 1881 </w:t>
      </w:r>
      <w:r w:rsidR="00AD7657" w:rsidRPr="00B15FCE">
        <w:rPr>
          <w:i/>
          <w:smallCaps/>
          <w:szCs w:val="24"/>
        </w:rPr>
        <w:t>Brown Book</w:t>
      </w:r>
      <w:r w:rsidR="00AD7657" w:rsidRPr="003A3DD1">
        <w:rPr>
          <w:i/>
          <w:szCs w:val="24"/>
        </w:rPr>
        <w:t xml:space="preserve"> </w:t>
      </w:r>
      <w:r w:rsidR="00AD7657" w:rsidRPr="003A3DD1">
        <w:rPr>
          <w:szCs w:val="24"/>
        </w:rPr>
        <w:t xml:space="preserve">entry, possibly intended in part to correct </w:t>
      </w:r>
      <w:proofErr w:type="spellStart"/>
      <w:r w:rsidR="00AD7657" w:rsidRPr="003A3DD1">
        <w:rPr>
          <w:szCs w:val="24"/>
        </w:rPr>
        <w:t>Gobineau’s</w:t>
      </w:r>
      <w:proofErr w:type="spellEnd"/>
      <w:r w:rsidR="00AD7657" w:rsidRPr="003A3DD1">
        <w:rPr>
          <w:szCs w:val="24"/>
        </w:rPr>
        <w:t xml:space="preserve"> non-racial essay, </w:t>
      </w:r>
      <w:r w:rsidR="00AD7657" w:rsidRPr="003A3DD1">
        <w:rPr>
          <w:i/>
          <w:szCs w:val="24"/>
        </w:rPr>
        <w:t>La Renaissance</w:t>
      </w:r>
      <w:r w:rsidR="00382AE4" w:rsidRPr="003A3DD1">
        <w:rPr>
          <w:szCs w:val="24"/>
        </w:rPr>
        <w:t>: “</w:t>
      </w:r>
      <w:r w:rsidR="00AD7657" w:rsidRPr="003A3DD1">
        <w:rPr>
          <w:szCs w:val="24"/>
        </w:rPr>
        <w:t xml:space="preserve">In the mingling of races, the blood of the nobler males is ruined by the baser feminine element: the masculine element suffers, character founders, whilst the women gain as much as to take the men’s place. (Renaissance). The feminine thus remains owing deliverance: here art – as there in religion; the immaculate Virgin gives birth to the </w:t>
      </w:r>
      <w:r w:rsidR="003A3DD1" w:rsidRPr="003A3DD1">
        <w:rPr>
          <w:szCs w:val="24"/>
        </w:rPr>
        <w:t>Savior</w:t>
      </w:r>
      <w:r w:rsidR="00AD7657" w:rsidRPr="003A3DD1">
        <w:rPr>
          <w:szCs w:val="24"/>
        </w:rPr>
        <w:t>.</w:t>
      </w:r>
      <w:r w:rsidR="00382AE4" w:rsidRPr="003A3DD1">
        <w:rPr>
          <w:szCs w:val="24"/>
        </w:rPr>
        <w:t>” (BB/E, 23 Oct 1881).</w:t>
      </w:r>
      <w:r w:rsidR="00AD7657" w:rsidRPr="003A3DD1">
        <w:rPr>
          <w:szCs w:val="24"/>
        </w:rPr>
        <w:t xml:space="preserve"> </w:t>
      </w:r>
      <w:proofErr w:type="spellStart"/>
      <w:r w:rsidR="00AD7657" w:rsidRPr="003A3DD1">
        <w:rPr>
          <w:szCs w:val="24"/>
        </w:rPr>
        <w:t>Gobineau</w:t>
      </w:r>
      <w:proofErr w:type="spellEnd"/>
      <w:r w:rsidR="00AD7657" w:rsidRPr="003A3DD1">
        <w:rPr>
          <w:szCs w:val="24"/>
        </w:rPr>
        <w:t xml:space="preserve"> denied universality and founded morality upon ontology: Aryan deeds were good because </w:t>
      </w:r>
      <w:r w:rsidR="00382AE4" w:rsidRPr="003A3DD1">
        <w:rPr>
          <w:szCs w:val="24"/>
        </w:rPr>
        <w:t xml:space="preserve">they were </w:t>
      </w:r>
      <w:r w:rsidR="00AD7657" w:rsidRPr="003A3DD1">
        <w:rPr>
          <w:szCs w:val="24"/>
        </w:rPr>
        <w:t xml:space="preserve">performed by Aryans. Wagner, however, desired universal redemption, </w:t>
      </w:r>
      <w:r w:rsidR="00AD7657" w:rsidRPr="00D1266B">
        <w:rPr>
          <w:smallCaps/>
          <w:szCs w:val="24"/>
        </w:rPr>
        <w:t>Jews</w:t>
      </w:r>
      <w:r w:rsidR="00AD7657" w:rsidRPr="003A3DD1">
        <w:rPr>
          <w:szCs w:val="24"/>
        </w:rPr>
        <w:t xml:space="preserve"> included; morality should transform ontology.</w:t>
      </w:r>
    </w:p>
    <w:p w:rsidR="00AD7657" w:rsidRPr="003A3DD1" w:rsidRDefault="00AD7657" w:rsidP="00E85BB3">
      <w:pPr>
        <w:ind w:firstLine="720"/>
        <w:rPr>
          <w:szCs w:val="24"/>
        </w:rPr>
      </w:pPr>
      <w:r w:rsidRPr="003A3DD1">
        <w:rPr>
          <w:szCs w:val="24"/>
        </w:rPr>
        <w:t>Yet, as with Schopenhauer, Wagner found</w:t>
      </w:r>
      <w:r w:rsidR="00382AE4" w:rsidRPr="003A3DD1">
        <w:rPr>
          <w:szCs w:val="24"/>
        </w:rPr>
        <w:t xml:space="preserve"> “confirmation”</w:t>
      </w:r>
      <w:r w:rsidRPr="003A3DD1">
        <w:rPr>
          <w:szCs w:val="24"/>
        </w:rPr>
        <w:t xml:space="preserve"> of previously held views</w:t>
      </w:r>
      <w:r w:rsidR="00D1266B">
        <w:rPr>
          <w:szCs w:val="24"/>
        </w:rPr>
        <w:t>,</w:t>
      </w:r>
      <w:r w:rsidRPr="003A3DD1">
        <w:rPr>
          <w:szCs w:val="24"/>
        </w:rPr>
        <w:t xml:space="preserve"> and </w:t>
      </w:r>
      <w:r w:rsidR="00382AE4" w:rsidRPr="003A3DD1">
        <w:rPr>
          <w:szCs w:val="24"/>
        </w:rPr>
        <w:t>“</w:t>
      </w:r>
      <w:r w:rsidRPr="003A3DD1">
        <w:rPr>
          <w:szCs w:val="24"/>
        </w:rPr>
        <w:t>corrected</w:t>
      </w:r>
      <w:r w:rsidR="00382AE4" w:rsidRPr="003A3DD1">
        <w:rPr>
          <w:szCs w:val="24"/>
        </w:rPr>
        <w:t>”</w:t>
      </w:r>
      <w:r w:rsidRPr="003A3DD1">
        <w:rPr>
          <w:szCs w:val="24"/>
        </w:rPr>
        <w:t xml:space="preserve"> instances in which both writers erred. Cosima describes Wagner, during </w:t>
      </w:r>
      <w:proofErr w:type="spellStart"/>
      <w:r w:rsidRPr="003A3DD1">
        <w:rPr>
          <w:szCs w:val="24"/>
        </w:rPr>
        <w:t>Gobineau’s</w:t>
      </w:r>
      <w:proofErr w:type="spellEnd"/>
      <w:r w:rsidRPr="003A3DD1">
        <w:rPr>
          <w:szCs w:val="24"/>
        </w:rPr>
        <w:t xml:space="preserve"> 1881 </w:t>
      </w:r>
      <w:r w:rsidR="00382AE4" w:rsidRPr="003A3DD1">
        <w:rPr>
          <w:szCs w:val="24"/>
        </w:rPr>
        <w:t>visit, as “downright explosive in favo</w:t>
      </w:r>
      <w:r w:rsidRPr="003A3DD1">
        <w:rPr>
          <w:szCs w:val="24"/>
        </w:rPr>
        <w:t>r of Christian theories in contrast to racial ones</w:t>
      </w:r>
      <w:r w:rsidR="00382AE4" w:rsidRPr="003A3DD1">
        <w:rPr>
          <w:szCs w:val="24"/>
        </w:rPr>
        <w:t>” (CWD, 3 Jun</w:t>
      </w:r>
      <w:r w:rsidR="00E85BB3">
        <w:rPr>
          <w:szCs w:val="24"/>
        </w:rPr>
        <w:t>e</w:t>
      </w:r>
      <w:r w:rsidR="00382AE4" w:rsidRPr="003A3DD1">
        <w:rPr>
          <w:szCs w:val="24"/>
        </w:rPr>
        <w:t xml:space="preserve"> 1881)</w:t>
      </w:r>
      <w:r w:rsidRPr="003A3DD1">
        <w:rPr>
          <w:szCs w:val="24"/>
        </w:rPr>
        <w:t xml:space="preserve">. Correspondence demonstrates mutual respect but both men standing their intellectual ground. Despite some writers’ claims, </w:t>
      </w:r>
      <w:proofErr w:type="spellStart"/>
      <w:r w:rsidRPr="003A3DD1">
        <w:rPr>
          <w:szCs w:val="24"/>
        </w:rPr>
        <w:t>Gobineau’s</w:t>
      </w:r>
      <w:proofErr w:type="spellEnd"/>
      <w:r w:rsidRPr="003A3DD1">
        <w:rPr>
          <w:szCs w:val="24"/>
        </w:rPr>
        <w:t xml:space="preserve"> influence on Wagner was minimal, differences more revealing than correspondences. However, the pan-</w:t>
      </w:r>
      <w:proofErr w:type="spellStart"/>
      <w:r w:rsidRPr="003A3DD1">
        <w:rPr>
          <w:szCs w:val="24"/>
        </w:rPr>
        <w:t>Germanist</w:t>
      </w:r>
      <w:proofErr w:type="spellEnd"/>
      <w:r w:rsidRPr="003A3DD1">
        <w:rPr>
          <w:szCs w:val="24"/>
        </w:rPr>
        <w:t xml:space="preserve"> </w:t>
      </w:r>
      <w:r w:rsidRPr="003A3DD1">
        <w:rPr>
          <w:smallCaps/>
          <w:szCs w:val="24"/>
        </w:rPr>
        <w:t xml:space="preserve">Ludwig </w:t>
      </w:r>
      <w:proofErr w:type="spellStart"/>
      <w:r w:rsidRPr="003A3DD1">
        <w:rPr>
          <w:smallCaps/>
          <w:szCs w:val="24"/>
        </w:rPr>
        <w:t>Schemann</w:t>
      </w:r>
      <w:proofErr w:type="spellEnd"/>
      <w:r w:rsidR="00382AE4" w:rsidRPr="003A3DD1">
        <w:rPr>
          <w:szCs w:val="24"/>
        </w:rPr>
        <w:t xml:space="preserve"> and other members of the </w:t>
      </w:r>
      <w:r w:rsidR="00382AE4" w:rsidRPr="003A3DD1">
        <w:rPr>
          <w:smallCaps/>
          <w:szCs w:val="24"/>
        </w:rPr>
        <w:t>Bayreuth Circle</w:t>
      </w:r>
      <w:r w:rsidRPr="003A3DD1">
        <w:rPr>
          <w:szCs w:val="24"/>
        </w:rPr>
        <w:t xml:space="preserve"> founded a </w:t>
      </w:r>
      <w:proofErr w:type="spellStart"/>
      <w:r w:rsidRPr="003A3DD1">
        <w:rPr>
          <w:szCs w:val="24"/>
        </w:rPr>
        <w:t>Gobineau</w:t>
      </w:r>
      <w:proofErr w:type="spellEnd"/>
      <w:r w:rsidRPr="003A3DD1">
        <w:rPr>
          <w:szCs w:val="24"/>
        </w:rPr>
        <w:t xml:space="preserve"> Association in 1894, transforming </w:t>
      </w:r>
      <w:proofErr w:type="spellStart"/>
      <w:r w:rsidRPr="003A3DD1">
        <w:rPr>
          <w:szCs w:val="24"/>
        </w:rPr>
        <w:t>Gobineau’s</w:t>
      </w:r>
      <w:proofErr w:type="spellEnd"/>
      <w:r w:rsidRPr="003A3DD1">
        <w:rPr>
          <w:szCs w:val="24"/>
        </w:rPr>
        <w:t xml:space="preserve"> pessimism into a racial and political opposition between Aryan and Jew. Cosima dissociated herself and the Festival. </w:t>
      </w:r>
    </w:p>
    <w:p w:rsidR="00AD7657" w:rsidRPr="003A3DD1" w:rsidRDefault="00382AE4" w:rsidP="00382AE4">
      <w:pPr>
        <w:jc w:val="right"/>
        <w:rPr>
          <w:szCs w:val="24"/>
        </w:rPr>
      </w:pPr>
      <w:r w:rsidRPr="003A3DD1">
        <w:rPr>
          <w:szCs w:val="24"/>
        </w:rPr>
        <w:t>MARK BERRY</w:t>
      </w:r>
    </w:p>
    <w:p w:rsidR="00AD7657" w:rsidRPr="003A3DD1" w:rsidRDefault="00AD7657" w:rsidP="00321EB7">
      <w:pPr>
        <w:ind w:left="720" w:hanging="720"/>
        <w:rPr>
          <w:color w:val="000000"/>
          <w:szCs w:val="24"/>
        </w:rPr>
      </w:pPr>
      <w:proofErr w:type="spellStart"/>
      <w:r w:rsidRPr="003A3DD1">
        <w:rPr>
          <w:szCs w:val="24"/>
        </w:rPr>
        <w:t>Eugène</w:t>
      </w:r>
      <w:proofErr w:type="spellEnd"/>
      <w:r w:rsidRPr="003A3DD1">
        <w:rPr>
          <w:szCs w:val="24"/>
        </w:rPr>
        <w:t xml:space="preserve">, Eric (ed.), </w:t>
      </w:r>
      <w:r w:rsidRPr="003A3DD1">
        <w:rPr>
          <w:i/>
          <w:color w:val="000000"/>
          <w:szCs w:val="24"/>
        </w:rPr>
        <w:t xml:space="preserve">Richard et Cosima Wagner/Arthur </w:t>
      </w:r>
      <w:proofErr w:type="spellStart"/>
      <w:r w:rsidRPr="003A3DD1">
        <w:rPr>
          <w:i/>
          <w:color w:val="000000"/>
          <w:szCs w:val="24"/>
        </w:rPr>
        <w:t>Gobineau</w:t>
      </w:r>
      <w:proofErr w:type="spellEnd"/>
      <w:r w:rsidRPr="003A3DD1">
        <w:rPr>
          <w:i/>
          <w:color w:val="000000"/>
          <w:szCs w:val="24"/>
        </w:rPr>
        <w:t xml:space="preserve">: </w:t>
      </w:r>
      <w:proofErr w:type="spellStart"/>
      <w:r w:rsidRPr="003A3DD1">
        <w:rPr>
          <w:i/>
          <w:color w:val="000000"/>
          <w:szCs w:val="24"/>
        </w:rPr>
        <w:t>Correspondance</w:t>
      </w:r>
      <w:proofErr w:type="spellEnd"/>
      <w:r w:rsidRPr="003A3DD1">
        <w:rPr>
          <w:i/>
          <w:color w:val="000000"/>
          <w:szCs w:val="24"/>
        </w:rPr>
        <w:t xml:space="preserve"> 1880-1882 </w:t>
      </w:r>
      <w:r w:rsidRPr="003A3DD1">
        <w:rPr>
          <w:color w:val="000000"/>
          <w:szCs w:val="24"/>
        </w:rPr>
        <w:t>(Saint-</w:t>
      </w:r>
      <w:proofErr w:type="spellStart"/>
      <w:r w:rsidRPr="003A3DD1">
        <w:rPr>
          <w:color w:val="000000"/>
          <w:szCs w:val="24"/>
        </w:rPr>
        <w:t>Genouph</w:t>
      </w:r>
      <w:proofErr w:type="spellEnd"/>
      <w:r w:rsidRPr="003A3DD1">
        <w:rPr>
          <w:color w:val="000000"/>
          <w:szCs w:val="24"/>
        </w:rPr>
        <w:t xml:space="preserve">: </w:t>
      </w:r>
      <w:proofErr w:type="spellStart"/>
      <w:r w:rsidRPr="003A3DD1">
        <w:rPr>
          <w:color w:val="000000"/>
          <w:szCs w:val="24"/>
        </w:rPr>
        <w:t>Nizet</w:t>
      </w:r>
      <w:proofErr w:type="spellEnd"/>
      <w:r w:rsidRPr="003A3DD1">
        <w:rPr>
          <w:color w:val="000000"/>
          <w:szCs w:val="24"/>
        </w:rPr>
        <w:t>, 2000)</w:t>
      </w:r>
      <w:r w:rsidR="000F159A" w:rsidRPr="003A3DD1">
        <w:rPr>
          <w:color w:val="000000"/>
          <w:szCs w:val="24"/>
        </w:rPr>
        <w:t>.</w:t>
      </w:r>
    </w:p>
    <w:p w:rsidR="00AD7657" w:rsidRPr="003A3DD1" w:rsidRDefault="00AD7657" w:rsidP="00AD7657">
      <w:pPr>
        <w:rPr>
          <w:szCs w:val="24"/>
        </w:rPr>
      </w:pPr>
      <w:r w:rsidRPr="00166BAC">
        <w:rPr>
          <w:szCs w:val="24"/>
          <w:lang w:val="de-DE"/>
        </w:rPr>
        <w:t xml:space="preserve">Schemann, Ludwig, </w:t>
      </w:r>
      <w:r w:rsidRPr="00166BAC">
        <w:rPr>
          <w:i/>
          <w:szCs w:val="24"/>
          <w:lang w:val="de-DE"/>
        </w:rPr>
        <w:t>Gobineau. Eine Biographie</w:t>
      </w:r>
      <w:r w:rsidRPr="00166BAC">
        <w:rPr>
          <w:szCs w:val="24"/>
          <w:lang w:val="de-DE"/>
        </w:rPr>
        <w:t>, 2 vols</w:t>
      </w:r>
      <w:r w:rsidR="000F159A" w:rsidRPr="00166BAC">
        <w:rPr>
          <w:szCs w:val="24"/>
          <w:lang w:val="de-DE"/>
        </w:rPr>
        <w:t>.</w:t>
      </w:r>
      <w:r w:rsidRPr="00166BAC">
        <w:rPr>
          <w:szCs w:val="24"/>
          <w:lang w:val="de-DE"/>
        </w:rPr>
        <w:t xml:space="preserve"> </w:t>
      </w:r>
      <w:r w:rsidRPr="003A3DD1">
        <w:rPr>
          <w:szCs w:val="24"/>
        </w:rPr>
        <w:t xml:space="preserve">(Strasbourg: </w:t>
      </w:r>
      <w:proofErr w:type="spellStart"/>
      <w:r w:rsidRPr="003A3DD1">
        <w:rPr>
          <w:szCs w:val="24"/>
        </w:rPr>
        <w:t>Triibner</w:t>
      </w:r>
      <w:proofErr w:type="spellEnd"/>
      <w:r w:rsidRPr="003A3DD1">
        <w:rPr>
          <w:szCs w:val="24"/>
        </w:rPr>
        <w:t>, 1913-16)</w:t>
      </w:r>
      <w:r w:rsidR="000F159A" w:rsidRPr="003A3DD1">
        <w:rPr>
          <w:szCs w:val="24"/>
        </w:rPr>
        <w:t>.</w:t>
      </w:r>
    </w:p>
    <w:p w:rsidR="006B196F" w:rsidRPr="003A3DD1" w:rsidRDefault="006B196F"/>
    <w:sectPr w:rsidR="006B196F" w:rsidRPr="003A3DD1" w:rsidSect="006E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B3" w:rsidRDefault="001436B3" w:rsidP="00AD7657">
      <w:pPr>
        <w:spacing w:line="240" w:lineRule="auto"/>
      </w:pPr>
      <w:r>
        <w:separator/>
      </w:r>
    </w:p>
  </w:endnote>
  <w:endnote w:type="continuationSeparator" w:id="0">
    <w:p w:rsidR="001436B3" w:rsidRDefault="001436B3" w:rsidP="00AD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B3" w:rsidRDefault="001436B3" w:rsidP="00AD7657">
      <w:pPr>
        <w:spacing w:line="240" w:lineRule="auto"/>
      </w:pPr>
      <w:r>
        <w:separator/>
      </w:r>
    </w:p>
  </w:footnote>
  <w:footnote w:type="continuationSeparator" w:id="0">
    <w:p w:rsidR="001436B3" w:rsidRDefault="001436B3" w:rsidP="00AD7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657"/>
    <w:rsid w:val="0006578F"/>
    <w:rsid w:val="000F159A"/>
    <w:rsid w:val="001435DF"/>
    <w:rsid w:val="001436B3"/>
    <w:rsid w:val="00166BAC"/>
    <w:rsid w:val="001724A1"/>
    <w:rsid w:val="001C6008"/>
    <w:rsid w:val="001E5CE5"/>
    <w:rsid w:val="00257A59"/>
    <w:rsid w:val="00283B9E"/>
    <w:rsid w:val="002F30A4"/>
    <w:rsid w:val="00321EB7"/>
    <w:rsid w:val="003544C0"/>
    <w:rsid w:val="00354B41"/>
    <w:rsid w:val="00382AE4"/>
    <w:rsid w:val="003A3DD1"/>
    <w:rsid w:val="004F0346"/>
    <w:rsid w:val="006B196F"/>
    <w:rsid w:val="00817A03"/>
    <w:rsid w:val="00873C74"/>
    <w:rsid w:val="008C46BD"/>
    <w:rsid w:val="00994AD2"/>
    <w:rsid w:val="009A52CC"/>
    <w:rsid w:val="009F23EF"/>
    <w:rsid w:val="00AD7657"/>
    <w:rsid w:val="00B15FCE"/>
    <w:rsid w:val="00BB46E5"/>
    <w:rsid w:val="00BF01C0"/>
    <w:rsid w:val="00D1266B"/>
    <w:rsid w:val="00E276B3"/>
    <w:rsid w:val="00E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EF"/>
    <w:pPr>
      <w:spacing w:after="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52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theme="majorBidi"/>
      <w:sz w:val="28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657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Vazsonyi</dc:creator>
  <cp:keywords/>
  <dc:description/>
  <cp:lastModifiedBy>Nicholas Vazsonyi</cp:lastModifiedBy>
  <cp:revision>12</cp:revision>
  <dcterms:created xsi:type="dcterms:W3CDTF">2011-01-06T15:52:00Z</dcterms:created>
  <dcterms:modified xsi:type="dcterms:W3CDTF">2011-05-17T13:06:00Z</dcterms:modified>
</cp:coreProperties>
</file>