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F9" w:rsidRDefault="000E5A22" w:rsidP="002C0676">
      <w:pPr>
        <w:rPr>
          <w:b/>
          <w:sz w:val="28"/>
          <w:szCs w:val="28"/>
          <w:lang w:val="en-US"/>
        </w:rPr>
      </w:pPr>
      <w:r w:rsidRPr="000E5A22">
        <w:rPr>
          <w:b/>
          <w:sz w:val="28"/>
          <w:szCs w:val="28"/>
          <w:lang w:val="en-US"/>
        </w:rPr>
        <w:t>German History</w:t>
      </w:r>
    </w:p>
    <w:p w:rsidR="004022FB" w:rsidRPr="00CF4036" w:rsidRDefault="004022FB" w:rsidP="004022FB">
      <w:pPr>
        <w:pStyle w:val="ListParagraph"/>
        <w:numPr>
          <w:ilvl w:val="0"/>
          <w:numId w:val="1"/>
        </w:numPr>
        <w:rPr>
          <w:szCs w:val="24"/>
          <w:lang w:val="en-US"/>
        </w:rPr>
      </w:pPr>
      <w:r w:rsidRPr="00CF4036">
        <w:rPr>
          <w:szCs w:val="24"/>
          <w:lang w:val="en-US"/>
        </w:rPr>
        <w:t>Napoleon, France, and the Wars of Liberation</w:t>
      </w:r>
    </w:p>
    <w:p w:rsidR="004022FB" w:rsidRPr="00CF4036" w:rsidRDefault="004022FB" w:rsidP="004022FB">
      <w:pPr>
        <w:pStyle w:val="ListParagraph"/>
        <w:numPr>
          <w:ilvl w:val="0"/>
          <w:numId w:val="1"/>
        </w:numPr>
        <w:rPr>
          <w:szCs w:val="24"/>
          <w:lang w:val="en-US"/>
        </w:rPr>
      </w:pPr>
      <w:r w:rsidRPr="00CF4036">
        <w:rPr>
          <w:szCs w:val="24"/>
          <w:lang w:val="en-US"/>
        </w:rPr>
        <w:t>Saxony and Germany</w:t>
      </w:r>
    </w:p>
    <w:p w:rsidR="004022FB" w:rsidRPr="00CF4036" w:rsidRDefault="004022FB" w:rsidP="004022FB">
      <w:pPr>
        <w:pStyle w:val="ListParagraph"/>
        <w:numPr>
          <w:ilvl w:val="0"/>
          <w:numId w:val="1"/>
        </w:numPr>
        <w:rPr>
          <w:szCs w:val="24"/>
          <w:lang w:val="en-US"/>
        </w:rPr>
      </w:pPr>
      <w:r w:rsidRPr="00CF4036">
        <w:rPr>
          <w:szCs w:val="24"/>
          <w:lang w:val="en-US"/>
        </w:rPr>
        <w:t>Wagner, Bismarck, and German unification</w:t>
      </w:r>
    </w:p>
    <w:p w:rsidR="004022FB" w:rsidRPr="00CF4036" w:rsidRDefault="004022FB" w:rsidP="004022FB">
      <w:pPr>
        <w:pStyle w:val="ListParagraph"/>
        <w:numPr>
          <w:ilvl w:val="0"/>
          <w:numId w:val="1"/>
        </w:numPr>
        <w:rPr>
          <w:szCs w:val="24"/>
          <w:lang w:val="en-US"/>
        </w:rPr>
      </w:pPr>
      <w:r>
        <w:rPr>
          <w:szCs w:val="24"/>
          <w:lang w:val="en-US"/>
        </w:rPr>
        <w:t xml:space="preserve">Wagner’s </w:t>
      </w:r>
      <w:r w:rsidRPr="00CF4036">
        <w:rPr>
          <w:szCs w:val="24"/>
          <w:lang w:val="en-US"/>
        </w:rPr>
        <w:t>Writings</w:t>
      </w:r>
      <w:r>
        <w:rPr>
          <w:szCs w:val="24"/>
          <w:lang w:val="en-US"/>
        </w:rPr>
        <w:t xml:space="preserve"> on German History</w:t>
      </w:r>
    </w:p>
    <w:p w:rsidR="004022FB" w:rsidRPr="00CF4036" w:rsidRDefault="004022FB" w:rsidP="004022FB">
      <w:pPr>
        <w:pStyle w:val="ListParagraph"/>
        <w:numPr>
          <w:ilvl w:val="0"/>
          <w:numId w:val="1"/>
        </w:numPr>
        <w:rPr>
          <w:szCs w:val="24"/>
          <w:lang w:val="en-US"/>
        </w:rPr>
      </w:pPr>
      <w:r>
        <w:rPr>
          <w:szCs w:val="24"/>
          <w:lang w:val="en-US"/>
        </w:rPr>
        <w:t>Wagner and German History after 1883</w:t>
      </w:r>
    </w:p>
    <w:p w:rsidR="00D269F9" w:rsidRDefault="00D269F9" w:rsidP="002C0676">
      <w:pPr>
        <w:rPr>
          <w:b/>
          <w:sz w:val="28"/>
          <w:szCs w:val="28"/>
          <w:lang w:val="en-US"/>
        </w:rPr>
      </w:pPr>
    </w:p>
    <w:p w:rsidR="000E5A22" w:rsidRPr="000E5A22" w:rsidRDefault="000E5A22" w:rsidP="002C0676">
      <w:pPr>
        <w:rPr>
          <w:szCs w:val="24"/>
          <w:lang w:val="en-US"/>
        </w:rPr>
      </w:pPr>
      <w:r w:rsidRPr="000E5A22">
        <w:rPr>
          <w:szCs w:val="24"/>
          <w:lang w:val="en-US"/>
        </w:rPr>
        <w:t>As with many of Wagner’s ideas, it is all too easy to present, selectively or unwittingl</w:t>
      </w:r>
      <w:r w:rsidR="00293EEF">
        <w:rPr>
          <w:szCs w:val="24"/>
          <w:lang w:val="en-US"/>
        </w:rPr>
        <w:t>y, an assemblage of quotations “proving”</w:t>
      </w:r>
      <w:r w:rsidRPr="000E5A22">
        <w:rPr>
          <w:szCs w:val="24"/>
          <w:lang w:val="en-US"/>
        </w:rPr>
        <w:t xml:space="preserve"> a certain line, whereas one might just as readily demonstrate the contrary.</w:t>
      </w:r>
      <w:r w:rsidR="00293EEF">
        <w:rPr>
          <w:szCs w:val="24"/>
          <w:lang w:val="en-US"/>
        </w:rPr>
        <w:t xml:space="preserve"> Was Wagner “nationalist”</w:t>
      </w:r>
      <w:r w:rsidRPr="000E5A22">
        <w:rPr>
          <w:szCs w:val="24"/>
          <w:lang w:val="en-US"/>
        </w:rPr>
        <w:t xml:space="preserve"> or</w:t>
      </w:r>
      <w:r w:rsidR="00293EEF">
        <w:rPr>
          <w:szCs w:val="24"/>
          <w:lang w:val="en-US"/>
        </w:rPr>
        <w:t xml:space="preserve"> “</w:t>
      </w:r>
      <w:r w:rsidRPr="000E5A22">
        <w:rPr>
          <w:szCs w:val="24"/>
          <w:lang w:val="en-US"/>
        </w:rPr>
        <w:t>univer</w:t>
      </w:r>
      <w:r w:rsidR="00293EEF">
        <w:rPr>
          <w:szCs w:val="24"/>
          <w:lang w:val="en-US"/>
        </w:rPr>
        <w:t>salist”</w:t>
      </w:r>
      <w:r w:rsidRPr="000E5A22">
        <w:rPr>
          <w:szCs w:val="24"/>
          <w:lang w:val="en-US"/>
        </w:rPr>
        <w:t xml:space="preserve">? </w:t>
      </w:r>
      <w:r w:rsidR="00293EEF">
        <w:rPr>
          <w:szCs w:val="24"/>
          <w:lang w:val="en-US"/>
        </w:rPr>
        <w:t>Does he properly belong to “the Right”</w:t>
      </w:r>
      <w:r w:rsidRPr="000E5A22">
        <w:rPr>
          <w:szCs w:val="24"/>
          <w:lang w:val="en-US"/>
        </w:rPr>
        <w:t xml:space="preserve"> or to </w:t>
      </w:r>
      <w:r w:rsidR="00293EEF">
        <w:rPr>
          <w:szCs w:val="24"/>
          <w:lang w:val="en-US"/>
        </w:rPr>
        <w:t>“the Left”</w:t>
      </w:r>
      <w:r w:rsidRPr="000E5A22">
        <w:rPr>
          <w:szCs w:val="24"/>
          <w:lang w:val="en-US"/>
        </w:rPr>
        <w:t xml:space="preserve">? The answer has often been formulated beforehand in essentialist terms, dependent on whether one wishes to convict a monster or absolve a genius. </w:t>
      </w:r>
      <w:r w:rsidR="00293EEF">
        <w:rPr>
          <w:szCs w:val="24"/>
          <w:lang w:val="en-US"/>
        </w:rPr>
        <w:t>The twentieth-century “German catastrophe”</w:t>
      </w:r>
      <w:r w:rsidRPr="000E5A22">
        <w:rPr>
          <w:szCs w:val="24"/>
          <w:lang w:val="en-US"/>
        </w:rPr>
        <w:t xml:space="preserve"> (Friedrich </w:t>
      </w:r>
      <w:proofErr w:type="spellStart"/>
      <w:r w:rsidRPr="000E5A22">
        <w:rPr>
          <w:szCs w:val="24"/>
          <w:lang w:val="en-US"/>
        </w:rPr>
        <w:t>Meinecke</w:t>
      </w:r>
      <w:proofErr w:type="spellEnd"/>
      <w:r w:rsidRPr="000E5A22">
        <w:rPr>
          <w:szCs w:val="24"/>
          <w:lang w:val="en-US"/>
        </w:rPr>
        <w:t>) looms ominously over such decisions, not just in sensationalist popular treatments</w:t>
      </w:r>
      <w:r w:rsidR="00293EEF">
        <w:rPr>
          <w:szCs w:val="24"/>
          <w:lang w:val="en-US"/>
        </w:rPr>
        <w:t>,</w:t>
      </w:r>
      <w:r w:rsidRPr="000E5A22">
        <w:rPr>
          <w:szCs w:val="24"/>
          <w:lang w:val="en-US"/>
        </w:rPr>
        <w:t xml:space="preserve"> but in the work of Theodor </w:t>
      </w:r>
      <w:proofErr w:type="spellStart"/>
      <w:r w:rsidRPr="00293EEF">
        <w:rPr>
          <w:smallCaps/>
          <w:szCs w:val="24"/>
          <w:lang w:val="en-US"/>
        </w:rPr>
        <w:t>Adorno</w:t>
      </w:r>
      <w:proofErr w:type="spellEnd"/>
      <w:r w:rsidRPr="000E5A22">
        <w:rPr>
          <w:szCs w:val="24"/>
          <w:lang w:val="en-US"/>
        </w:rPr>
        <w:t xml:space="preserve"> – just as in more general controversies concerning nineteenth-century German history, above all the claim of a </w:t>
      </w:r>
      <w:proofErr w:type="spellStart"/>
      <w:r w:rsidRPr="000E5A22">
        <w:rPr>
          <w:i/>
          <w:szCs w:val="24"/>
          <w:lang w:val="en-US"/>
        </w:rPr>
        <w:t>Sonderweg</w:t>
      </w:r>
      <w:proofErr w:type="spellEnd"/>
      <w:r w:rsidRPr="000E5A22">
        <w:rPr>
          <w:szCs w:val="24"/>
          <w:lang w:val="en-US"/>
        </w:rPr>
        <w:t xml:space="preserve">, or </w:t>
      </w:r>
      <w:r w:rsidR="00293EEF">
        <w:rPr>
          <w:szCs w:val="24"/>
          <w:lang w:val="en-US"/>
        </w:rPr>
        <w:t>“</w:t>
      </w:r>
      <w:r w:rsidRPr="000E5A22">
        <w:rPr>
          <w:szCs w:val="24"/>
          <w:lang w:val="en-US"/>
        </w:rPr>
        <w:t>special [German historical] path,</w:t>
      </w:r>
      <w:r w:rsidR="00293EEF">
        <w:rPr>
          <w:szCs w:val="24"/>
          <w:lang w:val="en-US"/>
        </w:rPr>
        <w:t>”</w:t>
      </w:r>
      <w:r w:rsidRPr="000E5A22">
        <w:rPr>
          <w:szCs w:val="24"/>
          <w:lang w:val="en-US"/>
        </w:rPr>
        <w:t xml:space="preserve"> </w:t>
      </w:r>
      <w:r w:rsidRPr="009A7F60">
        <w:rPr>
          <w:szCs w:val="24"/>
          <w:lang w:val="en-US"/>
        </w:rPr>
        <w:t>at its most extreme</w:t>
      </w:r>
      <w:r w:rsidR="007D7337">
        <w:rPr>
          <w:szCs w:val="24"/>
          <w:lang w:val="en-US"/>
        </w:rPr>
        <w:t>,</w:t>
      </w:r>
      <w:r w:rsidRPr="009A7F60">
        <w:rPr>
          <w:szCs w:val="24"/>
          <w:lang w:val="en-US"/>
        </w:rPr>
        <w:t xml:space="preserve"> viewing the Second Reich merely </w:t>
      </w:r>
      <w:r w:rsidR="007D7337">
        <w:rPr>
          <w:szCs w:val="24"/>
          <w:lang w:val="en-US"/>
        </w:rPr>
        <w:t xml:space="preserve">as </w:t>
      </w:r>
      <w:r w:rsidR="009A7F60" w:rsidRPr="009A7F60">
        <w:rPr>
          <w:szCs w:val="24"/>
          <w:lang w:val="en-US"/>
        </w:rPr>
        <w:t xml:space="preserve">a prelude </w:t>
      </w:r>
      <w:r w:rsidRPr="009A7F60">
        <w:rPr>
          <w:szCs w:val="24"/>
          <w:lang w:val="en-US"/>
        </w:rPr>
        <w:t>to the Third.</w:t>
      </w:r>
      <w:r w:rsidRPr="000E5A22">
        <w:rPr>
          <w:szCs w:val="24"/>
          <w:lang w:val="en-US"/>
        </w:rPr>
        <w:t xml:space="preserve"> Unsurprisingly, Wagner’s attitudes towards a German nation, which, for most of his life, lacked concrete political unity except in the past, proved mixed, complex, and subject to development. However, one thread running through his ideas remained historical: the state of the German nation was in many respects to be attributed towards its particular history, which remained very much an ongoing tale, awaiting resolution.</w:t>
      </w:r>
    </w:p>
    <w:p w:rsidR="000E5A22" w:rsidRPr="000E5A22" w:rsidRDefault="000E5A22" w:rsidP="002C0676">
      <w:pPr>
        <w:rPr>
          <w:szCs w:val="24"/>
          <w:lang w:val="en-US"/>
        </w:rPr>
      </w:pPr>
    </w:p>
    <w:p w:rsidR="000E5A22" w:rsidRPr="004022FB" w:rsidRDefault="000E5A22" w:rsidP="004022FB">
      <w:pPr>
        <w:pStyle w:val="ListParagraph"/>
        <w:numPr>
          <w:ilvl w:val="0"/>
          <w:numId w:val="4"/>
        </w:numPr>
        <w:rPr>
          <w:szCs w:val="24"/>
          <w:lang w:val="en-US"/>
        </w:rPr>
      </w:pPr>
      <w:r w:rsidRPr="004022FB">
        <w:rPr>
          <w:szCs w:val="24"/>
          <w:lang w:val="en-US"/>
        </w:rPr>
        <w:t>Napoleon, France, and the Wars of Liberation</w:t>
      </w:r>
    </w:p>
    <w:p w:rsidR="00AA2624" w:rsidRDefault="000E5A22" w:rsidP="00AA2624">
      <w:pPr>
        <w:rPr>
          <w:szCs w:val="24"/>
          <w:lang w:val="en-US"/>
        </w:rPr>
      </w:pPr>
      <w:r w:rsidRPr="000E5A22">
        <w:rPr>
          <w:szCs w:val="24"/>
          <w:lang w:val="en-US"/>
        </w:rPr>
        <w:lastRenderedPageBreak/>
        <w:t xml:space="preserve">Thomas </w:t>
      </w:r>
      <w:proofErr w:type="spellStart"/>
      <w:r w:rsidRPr="000E5A22">
        <w:rPr>
          <w:szCs w:val="24"/>
          <w:lang w:val="en-US"/>
        </w:rPr>
        <w:t>Nipperdey</w:t>
      </w:r>
      <w:proofErr w:type="spellEnd"/>
      <w:r w:rsidRPr="000E5A22">
        <w:rPr>
          <w:szCs w:val="24"/>
          <w:lang w:val="en-US"/>
        </w:rPr>
        <w:t xml:space="preserve"> opened his history of nineteenth-century Germany with the words, </w:t>
      </w:r>
      <w:r w:rsidR="00A22FB2">
        <w:rPr>
          <w:szCs w:val="24"/>
          <w:lang w:val="en-US"/>
        </w:rPr>
        <w:t>“</w:t>
      </w:r>
      <w:r w:rsidRPr="000E5A22">
        <w:rPr>
          <w:szCs w:val="24"/>
          <w:lang w:val="en-US"/>
        </w:rPr>
        <w:t>In the beginning was Napoleon.</w:t>
      </w:r>
      <w:r w:rsidR="00A22FB2">
        <w:rPr>
          <w:szCs w:val="24"/>
          <w:lang w:val="en-US"/>
        </w:rPr>
        <w:t>”</w:t>
      </w:r>
      <w:r w:rsidRPr="000E5A22">
        <w:rPr>
          <w:szCs w:val="24"/>
          <w:lang w:val="en-US"/>
        </w:rPr>
        <w:t xml:space="preserve"> They might also hold the secret to </w:t>
      </w:r>
      <w:r w:rsidRPr="000E5A22">
        <w:rPr>
          <w:i/>
          <w:szCs w:val="24"/>
          <w:lang w:val="en-US"/>
        </w:rPr>
        <w:t>Wagner</w:t>
      </w:r>
      <w:r w:rsidRPr="000E5A22">
        <w:rPr>
          <w:szCs w:val="24"/>
          <w:lang w:val="en-US"/>
        </w:rPr>
        <w:t xml:space="preserve">’s history of nineteenth-century Germany. 1813 was the year of the Battle of Leipzig and also the year of Wagner’s birth in </w:t>
      </w:r>
      <w:r w:rsidRPr="00804C5F">
        <w:rPr>
          <w:smallCaps/>
          <w:szCs w:val="24"/>
          <w:lang w:val="en-US"/>
        </w:rPr>
        <w:t>Leipzig</w:t>
      </w:r>
      <w:r w:rsidRPr="000E5A22">
        <w:rPr>
          <w:szCs w:val="24"/>
          <w:lang w:val="en-US"/>
        </w:rPr>
        <w:t xml:space="preserve">. Napoleon’s defeat, following his retreat from Russia, hastened the collapse of the First Empire, and pushed back French forces from German soil. Those German states allied to France now joined the opposing coalition. The legend of the Wars of Liberation, in which free Germans rather than their princes vanquished the French foe, began to be told and </w:t>
      </w:r>
      <w:r w:rsidR="00804C5F">
        <w:rPr>
          <w:szCs w:val="24"/>
          <w:lang w:val="en-US"/>
        </w:rPr>
        <w:t>re-told, memorializ</w:t>
      </w:r>
      <w:r w:rsidRPr="000E5A22">
        <w:rPr>
          <w:szCs w:val="24"/>
          <w:lang w:val="en-US"/>
        </w:rPr>
        <w:t xml:space="preserve">ed in popular rather than official monuments across a </w:t>
      </w:r>
      <w:r w:rsidR="00804C5F">
        <w:rPr>
          <w:szCs w:val="24"/>
          <w:lang w:val="en-US"/>
        </w:rPr>
        <w:t>“</w:t>
      </w:r>
      <w:r w:rsidRPr="000E5A22">
        <w:rPr>
          <w:szCs w:val="24"/>
          <w:lang w:val="en-US"/>
        </w:rPr>
        <w:t>nation,</w:t>
      </w:r>
      <w:r w:rsidR="00804C5F">
        <w:rPr>
          <w:szCs w:val="24"/>
          <w:lang w:val="en-US"/>
        </w:rPr>
        <w:t>”</w:t>
      </w:r>
      <w:r w:rsidRPr="000E5A22">
        <w:rPr>
          <w:szCs w:val="24"/>
          <w:lang w:val="en-US"/>
        </w:rPr>
        <w:t xml:space="preserve"> a concept given new life by the French Revolution, still ruled over by those compromised princes. </w:t>
      </w:r>
      <w:r w:rsidR="0011750E" w:rsidRPr="0011750E">
        <w:rPr>
          <w:szCs w:val="24"/>
          <w:lang w:val="en-US"/>
        </w:rPr>
        <w:t xml:space="preserve">One can trace back Franco-German enmity as far back as one wishes, but the Thirty Years’ War (1618-48) and subsequent French political and cultural hegemony cast lengthy shadows. Eighteenth-century princes might imitate Versailles, but national aspirations pointed away from </w:t>
      </w:r>
      <w:r w:rsidR="001F69EC" w:rsidRPr="0011750E">
        <w:rPr>
          <w:szCs w:val="24"/>
          <w:lang w:val="en-US"/>
        </w:rPr>
        <w:t>civilized</w:t>
      </w:r>
      <w:r w:rsidR="0011750E" w:rsidRPr="0011750E">
        <w:rPr>
          <w:szCs w:val="24"/>
          <w:lang w:val="en-US"/>
        </w:rPr>
        <w:t xml:space="preserve"> court and salon to a truer, more honest culture, grounded, for instance, in the forests of the Brothers Grimm – or that from which untainted Siegfried emerges.</w:t>
      </w:r>
    </w:p>
    <w:p w:rsidR="000E5A22" w:rsidRPr="000E5A22" w:rsidRDefault="003540A7" w:rsidP="00AA2624">
      <w:pPr>
        <w:ind w:firstLine="720"/>
        <w:rPr>
          <w:szCs w:val="24"/>
          <w:lang w:val="en-US"/>
        </w:rPr>
      </w:pPr>
      <w:r>
        <w:rPr>
          <w:szCs w:val="24"/>
          <w:lang w:val="en-US"/>
        </w:rPr>
        <w:t>“Germany”</w:t>
      </w:r>
      <w:r w:rsidRPr="003540A7">
        <w:rPr>
          <w:szCs w:val="24"/>
          <w:lang w:val="en-US"/>
        </w:rPr>
        <w:t xml:space="preserve"> often had truer existence as an opposing cultural force to France than as a political entity, not least during the 1840 Rhine crisis. Wagner’s miserable, homesick sojourn in Paris (1839-42) sharpened that tendency in his case. If </w:t>
      </w:r>
      <w:r w:rsidR="000E5A22" w:rsidRPr="000E5A22">
        <w:rPr>
          <w:szCs w:val="24"/>
          <w:lang w:val="en-US"/>
        </w:rPr>
        <w:t>meretricious entertainment (</w:t>
      </w:r>
      <w:r w:rsidR="000E5A22" w:rsidRPr="00804C5F">
        <w:rPr>
          <w:smallCaps/>
          <w:szCs w:val="24"/>
          <w:lang w:val="en-US"/>
        </w:rPr>
        <w:t>Meyerbeer</w:t>
      </w:r>
      <w:r w:rsidR="000E5A22" w:rsidRPr="000E5A22">
        <w:rPr>
          <w:szCs w:val="24"/>
          <w:lang w:val="en-US"/>
        </w:rPr>
        <w:t xml:space="preserve">) were French, then true art might be German. A performance of </w:t>
      </w:r>
      <w:r w:rsidR="000E5A22" w:rsidRPr="000E5A22">
        <w:rPr>
          <w:i/>
          <w:szCs w:val="24"/>
          <w:lang w:val="en-US"/>
        </w:rPr>
        <w:t>the</w:t>
      </w:r>
      <w:r w:rsidR="000E5A22" w:rsidRPr="000E5A22">
        <w:rPr>
          <w:szCs w:val="24"/>
          <w:lang w:val="en-US"/>
        </w:rPr>
        <w:t xml:space="preserve"> German Romantic opera, </w:t>
      </w:r>
      <w:r w:rsidR="000E5A22" w:rsidRPr="00804C5F">
        <w:rPr>
          <w:smallCaps/>
          <w:szCs w:val="24"/>
          <w:lang w:val="en-US"/>
        </w:rPr>
        <w:t>Weber</w:t>
      </w:r>
      <w:r w:rsidR="000E5A22" w:rsidRPr="000E5A22">
        <w:rPr>
          <w:szCs w:val="24"/>
          <w:lang w:val="en-US"/>
        </w:rPr>
        <w:t xml:space="preserve">’s </w:t>
      </w:r>
      <w:r w:rsidR="000E5A22" w:rsidRPr="000E5A22">
        <w:rPr>
          <w:i/>
          <w:szCs w:val="24"/>
          <w:lang w:val="en-US"/>
        </w:rPr>
        <w:t xml:space="preserve">Der </w:t>
      </w:r>
      <w:proofErr w:type="spellStart"/>
      <w:r w:rsidR="000E5A22" w:rsidRPr="000E5A22">
        <w:rPr>
          <w:i/>
          <w:szCs w:val="24"/>
          <w:lang w:val="en-US"/>
        </w:rPr>
        <w:t>Freischütz</w:t>
      </w:r>
      <w:proofErr w:type="spellEnd"/>
      <w:r w:rsidR="000E5A22" w:rsidRPr="000E5A22">
        <w:rPr>
          <w:szCs w:val="24"/>
          <w:lang w:val="en-US"/>
        </w:rPr>
        <w:t>, made a huge impression at this time</w:t>
      </w:r>
      <w:r w:rsidR="00804C5F">
        <w:rPr>
          <w:szCs w:val="24"/>
          <w:lang w:val="en-US"/>
        </w:rPr>
        <w:t>: “</w:t>
      </w:r>
      <w:r w:rsidR="000E5A22" w:rsidRPr="000E5A22">
        <w:rPr>
          <w:szCs w:val="24"/>
          <w:lang w:val="en-US"/>
        </w:rPr>
        <w:t>It seems to be the poem of those Bohemian Woods themselves</w:t>
      </w:r>
      <w:r w:rsidR="00804C5F">
        <w:rPr>
          <w:szCs w:val="24"/>
          <w:lang w:val="en-US"/>
        </w:rPr>
        <w:t>” (</w:t>
      </w:r>
      <w:r w:rsidR="00804C5F" w:rsidRPr="00271830">
        <w:rPr>
          <w:szCs w:val="24"/>
          <w:lang w:val="en-US"/>
        </w:rPr>
        <w:t>SSD</w:t>
      </w:r>
      <w:r w:rsidR="00AA2624">
        <w:rPr>
          <w:szCs w:val="24"/>
          <w:lang w:val="en-US"/>
        </w:rPr>
        <w:t xml:space="preserve"> 1:</w:t>
      </w:r>
      <w:r w:rsidR="00804C5F" w:rsidRPr="00804C5F">
        <w:rPr>
          <w:szCs w:val="24"/>
          <w:lang w:val="en-US"/>
        </w:rPr>
        <w:t>212</w:t>
      </w:r>
      <w:r w:rsidR="00804C5F">
        <w:rPr>
          <w:szCs w:val="24"/>
          <w:lang w:val="en-US"/>
        </w:rPr>
        <w:t>).</w:t>
      </w:r>
    </w:p>
    <w:p w:rsidR="000E5A22" w:rsidRPr="000E5A22" w:rsidRDefault="000E5A22" w:rsidP="002C0676">
      <w:pPr>
        <w:rPr>
          <w:szCs w:val="24"/>
          <w:lang w:val="en-US"/>
        </w:rPr>
      </w:pPr>
    </w:p>
    <w:p w:rsidR="000E5A22" w:rsidRPr="004022FB" w:rsidRDefault="000E5A22" w:rsidP="004022FB">
      <w:pPr>
        <w:pStyle w:val="ListParagraph"/>
        <w:numPr>
          <w:ilvl w:val="0"/>
          <w:numId w:val="4"/>
        </w:numPr>
        <w:rPr>
          <w:szCs w:val="24"/>
          <w:lang w:val="en-US"/>
        </w:rPr>
      </w:pPr>
      <w:r w:rsidRPr="004022FB">
        <w:rPr>
          <w:szCs w:val="24"/>
          <w:lang w:val="en-US"/>
        </w:rPr>
        <w:t>Saxony and Germany</w:t>
      </w:r>
    </w:p>
    <w:p w:rsidR="000E5A22" w:rsidRPr="000E5A22" w:rsidRDefault="000E5A22" w:rsidP="002C0676">
      <w:pPr>
        <w:rPr>
          <w:szCs w:val="24"/>
          <w:lang w:val="en-US"/>
        </w:rPr>
      </w:pPr>
      <w:r w:rsidRPr="000E5A22">
        <w:rPr>
          <w:szCs w:val="24"/>
          <w:lang w:val="en-US"/>
        </w:rPr>
        <w:t xml:space="preserve">Crucial to understanding Wagner, though often overlooked, </w:t>
      </w:r>
      <w:r w:rsidR="00904AF4">
        <w:rPr>
          <w:szCs w:val="24"/>
          <w:lang w:val="en-US"/>
        </w:rPr>
        <w:t>are</w:t>
      </w:r>
      <w:bookmarkStart w:id="0" w:name="_GoBack"/>
      <w:bookmarkEnd w:id="0"/>
      <w:r w:rsidRPr="000E5A22">
        <w:rPr>
          <w:szCs w:val="24"/>
          <w:lang w:val="en-US"/>
        </w:rPr>
        <w:t xml:space="preserve"> his birth</w:t>
      </w:r>
      <w:r w:rsidR="008333CB">
        <w:rPr>
          <w:szCs w:val="24"/>
          <w:lang w:val="en-US"/>
        </w:rPr>
        <w:t xml:space="preserve"> and childhood </w:t>
      </w:r>
      <w:r w:rsidRPr="000E5A22">
        <w:rPr>
          <w:szCs w:val="24"/>
          <w:lang w:val="en-US"/>
        </w:rPr>
        <w:t xml:space="preserve">in the </w:t>
      </w:r>
      <w:r w:rsidR="008333CB">
        <w:rPr>
          <w:szCs w:val="24"/>
          <w:lang w:val="en-US"/>
        </w:rPr>
        <w:t xml:space="preserve">Saxon </w:t>
      </w:r>
      <w:r w:rsidRPr="000E5A22">
        <w:rPr>
          <w:szCs w:val="24"/>
          <w:lang w:val="en-US"/>
        </w:rPr>
        <w:t xml:space="preserve">cities of </w:t>
      </w:r>
      <w:r w:rsidRPr="009B7D82">
        <w:rPr>
          <w:szCs w:val="24"/>
          <w:lang w:val="en-US"/>
        </w:rPr>
        <w:t>Leipzig</w:t>
      </w:r>
      <w:r w:rsidRPr="000E5A22">
        <w:rPr>
          <w:szCs w:val="24"/>
          <w:lang w:val="en-US"/>
        </w:rPr>
        <w:t xml:space="preserve"> and </w:t>
      </w:r>
      <w:r w:rsidRPr="009B7D82">
        <w:rPr>
          <w:smallCaps/>
          <w:szCs w:val="24"/>
          <w:lang w:val="en-US"/>
        </w:rPr>
        <w:t>Dresden</w:t>
      </w:r>
      <w:r w:rsidRPr="000E5A22">
        <w:rPr>
          <w:szCs w:val="24"/>
          <w:lang w:val="en-US"/>
        </w:rPr>
        <w:t xml:space="preserve">. Transformed by Napoleon from an electorate into a useful allied kingdom in 1806, Saxony had the misfortune to emerge from the Battle of </w:t>
      </w:r>
      <w:r w:rsidRPr="000E5A22">
        <w:rPr>
          <w:szCs w:val="24"/>
          <w:lang w:val="en-US"/>
        </w:rPr>
        <w:lastRenderedPageBreak/>
        <w:t xml:space="preserve">Leipzig on the losing side. Most Saxon troops defected to the allied forces; King Frederick Augustus I was imprisoned; the state itself seemed </w:t>
      </w:r>
      <w:r w:rsidR="001F69EC" w:rsidRPr="000E5A22">
        <w:rPr>
          <w:szCs w:val="24"/>
          <w:lang w:val="en-US"/>
        </w:rPr>
        <w:t>imperiled</w:t>
      </w:r>
      <w:r w:rsidRPr="000E5A22">
        <w:rPr>
          <w:szCs w:val="24"/>
          <w:lang w:val="en-US"/>
        </w:rPr>
        <w:t xml:space="preserve">, Saxony proving the great loser from </w:t>
      </w:r>
      <w:r w:rsidR="009B7D82">
        <w:rPr>
          <w:szCs w:val="24"/>
          <w:lang w:val="en-US"/>
        </w:rPr>
        <w:t xml:space="preserve">the German states at the 1814-15 </w:t>
      </w:r>
      <w:r w:rsidRPr="000E5A22">
        <w:rPr>
          <w:szCs w:val="24"/>
          <w:lang w:val="en-US"/>
        </w:rPr>
        <w:t xml:space="preserve">Congress of Vienna. Though Prussia </w:t>
      </w:r>
      <w:r w:rsidR="00A97612">
        <w:rPr>
          <w:szCs w:val="24"/>
          <w:lang w:val="en-US"/>
        </w:rPr>
        <w:t xml:space="preserve">failed </w:t>
      </w:r>
      <w:r w:rsidR="00E0066F">
        <w:rPr>
          <w:szCs w:val="24"/>
          <w:lang w:val="en-US"/>
        </w:rPr>
        <w:t>to absorb her entirely</w:t>
      </w:r>
      <w:r w:rsidRPr="000E5A22">
        <w:rPr>
          <w:szCs w:val="24"/>
          <w:lang w:val="en-US"/>
        </w:rPr>
        <w:t xml:space="preserve">, the remnant of the </w:t>
      </w:r>
      <w:proofErr w:type="spellStart"/>
      <w:r w:rsidRPr="000E5A22">
        <w:rPr>
          <w:szCs w:val="24"/>
          <w:lang w:val="en-US"/>
        </w:rPr>
        <w:t>Wettin</w:t>
      </w:r>
      <w:proofErr w:type="spellEnd"/>
      <w:r w:rsidRPr="000E5A22">
        <w:rPr>
          <w:szCs w:val="24"/>
          <w:lang w:val="en-US"/>
        </w:rPr>
        <w:t xml:space="preserve"> kingdom held but three-quarters of the territory of the new Prussian province of Saxony.</w:t>
      </w:r>
    </w:p>
    <w:p w:rsidR="000E5A22" w:rsidRPr="000E5A22" w:rsidRDefault="000E5A22" w:rsidP="002C0676">
      <w:pPr>
        <w:ind w:firstLine="720"/>
        <w:rPr>
          <w:szCs w:val="24"/>
          <w:lang w:val="en-US"/>
        </w:rPr>
      </w:pPr>
      <w:r w:rsidRPr="000E5A22">
        <w:rPr>
          <w:szCs w:val="24"/>
          <w:lang w:val="en-US"/>
        </w:rPr>
        <w:t>As Germans, looking askance at recent French cultural and political domination, increasingly wished for some form of national unification, questions arose: in what form and under whose aegis? A German Confederation formed part of the post-war settlement. Would this safeguard individual states’ rights, or furnish a battleground upon which Austria and Prussia would fight for supremacy? Would there be popular unification founded upon a national movement, as desired by many of the 1848-9 revolutionaries, Wagner included, or a tradi</w:t>
      </w:r>
      <w:r w:rsidR="00CE5AFD">
        <w:rPr>
          <w:szCs w:val="24"/>
          <w:lang w:val="en-US"/>
        </w:rPr>
        <w:t>tional power-political aggrandiz</w:t>
      </w:r>
      <w:r w:rsidRPr="000E5A22">
        <w:rPr>
          <w:szCs w:val="24"/>
          <w:lang w:val="en-US"/>
        </w:rPr>
        <w:t>ement by one or both of the two great German powers? And where would this leave other German states, members of the so-call</w:t>
      </w:r>
      <w:r w:rsidR="00CE5AFD">
        <w:rPr>
          <w:szCs w:val="24"/>
          <w:lang w:val="en-US"/>
        </w:rPr>
        <w:t>ed “third Germany,”</w:t>
      </w:r>
      <w:r w:rsidRPr="000E5A22">
        <w:rPr>
          <w:szCs w:val="24"/>
          <w:lang w:val="en-US"/>
        </w:rPr>
        <w:t xml:space="preserve"> such as Saxony and Bavaria? Nineteenth-century history did not lead inevitably to </w:t>
      </w:r>
      <w:r w:rsidRPr="00CE5AFD">
        <w:rPr>
          <w:smallCaps/>
          <w:szCs w:val="24"/>
          <w:lang w:val="en-US"/>
        </w:rPr>
        <w:t>Bismarck</w:t>
      </w:r>
      <w:r w:rsidRPr="000E5A22">
        <w:rPr>
          <w:szCs w:val="24"/>
          <w:lang w:val="en-US"/>
        </w:rPr>
        <w:t xml:space="preserve">’s German Empire which, </w:t>
      </w:r>
      <w:r w:rsidR="00CE5AFD">
        <w:rPr>
          <w:szCs w:val="24"/>
          <w:lang w:val="en-US"/>
        </w:rPr>
        <w:t xml:space="preserve">by </w:t>
      </w:r>
      <w:r w:rsidRPr="000E5A22">
        <w:rPr>
          <w:szCs w:val="24"/>
          <w:lang w:val="en-US"/>
        </w:rPr>
        <w:t>excluding Austria, divided rather than unified the German nati</w:t>
      </w:r>
      <w:r w:rsidR="00705023">
        <w:rPr>
          <w:szCs w:val="24"/>
          <w:lang w:val="en-US"/>
        </w:rPr>
        <w:t xml:space="preserve">on. Until the Battle of </w:t>
      </w:r>
      <w:proofErr w:type="spellStart"/>
      <w:r w:rsidR="00705023">
        <w:rPr>
          <w:szCs w:val="24"/>
          <w:lang w:val="en-US"/>
        </w:rPr>
        <w:t>Königgrä</w:t>
      </w:r>
      <w:r w:rsidRPr="000E5A22">
        <w:rPr>
          <w:szCs w:val="24"/>
          <w:lang w:val="en-US"/>
        </w:rPr>
        <w:t>tz</w:t>
      </w:r>
      <w:proofErr w:type="spellEnd"/>
      <w:r w:rsidR="00CE5AFD">
        <w:rPr>
          <w:szCs w:val="24"/>
          <w:lang w:val="en-US"/>
        </w:rPr>
        <w:t xml:space="preserve"> (1866)</w:t>
      </w:r>
      <w:r w:rsidRPr="000E5A22">
        <w:rPr>
          <w:szCs w:val="24"/>
          <w:lang w:val="en-US"/>
        </w:rPr>
        <w:t>, there was everything to play for, and the French enemy, now under Napoleon III, remained to be defeated.</w:t>
      </w:r>
    </w:p>
    <w:p w:rsidR="000E5A22" w:rsidRPr="000E5A22" w:rsidRDefault="000E5A22" w:rsidP="002C0676">
      <w:pPr>
        <w:ind w:firstLine="720"/>
        <w:rPr>
          <w:szCs w:val="24"/>
          <w:lang w:val="en-US"/>
        </w:rPr>
      </w:pPr>
      <w:r w:rsidRPr="000E5A22">
        <w:rPr>
          <w:szCs w:val="24"/>
          <w:lang w:val="en-US"/>
        </w:rPr>
        <w:t xml:space="preserve">When Wagner, then, came to advise </w:t>
      </w:r>
      <w:r w:rsidRPr="00CE5AFD">
        <w:rPr>
          <w:smallCaps/>
          <w:szCs w:val="24"/>
          <w:lang w:val="en-US"/>
        </w:rPr>
        <w:t>Ludwig II</w:t>
      </w:r>
      <w:r w:rsidRPr="000E5A22">
        <w:rPr>
          <w:szCs w:val="24"/>
          <w:lang w:val="en-US"/>
        </w:rPr>
        <w:t xml:space="preserve">, earlier experience informed </w:t>
      </w:r>
      <w:r w:rsidR="00CE5AFD">
        <w:rPr>
          <w:szCs w:val="24"/>
          <w:lang w:val="en-US"/>
        </w:rPr>
        <w:t>his</w:t>
      </w:r>
      <w:r w:rsidRPr="000E5A22">
        <w:rPr>
          <w:szCs w:val="24"/>
          <w:lang w:val="en-US"/>
        </w:rPr>
        <w:t xml:space="preserve"> </w:t>
      </w:r>
      <w:r w:rsidR="001F69EC" w:rsidRPr="000E5A22">
        <w:rPr>
          <w:szCs w:val="24"/>
          <w:lang w:val="en-US"/>
        </w:rPr>
        <w:t>judgment</w:t>
      </w:r>
      <w:r w:rsidRPr="000E5A22">
        <w:rPr>
          <w:szCs w:val="24"/>
          <w:lang w:val="en-US"/>
        </w:rPr>
        <w:t>. Wagner remained at best ambivalent concerning the other German princes, yet</w:t>
      </w:r>
      <w:r w:rsidR="00CE5AFD">
        <w:rPr>
          <w:szCs w:val="24"/>
          <w:lang w:val="en-US"/>
        </w:rPr>
        <w:t xml:space="preserve"> suspicion of Prussia, a “barracks state”</w:t>
      </w:r>
      <w:r w:rsidR="009B7D82">
        <w:rPr>
          <w:szCs w:val="24"/>
          <w:lang w:val="en-US"/>
        </w:rPr>
        <w:t xml:space="preserve"> for</w:t>
      </w:r>
      <w:r w:rsidRPr="000E5A22">
        <w:rPr>
          <w:szCs w:val="24"/>
          <w:lang w:val="en-US"/>
        </w:rPr>
        <w:t xml:space="preserve"> many other Germans, always formed a crucial part of his outlook. Bismarck secretly made indirect contact with Wagner, attempting unsuccessfully to have him secure Bavaria’s neutrality between Prussia and Austria</w:t>
      </w:r>
      <w:r w:rsidR="00CE5AFD">
        <w:rPr>
          <w:szCs w:val="24"/>
          <w:lang w:val="en-US"/>
        </w:rPr>
        <w:t xml:space="preserve"> (</w:t>
      </w:r>
      <w:proofErr w:type="spellStart"/>
      <w:r w:rsidR="00CE5AFD">
        <w:rPr>
          <w:szCs w:val="24"/>
          <w:lang w:val="en-US"/>
        </w:rPr>
        <w:t>Salmi</w:t>
      </w:r>
      <w:proofErr w:type="spellEnd"/>
      <w:r w:rsidR="00CE5AFD">
        <w:rPr>
          <w:szCs w:val="24"/>
          <w:lang w:val="en-US"/>
        </w:rPr>
        <w:t xml:space="preserve">, </w:t>
      </w:r>
      <w:r w:rsidR="00CE5AFD" w:rsidRPr="00CE5AFD">
        <w:rPr>
          <w:szCs w:val="24"/>
          <w:lang w:val="en-US"/>
        </w:rPr>
        <w:t>197-99</w:t>
      </w:r>
      <w:r w:rsidR="00CE5AFD">
        <w:rPr>
          <w:szCs w:val="24"/>
          <w:lang w:val="en-US"/>
        </w:rPr>
        <w:t>).</w:t>
      </w:r>
      <w:r w:rsidRPr="000E5A22">
        <w:rPr>
          <w:szCs w:val="24"/>
          <w:lang w:val="en-US"/>
        </w:rPr>
        <w:t xml:space="preserve"> The contrast, however exaggerated, between Prussian militarism and other states’ – Bavarian, Saxon, etc. – cultural achievement was a mainstay of discourse within those states. </w:t>
      </w:r>
      <w:r w:rsidR="00CE5AFD">
        <w:rPr>
          <w:szCs w:val="24"/>
          <w:lang w:val="en-US"/>
        </w:rPr>
        <w:t>“Nationalism”</w:t>
      </w:r>
      <w:r w:rsidRPr="000E5A22">
        <w:rPr>
          <w:szCs w:val="24"/>
          <w:lang w:val="en-US"/>
        </w:rPr>
        <w:t xml:space="preserve"> involved </w:t>
      </w:r>
      <w:r w:rsidR="00CE5AFD">
        <w:rPr>
          <w:szCs w:val="24"/>
          <w:lang w:val="en-US"/>
        </w:rPr>
        <w:t>many competing strands.</w:t>
      </w:r>
    </w:p>
    <w:p w:rsidR="000E5A22" w:rsidRPr="000E5A22" w:rsidRDefault="000E5A22" w:rsidP="002C0676">
      <w:pPr>
        <w:ind w:firstLine="720"/>
        <w:rPr>
          <w:szCs w:val="24"/>
          <w:lang w:val="en-US"/>
        </w:rPr>
      </w:pPr>
      <w:r w:rsidRPr="000E5A22">
        <w:rPr>
          <w:szCs w:val="24"/>
          <w:lang w:val="en-US"/>
        </w:rPr>
        <w:lastRenderedPageBreak/>
        <w:t xml:space="preserve">Moreover, though one does not necessarily associate Wagner later in life with Saxony, we find him in Leipzig, publicly and otherwise, more often than we might suspect. Nietzsche wrote to his friend, Erwin Rohde, of attempts to effect a first encounter: Wagner was staying with relatives in Leipzig, unbeknown to the press. When they met, Nietzsche was enchanted by Wagner’s reading from </w:t>
      </w:r>
      <w:r w:rsidRPr="000E5A22">
        <w:rPr>
          <w:i/>
          <w:szCs w:val="24"/>
          <w:lang w:val="en-US"/>
        </w:rPr>
        <w:t xml:space="preserve">Mein </w:t>
      </w:r>
      <w:proofErr w:type="spellStart"/>
      <w:r w:rsidRPr="000E5A22">
        <w:rPr>
          <w:i/>
          <w:szCs w:val="24"/>
          <w:lang w:val="en-US"/>
        </w:rPr>
        <w:t>Leben</w:t>
      </w:r>
      <w:proofErr w:type="spellEnd"/>
      <w:r w:rsidRPr="000E5A22">
        <w:rPr>
          <w:i/>
          <w:szCs w:val="24"/>
          <w:lang w:val="en-US"/>
        </w:rPr>
        <w:t xml:space="preserve"> </w:t>
      </w:r>
      <w:r w:rsidRPr="000E5A22">
        <w:rPr>
          <w:szCs w:val="24"/>
          <w:lang w:val="en-US"/>
        </w:rPr>
        <w:t>a scene from his Leipzig student days and observed, not for the last time, Wagner’s fondness for the local dialect</w:t>
      </w:r>
      <w:r w:rsidR="00CE5AFD">
        <w:rPr>
          <w:szCs w:val="24"/>
          <w:lang w:val="en-US"/>
        </w:rPr>
        <w:t xml:space="preserve"> (</w:t>
      </w:r>
      <w:r w:rsidR="00CE5AFD" w:rsidRPr="00CE5AFD">
        <w:rPr>
          <w:szCs w:val="24"/>
          <w:lang w:val="en-US"/>
        </w:rPr>
        <w:t>Letter of 9 Nov</w:t>
      </w:r>
      <w:r w:rsidR="009B7D82">
        <w:rPr>
          <w:szCs w:val="24"/>
          <w:lang w:val="en-US"/>
        </w:rPr>
        <w:t>.</w:t>
      </w:r>
      <w:r w:rsidR="00CE5AFD" w:rsidRPr="00CE5AFD">
        <w:rPr>
          <w:szCs w:val="24"/>
          <w:lang w:val="en-US"/>
        </w:rPr>
        <w:t xml:space="preserve"> 1868</w:t>
      </w:r>
      <w:r w:rsidR="00CE5AFD">
        <w:rPr>
          <w:szCs w:val="24"/>
          <w:lang w:val="en-US"/>
        </w:rPr>
        <w:t>)</w:t>
      </w:r>
      <w:r w:rsidRPr="000E5A22">
        <w:rPr>
          <w:szCs w:val="24"/>
          <w:lang w:val="en-US"/>
        </w:rPr>
        <w:t xml:space="preserve">. </w:t>
      </w:r>
    </w:p>
    <w:p w:rsidR="000E5A22" w:rsidRPr="000E5A22" w:rsidRDefault="000E5A22" w:rsidP="002C0676">
      <w:pPr>
        <w:rPr>
          <w:szCs w:val="24"/>
          <w:lang w:val="en-US"/>
        </w:rPr>
      </w:pPr>
    </w:p>
    <w:p w:rsidR="000E5A22" w:rsidRPr="004022FB" w:rsidRDefault="000E5A22" w:rsidP="004022FB">
      <w:pPr>
        <w:pStyle w:val="ListParagraph"/>
        <w:numPr>
          <w:ilvl w:val="0"/>
          <w:numId w:val="4"/>
        </w:numPr>
        <w:rPr>
          <w:szCs w:val="24"/>
          <w:lang w:val="en-US"/>
        </w:rPr>
      </w:pPr>
      <w:r w:rsidRPr="004022FB">
        <w:rPr>
          <w:szCs w:val="24"/>
          <w:lang w:val="en-US"/>
        </w:rPr>
        <w:t xml:space="preserve">Wagner, Bismarck, and </w:t>
      </w:r>
      <w:r w:rsidRPr="004A35CB">
        <w:rPr>
          <w:smallCaps/>
          <w:szCs w:val="24"/>
          <w:lang w:val="en-US"/>
        </w:rPr>
        <w:t>German unification</w:t>
      </w:r>
    </w:p>
    <w:p w:rsidR="000E5A22" w:rsidRPr="000E5A22" w:rsidRDefault="000E5A22" w:rsidP="002C0676">
      <w:pPr>
        <w:rPr>
          <w:szCs w:val="24"/>
          <w:lang w:val="en-US"/>
        </w:rPr>
      </w:pPr>
      <w:r w:rsidRPr="000E5A22">
        <w:rPr>
          <w:szCs w:val="24"/>
          <w:lang w:val="en-US"/>
        </w:rPr>
        <w:t xml:space="preserve">Wagner and Bismarck were both Germans; neither would have denied that, nor wished to do so. However, particular and </w:t>
      </w:r>
      <w:proofErr w:type="spellStart"/>
      <w:r w:rsidRPr="000E5A22">
        <w:rPr>
          <w:szCs w:val="24"/>
          <w:lang w:val="en-US"/>
        </w:rPr>
        <w:t>particularist</w:t>
      </w:r>
      <w:proofErr w:type="spellEnd"/>
      <w:r w:rsidRPr="000E5A22">
        <w:rPr>
          <w:szCs w:val="24"/>
          <w:lang w:val="en-US"/>
        </w:rPr>
        <w:t xml:space="preserve"> identities – both Protestant, but in many respects opposed – counted too. Wagner, on account of his role in the </w:t>
      </w:r>
      <w:r w:rsidRPr="004A35CB">
        <w:rPr>
          <w:smallCaps/>
          <w:szCs w:val="24"/>
          <w:lang w:val="en-US"/>
        </w:rPr>
        <w:t>Dresden uprising</w:t>
      </w:r>
      <w:r w:rsidRPr="000E5A22">
        <w:rPr>
          <w:szCs w:val="24"/>
          <w:lang w:val="en-US"/>
        </w:rPr>
        <w:t xml:space="preserve">, was barred for eleven years even from entering the German Confederation. It would take longer still before he would be permitted to return to Saxony. The grudging nature of the Saxon king’s initial concession was mirrored in Wagner’s claim – irrespective of whether one believes him – that he felt no emotion upon his return to German soil (12 August 1860). During exile, Wagner had been a German outcast, indeed outlaw, just like </w:t>
      </w:r>
      <w:r w:rsidRPr="000E5A22">
        <w:rPr>
          <w:i/>
          <w:szCs w:val="24"/>
          <w:lang w:val="en-US"/>
        </w:rPr>
        <w:t xml:space="preserve">Die </w:t>
      </w:r>
      <w:proofErr w:type="spellStart"/>
      <w:r w:rsidRPr="000E5A22">
        <w:rPr>
          <w:i/>
          <w:szCs w:val="24"/>
          <w:lang w:val="en-US"/>
        </w:rPr>
        <w:t>Walküre</w:t>
      </w:r>
      <w:r w:rsidRPr="000E5A22">
        <w:rPr>
          <w:szCs w:val="24"/>
          <w:lang w:val="en-US"/>
        </w:rPr>
        <w:t>’s</w:t>
      </w:r>
      <w:proofErr w:type="spellEnd"/>
      <w:r w:rsidRPr="000E5A22">
        <w:rPr>
          <w:i/>
          <w:szCs w:val="24"/>
          <w:lang w:val="en-US"/>
        </w:rPr>
        <w:t xml:space="preserve"> </w:t>
      </w:r>
      <w:r w:rsidRPr="000E5A22">
        <w:rPr>
          <w:szCs w:val="24"/>
          <w:lang w:val="en-US"/>
        </w:rPr>
        <w:t xml:space="preserve">revolutionary </w:t>
      </w:r>
      <w:proofErr w:type="spellStart"/>
      <w:r w:rsidRPr="000E5A22">
        <w:rPr>
          <w:szCs w:val="24"/>
          <w:lang w:val="en-US"/>
        </w:rPr>
        <w:t>Siegmund</w:t>
      </w:r>
      <w:proofErr w:type="spellEnd"/>
      <w:r w:rsidRPr="000E5A22">
        <w:rPr>
          <w:szCs w:val="24"/>
          <w:lang w:val="en-US"/>
        </w:rPr>
        <w:t>:</w:t>
      </w:r>
      <w:r w:rsidR="006F63F6">
        <w:rPr>
          <w:szCs w:val="24"/>
          <w:lang w:val="en-US"/>
        </w:rPr>
        <w:t xml:space="preserve"> “</w:t>
      </w:r>
      <w:r w:rsidRPr="000E5A22">
        <w:rPr>
          <w:szCs w:val="24"/>
          <w:lang w:val="en-US"/>
        </w:rPr>
        <w:t>I was always outlawed.</w:t>
      </w:r>
      <w:r w:rsidR="006F63F6">
        <w:rPr>
          <w:szCs w:val="24"/>
          <w:lang w:val="en-US"/>
        </w:rPr>
        <w:t>”</w:t>
      </w:r>
    </w:p>
    <w:p w:rsidR="000E5A22" w:rsidRPr="000E5A22" w:rsidRDefault="000E5A22" w:rsidP="002C0676">
      <w:pPr>
        <w:ind w:firstLine="720"/>
        <w:rPr>
          <w:szCs w:val="24"/>
          <w:lang w:val="en-US"/>
        </w:rPr>
      </w:pPr>
      <w:r w:rsidRPr="000E5A22">
        <w:rPr>
          <w:szCs w:val="24"/>
          <w:lang w:val="en-US"/>
        </w:rPr>
        <w:t xml:space="preserve">When </w:t>
      </w:r>
      <w:r w:rsidRPr="009B7D82">
        <w:rPr>
          <w:smallCaps/>
          <w:szCs w:val="24"/>
          <w:lang w:val="en-US"/>
        </w:rPr>
        <w:t>German unification</w:t>
      </w:r>
      <w:r w:rsidRPr="000E5A22">
        <w:rPr>
          <w:szCs w:val="24"/>
          <w:lang w:val="en-US"/>
        </w:rPr>
        <w:t>, such as it was, came from a</w:t>
      </w:r>
      <w:r w:rsidR="006F63F6">
        <w:rPr>
          <w:szCs w:val="24"/>
          <w:lang w:val="en-US"/>
        </w:rPr>
        <w:t>bove, through Prussian aggrandiz</w:t>
      </w:r>
      <w:r w:rsidRPr="000E5A22">
        <w:rPr>
          <w:szCs w:val="24"/>
          <w:lang w:val="en-US"/>
        </w:rPr>
        <w:t xml:space="preserve">ement, it is therefore unsurprising that Wagner’s initial approbation – again, one should not neglect the power of anti-French sentiment in the </w:t>
      </w:r>
      <w:r w:rsidR="004A35CB" w:rsidRPr="004A35CB">
        <w:rPr>
          <w:smallCaps/>
          <w:szCs w:val="24"/>
          <w:lang w:val="en-US"/>
        </w:rPr>
        <w:t>Franco-Prussian W</w:t>
      </w:r>
      <w:r w:rsidRPr="004A35CB">
        <w:rPr>
          <w:smallCaps/>
          <w:szCs w:val="24"/>
          <w:lang w:val="en-US"/>
        </w:rPr>
        <w:t>ar</w:t>
      </w:r>
      <w:r w:rsidRPr="000E5A22">
        <w:rPr>
          <w:szCs w:val="24"/>
          <w:lang w:val="en-US"/>
        </w:rPr>
        <w:t xml:space="preserve"> of 1870-1, witnessed in </w:t>
      </w:r>
      <w:proofErr w:type="spellStart"/>
      <w:r w:rsidRPr="000E5A22">
        <w:rPr>
          <w:i/>
          <w:szCs w:val="24"/>
          <w:lang w:val="en-US"/>
        </w:rPr>
        <w:t>Eine</w:t>
      </w:r>
      <w:proofErr w:type="spellEnd"/>
      <w:r w:rsidRPr="000E5A22">
        <w:rPr>
          <w:i/>
          <w:szCs w:val="24"/>
          <w:lang w:val="en-US"/>
        </w:rPr>
        <w:t xml:space="preserve"> </w:t>
      </w:r>
      <w:proofErr w:type="spellStart"/>
      <w:r w:rsidRPr="000E5A22">
        <w:rPr>
          <w:i/>
          <w:szCs w:val="24"/>
          <w:lang w:val="en-US"/>
        </w:rPr>
        <w:t>Kapitulation</w:t>
      </w:r>
      <w:proofErr w:type="spellEnd"/>
      <w:r w:rsidRPr="000E5A22">
        <w:rPr>
          <w:szCs w:val="24"/>
          <w:lang w:val="en-US"/>
        </w:rPr>
        <w:t xml:space="preserve"> – soon turned sour. Admiration for </w:t>
      </w:r>
      <w:r w:rsidR="006F63F6">
        <w:rPr>
          <w:szCs w:val="24"/>
          <w:lang w:val="en-US"/>
        </w:rPr>
        <w:t>the Chancellor’s achievement – “</w:t>
      </w:r>
      <w:r w:rsidRPr="000E5A22">
        <w:rPr>
          <w:szCs w:val="24"/>
          <w:lang w:val="en-US"/>
        </w:rPr>
        <w:t>an honest Prussian who succeeded in c</w:t>
      </w:r>
      <w:r w:rsidR="006F63F6">
        <w:rPr>
          <w:szCs w:val="24"/>
          <w:lang w:val="en-US"/>
        </w:rPr>
        <w:t>arrying out a diplomatic coup: ‘</w:t>
      </w:r>
      <w:r w:rsidRPr="000E5A22">
        <w:rPr>
          <w:szCs w:val="24"/>
          <w:lang w:val="en-US"/>
        </w:rPr>
        <w:t>At that time he still knew nothing about the German swindl</w:t>
      </w:r>
      <w:r w:rsidR="006F63F6">
        <w:rPr>
          <w:szCs w:val="24"/>
          <w:lang w:val="en-US"/>
        </w:rPr>
        <w:t>e, he was a complete Prussian’.”</w:t>
      </w:r>
      <w:r w:rsidRPr="000E5A22">
        <w:rPr>
          <w:szCs w:val="24"/>
          <w:lang w:val="en-US"/>
        </w:rPr>
        <w:t xml:space="preserve"> – is more than balanced a fortnight later by</w:t>
      </w:r>
      <w:r w:rsidR="008C6F0D">
        <w:rPr>
          <w:szCs w:val="24"/>
          <w:lang w:val="en-US"/>
        </w:rPr>
        <w:t>: “</w:t>
      </w:r>
      <w:r w:rsidRPr="000E5A22">
        <w:rPr>
          <w:szCs w:val="24"/>
          <w:lang w:val="en-US"/>
        </w:rPr>
        <w:t xml:space="preserve">That is why I curse Bismarck – for dealing with all </w:t>
      </w:r>
      <w:r w:rsidRPr="000E5A22">
        <w:rPr>
          <w:szCs w:val="24"/>
          <w:lang w:val="en-US"/>
        </w:rPr>
        <w:lastRenderedPageBreak/>
        <w:t>these very important pro</w:t>
      </w:r>
      <w:r w:rsidR="008C6F0D">
        <w:rPr>
          <w:szCs w:val="24"/>
          <w:lang w:val="en-US"/>
        </w:rPr>
        <w:t>blems like a Pomeranian Junker.”</w:t>
      </w:r>
      <w:r w:rsidRPr="000E5A22">
        <w:rPr>
          <w:bCs/>
          <w:sz w:val="20"/>
          <w:szCs w:val="20"/>
          <w:lang w:val="en-US"/>
        </w:rPr>
        <w:t xml:space="preserve"> </w:t>
      </w:r>
      <w:r w:rsidR="008C6F0D">
        <w:rPr>
          <w:szCs w:val="24"/>
          <w:lang w:val="en-US"/>
        </w:rPr>
        <w:t>“</w:t>
      </w:r>
      <w:r w:rsidRPr="000E5A22">
        <w:rPr>
          <w:bCs/>
          <w:szCs w:val="24"/>
          <w:lang w:val="en-US"/>
        </w:rPr>
        <w:t>C</w:t>
      </w:r>
      <w:r w:rsidR="008C6F0D">
        <w:rPr>
          <w:szCs w:val="24"/>
          <w:lang w:val="en-US"/>
        </w:rPr>
        <w:t>urse”</w:t>
      </w:r>
      <w:r w:rsidRPr="000E5A22">
        <w:rPr>
          <w:szCs w:val="24"/>
          <w:lang w:val="en-US"/>
        </w:rPr>
        <w:t xml:space="preserve"> was obliterated by a</w:t>
      </w:r>
      <w:r w:rsidR="008C6F0D">
        <w:rPr>
          <w:szCs w:val="24"/>
          <w:lang w:val="en-US"/>
        </w:rPr>
        <w:t>n unknown hand and replaced by “</w:t>
      </w:r>
      <w:r w:rsidRPr="000E5A22">
        <w:rPr>
          <w:szCs w:val="24"/>
          <w:lang w:val="en-US"/>
        </w:rPr>
        <w:t>d</w:t>
      </w:r>
      <w:r w:rsidR="008C6F0D">
        <w:rPr>
          <w:szCs w:val="24"/>
          <w:lang w:val="en-US"/>
        </w:rPr>
        <w:t>eplore</w:t>
      </w:r>
      <w:r w:rsidRPr="000E5A22">
        <w:rPr>
          <w:szCs w:val="24"/>
          <w:lang w:val="en-US"/>
        </w:rPr>
        <w:t>,</w:t>
      </w:r>
      <w:r w:rsidR="008C6F0D">
        <w:rPr>
          <w:szCs w:val="24"/>
          <w:lang w:val="en-US"/>
        </w:rPr>
        <w:t>”</w:t>
      </w:r>
      <w:r w:rsidRPr="000E5A22">
        <w:rPr>
          <w:szCs w:val="24"/>
          <w:lang w:val="en-US"/>
        </w:rPr>
        <w:t xml:space="preserve"> testimony to family sensitivities concerning Wagnerian German identity</w:t>
      </w:r>
      <w:r w:rsidR="008C6F0D">
        <w:rPr>
          <w:szCs w:val="24"/>
          <w:lang w:val="en-US"/>
        </w:rPr>
        <w:t xml:space="preserve"> (CWD, </w:t>
      </w:r>
      <w:r w:rsidR="009B7D82">
        <w:rPr>
          <w:szCs w:val="24"/>
          <w:lang w:val="en-US"/>
        </w:rPr>
        <w:t>31 Oct.</w:t>
      </w:r>
      <w:r w:rsidR="008C6F0D" w:rsidRPr="008C6F0D">
        <w:rPr>
          <w:szCs w:val="24"/>
          <w:lang w:val="en-US"/>
        </w:rPr>
        <w:t xml:space="preserve"> 1882</w:t>
      </w:r>
      <w:r w:rsidR="008C6F0D">
        <w:rPr>
          <w:szCs w:val="24"/>
          <w:lang w:val="en-US"/>
        </w:rPr>
        <w:t xml:space="preserve"> and </w:t>
      </w:r>
      <w:r w:rsidR="009B7D82">
        <w:rPr>
          <w:szCs w:val="24"/>
          <w:lang w:val="en-US"/>
        </w:rPr>
        <w:t>14 Nov.</w:t>
      </w:r>
      <w:r w:rsidR="008C6F0D" w:rsidRPr="008C6F0D">
        <w:rPr>
          <w:szCs w:val="24"/>
          <w:lang w:val="en-US"/>
        </w:rPr>
        <w:t xml:space="preserve"> 1882</w:t>
      </w:r>
      <w:r w:rsidR="008C6F0D">
        <w:rPr>
          <w:szCs w:val="24"/>
          <w:lang w:val="en-US"/>
        </w:rPr>
        <w:t>)</w:t>
      </w:r>
      <w:r w:rsidRPr="000E5A22">
        <w:rPr>
          <w:szCs w:val="24"/>
          <w:lang w:val="en-US"/>
        </w:rPr>
        <w:t>. Karl Marx could not have been further from t</w:t>
      </w:r>
      <w:r w:rsidR="008C6F0D">
        <w:rPr>
          <w:szCs w:val="24"/>
          <w:lang w:val="en-US"/>
        </w:rPr>
        <w:t>he truth, political as well as ae</w:t>
      </w:r>
      <w:r w:rsidRPr="000E5A22">
        <w:rPr>
          <w:szCs w:val="24"/>
          <w:lang w:val="en-US"/>
        </w:rPr>
        <w:t>sthetic, when answering, at the time of the opening Bayreuth Festival,</w:t>
      </w:r>
      <w:r w:rsidR="008C6F0D">
        <w:rPr>
          <w:szCs w:val="24"/>
          <w:lang w:val="en-US"/>
        </w:rPr>
        <w:t xml:space="preserve"> the persistent question, “What do you think of Wagner?”</w:t>
      </w:r>
      <w:r w:rsidRPr="000E5A22">
        <w:rPr>
          <w:szCs w:val="24"/>
          <w:lang w:val="en-US"/>
        </w:rPr>
        <w:t xml:space="preserve"> with the dismissal: highly characteristic of the </w:t>
      </w:r>
      <w:r w:rsidR="008C6F0D">
        <w:rPr>
          <w:szCs w:val="24"/>
          <w:lang w:val="en-US"/>
        </w:rPr>
        <w:t>“</w:t>
      </w:r>
      <w:r w:rsidRPr="000E5A22">
        <w:rPr>
          <w:szCs w:val="24"/>
          <w:lang w:val="en-US"/>
        </w:rPr>
        <w:t xml:space="preserve">New German-Prussian </w:t>
      </w:r>
      <w:r w:rsidR="008C6F0D">
        <w:rPr>
          <w:szCs w:val="24"/>
          <w:lang w:val="en-US"/>
        </w:rPr>
        <w:t xml:space="preserve">empire-musicians” (Letter to </w:t>
      </w:r>
      <w:r w:rsidR="008C6F0D" w:rsidRPr="008C6F0D">
        <w:rPr>
          <w:szCs w:val="24"/>
          <w:lang w:val="en-US"/>
        </w:rPr>
        <w:t>Jenny Marx, August/September 1876</w:t>
      </w:r>
      <w:r w:rsidR="008C6F0D">
        <w:rPr>
          <w:szCs w:val="24"/>
          <w:lang w:val="en-US"/>
        </w:rPr>
        <w:t>).</w:t>
      </w:r>
    </w:p>
    <w:p w:rsidR="000E5A22" w:rsidRPr="000E5A22" w:rsidRDefault="000E5A22" w:rsidP="002C0676">
      <w:pPr>
        <w:rPr>
          <w:szCs w:val="24"/>
          <w:lang w:val="en-US"/>
        </w:rPr>
      </w:pPr>
    </w:p>
    <w:p w:rsidR="000E5A22" w:rsidRPr="004022FB" w:rsidRDefault="00CF4036" w:rsidP="004022FB">
      <w:pPr>
        <w:pStyle w:val="ListParagraph"/>
        <w:numPr>
          <w:ilvl w:val="0"/>
          <w:numId w:val="4"/>
        </w:numPr>
        <w:rPr>
          <w:szCs w:val="24"/>
          <w:lang w:val="en-US"/>
        </w:rPr>
      </w:pPr>
      <w:r w:rsidRPr="004022FB">
        <w:rPr>
          <w:szCs w:val="24"/>
          <w:lang w:val="en-US"/>
        </w:rPr>
        <w:t xml:space="preserve">Wagner’s </w:t>
      </w:r>
      <w:r w:rsidR="000E5A22" w:rsidRPr="004022FB">
        <w:rPr>
          <w:szCs w:val="24"/>
          <w:lang w:val="en-US"/>
        </w:rPr>
        <w:t>Writings</w:t>
      </w:r>
      <w:r w:rsidRPr="004022FB">
        <w:rPr>
          <w:szCs w:val="24"/>
          <w:lang w:val="en-US"/>
        </w:rPr>
        <w:t xml:space="preserve"> on German History</w:t>
      </w:r>
    </w:p>
    <w:p w:rsidR="000E5A22" w:rsidRPr="000E5A22" w:rsidRDefault="000E5A22" w:rsidP="002C0676">
      <w:pPr>
        <w:rPr>
          <w:szCs w:val="24"/>
          <w:lang w:val="en-US"/>
        </w:rPr>
      </w:pPr>
      <w:r w:rsidRPr="000E5A22">
        <w:rPr>
          <w:szCs w:val="24"/>
          <w:lang w:val="en-US"/>
        </w:rPr>
        <w:t xml:space="preserve">Wagner’s writings expressed such ambivalence and ambiguities. </w:t>
      </w:r>
      <w:r w:rsidRPr="000E5A22">
        <w:rPr>
          <w:i/>
          <w:szCs w:val="24"/>
          <w:lang w:val="en-US"/>
        </w:rPr>
        <w:t xml:space="preserve">Die deutsche </w:t>
      </w:r>
      <w:proofErr w:type="spellStart"/>
      <w:r w:rsidRPr="000E5A22">
        <w:rPr>
          <w:i/>
          <w:szCs w:val="24"/>
          <w:lang w:val="en-US"/>
        </w:rPr>
        <w:t>Oper</w:t>
      </w:r>
      <w:proofErr w:type="spellEnd"/>
      <w:r w:rsidR="009E4FFA">
        <w:rPr>
          <w:szCs w:val="24"/>
          <w:lang w:val="en-US"/>
        </w:rPr>
        <w:t xml:space="preserve"> (1834), </w:t>
      </w:r>
      <w:r w:rsidRPr="000E5A22">
        <w:rPr>
          <w:szCs w:val="24"/>
          <w:lang w:val="en-US"/>
        </w:rPr>
        <w:t>his first published piece, expresses the wish that German opera were more open to French and Italian influences.</w:t>
      </w:r>
      <w:r w:rsidR="009E4FFA">
        <w:rPr>
          <w:szCs w:val="24"/>
          <w:lang w:val="en-US"/>
        </w:rPr>
        <w:t xml:space="preserve"> However, during his “revolutionary”</w:t>
      </w:r>
      <w:r w:rsidRPr="000E5A22">
        <w:rPr>
          <w:szCs w:val="24"/>
          <w:lang w:val="en-US"/>
        </w:rPr>
        <w:t xml:space="preserve"> period, it becomes clear that the universal </w:t>
      </w:r>
      <w:r w:rsidRPr="009E4FFA">
        <w:rPr>
          <w:smallCaps/>
          <w:szCs w:val="24"/>
          <w:lang w:val="en-US"/>
        </w:rPr>
        <w:t>artwork of the future</w:t>
      </w:r>
      <w:r w:rsidRPr="000E5A22">
        <w:rPr>
          <w:szCs w:val="24"/>
          <w:lang w:val="en-US"/>
        </w:rPr>
        <w:t xml:space="preserve"> will transcend mere national style not so much through synthesis as by development of largely Teutonic art. An intriguing and often confusing companion to </w:t>
      </w:r>
      <w:r w:rsidR="00BE426A">
        <w:rPr>
          <w:szCs w:val="24"/>
          <w:lang w:val="en-US"/>
        </w:rPr>
        <w:t xml:space="preserve">the </w:t>
      </w:r>
      <w:r w:rsidR="009E4FFA">
        <w:rPr>
          <w:szCs w:val="24"/>
          <w:lang w:val="en-US"/>
        </w:rPr>
        <w:t>ae</w:t>
      </w:r>
      <w:r w:rsidRPr="000E5A22">
        <w:rPr>
          <w:szCs w:val="24"/>
          <w:lang w:val="en-US"/>
        </w:rPr>
        <w:t xml:space="preserve">sthetically-inclined essays is </w:t>
      </w:r>
      <w:r w:rsidRPr="009E4FFA">
        <w:rPr>
          <w:i/>
          <w:smallCaps/>
          <w:szCs w:val="24"/>
          <w:lang w:val="en-US"/>
        </w:rPr>
        <w:t xml:space="preserve">Die </w:t>
      </w:r>
      <w:proofErr w:type="spellStart"/>
      <w:r w:rsidRPr="009E4FFA">
        <w:rPr>
          <w:i/>
          <w:smallCaps/>
          <w:szCs w:val="24"/>
          <w:lang w:val="en-US"/>
        </w:rPr>
        <w:t>Wibelungen</w:t>
      </w:r>
      <w:proofErr w:type="spellEnd"/>
      <w:r w:rsidRPr="000E5A22">
        <w:rPr>
          <w:szCs w:val="24"/>
          <w:lang w:val="en-US"/>
        </w:rPr>
        <w:t xml:space="preserve">. A conflation of history and myth presents correspondences between, for instance, Emperor Frederick Barbarossa and </w:t>
      </w:r>
      <w:r w:rsidRPr="009E4FFA">
        <w:rPr>
          <w:smallCaps/>
          <w:szCs w:val="24"/>
          <w:lang w:val="en-US"/>
        </w:rPr>
        <w:t>Siegfried</w:t>
      </w:r>
      <w:r w:rsidRPr="000E5A22">
        <w:rPr>
          <w:szCs w:val="24"/>
          <w:lang w:val="en-US"/>
        </w:rPr>
        <w:t xml:space="preserve">, not only as historical-mythological figures but as revolutionary inspirations. It is hoped that these German heroes, asleep in the </w:t>
      </w:r>
      <w:proofErr w:type="spellStart"/>
      <w:r w:rsidRPr="000E5A22">
        <w:rPr>
          <w:szCs w:val="24"/>
          <w:lang w:val="en-US"/>
        </w:rPr>
        <w:t>Kyffhäuser</w:t>
      </w:r>
      <w:proofErr w:type="spellEnd"/>
      <w:r w:rsidRPr="000E5A22">
        <w:rPr>
          <w:szCs w:val="24"/>
          <w:lang w:val="en-US"/>
        </w:rPr>
        <w:t xml:space="preserve"> </w:t>
      </w:r>
      <w:r w:rsidR="00BE426A" w:rsidRPr="000E5A22">
        <w:rPr>
          <w:szCs w:val="24"/>
          <w:lang w:val="en-US"/>
        </w:rPr>
        <w:t>Mountains</w:t>
      </w:r>
      <w:r w:rsidRPr="000E5A22">
        <w:rPr>
          <w:szCs w:val="24"/>
          <w:lang w:val="en-US"/>
        </w:rPr>
        <w:t>, might return, though an original (1848) exhortation for such an awakening was omitted in a subsequent published version, indicative perhaps of Wagner’s disillusionment concerning national revolution. Whoever Barbarossa and Siegfried may have been, they were not Prussians.</w:t>
      </w:r>
    </w:p>
    <w:p w:rsidR="000E5A22" w:rsidRPr="000E5A22" w:rsidRDefault="000E5A22" w:rsidP="002C0676">
      <w:pPr>
        <w:ind w:firstLine="720"/>
        <w:rPr>
          <w:szCs w:val="24"/>
          <w:lang w:val="en-US"/>
        </w:rPr>
      </w:pPr>
      <w:r w:rsidRPr="000E5A22">
        <w:rPr>
          <w:szCs w:val="24"/>
          <w:lang w:val="en-US"/>
        </w:rPr>
        <w:t xml:space="preserve">Subsequent interest in German history tended, in the spirit of </w:t>
      </w:r>
      <w:r w:rsidRPr="008A4C87">
        <w:rPr>
          <w:i/>
          <w:smallCaps/>
          <w:szCs w:val="24"/>
          <w:lang w:val="en-US"/>
        </w:rPr>
        <w:t>Die Meistersinger von Nürnberg</w:t>
      </w:r>
      <w:r w:rsidRPr="000E5A22">
        <w:rPr>
          <w:szCs w:val="24"/>
          <w:lang w:val="en-US"/>
        </w:rPr>
        <w:t xml:space="preserve">, to extol German art at the expense of German politics. A collection of essays written for </w:t>
      </w:r>
      <w:r w:rsidRPr="00271830">
        <w:rPr>
          <w:smallCaps/>
          <w:szCs w:val="24"/>
          <w:lang w:val="en-US"/>
        </w:rPr>
        <w:t>Ludwig II</w:t>
      </w:r>
      <w:r w:rsidRPr="000E5A22">
        <w:rPr>
          <w:szCs w:val="24"/>
          <w:lang w:val="en-US"/>
        </w:rPr>
        <w:t xml:space="preserve"> was published in 1867, its title, </w:t>
      </w:r>
      <w:r w:rsidRPr="008A4C87">
        <w:rPr>
          <w:i/>
          <w:smallCaps/>
          <w:szCs w:val="24"/>
          <w:lang w:val="en-US"/>
        </w:rPr>
        <w:t xml:space="preserve">Deutsche </w:t>
      </w:r>
      <w:proofErr w:type="spellStart"/>
      <w:r w:rsidRPr="008A4C87">
        <w:rPr>
          <w:i/>
          <w:smallCaps/>
          <w:szCs w:val="24"/>
          <w:lang w:val="en-US"/>
        </w:rPr>
        <w:t>Kunst</w:t>
      </w:r>
      <w:proofErr w:type="spellEnd"/>
      <w:r w:rsidRPr="008A4C87">
        <w:rPr>
          <w:i/>
          <w:smallCaps/>
          <w:szCs w:val="24"/>
          <w:lang w:val="en-US"/>
        </w:rPr>
        <w:t xml:space="preserve"> und deutsche </w:t>
      </w:r>
      <w:proofErr w:type="spellStart"/>
      <w:r w:rsidRPr="008A4C87">
        <w:rPr>
          <w:i/>
          <w:smallCaps/>
          <w:szCs w:val="24"/>
          <w:lang w:val="en-US"/>
        </w:rPr>
        <w:t>Politik</w:t>
      </w:r>
      <w:proofErr w:type="spellEnd"/>
      <w:r w:rsidRPr="000E5A22">
        <w:rPr>
          <w:szCs w:val="24"/>
          <w:lang w:val="en-US"/>
        </w:rPr>
        <w:t xml:space="preserve">, reflecting this shift, likewise the contemporary essay, </w:t>
      </w:r>
      <w:r w:rsidRPr="008A4C87">
        <w:rPr>
          <w:i/>
          <w:smallCaps/>
          <w:szCs w:val="24"/>
          <w:lang w:val="en-US"/>
        </w:rPr>
        <w:t>Was ist deutsch</w:t>
      </w:r>
      <w:r w:rsidRPr="008A4C87">
        <w:rPr>
          <w:smallCaps/>
          <w:szCs w:val="24"/>
          <w:lang w:val="en-US"/>
        </w:rPr>
        <w:t>?</w:t>
      </w:r>
      <w:r w:rsidRPr="000E5A22">
        <w:rPr>
          <w:i/>
          <w:szCs w:val="24"/>
          <w:lang w:val="en-US"/>
        </w:rPr>
        <w:t xml:space="preserve"> </w:t>
      </w:r>
      <w:r w:rsidR="00271830">
        <w:rPr>
          <w:szCs w:val="24"/>
          <w:lang w:val="en-US"/>
        </w:rPr>
        <w:lastRenderedPageBreak/>
        <w:t>(un</w:t>
      </w:r>
      <w:r w:rsidRPr="000E5A22">
        <w:rPr>
          <w:szCs w:val="24"/>
          <w:lang w:val="en-US"/>
        </w:rPr>
        <w:t>published until 1878) asking,</w:t>
      </w:r>
      <w:r w:rsidR="008A4C87">
        <w:rPr>
          <w:szCs w:val="24"/>
          <w:lang w:val="en-US"/>
        </w:rPr>
        <w:t xml:space="preserve"> “what is German?”</w:t>
      </w:r>
      <w:r w:rsidRPr="000E5A22">
        <w:rPr>
          <w:szCs w:val="24"/>
          <w:lang w:val="en-US"/>
        </w:rPr>
        <w:t xml:space="preserve"> Influence and regard of </w:t>
      </w:r>
      <w:proofErr w:type="spellStart"/>
      <w:r w:rsidRPr="000E5A22">
        <w:rPr>
          <w:szCs w:val="24"/>
          <w:lang w:val="en-US"/>
        </w:rPr>
        <w:t>Constantin</w:t>
      </w:r>
      <w:proofErr w:type="spellEnd"/>
      <w:r w:rsidRPr="000E5A22">
        <w:rPr>
          <w:szCs w:val="24"/>
          <w:lang w:val="en-US"/>
        </w:rPr>
        <w:t xml:space="preserve"> </w:t>
      </w:r>
      <w:r w:rsidRPr="008A4C87">
        <w:rPr>
          <w:smallCaps/>
          <w:szCs w:val="24"/>
          <w:lang w:val="en-US"/>
        </w:rPr>
        <w:t xml:space="preserve">Frantz </w:t>
      </w:r>
      <w:r w:rsidRPr="000E5A22">
        <w:rPr>
          <w:szCs w:val="24"/>
          <w:lang w:val="en-US"/>
        </w:rPr>
        <w:t xml:space="preserve">are marked. Just as </w:t>
      </w:r>
      <w:r w:rsidRPr="008A4C87">
        <w:rPr>
          <w:smallCaps/>
          <w:szCs w:val="24"/>
          <w:lang w:val="en-US"/>
        </w:rPr>
        <w:t>Hans Sachs</w:t>
      </w:r>
      <w:r w:rsidRPr="000E5A22">
        <w:rPr>
          <w:szCs w:val="24"/>
          <w:lang w:val="en-US"/>
        </w:rPr>
        <w:t xml:space="preserve"> proclaims that holy German art will endure no matter what political calamity might befall the Holy Roman Empire, so Wagner now chooses the forlornly French-</w:t>
      </w:r>
      <w:proofErr w:type="spellStart"/>
      <w:r w:rsidRPr="000E5A22">
        <w:rPr>
          <w:szCs w:val="24"/>
          <w:lang w:val="en-US"/>
        </w:rPr>
        <w:t>periwigged</w:t>
      </w:r>
      <w:proofErr w:type="spellEnd"/>
      <w:r w:rsidRPr="000E5A22">
        <w:rPr>
          <w:szCs w:val="24"/>
          <w:lang w:val="en-US"/>
        </w:rPr>
        <w:t xml:space="preserve"> </w:t>
      </w:r>
      <w:r w:rsidRPr="008A4C87">
        <w:rPr>
          <w:smallCaps/>
          <w:szCs w:val="24"/>
          <w:lang w:val="en-US"/>
        </w:rPr>
        <w:t>Bach</w:t>
      </w:r>
      <w:r w:rsidRPr="000E5A22">
        <w:rPr>
          <w:szCs w:val="24"/>
          <w:lang w:val="en-US"/>
        </w:rPr>
        <w:t xml:space="preserve"> as epitome of the German spirit, his music triumphing despite both </w:t>
      </w:r>
      <w:r w:rsidR="008A4C87">
        <w:rPr>
          <w:szCs w:val="24"/>
          <w:lang w:val="en-US"/>
        </w:rPr>
        <w:t>his wretched, unrecogniz</w:t>
      </w:r>
      <w:r w:rsidRPr="000E5A22">
        <w:rPr>
          <w:szCs w:val="24"/>
          <w:lang w:val="en-US"/>
        </w:rPr>
        <w:t>ed existence as choirmaster and organist</w:t>
      </w:r>
      <w:r w:rsidR="00271830">
        <w:rPr>
          <w:szCs w:val="24"/>
          <w:lang w:val="en-US"/>
        </w:rPr>
        <w:t>,</w:t>
      </w:r>
      <w:r w:rsidRPr="000E5A22">
        <w:rPr>
          <w:szCs w:val="24"/>
          <w:lang w:val="en-US"/>
        </w:rPr>
        <w:t xml:space="preserve"> and Germany’s catastrophic political fortunes. (Lutheran-</w:t>
      </w:r>
      <w:proofErr w:type="spellStart"/>
      <w:r w:rsidRPr="000E5A22">
        <w:rPr>
          <w:szCs w:val="24"/>
          <w:lang w:val="en-US"/>
        </w:rPr>
        <w:t>Bachian</w:t>
      </w:r>
      <w:proofErr w:type="spellEnd"/>
      <w:r w:rsidRPr="000E5A22">
        <w:rPr>
          <w:szCs w:val="24"/>
          <w:lang w:val="en-US"/>
        </w:rPr>
        <w:t xml:space="preserve"> chorales loom large in the </w:t>
      </w:r>
      <w:r w:rsidRPr="000E5A22">
        <w:rPr>
          <w:i/>
          <w:szCs w:val="24"/>
          <w:lang w:val="en-US"/>
        </w:rPr>
        <w:t xml:space="preserve">Meistersinger </w:t>
      </w:r>
      <w:r w:rsidRPr="000E5A22">
        <w:rPr>
          <w:szCs w:val="24"/>
          <w:lang w:val="en-US"/>
        </w:rPr>
        <w:t>score, likewise neo-</w:t>
      </w:r>
      <w:proofErr w:type="spellStart"/>
      <w:r w:rsidRPr="000E5A22">
        <w:rPr>
          <w:szCs w:val="24"/>
          <w:lang w:val="en-US"/>
        </w:rPr>
        <w:t>Bachian</w:t>
      </w:r>
      <w:proofErr w:type="spellEnd"/>
      <w:r w:rsidRPr="000E5A22">
        <w:rPr>
          <w:szCs w:val="24"/>
          <w:lang w:val="en-US"/>
        </w:rPr>
        <w:t xml:space="preserve"> counterpoint.) Even when the Germans subsequently attempted democracy and revolution, they merely aped the French; German achievement lay with </w:t>
      </w:r>
      <w:r w:rsidRPr="008A4C87">
        <w:rPr>
          <w:smallCaps/>
          <w:szCs w:val="24"/>
          <w:lang w:val="en-US"/>
        </w:rPr>
        <w:t>Goethe</w:t>
      </w:r>
      <w:r w:rsidRPr="000E5A22">
        <w:rPr>
          <w:szCs w:val="24"/>
          <w:lang w:val="en-US"/>
        </w:rPr>
        <w:t xml:space="preserve"> and </w:t>
      </w:r>
      <w:r w:rsidRPr="008A4C87">
        <w:rPr>
          <w:smallCaps/>
          <w:szCs w:val="24"/>
          <w:lang w:val="en-US"/>
        </w:rPr>
        <w:t>Schiller</w:t>
      </w:r>
      <w:r w:rsidRPr="000E5A22">
        <w:rPr>
          <w:szCs w:val="24"/>
          <w:lang w:val="en-US"/>
        </w:rPr>
        <w:t xml:space="preserve">. Enemies within were as much to blame as those without; what remained of the German spirit was </w:t>
      </w:r>
      <w:r w:rsidR="001F69EC" w:rsidRPr="000E5A22">
        <w:rPr>
          <w:szCs w:val="24"/>
          <w:lang w:val="en-US"/>
        </w:rPr>
        <w:t>imperiled</w:t>
      </w:r>
      <w:r w:rsidRPr="000E5A22">
        <w:rPr>
          <w:szCs w:val="24"/>
          <w:lang w:val="en-US"/>
        </w:rPr>
        <w:t xml:space="preserve"> by an alliterative trinity of J’s: jurists, Junkers, and </w:t>
      </w:r>
      <w:r w:rsidRPr="008A4C87">
        <w:rPr>
          <w:smallCaps/>
          <w:szCs w:val="24"/>
          <w:lang w:val="en-US"/>
        </w:rPr>
        <w:t>Jews</w:t>
      </w:r>
      <w:r w:rsidRPr="000E5A22">
        <w:rPr>
          <w:szCs w:val="24"/>
          <w:lang w:val="en-US"/>
        </w:rPr>
        <w:t>, elsewhere joined by Jesuits and journalists</w:t>
      </w:r>
      <w:r w:rsidR="008A4C87">
        <w:rPr>
          <w:szCs w:val="24"/>
          <w:lang w:val="en-US"/>
        </w:rPr>
        <w:t xml:space="preserve"> (</w:t>
      </w:r>
      <w:r w:rsidR="008A4C87" w:rsidRPr="00271830">
        <w:rPr>
          <w:szCs w:val="24"/>
          <w:lang w:val="en-US"/>
        </w:rPr>
        <w:t>SSD</w:t>
      </w:r>
      <w:r w:rsidR="00271830">
        <w:rPr>
          <w:szCs w:val="24"/>
          <w:lang w:val="en-US"/>
        </w:rPr>
        <w:t xml:space="preserve"> 10:</w:t>
      </w:r>
      <w:r w:rsidR="008A4C87">
        <w:rPr>
          <w:szCs w:val="24"/>
          <w:lang w:val="en-US"/>
        </w:rPr>
        <w:t>61)</w:t>
      </w:r>
      <w:r w:rsidRPr="000E5A22">
        <w:rPr>
          <w:szCs w:val="24"/>
          <w:lang w:val="en-US"/>
        </w:rPr>
        <w:t xml:space="preserve">. </w:t>
      </w:r>
    </w:p>
    <w:p w:rsidR="000E5A22" w:rsidRPr="000E5A22" w:rsidRDefault="000E5A22" w:rsidP="002C0676">
      <w:pPr>
        <w:rPr>
          <w:szCs w:val="24"/>
          <w:lang w:val="en-US"/>
        </w:rPr>
      </w:pPr>
    </w:p>
    <w:p w:rsidR="000E5A22" w:rsidRPr="004022FB" w:rsidRDefault="00CF4036" w:rsidP="004022FB">
      <w:pPr>
        <w:pStyle w:val="ListParagraph"/>
        <w:numPr>
          <w:ilvl w:val="0"/>
          <w:numId w:val="4"/>
        </w:numPr>
        <w:rPr>
          <w:szCs w:val="24"/>
          <w:lang w:val="en-US"/>
        </w:rPr>
      </w:pPr>
      <w:r w:rsidRPr="004022FB">
        <w:rPr>
          <w:szCs w:val="24"/>
          <w:lang w:val="en-US"/>
        </w:rPr>
        <w:t>Wagner and German History after 1883</w:t>
      </w:r>
    </w:p>
    <w:p w:rsidR="003445AF" w:rsidRPr="003445AF" w:rsidRDefault="000E5A22" w:rsidP="003445AF">
      <w:pPr>
        <w:rPr>
          <w:szCs w:val="24"/>
          <w:lang w:val="en-US"/>
        </w:rPr>
      </w:pPr>
      <w:r w:rsidRPr="000E5A22">
        <w:rPr>
          <w:szCs w:val="24"/>
          <w:lang w:val="en-US"/>
        </w:rPr>
        <w:t xml:space="preserve">Subsequent generations have often striven to dissolve these ambiguities, or simply failed to notice them. </w:t>
      </w:r>
      <w:r w:rsidRPr="000011A0">
        <w:rPr>
          <w:smallCaps/>
          <w:szCs w:val="24"/>
          <w:lang w:val="en-US"/>
        </w:rPr>
        <w:t>National Socialism</w:t>
      </w:r>
      <w:r w:rsidRPr="000E5A22">
        <w:rPr>
          <w:szCs w:val="24"/>
          <w:lang w:val="en-US"/>
        </w:rPr>
        <w:t xml:space="preserve"> provides perhaps the most flagrant example, but it is far from alone. </w:t>
      </w:r>
      <w:r w:rsidR="003445AF" w:rsidRPr="003445AF">
        <w:rPr>
          <w:szCs w:val="24"/>
          <w:lang w:val="en-US"/>
        </w:rPr>
        <w:t xml:space="preserve">When Thomas </w:t>
      </w:r>
      <w:r w:rsidR="003445AF" w:rsidRPr="003445AF">
        <w:rPr>
          <w:smallCaps/>
          <w:szCs w:val="24"/>
          <w:lang w:val="en-US"/>
        </w:rPr>
        <w:t xml:space="preserve">Mann </w:t>
      </w:r>
      <w:r w:rsidR="003445AF" w:rsidRPr="003445AF">
        <w:rPr>
          <w:szCs w:val="24"/>
          <w:lang w:val="en-US"/>
        </w:rPr>
        <w:t xml:space="preserve">challenged hardening nationalist orthodoxy by presenting a more interesting, complex Wagner in a 1933 address, </w:t>
      </w:r>
      <w:r w:rsidR="003445AF" w:rsidRPr="003445AF">
        <w:rPr>
          <w:i/>
          <w:szCs w:val="24"/>
          <w:lang w:val="en-US"/>
        </w:rPr>
        <w:t xml:space="preserve">Leiden und </w:t>
      </w:r>
      <w:proofErr w:type="spellStart"/>
      <w:r w:rsidR="003445AF" w:rsidRPr="003445AF">
        <w:rPr>
          <w:i/>
          <w:szCs w:val="24"/>
          <w:lang w:val="en-US"/>
        </w:rPr>
        <w:t>Größe</w:t>
      </w:r>
      <w:proofErr w:type="spellEnd"/>
      <w:r w:rsidR="003445AF" w:rsidRPr="003445AF">
        <w:rPr>
          <w:i/>
          <w:szCs w:val="24"/>
          <w:lang w:val="en-US"/>
        </w:rPr>
        <w:t xml:space="preserve"> Richard </w:t>
      </w:r>
      <w:proofErr w:type="spellStart"/>
      <w:r w:rsidR="003445AF" w:rsidRPr="003445AF">
        <w:rPr>
          <w:i/>
          <w:szCs w:val="24"/>
          <w:lang w:val="en-US"/>
        </w:rPr>
        <w:t>Wagners</w:t>
      </w:r>
      <w:proofErr w:type="spellEnd"/>
      <w:r w:rsidR="003445AF" w:rsidRPr="003445AF">
        <w:rPr>
          <w:szCs w:val="24"/>
          <w:lang w:val="en-US"/>
        </w:rPr>
        <w:t xml:space="preserve"> </w:t>
      </w:r>
      <w:r w:rsidR="00AD2255">
        <w:rPr>
          <w:szCs w:val="24"/>
          <w:lang w:val="en-US"/>
        </w:rPr>
        <w:t>(“</w:t>
      </w:r>
      <w:r w:rsidR="00AD2255" w:rsidRPr="000E5A22">
        <w:rPr>
          <w:szCs w:val="24"/>
          <w:lang w:val="en-US"/>
        </w:rPr>
        <w:t>Sufferings a</w:t>
      </w:r>
      <w:r w:rsidR="00AD2255">
        <w:rPr>
          <w:szCs w:val="24"/>
          <w:lang w:val="en-US"/>
        </w:rPr>
        <w:t>nd Greatness of Richard Wagner”),</w:t>
      </w:r>
      <w:r w:rsidR="00AD2255" w:rsidRPr="000E5A22">
        <w:rPr>
          <w:szCs w:val="24"/>
          <w:lang w:val="en-US"/>
        </w:rPr>
        <w:t xml:space="preserve"> </w:t>
      </w:r>
      <w:r w:rsidR="003445AF" w:rsidRPr="003445AF">
        <w:rPr>
          <w:szCs w:val="24"/>
          <w:lang w:val="en-US"/>
        </w:rPr>
        <w:t>he was rebuked in an indignant “Protest by the Richard Wagner City Munic</w:t>
      </w:r>
      <w:r w:rsidR="00D74D08">
        <w:rPr>
          <w:szCs w:val="24"/>
          <w:lang w:val="en-US"/>
        </w:rPr>
        <w:t>h,” which spoke on behalf of a “</w:t>
      </w:r>
      <w:r w:rsidR="003445AF" w:rsidRPr="003445AF">
        <w:rPr>
          <w:szCs w:val="24"/>
          <w:lang w:val="en-US"/>
        </w:rPr>
        <w:t xml:space="preserve">national restoration of Germany … </w:t>
      </w:r>
      <w:r w:rsidR="00D74D08">
        <w:rPr>
          <w:szCs w:val="24"/>
          <w:lang w:val="en-US"/>
        </w:rPr>
        <w:t>[having] taken on definite form</w:t>
      </w:r>
      <w:r w:rsidR="003445AF" w:rsidRPr="003445AF">
        <w:rPr>
          <w:szCs w:val="24"/>
          <w:lang w:val="en-US"/>
        </w:rPr>
        <w:t>.</w:t>
      </w:r>
      <w:r w:rsidR="006E31C1">
        <w:rPr>
          <w:szCs w:val="24"/>
          <w:lang w:val="en-US"/>
        </w:rPr>
        <w:t>”</w:t>
      </w:r>
      <w:r w:rsidR="003445AF" w:rsidRPr="003445AF">
        <w:rPr>
          <w:szCs w:val="24"/>
          <w:lang w:val="en-US"/>
        </w:rPr>
        <w:t xml:space="preserve"> Though signatories, including Richard </w:t>
      </w:r>
      <w:r w:rsidR="003445AF" w:rsidRPr="003445AF">
        <w:rPr>
          <w:smallCaps/>
          <w:szCs w:val="24"/>
          <w:lang w:val="en-US"/>
        </w:rPr>
        <w:t>Strauss</w:t>
      </w:r>
      <w:r w:rsidR="003445AF" w:rsidRPr="003445AF">
        <w:rPr>
          <w:szCs w:val="24"/>
          <w:lang w:val="en-US"/>
        </w:rPr>
        <w:t xml:space="preserve">, Hans </w:t>
      </w:r>
      <w:proofErr w:type="spellStart"/>
      <w:r w:rsidR="003445AF" w:rsidRPr="003445AF">
        <w:rPr>
          <w:smallCaps/>
          <w:szCs w:val="24"/>
          <w:lang w:val="en-US"/>
        </w:rPr>
        <w:t>Knappertsbusch</w:t>
      </w:r>
      <w:proofErr w:type="spellEnd"/>
      <w:r w:rsidR="003445AF" w:rsidRPr="003445AF">
        <w:rPr>
          <w:szCs w:val="24"/>
          <w:lang w:val="en-US"/>
        </w:rPr>
        <w:t xml:space="preserve">, and Hans </w:t>
      </w:r>
      <w:proofErr w:type="spellStart"/>
      <w:r w:rsidR="003445AF" w:rsidRPr="003445AF">
        <w:rPr>
          <w:szCs w:val="24"/>
          <w:lang w:val="en-US"/>
        </w:rPr>
        <w:t>Pfitzner</w:t>
      </w:r>
      <w:proofErr w:type="spellEnd"/>
      <w:r w:rsidR="003445AF" w:rsidRPr="003445AF">
        <w:rPr>
          <w:szCs w:val="24"/>
          <w:lang w:val="en-US"/>
        </w:rPr>
        <w:t xml:space="preserve">, were not all National Socialists, this was one example of an effort to dissolve the ambiguities sketched above, or a failure to notice them. Such elision of Wagner with Nazi goals has continued to haunt Wagner scholarship and reception into the twenty-first century. The anti-Reich Wagner of </w:t>
      </w:r>
      <w:r w:rsidR="003445AF">
        <w:rPr>
          <w:szCs w:val="24"/>
          <w:lang w:val="en-US"/>
        </w:rPr>
        <w:t>“</w:t>
      </w:r>
      <w:r w:rsidR="003445AF" w:rsidRPr="003445AF">
        <w:rPr>
          <w:smallCaps/>
          <w:szCs w:val="24"/>
          <w:lang w:val="en-US"/>
        </w:rPr>
        <w:t>Was ist deutsch?</w:t>
      </w:r>
      <w:r w:rsidR="003445AF">
        <w:rPr>
          <w:szCs w:val="24"/>
          <w:lang w:val="en-US"/>
        </w:rPr>
        <w:t>”</w:t>
      </w:r>
      <w:r w:rsidR="003445AF" w:rsidRPr="003445AF">
        <w:rPr>
          <w:szCs w:val="24"/>
          <w:lang w:val="en-US"/>
        </w:rPr>
        <w:t xml:space="preserve"> let alone more universalist writings, would surely have objected.</w:t>
      </w:r>
    </w:p>
    <w:p w:rsidR="000E5A22" w:rsidRDefault="000E5A22" w:rsidP="002C0676">
      <w:pPr>
        <w:ind w:firstLine="720"/>
        <w:rPr>
          <w:szCs w:val="24"/>
          <w:lang w:val="en-US"/>
        </w:rPr>
      </w:pPr>
      <w:r w:rsidRPr="000E5A22">
        <w:rPr>
          <w:szCs w:val="24"/>
          <w:lang w:val="en-US"/>
        </w:rPr>
        <w:lastRenderedPageBreak/>
        <w:t xml:space="preserve">However, performance may herald a degree of hope. Some stage directors, such as Stefan </w:t>
      </w:r>
      <w:proofErr w:type="spellStart"/>
      <w:r w:rsidRPr="000E5A22">
        <w:rPr>
          <w:szCs w:val="24"/>
          <w:lang w:val="en-US"/>
        </w:rPr>
        <w:t>Herheim</w:t>
      </w:r>
      <w:proofErr w:type="spellEnd"/>
      <w:r w:rsidRPr="000E5A22">
        <w:rPr>
          <w:szCs w:val="24"/>
          <w:lang w:val="en-US"/>
        </w:rPr>
        <w:t xml:space="preserve"> and Peter </w:t>
      </w:r>
      <w:proofErr w:type="spellStart"/>
      <w:r w:rsidRPr="000E5A22">
        <w:rPr>
          <w:szCs w:val="24"/>
          <w:lang w:val="en-US"/>
        </w:rPr>
        <w:t>Konwitschny</w:t>
      </w:r>
      <w:proofErr w:type="spellEnd"/>
      <w:r w:rsidRPr="000E5A22">
        <w:rPr>
          <w:szCs w:val="24"/>
          <w:lang w:val="en-US"/>
        </w:rPr>
        <w:t xml:space="preserve"> – notably both musicians themselves, able to confront Wagner’s dramas musically – have grappled more seriously with the multi-faceted view of German history evinced by Wagner and his role within it. Exemplary in this respect was </w:t>
      </w:r>
      <w:proofErr w:type="spellStart"/>
      <w:r w:rsidRPr="000E5A22">
        <w:rPr>
          <w:szCs w:val="24"/>
          <w:lang w:val="en-US"/>
        </w:rPr>
        <w:t>Herheim’s</w:t>
      </w:r>
      <w:proofErr w:type="spellEnd"/>
      <w:r w:rsidRPr="000E5A22">
        <w:rPr>
          <w:szCs w:val="24"/>
          <w:lang w:val="en-US"/>
        </w:rPr>
        <w:t xml:space="preserve"> </w:t>
      </w:r>
      <w:r w:rsidR="000011A0" w:rsidRPr="000011A0">
        <w:rPr>
          <w:i/>
          <w:smallCaps/>
          <w:szCs w:val="24"/>
          <w:lang w:val="en-US"/>
        </w:rPr>
        <w:t>Parsifal</w:t>
      </w:r>
      <w:r w:rsidR="000011A0">
        <w:rPr>
          <w:szCs w:val="24"/>
          <w:lang w:val="en-US"/>
        </w:rPr>
        <w:t xml:space="preserve"> </w:t>
      </w:r>
      <w:r w:rsidRPr="000E5A22">
        <w:rPr>
          <w:szCs w:val="24"/>
          <w:lang w:val="en-US"/>
        </w:rPr>
        <w:t xml:space="preserve">at Bayreuth, simultaneously re-telling Wagner’s story of </w:t>
      </w:r>
      <w:r w:rsidRPr="000011A0">
        <w:rPr>
          <w:smallCaps/>
          <w:szCs w:val="24"/>
          <w:lang w:val="en-US"/>
        </w:rPr>
        <w:t>Parsifal</w:t>
      </w:r>
      <w:r w:rsidRPr="000E5A22">
        <w:rPr>
          <w:szCs w:val="24"/>
          <w:lang w:val="en-US"/>
        </w:rPr>
        <w:t xml:space="preserve"> and the </w:t>
      </w:r>
      <w:r w:rsidR="009C232E">
        <w:rPr>
          <w:szCs w:val="24"/>
          <w:lang w:val="en-US"/>
        </w:rPr>
        <w:t xml:space="preserve">work’s </w:t>
      </w:r>
      <w:r w:rsidRPr="000E5A22">
        <w:rPr>
          <w:szCs w:val="24"/>
          <w:lang w:val="en-US"/>
        </w:rPr>
        <w:t>reception story. Electrifying was the unfurling of swastikas, long absent from the Festival, as Weimar-</w:t>
      </w:r>
      <w:r w:rsidRPr="000E5A22">
        <w:rPr>
          <w:i/>
          <w:szCs w:val="24"/>
          <w:lang w:val="en-US"/>
        </w:rPr>
        <w:t>artiste</w:t>
      </w:r>
      <w:r w:rsidRPr="000E5A22">
        <w:rPr>
          <w:szCs w:val="24"/>
          <w:lang w:val="en-US"/>
        </w:rPr>
        <w:t xml:space="preserve"> </w:t>
      </w:r>
      <w:proofErr w:type="spellStart"/>
      <w:r w:rsidRPr="000E5A22">
        <w:rPr>
          <w:szCs w:val="24"/>
          <w:lang w:val="en-US"/>
        </w:rPr>
        <w:t>Klingsor</w:t>
      </w:r>
      <w:proofErr w:type="spellEnd"/>
      <w:r w:rsidRPr="000E5A22">
        <w:rPr>
          <w:szCs w:val="24"/>
          <w:lang w:val="en-US"/>
        </w:rPr>
        <w:t xml:space="preserve"> cast his spear, but still more of a challenge to New Bayreuth orthodoxy was the reproduction on stage in the third act of Wieland and Wolfgang Wagner’s 1951 claim that politics had no place in such a festival. German history always was more interesting than that, as </w:t>
      </w:r>
      <w:proofErr w:type="spellStart"/>
      <w:r w:rsidRPr="000E5A22">
        <w:rPr>
          <w:szCs w:val="24"/>
          <w:lang w:val="en-US"/>
        </w:rPr>
        <w:t>Herheim’s</w:t>
      </w:r>
      <w:proofErr w:type="spellEnd"/>
      <w:r w:rsidRPr="000E5A22">
        <w:rPr>
          <w:szCs w:val="24"/>
          <w:lang w:val="en-US"/>
        </w:rPr>
        <w:t xml:space="preserve"> contradiction bravely demonstrated.</w:t>
      </w:r>
    </w:p>
    <w:p w:rsidR="000011A0" w:rsidRDefault="000011A0" w:rsidP="002C0676">
      <w:pPr>
        <w:jc w:val="right"/>
        <w:rPr>
          <w:caps/>
          <w:szCs w:val="24"/>
          <w:lang w:val="en-US"/>
        </w:rPr>
      </w:pPr>
      <w:r w:rsidRPr="000011A0">
        <w:rPr>
          <w:caps/>
          <w:szCs w:val="24"/>
          <w:lang w:val="en-US"/>
        </w:rPr>
        <w:t>Mark Berry</w:t>
      </w:r>
    </w:p>
    <w:p w:rsidR="000E5A22" w:rsidRPr="000E5A22" w:rsidRDefault="002C0676" w:rsidP="002C0676">
      <w:pPr>
        <w:ind w:left="720" w:hanging="720"/>
        <w:rPr>
          <w:szCs w:val="24"/>
          <w:lang w:val="en-US"/>
        </w:rPr>
      </w:pPr>
      <w:r>
        <w:rPr>
          <w:szCs w:val="24"/>
          <w:lang w:val="en-US"/>
        </w:rPr>
        <w:t>Thomas Mann, “</w:t>
      </w:r>
      <w:r w:rsidR="000E5A22" w:rsidRPr="000E5A22">
        <w:rPr>
          <w:szCs w:val="24"/>
          <w:lang w:val="en-US"/>
        </w:rPr>
        <w:t>Sufferings a</w:t>
      </w:r>
      <w:r>
        <w:rPr>
          <w:szCs w:val="24"/>
          <w:lang w:val="en-US"/>
        </w:rPr>
        <w:t>nd Greatness of Richard Wagner,”</w:t>
      </w:r>
      <w:r w:rsidR="000E5A22" w:rsidRPr="000E5A22">
        <w:rPr>
          <w:szCs w:val="24"/>
          <w:lang w:val="en-US"/>
        </w:rPr>
        <w:t xml:space="preserve"> in </w:t>
      </w:r>
      <w:r w:rsidR="000E5A22" w:rsidRPr="000E5A22">
        <w:rPr>
          <w:i/>
          <w:szCs w:val="24"/>
          <w:lang w:val="en-US"/>
        </w:rPr>
        <w:t>Essays of Three Decades</w:t>
      </w:r>
      <w:r>
        <w:rPr>
          <w:szCs w:val="24"/>
          <w:lang w:val="en-US"/>
        </w:rPr>
        <w:t>, trans</w:t>
      </w:r>
      <w:r w:rsidR="000E5A22" w:rsidRPr="000E5A22">
        <w:rPr>
          <w:szCs w:val="24"/>
          <w:lang w:val="en-US"/>
        </w:rPr>
        <w:t>. H.T. Lowe-Port</w:t>
      </w:r>
      <w:r>
        <w:rPr>
          <w:szCs w:val="24"/>
          <w:lang w:val="en-US"/>
        </w:rPr>
        <w:t xml:space="preserve">er (New York: Knopf, 1976): </w:t>
      </w:r>
      <w:r w:rsidR="000E5A22" w:rsidRPr="000E5A22">
        <w:rPr>
          <w:szCs w:val="24"/>
          <w:lang w:val="en-US"/>
        </w:rPr>
        <w:t>307-71</w:t>
      </w:r>
      <w:r>
        <w:rPr>
          <w:szCs w:val="24"/>
          <w:lang w:val="en-US"/>
        </w:rPr>
        <w:t>.</w:t>
      </w:r>
    </w:p>
    <w:p w:rsidR="00CF4036" w:rsidRDefault="00CF4036" w:rsidP="00CF4036">
      <w:pPr>
        <w:ind w:left="720" w:hanging="720"/>
        <w:rPr>
          <w:szCs w:val="24"/>
          <w:lang w:val="en-US"/>
        </w:rPr>
      </w:pPr>
      <w:r w:rsidRPr="00293EEF">
        <w:rPr>
          <w:szCs w:val="24"/>
          <w:lang w:val="en-US"/>
        </w:rPr>
        <w:t xml:space="preserve">Friedrich </w:t>
      </w:r>
      <w:proofErr w:type="spellStart"/>
      <w:r w:rsidRPr="00293EEF">
        <w:rPr>
          <w:szCs w:val="24"/>
          <w:lang w:val="en-US"/>
        </w:rPr>
        <w:t>Meinecke</w:t>
      </w:r>
      <w:proofErr w:type="spellEnd"/>
      <w:r w:rsidRPr="00293EEF">
        <w:rPr>
          <w:szCs w:val="24"/>
          <w:lang w:val="en-US"/>
        </w:rPr>
        <w:t xml:space="preserve">, </w:t>
      </w:r>
      <w:r w:rsidRPr="0052121D">
        <w:rPr>
          <w:i/>
          <w:szCs w:val="24"/>
          <w:lang w:val="en-US"/>
        </w:rPr>
        <w:t>The German Catastrophe: Reflections and Recollections</w:t>
      </w:r>
      <w:r w:rsidRPr="00293EEF">
        <w:rPr>
          <w:szCs w:val="24"/>
          <w:lang w:val="en-US"/>
        </w:rPr>
        <w:t>, tr</w:t>
      </w:r>
      <w:r>
        <w:rPr>
          <w:szCs w:val="24"/>
          <w:lang w:val="en-US"/>
        </w:rPr>
        <w:t>ans</w:t>
      </w:r>
      <w:r w:rsidRPr="00293EEF">
        <w:rPr>
          <w:szCs w:val="24"/>
          <w:lang w:val="en-US"/>
        </w:rPr>
        <w:t>. Sidney B</w:t>
      </w:r>
      <w:r>
        <w:rPr>
          <w:szCs w:val="24"/>
          <w:lang w:val="en-US"/>
        </w:rPr>
        <w:t>.</w:t>
      </w:r>
      <w:r w:rsidRPr="00293EEF">
        <w:rPr>
          <w:szCs w:val="24"/>
          <w:lang w:val="en-US"/>
        </w:rPr>
        <w:t xml:space="preserve"> Fay (Cambridge, MA: Harvard </w:t>
      </w:r>
      <w:r>
        <w:rPr>
          <w:szCs w:val="24"/>
          <w:lang w:val="en-US"/>
        </w:rPr>
        <w:t>U</w:t>
      </w:r>
      <w:r w:rsidRPr="00293EEF">
        <w:rPr>
          <w:szCs w:val="24"/>
          <w:lang w:val="en-US"/>
        </w:rPr>
        <w:t>P, 1950)</w:t>
      </w:r>
      <w:r>
        <w:rPr>
          <w:szCs w:val="24"/>
          <w:lang w:val="en-US"/>
        </w:rPr>
        <w:t>.</w:t>
      </w:r>
    </w:p>
    <w:p w:rsidR="00CF4036" w:rsidRPr="009345CB" w:rsidRDefault="00CF4036" w:rsidP="00CF4036">
      <w:pPr>
        <w:ind w:left="720" w:hanging="720"/>
        <w:rPr>
          <w:lang w:val="en-US"/>
        </w:rPr>
      </w:pPr>
      <w:r>
        <w:rPr>
          <w:lang w:val="en-US"/>
        </w:rPr>
        <w:t xml:space="preserve">Friedrich Nietzsche, </w:t>
      </w:r>
      <w:r w:rsidRPr="009345CB">
        <w:rPr>
          <w:i/>
          <w:lang w:val="en-US"/>
        </w:rPr>
        <w:t>Selected Letters</w:t>
      </w:r>
      <w:r>
        <w:rPr>
          <w:lang w:val="en-US"/>
        </w:rPr>
        <w:t xml:space="preserve"> </w:t>
      </w:r>
      <w:r>
        <w:rPr>
          <w:bCs/>
          <w:color w:val="222222"/>
          <w:szCs w:val="24"/>
          <w:lang w:val="en-US"/>
        </w:rPr>
        <w:t>(see bibliography).</w:t>
      </w:r>
    </w:p>
    <w:p w:rsidR="00CF4036" w:rsidRPr="00904AF4" w:rsidRDefault="00CF4036" w:rsidP="00CF4036">
      <w:pPr>
        <w:ind w:left="720" w:hanging="720"/>
        <w:rPr>
          <w:szCs w:val="24"/>
          <w:lang w:val="de-DE"/>
        </w:rPr>
      </w:pPr>
      <w:r w:rsidRPr="00904AF4">
        <w:rPr>
          <w:szCs w:val="24"/>
          <w:lang w:val="de-DE"/>
        </w:rPr>
        <w:t>Thomas Nipperdey, Deutsche Geschichte, 3 vols., vol. 1, “1800-1866: Bürgerwelt und starker Staat” (Munich: Beck, 1998).</w:t>
      </w:r>
    </w:p>
    <w:p w:rsidR="00CF4036" w:rsidRPr="00904AF4" w:rsidRDefault="00CF4036" w:rsidP="002C0676">
      <w:pPr>
        <w:ind w:left="720" w:hanging="720"/>
        <w:rPr>
          <w:lang w:val="de-DE"/>
        </w:rPr>
      </w:pPr>
      <w:r w:rsidRPr="00904AF4">
        <w:rPr>
          <w:lang w:val="de-DE"/>
        </w:rPr>
        <w:t xml:space="preserve">“Protest der Richard-Wagner-Stadt München,” </w:t>
      </w:r>
      <w:r w:rsidRPr="00904AF4">
        <w:rPr>
          <w:i/>
          <w:lang w:val="de-DE"/>
        </w:rPr>
        <w:t>Münchner Neueste Nachrichten</w:t>
      </w:r>
      <w:r w:rsidRPr="00904AF4">
        <w:rPr>
          <w:lang w:val="de-DE"/>
        </w:rPr>
        <w:t>, 16/17 April 1933, repr</w:t>
      </w:r>
      <w:r w:rsidR="00116233" w:rsidRPr="00904AF4">
        <w:rPr>
          <w:lang w:val="de-DE"/>
        </w:rPr>
        <w:t>.</w:t>
      </w:r>
      <w:r w:rsidRPr="00904AF4">
        <w:rPr>
          <w:lang w:val="de-DE"/>
        </w:rPr>
        <w:t xml:space="preserve"> and trans. in Sven Friedrich, “Ambivalenz der Leidenschaft – Thomas Mann und Richard Wagner. Zum 125. Geburtstag Thomas Manns,” in: </w:t>
      </w:r>
      <w:r w:rsidRPr="00904AF4">
        <w:rPr>
          <w:i/>
          <w:lang w:val="de-DE"/>
        </w:rPr>
        <w:t>Programmhefte der Bayreuther Festspiele</w:t>
      </w:r>
      <w:r w:rsidRPr="00904AF4">
        <w:rPr>
          <w:lang w:val="de-DE"/>
        </w:rPr>
        <w:t xml:space="preserve"> (2000).</w:t>
      </w:r>
    </w:p>
    <w:p w:rsidR="000E5A22" w:rsidRPr="00904AF4" w:rsidRDefault="000E5A22" w:rsidP="002C0676">
      <w:pPr>
        <w:ind w:left="720" w:hanging="720"/>
        <w:rPr>
          <w:bCs/>
          <w:color w:val="222222"/>
          <w:szCs w:val="24"/>
          <w:lang w:val="de-DE"/>
        </w:rPr>
      </w:pPr>
      <w:r w:rsidRPr="00904AF4">
        <w:rPr>
          <w:szCs w:val="24"/>
          <w:lang w:val="de-DE"/>
        </w:rPr>
        <w:t xml:space="preserve">Hannu Salmi, </w:t>
      </w:r>
      <w:r w:rsidRPr="00904AF4">
        <w:rPr>
          <w:bCs/>
          <w:i/>
          <w:color w:val="222222"/>
          <w:szCs w:val="24"/>
          <w:lang w:val="de-DE"/>
        </w:rPr>
        <w:t>Die schriftstellerische und politische Tätigkeit Richard Wagners</w:t>
      </w:r>
      <w:r w:rsidR="002C0676" w:rsidRPr="00904AF4">
        <w:rPr>
          <w:bCs/>
          <w:color w:val="222222"/>
          <w:szCs w:val="24"/>
          <w:lang w:val="de-DE"/>
        </w:rPr>
        <w:t xml:space="preserve"> (see bibliography).</w:t>
      </w:r>
    </w:p>
    <w:p w:rsidR="001642F7" w:rsidRPr="000E5A22" w:rsidRDefault="001642F7" w:rsidP="002C0676">
      <w:pPr>
        <w:ind w:left="720" w:hanging="720"/>
        <w:rPr>
          <w:szCs w:val="24"/>
          <w:lang w:val="en-US"/>
        </w:rPr>
      </w:pPr>
      <w:r w:rsidRPr="001642F7">
        <w:rPr>
          <w:szCs w:val="24"/>
          <w:lang w:val="en-US"/>
        </w:rPr>
        <w:lastRenderedPageBreak/>
        <w:t xml:space="preserve">Hans-Ulrich </w:t>
      </w:r>
      <w:proofErr w:type="spellStart"/>
      <w:r w:rsidRPr="001642F7">
        <w:rPr>
          <w:szCs w:val="24"/>
          <w:lang w:val="en-US"/>
        </w:rPr>
        <w:t>Wehler</w:t>
      </w:r>
      <w:proofErr w:type="spellEnd"/>
      <w:r w:rsidRPr="001642F7">
        <w:rPr>
          <w:szCs w:val="24"/>
          <w:lang w:val="en-US"/>
        </w:rPr>
        <w:t xml:space="preserve">, </w:t>
      </w:r>
      <w:r w:rsidRPr="001642F7">
        <w:rPr>
          <w:i/>
          <w:szCs w:val="24"/>
          <w:lang w:val="en-US"/>
        </w:rPr>
        <w:t>The German Empire, 1871-1918</w:t>
      </w:r>
      <w:r>
        <w:rPr>
          <w:szCs w:val="24"/>
          <w:lang w:val="en-US"/>
        </w:rPr>
        <w:t xml:space="preserve">, trans. Kim </w:t>
      </w:r>
      <w:proofErr w:type="spellStart"/>
      <w:r>
        <w:rPr>
          <w:szCs w:val="24"/>
          <w:lang w:val="en-US"/>
        </w:rPr>
        <w:t>Traynor</w:t>
      </w:r>
      <w:proofErr w:type="spellEnd"/>
      <w:r>
        <w:rPr>
          <w:szCs w:val="24"/>
          <w:lang w:val="en-US"/>
        </w:rPr>
        <w:t xml:space="preserve"> (</w:t>
      </w:r>
      <w:r w:rsidR="008134D3" w:rsidRPr="001642F7">
        <w:rPr>
          <w:szCs w:val="24"/>
          <w:lang w:val="en-US"/>
        </w:rPr>
        <w:t>Oxford</w:t>
      </w:r>
      <w:r w:rsidR="008134D3">
        <w:rPr>
          <w:szCs w:val="24"/>
          <w:lang w:val="en-US"/>
        </w:rPr>
        <w:t>,</w:t>
      </w:r>
      <w:r w:rsidR="008134D3" w:rsidRPr="001642F7">
        <w:rPr>
          <w:szCs w:val="24"/>
          <w:lang w:val="en-US"/>
        </w:rPr>
        <w:t xml:space="preserve"> </w:t>
      </w:r>
      <w:r w:rsidR="008134D3">
        <w:rPr>
          <w:szCs w:val="24"/>
          <w:lang w:val="en-US"/>
        </w:rPr>
        <w:t xml:space="preserve">Berg: </w:t>
      </w:r>
      <w:r w:rsidRPr="001642F7">
        <w:rPr>
          <w:szCs w:val="24"/>
          <w:lang w:val="en-US"/>
        </w:rPr>
        <w:t>1997).</w:t>
      </w:r>
    </w:p>
    <w:p w:rsidR="006B196F" w:rsidRPr="000E5A22" w:rsidRDefault="00CF4036" w:rsidP="002C0676">
      <w:pPr>
        <w:ind w:left="720" w:hanging="720"/>
        <w:rPr>
          <w:lang w:val="en-US"/>
        </w:rPr>
      </w:pPr>
      <w:r>
        <w:t xml:space="preserve"> </w:t>
      </w:r>
    </w:p>
    <w:p w:rsidR="002C0676" w:rsidRPr="000E5A22" w:rsidRDefault="002C0676">
      <w:pPr>
        <w:ind w:left="720" w:hanging="720"/>
        <w:rPr>
          <w:lang w:val="en-US"/>
        </w:rPr>
      </w:pPr>
    </w:p>
    <w:sectPr w:rsidR="002C0676" w:rsidRPr="000E5A22" w:rsidSect="005628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8D" w:rsidRDefault="0047268D" w:rsidP="000E5A22">
      <w:pPr>
        <w:spacing w:line="240" w:lineRule="auto"/>
      </w:pPr>
      <w:r>
        <w:separator/>
      </w:r>
    </w:p>
  </w:endnote>
  <w:endnote w:type="continuationSeparator" w:id="0">
    <w:p w:rsidR="0047268D" w:rsidRDefault="0047268D" w:rsidP="000E5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8D" w:rsidRDefault="0047268D" w:rsidP="000E5A22">
      <w:pPr>
        <w:spacing w:line="240" w:lineRule="auto"/>
      </w:pPr>
      <w:r>
        <w:separator/>
      </w:r>
    </w:p>
  </w:footnote>
  <w:footnote w:type="continuationSeparator" w:id="0">
    <w:p w:rsidR="0047268D" w:rsidRDefault="0047268D" w:rsidP="000E5A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7074"/>
    <w:multiLevelType w:val="hybridMultilevel"/>
    <w:tmpl w:val="405C5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521E6A"/>
    <w:multiLevelType w:val="hybridMultilevel"/>
    <w:tmpl w:val="0B6EB5E2"/>
    <w:lvl w:ilvl="0" w:tplc="E16EC2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684804"/>
    <w:multiLevelType w:val="hybridMultilevel"/>
    <w:tmpl w:val="FC70228E"/>
    <w:lvl w:ilvl="0" w:tplc="E16EC2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5A22"/>
    <w:rsid w:val="000011A0"/>
    <w:rsid w:val="0005587E"/>
    <w:rsid w:val="000E5A22"/>
    <w:rsid w:val="00116233"/>
    <w:rsid w:val="0011750E"/>
    <w:rsid w:val="00130C56"/>
    <w:rsid w:val="001642F7"/>
    <w:rsid w:val="001C22D0"/>
    <w:rsid w:val="001C38A6"/>
    <w:rsid w:val="001F69EC"/>
    <w:rsid w:val="002175D7"/>
    <w:rsid w:val="00271830"/>
    <w:rsid w:val="00293EEF"/>
    <w:rsid w:val="002C0676"/>
    <w:rsid w:val="002F30A4"/>
    <w:rsid w:val="00300ADB"/>
    <w:rsid w:val="003445AF"/>
    <w:rsid w:val="003540A7"/>
    <w:rsid w:val="00354B41"/>
    <w:rsid w:val="004022FB"/>
    <w:rsid w:val="0047268D"/>
    <w:rsid w:val="0049559B"/>
    <w:rsid w:val="004A35CB"/>
    <w:rsid w:val="0052121D"/>
    <w:rsid w:val="00535D31"/>
    <w:rsid w:val="005F63A5"/>
    <w:rsid w:val="006B196F"/>
    <w:rsid w:val="006E31C1"/>
    <w:rsid w:val="006F63F6"/>
    <w:rsid w:val="006F72B9"/>
    <w:rsid w:val="00705023"/>
    <w:rsid w:val="007D7337"/>
    <w:rsid w:val="00804C5F"/>
    <w:rsid w:val="008134D3"/>
    <w:rsid w:val="008333CB"/>
    <w:rsid w:val="008A4C87"/>
    <w:rsid w:val="008C6F0D"/>
    <w:rsid w:val="00904AF4"/>
    <w:rsid w:val="00930231"/>
    <w:rsid w:val="009345CB"/>
    <w:rsid w:val="00972F8C"/>
    <w:rsid w:val="009A52CC"/>
    <w:rsid w:val="009A7F60"/>
    <w:rsid w:val="009B7D82"/>
    <w:rsid w:val="009C232E"/>
    <w:rsid w:val="009D23D0"/>
    <w:rsid w:val="009E4FFA"/>
    <w:rsid w:val="00A22FB2"/>
    <w:rsid w:val="00A97612"/>
    <w:rsid w:val="00AA2624"/>
    <w:rsid w:val="00AD2255"/>
    <w:rsid w:val="00BE426A"/>
    <w:rsid w:val="00CE5AFD"/>
    <w:rsid w:val="00CF4036"/>
    <w:rsid w:val="00D269F9"/>
    <w:rsid w:val="00D74D08"/>
    <w:rsid w:val="00E0066F"/>
    <w:rsid w:val="00E276B3"/>
    <w:rsid w:val="00EB48B0"/>
    <w:rsid w:val="00F80CA4"/>
    <w:rsid w:val="00FD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22"/>
    <w:pPr>
      <w:spacing w:after="0" w:line="480" w:lineRule="auto"/>
    </w:pPr>
    <w:rPr>
      <w:rFonts w:ascii="Times New Roman" w:eastAsia="Calibri" w:hAnsi="Times New Roman" w:cs="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52CC"/>
    <w:pPr>
      <w:framePr w:w="7920" w:h="1980" w:hRule="exact" w:hSpace="180" w:wrap="auto" w:hAnchor="page" w:xAlign="center" w:yAlign="bottom"/>
      <w:ind w:left="2880"/>
    </w:pPr>
    <w:rPr>
      <w:rFonts w:ascii="Arial" w:eastAsia="Arial Unicode MS" w:hAnsi="Arial" w:cstheme="majorBidi"/>
      <w:sz w:val="28"/>
      <w:szCs w:val="24"/>
    </w:rPr>
  </w:style>
  <w:style w:type="paragraph" w:styleId="FootnoteText">
    <w:name w:val="footnote text"/>
    <w:basedOn w:val="Normal"/>
    <w:link w:val="FootnoteTextChar"/>
    <w:uiPriority w:val="99"/>
    <w:semiHidden/>
    <w:unhideWhenUsed/>
    <w:rsid w:val="000E5A22"/>
    <w:rPr>
      <w:sz w:val="20"/>
      <w:szCs w:val="20"/>
    </w:rPr>
  </w:style>
  <w:style w:type="character" w:customStyle="1" w:styleId="FootnoteTextChar">
    <w:name w:val="Footnote Text Char"/>
    <w:basedOn w:val="DefaultParagraphFont"/>
    <w:link w:val="FootnoteText"/>
    <w:uiPriority w:val="99"/>
    <w:semiHidden/>
    <w:rsid w:val="000E5A22"/>
    <w:rPr>
      <w:rFonts w:ascii="Calibri" w:eastAsia="Calibri" w:hAnsi="Calibri" w:cs="Times New Roman"/>
      <w:sz w:val="20"/>
      <w:szCs w:val="20"/>
      <w:lang w:val="en-GB" w:eastAsia="en-US"/>
    </w:rPr>
  </w:style>
  <w:style w:type="character" w:styleId="FootnoteReference">
    <w:name w:val="footnote reference"/>
    <w:basedOn w:val="DefaultParagraphFont"/>
    <w:uiPriority w:val="99"/>
    <w:semiHidden/>
    <w:unhideWhenUsed/>
    <w:rsid w:val="000E5A22"/>
    <w:rPr>
      <w:vertAlign w:val="superscript"/>
    </w:rPr>
  </w:style>
  <w:style w:type="paragraph" w:styleId="ListParagraph">
    <w:name w:val="List Paragraph"/>
    <w:basedOn w:val="Normal"/>
    <w:uiPriority w:val="34"/>
    <w:qFormat/>
    <w:rsid w:val="00CF4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7790-8BE2-4A4A-A799-316FCA6D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Vazsonyi</dc:creator>
  <cp:keywords/>
  <dc:description/>
  <cp:lastModifiedBy>Nicholas Vazsonyi</cp:lastModifiedBy>
  <cp:revision>42</cp:revision>
  <dcterms:created xsi:type="dcterms:W3CDTF">2011-01-25T15:11:00Z</dcterms:created>
  <dcterms:modified xsi:type="dcterms:W3CDTF">2011-05-17T13:05:00Z</dcterms:modified>
</cp:coreProperties>
</file>