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8B" w:rsidRPr="0021595F" w:rsidRDefault="006E518B" w:rsidP="006E518B">
      <w:pPr>
        <w:rPr>
          <w:szCs w:val="24"/>
        </w:rPr>
      </w:pPr>
      <w:r w:rsidRPr="0021595F">
        <w:rPr>
          <w:b/>
          <w:szCs w:val="24"/>
        </w:rPr>
        <w:t>Bakunin, Mikhail</w:t>
      </w:r>
      <w:r w:rsidRPr="0021595F">
        <w:rPr>
          <w:szCs w:val="24"/>
        </w:rPr>
        <w:t xml:space="preserve">, (b. </w:t>
      </w:r>
      <w:proofErr w:type="spellStart"/>
      <w:r w:rsidR="000A0FFF" w:rsidRPr="0021595F">
        <w:rPr>
          <w:szCs w:val="24"/>
        </w:rPr>
        <w:t>Priamukhino</w:t>
      </w:r>
      <w:proofErr w:type="spellEnd"/>
      <w:r w:rsidR="000A0FFF" w:rsidRPr="0021595F">
        <w:rPr>
          <w:szCs w:val="24"/>
        </w:rPr>
        <w:t>, Russia</w:t>
      </w:r>
      <w:r w:rsidR="000A0FFF">
        <w:rPr>
          <w:szCs w:val="24"/>
        </w:rPr>
        <w:t>,</w:t>
      </w:r>
      <w:r w:rsidR="000A0FFF" w:rsidRPr="0021595F">
        <w:rPr>
          <w:szCs w:val="24"/>
        </w:rPr>
        <w:t xml:space="preserve"> </w:t>
      </w:r>
      <w:r w:rsidR="000A0FFF">
        <w:rPr>
          <w:szCs w:val="24"/>
        </w:rPr>
        <w:t>30 May [Old Style: 18 May] 1814</w:t>
      </w:r>
      <w:r w:rsidRPr="0021595F">
        <w:rPr>
          <w:szCs w:val="24"/>
        </w:rPr>
        <w:t xml:space="preserve">; d. </w:t>
      </w:r>
      <w:r w:rsidR="000A0FFF" w:rsidRPr="0021595F">
        <w:rPr>
          <w:szCs w:val="24"/>
        </w:rPr>
        <w:t>Berne</w:t>
      </w:r>
      <w:r w:rsidR="000A0FFF">
        <w:rPr>
          <w:szCs w:val="24"/>
        </w:rPr>
        <w:t>,</w:t>
      </w:r>
      <w:r w:rsidR="000A0FFF" w:rsidRPr="0021595F">
        <w:rPr>
          <w:szCs w:val="24"/>
        </w:rPr>
        <w:t xml:space="preserve"> </w:t>
      </w:r>
      <w:r w:rsidRPr="0021595F">
        <w:rPr>
          <w:szCs w:val="24"/>
        </w:rPr>
        <w:t>1 Jul</w:t>
      </w:r>
      <w:r w:rsidR="000A0FFF">
        <w:rPr>
          <w:szCs w:val="24"/>
        </w:rPr>
        <w:t>y 1876),</w:t>
      </w:r>
      <w:r w:rsidRPr="0021595F">
        <w:rPr>
          <w:szCs w:val="24"/>
        </w:rPr>
        <w:t xml:space="preserve"> Russian anarchist. A nobleman’s heir, Bakunin resigned his army commission to study phi</w:t>
      </w:r>
      <w:r w:rsidR="008D148C" w:rsidRPr="0021595F">
        <w:rPr>
          <w:szCs w:val="24"/>
        </w:rPr>
        <w:t>losophy in Moscow. Part of the “</w:t>
      </w:r>
      <w:proofErr w:type="spellStart"/>
      <w:r w:rsidR="008D148C" w:rsidRPr="0021595F">
        <w:rPr>
          <w:szCs w:val="24"/>
        </w:rPr>
        <w:t>Stankevich</w:t>
      </w:r>
      <w:proofErr w:type="spellEnd"/>
      <w:r w:rsidR="008D148C" w:rsidRPr="0021595F">
        <w:rPr>
          <w:szCs w:val="24"/>
        </w:rPr>
        <w:t xml:space="preserve"> Circle,”</w:t>
      </w:r>
      <w:r w:rsidRPr="0021595F">
        <w:rPr>
          <w:szCs w:val="24"/>
        </w:rPr>
        <w:t xml:space="preserve"> he translated </w:t>
      </w:r>
      <w:r w:rsidRPr="0021595F">
        <w:rPr>
          <w:smallCaps/>
          <w:szCs w:val="24"/>
        </w:rPr>
        <w:t>Fichte</w:t>
      </w:r>
      <w:r w:rsidRPr="0021595F">
        <w:rPr>
          <w:szCs w:val="24"/>
        </w:rPr>
        <w:t xml:space="preserve"> and </w:t>
      </w:r>
      <w:r w:rsidRPr="0021595F">
        <w:rPr>
          <w:smallCaps/>
          <w:szCs w:val="24"/>
        </w:rPr>
        <w:t>Hegel</w:t>
      </w:r>
      <w:r w:rsidRPr="0021595F">
        <w:rPr>
          <w:szCs w:val="24"/>
        </w:rPr>
        <w:t xml:space="preserve"> and fell under Alexander </w:t>
      </w:r>
      <w:proofErr w:type="spellStart"/>
      <w:r w:rsidRPr="0021595F">
        <w:rPr>
          <w:szCs w:val="24"/>
        </w:rPr>
        <w:t>Herzen’s</w:t>
      </w:r>
      <w:proofErr w:type="spellEnd"/>
      <w:r w:rsidRPr="0021595F">
        <w:rPr>
          <w:szCs w:val="24"/>
        </w:rPr>
        <w:t xml:space="preserve"> influence. There followed from 1840 an itinerant revolutionary existence</w:t>
      </w:r>
      <w:r w:rsidR="008D148C" w:rsidRPr="0021595F">
        <w:rPr>
          <w:szCs w:val="24"/>
        </w:rPr>
        <w:t>.</w:t>
      </w:r>
      <w:r w:rsidRPr="0021595F">
        <w:rPr>
          <w:szCs w:val="24"/>
        </w:rPr>
        <w:t xml:space="preserve"> </w:t>
      </w:r>
      <w:r w:rsidR="008D148C" w:rsidRPr="0021595F">
        <w:rPr>
          <w:szCs w:val="24"/>
        </w:rPr>
        <w:t>I</w:t>
      </w:r>
      <w:r w:rsidRPr="0021595F">
        <w:rPr>
          <w:szCs w:val="24"/>
        </w:rPr>
        <w:t>n Berlin</w:t>
      </w:r>
      <w:r w:rsidR="008D148C" w:rsidRPr="0021595F">
        <w:rPr>
          <w:szCs w:val="24"/>
        </w:rPr>
        <w:t>,</w:t>
      </w:r>
      <w:r w:rsidRPr="0021595F">
        <w:rPr>
          <w:szCs w:val="24"/>
        </w:rPr>
        <w:t xml:space="preserve"> he shared an apartment with Ivan Turgenev, joined the Young Hegelian party, and penned </w:t>
      </w:r>
      <w:r w:rsidRPr="0021595F">
        <w:rPr>
          <w:i/>
          <w:szCs w:val="24"/>
        </w:rPr>
        <w:t>The Reaction in Germany</w:t>
      </w:r>
      <w:r w:rsidR="008D148C" w:rsidRPr="0021595F">
        <w:rPr>
          <w:szCs w:val="24"/>
        </w:rPr>
        <w:t xml:space="preserve"> (1842).</w:t>
      </w:r>
      <w:r w:rsidRPr="0021595F">
        <w:rPr>
          <w:szCs w:val="24"/>
        </w:rPr>
        <w:t xml:space="preserve"> </w:t>
      </w:r>
      <w:r w:rsidR="008D148C" w:rsidRPr="0021595F">
        <w:rPr>
          <w:szCs w:val="24"/>
        </w:rPr>
        <w:t xml:space="preserve">In </w:t>
      </w:r>
      <w:r w:rsidRPr="0021595F">
        <w:rPr>
          <w:szCs w:val="24"/>
        </w:rPr>
        <w:t>Zurich</w:t>
      </w:r>
      <w:r w:rsidR="008D148C" w:rsidRPr="0021595F">
        <w:rPr>
          <w:szCs w:val="24"/>
        </w:rPr>
        <w:t>,</w:t>
      </w:r>
      <w:r w:rsidRPr="0021595F">
        <w:rPr>
          <w:szCs w:val="24"/>
        </w:rPr>
        <w:t xml:space="preserve"> he travelled with Georg </w:t>
      </w:r>
      <w:proofErr w:type="spellStart"/>
      <w:r w:rsidRPr="0021595F">
        <w:rPr>
          <w:smallCaps/>
          <w:szCs w:val="24"/>
        </w:rPr>
        <w:t>Herwegh</w:t>
      </w:r>
      <w:proofErr w:type="spellEnd"/>
      <w:r w:rsidRPr="0021595F">
        <w:rPr>
          <w:szCs w:val="24"/>
        </w:rPr>
        <w:t>, meet</w:t>
      </w:r>
      <w:r w:rsidR="008D148C" w:rsidRPr="0021595F">
        <w:rPr>
          <w:szCs w:val="24"/>
        </w:rPr>
        <w:t xml:space="preserve">ing Wilhelm </w:t>
      </w:r>
      <w:proofErr w:type="spellStart"/>
      <w:r w:rsidR="008D148C" w:rsidRPr="0021595F">
        <w:rPr>
          <w:szCs w:val="24"/>
        </w:rPr>
        <w:t>Weitling</w:t>
      </w:r>
      <w:proofErr w:type="spellEnd"/>
      <w:r w:rsidR="008D148C" w:rsidRPr="0021595F">
        <w:rPr>
          <w:szCs w:val="24"/>
        </w:rPr>
        <w:t xml:space="preserve"> and other “German communists.” In</w:t>
      </w:r>
      <w:r w:rsidRPr="0021595F">
        <w:rPr>
          <w:szCs w:val="24"/>
        </w:rPr>
        <w:t xml:space="preserve"> Paris</w:t>
      </w:r>
      <w:r w:rsidR="0086616D">
        <w:rPr>
          <w:szCs w:val="24"/>
        </w:rPr>
        <w:t>,</w:t>
      </w:r>
      <w:r w:rsidRPr="0021595F">
        <w:rPr>
          <w:szCs w:val="24"/>
        </w:rPr>
        <w:t xml:space="preserve"> he met fellow anarchist and </w:t>
      </w:r>
      <w:r w:rsidR="008D148C" w:rsidRPr="0021595F">
        <w:rPr>
          <w:szCs w:val="24"/>
        </w:rPr>
        <w:t xml:space="preserve">later </w:t>
      </w:r>
      <w:r w:rsidRPr="0021595F">
        <w:rPr>
          <w:szCs w:val="24"/>
        </w:rPr>
        <w:t xml:space="preserve">friend, Pierre-Joseph Proudhon, and his eventual nemesis, </w:t>
      </w:r>
      <w:r w:rsidR="008D148C" w:rsidRPr="0021595F">
        <w:rPr>
          <w:szCs w:val="24"/>
        </w:rPr>
        <w:t xml:space="preserve">Karl </w:t>
      </w:r>
      <w:r w:rsidRPr="0021595F">
        <w:rPr>
          <w:szCs w:val="24"/>
        </w:rPr>
        <w:t xml:space="preserve">Marx. Sympathy for the Polish cause distinguished him from many Russians </w:t>
      </w:r>
      <w:r w:rsidRPr="0021595F">
        <w:rPr>
          <w:i/>
          <w:szCs w:val="24"/>
        </w:rPr>
        <w:t>and</w:t>
      </w:r>
      <w:r w:rsidRPr="0021595F">
        <w:rPr>
          <w:szCs w:val="24"/>
        </w:rPr>
        <w:t xml:space="preserve"> Germans, and </w:t>
      </w:r>
      <w:r w:rsidR="008D148C" w:rsidRPr="0021595F">
        <w:rPr>
          <w:szCs w:val="24"/>
        </w:rPr>
        <w:t>got</w:t>
      </w:r>
      <w:r w:rsidRPr="0021595F">
        <w:rPr>
          <w:szCs w:val="24"/>
        </w:rPr>
        <w:t xml:space="preserve"> him expelled from Paris. In 1848, he attended the First Slav Congress in Prague and made his </w:t>
      </w:r>
      <w:r w:rsidRPr="0021595F">
        <w:rPr>
          <w:i/>
          <w:szCs w:val="24"/>
        </w:rPr>
        <w:t>Appeal to the Slavs</w:t>
      </w:r>
      <w:r w:rsidRPr="0021595F">
        <w:rPr>
          <w:szCs w:val="24"/>
        </w:rPr>
        <w:t xml:space="preserve">, demanding continental revolutionary unity to overthrow Russian, Austrian, and Prussian autocracy. </w:t>
      </w:r>
    </w:p>
    <w:p w:rsidR="006E518B" w:rsidRPr="0021595F" w:rsidRDefault="006E518B" w:rsidP="000A0FFF">
      <w:pPr>
        <w:ind w:firstLine="720"/>
        <w:rPr>
          <w:szCs w:val="24"/>
        </w:rPr>
      </w:pPr>
      <w:r w:rsidRPr="0021595F">
        <w:rPr>
          <w:szCs w:val="24"/>
        </w:rPr>
        <w:t xml:space="preserve">Following Wagner’s 1849 Palm Sunday performance of Beethoven’s Ninth Symphony, Bakunin approached the conductor, announcing: </w:t>
      </w:r>
      <w:r w:rsidR="00CB30A2" w:rsidRPr="0021595F">
        <w:rPr>
          <w:szCs w:val="24"/>
        </w:rPr>
        <w:t>“</w:t>
      </w:r>
      <w:r w:rsidRPr="0021595F">
        <w:rPr>
          <w:szCs w:val="24"/>
        </w:rPr>
        <w:t xml:space="preserve">if all music were to be lost in the coming world conflagration, we should risk our own </w:t>
      </w:r>
      <w:r w:rsidR="00B07515" w:rsidRPr="0021595F">
        <w:rPr>
          <w:szCs w:val="24"/>
        </w:rPr>
        <w:t>lives to preserve this symphony</w:t>
      </w:r>
      <w:r w:rsidR="00CB30A2" w:rsidRPr="0021595F">
        <w:rPr>
          <w:szCs w:val="24"/>
        </w:rPr>
        <w:t>”</w:t>
      </w:r>
      <w:r w:rsidR="00B07515" w:rsidRPr="0021595F">
        <w:rPr>
          <w:szCs w:val="24"/>
        </w:rPr>
        <w:t xml:space="preserve"> (ML/E 384).</w:t>
      </w:r>
      <w:r w:rsidRPr="0021595F">
        <w:rPr>
          <w:szCs w:val="24"/>
        </w:rPr>
        <w:t xml:space="preserve"> Wagner writes a little of their ensuing discussions, generally of a political nature, Bakunin</w:t>
      </w:r>
      <w:r w:rsidR="00B07515" w:rsidRPr="0021595F">
        <w:rPr>
          <w:szCs w:val="24"/>
        </w:rPr>
        <w:t xml:space="preserve"> rejoicing in his “creative passion”</w:t>
      </w:r>
      <w:r w:rsidRPr="0021595F">
        <w:rPr>
          <w:szCs w:val="24"/>
        </w:rPr>
        <w:t xml:space="preserve"> for destruction</w:t>
      </w:r>
      <w:r w:rsidR="00B07515" w:rsidRPr="0021595F">
        <w:rPr>
          <w:szCs w:val="24"/>
        </w:rPr>
        <w:t xml:space="preserve"> (Bakunin 58)</w:t>
      </w:r>
      <w:r w:rsidRPr="0021595F">
        <w:rPr>
          <w:szCs w:val="24"/>
        </w:rPr>
        <w:t xml:space="preserve">. Had Wagner not yet heard of Marx, he most likely would have done </w:t>
      </w:r>
      <w:r w:rsidR="00B07515" w:rsidRPr="0021595F">
        <w:rPr>
          <w:szCs w:val="24"/>
        </w:rPr>
        <w:t xml:space="preserve">so </w:t>
      </w:r>
      <w:r w:rsidRPr="0021595F">
        <w:rPr>
          <w:szCs w:val="24"/>
        </w:rPr>
        <w:t xml:space="preserve">during these walks. Upon Bakunin’s next return from revolutionary Prague, he threw himself into the </w:t>
      </w:r>
      <w:r w:rsidR="000748F4" w:rsidRPr="0021595F">
        <w:rPr>
          <w:smallCaps/>
          <w:szCs w:val="24"/>
        </w:rPr>
        <w:t>Dresden uprising</w:t>
      </w:r>
      <w:r w:rsidRPr="0021595F">
        <w:rPr>
          <w:szCs w:val="24"/>
        </w:rPr>
        <w:t xml:space="preserve">, despite </w:t>
      </w:r>
      <w:r w:rsidR="00624DEA" w:rsidRPr="0021595F">
        <w:rPr>
          <w:szCs w:val="24"/>
        </w:rPr>
        <w:t>disapproving</w:t>
      </w:r>
      <w:r w:rsidRPr="0021595F">
        <w:rPr>
          <w:szCs w:val="24"/>
        </w:rPr>
        <w:t xml:space="preserve"> </w:t>
      </w:r>
      <w:r w:rsidR="00624DEA" w:rsidRPr="0021595F">
        <w:rPr>
          <w:szCs w:val="24"/>
        </w:rPr>
        <w:t xml:space="preserve">of </w:t>
      </w:r>
      <w:r w:rsidRPr="0021595F">
        <w:rPr>
          <w:szCs w:val="24"/>
        </w:rPr>
        <w:t>its amateurism. He proposed centrali</w:t>
      </w:r>
      <w:r w:rsidR="00624DEA" w:rsidRPr="0021595F">
        <w:rPr>
          <w:szCs w:val="24"/>
        </w:rPr>
        <w:t>z</w:t>
      </w:r>
      <w:r w:rsidRPr="0021595F">
        <w:rPr>
          <w:szCs w:val="24"/>
        </w:rPr>
        <w:t xml:space="preserve">ing gunpowder reserves in the </w:t>
      </w:r>
      <w:proofErr w:type="spellStart"/>
      <w:r w:rsidRPr="0021595F">
        <w:rPr>
          <w:szCs w:val="24"/>
        </w:rPr>
        <w:t>Rathaus</w:t>
      </w:r>
      <w:proofErr w:type="spellEnd"/>
      <w:r w:rsidRPr="0021595F">
        <w:rPr>
          <w:szCs w:val="24"/>
        </w:rPr>
        <w:t xml:space="preserve"> to blow up approaching Prussian troops. </w:t>
      </w:r>
    </w:p>
    <w:p w:rsidR="006E518B" w:rsidRPr="0021595F" w:rsidRDefault="006E518B" w:rsidP="000A0FFF">
      <w:pPr>
        <w:ind w:firstLine="720"/>
        <w:rPr>
          <w:szCs w:val="24"/>
        </w:rPr>
      </w:pPr>
      <w:r w:rsidRPr="0021595F">
        <w:rPr>
          <w:szCs w:val="24"/>
        </w:rPr>
        <w:t xml:space="preserve">Captured and arrested in Chemnitz with other revolutionaries, including August </w:t>
      </w:r>
      <w:proofErr w:type="spellStart"/>
      <w:r w:rsidRPr="0021595F">
        <w:rPr>
          <w:smallCaps/>
          <w:szCs w:val="24"/>
        </w:rPr>
        <w:t>Röckel</w:t>
      </w:r>
      <w:proofErr w:type="spellEnd"/>
      <w:r w:rsidRPr="0021595F">
        <w:rPr>
          <w:szCs w:val="24"/>
        </w:rPr>
        <w:t xml:space="preserve"> but not Wagner, Bakunin received commuted death sentences in Saxony and Austria, before </w:t>
      </w:r>
      <w:r w:rsidRPr="0021595F">
        <w:rPr>
          <w:szCs w:val="24"/>
        </w:rPr>
        <w:lastRenderedPageBreak/>
        <w:t xml:space="preserve">extradition to Russia, where he was held in solitary confinement in St Petersburg’s Peter-Paul Fortress from 1851 to 1857. Released into Siberian exile, he escaped via Japan to San Francisco, whence he resumed his itinerant activities, through London, Lithuania, Stockholm, Switzerland, Lyons, Bologna, etc. Disdaining participation in the corruption of </w:t>
      </w:r>
      <w:r w:rsidR="000748F4" w:rsidRPr="0021595F">
        <w:rPr>
          <w:szCs w:val="24"/>
        </w:rPr>
        <w:t>“</w:t>
      </w:r>
      <w:r w:rsidRPr="0021595F">
        <w:rPr>
          <w:szCs w:val="24"/>
        </w:rPr>
        <w:t>bourgeois</w:t>
      </w:r>
      <w:r w:rsidR="000748F4" w:rsidRPr="0021595F">
        <w:rPr>
          <w:szCs w:val="24"/>
        </w:rPr>
        <w:t>”</w:t>
      </w:r>
      <w:r w:rsidRPr="0021595F">
        <w:rPr>
          <w:szCs w:val="24"/>
        </w:rPr>
        <w:t xml:space="preserve"> political life, his anarchistic conflict with Marx’s </w:t>
      </w:r>
      <w:r w:rsidR="000748F4" w:rsidRPr="0021595F">
        <w:rPr>
          <w:szCs w:val="24"/>
        </w:rPr>
        <w:t>“scientific socialism”</w:t>
      </w:r>
      <w:r w:rsidRPr="0021595F">
        <w:rPr>
          <w:szCs w:val="24"/>
        </w:rPr>
        <w:t xml:space="preserve"> intensified, culminating in expulsion from the First International in 1872. In the wake of this and the </w:t>
      </w:r>
      <w:r w:rsidR="000748F4" w:rsidRPr="0021595F">
        <w:rPr>
          <w:smallCaps/>
          <w:szCs w:val="24"/>
        </w:rPr>
        <w:t>Franco-</w:t>
      </w:r>
      <w:r w:rsidRPr="0021595F">
        <w:rPr>
          <w:smallCaps/>
          <w:szCs w:val="24"/>
        </w:rPr>
        <w:t xml:space="preserve">Prussian </w:t>
      </w:r>
      <w:r w:rsidR="000748F4" w:rsidRPr="0021595F">
        <w:rPr>
          <w:smallCaps/>
          <w:szCs w:val="24"/>
        </w:rPr>
        <w:t>War</w:t>
      </w:r>
      <w:r w:rsidR="000748F4" w:rsidRPr="0021595F">
        <w:rPr>
          <w:szCs w:val="24"/>
        </w:rPr>
        <w:t xml:space="preserve"> (1871)</w:t>
      </w:r>
      <w:r w:rsidRPr="0021595F">
        <w:rPr>
          <w:szCs w:val="24"/>
        </w:rPr>
        <w:t xml:space="preserve">, Bakunin wrote </w:t>
      </w:r>
      <w:proofErr w:type="spellStart"/>
      <w:r w:rsidRPr="0021595F">
        <w:rPr>
          <w:i/>
          <w:szCs w:val="24"/>
        </w:rPr>
        <w:t>Statism</w:t>
      </w:r>
      <w:proofErr w:type="spellEnd"/>
      <w:r w:rsidRPr="0021595F">
        <w:rPr>
          <w:i/>
          <w:szCs w:val="24"/>
        </w:rPr>
        <w:t xml:space="preserve"> and Anarchy</w:t>
      </w:r>
      <w:r w:rsidRPr="0021595F">
        <w:rPr>
          <w:szCs w:val="24"/>
        </w:rPr>
        <w:t>, perhaps the most complete statement of his beliefs.</w:t>
      </w:r>
    </w:p>
    <w:p w:rsidR="006E518B" w:rsidRPr="0021595F" w:rsidRDefault="006E518B" w:rsidP="000A0FFF">
      <w:pPr>
        <w:ind w:firstLine="720"/>
        <w:rPr>
          <w:szCs w:val="24"/>
        </w:rPr>
      </w:pPr>
      <w:r w:rsidRPr="0021595F">
        <w:rPr>
          <w:szCs w:val="24"/>
        </w:rPr>
        <w:t>Though as coherent a tract as we have from Bakunin, arguably more powerful were: his insistence upon revolutionary activity; his tw</w:t>
      </w:r>
      <w:r w:rsidR="0086616D">
        <w:rPr>
          <w:szCs w:val="24"/>
        </w:rPr>
        <w:t>in passions for destruction (cf.</w:t>
      </w:r>
      <w:r w:rsidRPr="0021595F">
        <w:rPr>
          <w:szCs w:val="24"/>
        </w:rPr>
        <w:t xml:space="preserve"> </w:t>
      </w:r>
      <w:proofErr w:type="spellStart"/>
      <w:r w:rsidRPr="0021595F">
        <w:rPr>
          <w:i/>
          <w:smallCaps/>
          <w:szCs w:val="24"/>
        </w:rPr>
        <w:t>Götterdämmerung</w:t>
      </w:r>
      <w:r w:rsidRPr="0021595F">
        <w:rPr>
          <w:szCs w:val="24"/>
        </w:rPr>
        <w:t>’s</w:t>
      </w:r>
      <w:proofErr w:type="spellEnd"/>
      <w:r w:rsidRPr="0021595F">
        <w:rPr>
          <w:szCs w:val="24"/>
        </w:rPr>
        <w:t xml:space="preserve"> Immolation Scene)</w:t>
      </w:r>
      <w:r w:rsidRPr="0021595F">
        <w:rPr>
          <w:i/>
          <w:szCs w:val="24"/>
        </w:rPr>
        <w:t xml:space="preserve"> </w:t>
      </w:r>
      <w:r w:rsidRPr="0021595F">
        <w:rPr>
          <w:szCs w:val="24"/>
        </w:rPr>
        <w:t>and revolutionary fraternity; and his provision of memorable dicta, e.g., inverting Voltaire to say that, if God existed, it would be necessary to abolish Him</w:t>
      </w:r>
      <w:r w:rsidR="000748F4" w:rsidRPr="0021595F">
        <w:rPr>
          <w:szCs w:val="24"/>
        </w:rPr>
        <w:t xml:space="preserve"> (Bakunin 128)</w:t>
      </w:r>
      <w:r w:rsidRPr="0021595F">
        <w:rPr>
          <w:szCs w:val="24"/>
        </w:rPr>
        <w:t xml:space="preserve">. Bakunin’s charisma impressed Wagner greatly; references persist in </w:t>
      </w:r>
      <w:r w:rsidRPr="0021595F">
        <w:rPr>
          <w:smallCaps/>
          <w:szCs w:val="24"/>
        </w:rPr>
        <w:t>Cosima’s Diaries</w:t>
      </w:r>
      <w:r w:rsidRPr="0021595F">
        <w:rPr>
          <w:szCs w:val="24"/>
        </w:rPr>
        <w:t xml:space="preserve">. During his final year, 1876, Bakunin seems, in startlingly later-Wagnerian fashion, to have lost some of the </w:t>
      </w:r>
      <w:proofErr w:type="spellStart"/>
      <w:r w:rsidRPr="0021595F">
        <w:rPr>
          <w:szCs w:val="24"/>
        </w:rPr>
        <w:t>Rousseauvian</w:t>
      </w:r>
      <w:proofErr w:type="spellEnd"/>
      <w:r w:rsidRPr="0021595F">
        <w:rPr>
          <w:szCs w:val="24"/>
        </w:rPr>
        <w:t xml:space="preserve"> faith he had held since childhood in man’s natural go</w:t>
      </w:r>
      <w:r w:rsidR="000748F4" w:rsidRPr="0021595F">
        <w:rPr>
          <w:szCs w:val="24"/>
        </w:rPr>
        <w:t xml:space="preserve">odness, remarking from </w:t>
      </w:r>
      <w:proofErr w:type="spellStart"/>
      <w:r w:rsidR="000748F4" w:rsidRPr="0021595F">
        <w:rPr>
          <w:szCs w:val="24"/>
        </w:rPr>
        <w:t>Lugano</w:t>
      </w:r>
      <w:proofErr w:type="spellEnd"/>
      <w:r w:rsidR="000748F4" w:rsidRPr="0021595F">
        <w:rPr>
          <w:szCs w:val="24"/>
        </w:rPr>
        <w:t>: “</w:t>
      </w:r>
      <w:r w:rsidRPr="0021595F">
        <w:rPr>
          <w:szCs w:val="24"/>
        </w:rPr>
        <w:t>If there were in the whole world three people, two of them would unite to oppress the third</w:t>
      </w:r>
      <w:r w:rsidR="000748F4" w:rsidRPr="0021595F">
        <w:rPr>
          <w:szCs w:val="24"/>
        </w:rPr>
        <w:t>” (Carr 478)</w:t>
      </w:r>
      <w:r w:rsidRPr="0021595F">
        <w:rPr>
          <w:szCs w:val="24"/>
        </w:rPr>
        <w:t xml:space="preserve">. </w:t>
      </w:r>
      <w:r w:rsidR="000748F4" w:rsidRPr="0021595F">
        <w:rPr>
          <w:szCs w:val="24"/>
        </w:rPr>
        <w:t>As rehearsals for the first Bayreuth festival</w:t>
      </w:r>
      <w:r w:rsidR="0086616D">
        <w:rPr>
          <w:szCs w:val="24"/>
        </w:rPr>
        <w:t xml:space="preserve"> began</w:t>
      </w:r>
      <w:r w:rsidR="000748F4" w:rsidRPr="0021595F">
        <w:rPr>
          <w:szCs w:val="24"/>
        </w:rPr>
        <w:t xml:space="preserve">, </w:t>
      </w:r>
      <w:r w:rsidRPr="0021595F">
        <w:rPr>
          <w:szCs w:val="24"/>
        </w:rPr>
        <w:t>Bakunin</w:t>
      </w:r>
      <w:r w:rsidR="0086616D">
        <w:rPr>
          <w:szCs w:val="24"/>
        </w:rPr>
        <w:t xml:space="preserve"> –</w:t>
      </w:r>
      <w:r w:rsidRPr="0021595F">
        <w:rPr>
          <w:szCs w:val="24"/>
        </w:rPr>
        <w:t xml:space="preserve"> on</w:t>
      </w:r>
      <w:r w:rsidR="0086616D">
        <w:rPr>
          <w:szCs w:val="24"/>
        </w:rPr>
        <w:t xml:space="preserve"> </w:t>
      </w:r>
      <w:r w:rsidRPr="0021595F">
        <w:rPr>
          <w:szCs w:val="24"/>
        </w:rPr>
        <w:t>his deathbed</w:t>
      </w:r>
      <w:r w:rsidR="0086616D">
        <w:rPr>
          <w:szCs w:val="24"/>
        </w:rPr>
        <w:t xml:space="preserve"> –</w:t>
      </w:r>
      <w:r w:rsidRPr="0021595F">
        <w:rPr>
          <w:szCs w:val="24"/>
        </w:rPr>
        <w:t xml:space="preserve"> </w:t>
      </w:r>
      <w:r w:rsidR="000748F4" w:rsidRPr="0021595F">
        <w:rPr>
          <w:szCs w:val="24"/>
        </w:rPr>
        <w:t>requested</w:t>
      </w:r>
      <w:r w:rsidR="0086616D">
        <w:rPr>
          <w:szCs w:val="24"/>
        </w:rPr>
        <w:t xml:space="preserve"> </w:t>
      </w:r>
      <w:r w:rsidRPr="0021595F">
        <w:rPr>
          <w:szCs w:val="24"/>
        </w:rPr>
        <w:t xml:space="preserve">the works of </w:t>
      </w:r>
      <w:r w:rsidRPr="0021595F">
        <w:rPr>
          <w:smallCaps/>
          <w:szCs w:val="24"/>
        </w:rPr>
        <w:t>Schopenhauer</w:t>
      </w:r>
      <w:r w:rsidRPr="0021595F">
        <w:rPr>
          <w:szCs w:val="24"/>
        </w:rPr>
        <w:t>.</w:t>
      </w:r>
    </w:p>
    <w:p w:rsidR="006E518B" w:rsidRPr="0021595F" w:rsidRDefault="000748F4" w:rsidP="000748F4">
      <w:pPr>
        <w:jc w:val="right"/>
        <w:rPr>
          <w:szCs w:val="24"/>
        </w:rPr>
      </w:pPr>
      <w:r w:rsidRPr="0021595F">
        <w:rPr>
          <w:szCs w:val="24"/>
        </w:rPr>
        <w:t>MARK BERRY</w:t>
      </w:r>
    </w:p>
    <w:p w:rsidR="006E518B" w:rsidRPr="0021595F" w:rsidRDefault="006E518B" w:rsidP="000748F4">
      <w:pPr>
        <w:ind w:left="720" w:hanging="720"/>
        <w:rPr>
          <w:szCs w:val="24"/>
        </w:rPr>
      </w:pPr>
      <w:r w:rsidRPr="0021595F">
        <w:rPr>
          <w:szCs w:val="24"/>
        </w:rPr>
        <w:t xml:space="preserve">Arthur </w:t>
      </w:r>
      <w:proofErr w:type="spellStart"/>
      <w:r w:rsidRPr="0021595F">
        <w:rPr>
          <w:szCs w:val="24"/>
        </w:rPr>
        <w:t>Lehning</w:t>
      </w:r>
      <w:proofErr w:type="spellEnd"/>
      <w:r w:rsidRPr="0021595F">
        <w:rPr>
          <w:szCs w:val="24"/>
        </w:rPr>
        <w:t xml:space="preserve"> (ed.), </w:t>
      </w:r>
      <w:r w:rsidR="00B07515" w:rsidRPr="0021595F">
        <w:rPr>
          <w:i/>
          <w:szCs w:val="24"/>
        </w:rPr>
        <w:t>Michael Bakunin: S</w:t>
      </w:r>
      <w:r w:rsidRPr="0021595F">
        <w:rPr>
          <w:i/>
          <w:szCs w:val="24"/>
        </w:rPr>
        <w:t>e</w:t>
      </w:r>
      <w:r w:rsidR="00B07515" w:rsidRPr="0021595F">
        <w:rPr>
          <w:i/>
          <w:szCs w:val="24"/>
        </w:rPr>
        <w:t>l</w:t>
      </w:r>
      <w:r w:rsidRPr="0021595F">
        <w:rPr>
          <w:i/>
          <w:szCs w:val="24"/>
        </w:rPr>
        <w:t>ected Writings</w:t>
      </w:r>
      <w:r w:rsidRPr="0021595F">
        <w:rPr>
          <w:szCs w:val="24"/>
        </w:rPr>
        <w:t>, tr. Steven Cox and Olive Stevens (London: Jonathan Cape, 1973)</w:t>
      </w:r>
      <w:r w:rsidR="000748F4" w:rsidRPr="0021595F">
        <w:rPr>
          <w:szCs w:val="24"/>
        </w:rPr>
        <w:t>.</w:t>
      </w:r>
    </w:p>
    <w:p w:rsidR="006E518B" w:rsidRPr="0021595F" w:rsidRDefault="006E518B" w:rsidP="006E518B">
      <w:pPr>
        <w:rPr>
          <w:szCs w:val="24"/>
        </w:rPr>
      </w:pPr>
      <w:r w:rsidRPr="0021595F">
        <w:rPr>
          <w:szCs w:val="24"/>
        </w:rPr>
        <w:t xml:space="preserve">E.H. Carr, </w:t>
      </w:r>
      <w:r w:rsidRPr="0021595F">
        <w:rPr>
          <w:i/>
          <w:szCs w:val="24"/>
        </w:rPr>
        <w:t>Michael Bakunin</w:t>
      </w:r>
      <w:r w:rsidRPr="0021595F">
        <w:rPr>
          <w:szCs w:val="24"/>
        </w:rPr>
        <w:t xml:space="preserve"> (London: Macmillan, 1937)</w:t>
      </w:r>
      <w:r w:rsidR="000748F4" w:rsidRPr="0021595F">
        <w:rPr>
          <w:szCs w:val="24"/>
        </w:rPr>
        <w:t>.</w:t>
      </w:r>
    </w:p>
    <w:p w:rsidR="003F2A2D" w:rsidRPr="0021595F" w:rsidRDefault="003F2A2D"/>
    <w:sectPr w:rsidR="003F2A2D" w:rsidRPr="0021595F" w:rsidSect="003F2A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B3" w:rsidRDefault="009577B3" w:rsidP="006E518B">
      <w:pPr>
        <w:spacing w:line="240" w:lineRule="auto"/>
      </w:pPr>
      <w:r>
        <w:separator/>
      </w:r>
    </w:p>
  </w:endnote>
  <w:endnote w:type="continuationSeparator" w:id="0">
    <w:p w:rsidR="009577B3" w:rsidRDefault="009577B3" w:rsidP="006E5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B3" w:rsidRDefault="009577B3" w:rsidP="006E518B">
      <w:pPr>
        <w:spacing w:line="240" w:lineRule="auto"/>
      </w:pPr>
      <w:r>
        <w:separator/>
      </w:r>
    </w:p>
  </w:footnote>
  <w:footnote w:type="continuationSeparator" w:id="0">
    <w:p w:rsidR="009577B3" w:rsidRDefault="009577B3" w:rsidP="006E51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E518B"/>
    <w:rsid w:val="000748F4"/>
    <w:rsid w:val="000A0FFF"/>
    <w:rsid w:val="000E586D"/>
    <w:rsid w:val="0021595F"/>
    <w:rsid w:val="00345E19"/>
    <w:rsid w:val="003A3EDC"/>
    <w:rsid w:val="003F2A2D"/>
    <w:rsid w:val="004134B2"/>
    <w:rsid w:val="00451D87"/>
    <w:rsid w:val="00480FF9"/>
    <w:rsid w:val="00506580"/>
    <w:rsid w:val="00624DEA"/>
    <w:rsid w:val="006C60F8"/>
    <w:rsid w:val="006E518B"/>
    <w:rsid w:val="0079514D"/>
    <w:rsid w:val="007E2615"/>
    <w:rsid w:val="0086616D"/>
    <w:rsid w:val="008D148C"/>
    <w:rsid w:val="009577B3"/>
    <w:rsid w:val="00AB38A7"/>
    <w:rsid w:val="00B07515"/>
    <w:rsid w:val="00B67FC3"/>
    <w:rsid w:val="00BA67BE"/>
    <w:rsid w:val="00BF29F2"/>
    <w:rsid w:val="00C90133"/>
    <w:rsid w:val="00CB30A2"/>
    <w:rsid w:val="00D15265"/>
    <w:rsid w:val="00D97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15"/>
    <w:pPr>
      <w:spacing w:after="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18B"/>
    <w:rPr>
      <w:color w:val="0000FF"/>
      <w:u w:val="single"/>
    </w:rPr>
  </w:style>
  <w:style w:type="paragraph" w:styleId="FootnoteText">
    <w:name w:val="footnote text"/>
    <w:basedOn w:val="Normal"/>
    <w:link w:val="FootnoteTextChar"/>
    <w:uiPriority w:val="99"/>
    <w:semiHidden/>
    <w:unhideWhenUsed/>
    <w:rsid w:val="006E518B"/>
    <w:rPr>
      <w:sz w:val="20"/>
      <w:szCs w:val="20"/>
    </w:rPr>
  </w:style>
  <w:style w:type="character" w:customStyle="1" w:styleId="FootnoteTextChar">
    <w:name w:val="Footnote Text Char"/>
    <w:basedOn w:val="DefaultParagraphFont"/>
    <w:link w:val="FootnoteText"/>
    <w:uiPriority w:val="99"/>
    <w:semiHidden/>
    <w:rsid w:val="006E518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E518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 Vazsonyi</cp:lastModifiedBy>
  <cp:revision>9</cp:revision>
  <dcterms:created xsi:type="dcterms:W3CDTF">2011-01-04T19:24:00Z</dcterms:created>
  <dcterms:modified xsi:type="dcterms:W3CDTF">2011-04-01T17:52:00Z</dcterms:modified>
</cp:coreProperties>
</file>