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A5E50" w14:textId="77777777" w:rsidR="000423EA" w:rsidRDefault="000423EA" w:rsidP="00F04954">
      <w:pPr>
        <w:spacing w:before="120" w:after="120"/>
        <w:jc w:val="center"/>
        <w:rPr>
          <w:rFonts w:cs="Times New Roman"/>
        </w:rPr>
      </w:pPr>
    </w:p>
    <w:p w14:paraId="2C803625" w14:textId="66CF506A" w:rsidR="00CA3253" w:rsidRPr="00AA2F39" w:rsidRDefault="005422F2" w:rsidP="00F04954">
      <w:pPr>
        <w:spacing w:before="120" w:after="120"/>
        <w:jc w:val="center"/>
        <w:rPr>
          <w:rFonts w:cs="Times New Roman"/>
          <w:b/>
        </w:rPr>
      </w:pPr>
      <w:r>
        <w:rPr>
          <w:rFonts w:cs="Times New Roman"/>
          <w:b/>
          <w:bCs/>
        </w:rPr>
        <w:t xml:space="preserve">The </w:t>
      </w:r>
      <w:r w:rsidR="00623617">
        <w:rPr>
          <w:rFonts w:cs="Times New Roman"/>
          <w:b/>
          <w:bCs/>
        </w:rPr>
        <w:t xml:space="preserve">EU Preventive Restructuring Framework: in Extra Time? </w:t>
      </w:r>
      <w:r w:rsidR="007F403E" w:rsidRPr="00AA2F39">
        <w:rPr>
          <w:rStyle w:val="FootnoteReference"/>
          <w:rFonts w:cs="Times New Roman"/>
          <w:b/>
        </w:rPr>
        <w:footnoteReference w:id="1"/>
      </w:r>
    </w:p>
    <w:p w14:paraId="4333207C" w14:textId="18F3D44C" w:rsidR="00A30B66" w:rsidRPr="00AA2F39" w:rsidRDefault="003F6F66" w:rsidP="00F04954">
      <w:pPr>
        <w:spacing w:before="120" w:after="120"/>
        <w:jc w:val="center"/>
        <w:rPr>
          <w:rFonts w:cs="Times New Roman"/>
        </w:rPr>
      </w:pPr>
      <w:r w:rsidRPr="00AA2F39">
        <w:rPr>
          <w:rFonts w:cs="Times New Roman"/>
        </w:rPr>
        <w:t xml:space="preserve">Jennifer L. L. Gant, </w:t>
      </w:r>
      <w:r w:rsidR="006E6B19" w:rsidRPr="00AA2F39">
        <w:rPr>
          <w:rFonts w:cs="Times New Roman"/>
        </w:rPr>
        <w:t xml:space="preserve">Gert-Jan Boon, </w:t>
      </w:r>
      <w:r w:rsidR="00A7769B" w:rsidRPr="00AA2F39">
        <w:rPr>
          <w:rFonts w:cs="Times New Roman"/>
        </w:rPr>
        <w:t xml:space="preserve">David Christoph Ehmke, Emilie </w:t>
      </w:r>
      <w:proofErr w:type="spellStart"/>
      <w:r w:rsidR="00A7769B" w:rsidRPr="00AA2F39">
        <w:rPr>
          <w:rFonts w:cs="Times New Roman"/>
        </w:rPr>
        <w:t>Ghio</w:t>
      </w:r>
      <w:proofErr w:type="spellEnd"/>
      <w:r w:rsidR="00A7769B">
        <w:rPr>
          <w:rFonts w:cs="Times New Roman"/>
        </w:rPr>
        <w:t xml:space="preserve">, </w:t>
      </w:r>
      <w:r w:rsidR="006E6B19" w:rsidRPr="00AA2F39">
        <w:rPr>
          <w:rFonts w:cs="Times New Roman"/>
        </w:rPr>
        <w:t xml:space="preserve">Line </w:t>
      </w:r>
      <w:proofErr w:type="spellStart"/>
      <w:r w:rsidR="006E6B19" w:rsidRPr="00AA2F39">
        <w:rPr>
          <w:rFonts w:cs="Times New Roman"/>
        </w:rPr>
        <w:t>Langkjaer</w:t>
      </w:r>
      <w:proofErr w:type="spellEnd"/>
      <w:r w:rsidR="0012319B" w:rsidRPr="00AA2F39">
        <w:rPr>
          <w:rFonts w:cs="Times New Roman"/>
        </w:rPr>
        <w:t xml:space="preserve">, </w:t>
      </w:r>
      <w:r>
        <w:rPr>
          <w:rFonts w:cs="Times New Roman"/>
        </w:rPr>
        <w:t>Eugenio Vaccari, and Paul J. Omar</w:t>
      </w:r>
    </w:p>
    <w:p w14:paraId="63A40FB7" w14:textId="3D8333CA" w:rsidR="00CC7D85" w:rsidRDefault="00CC7D85" w:rsidP="00FB5DBF">
      <w:pPr>
        <w:tabs>
          <w:tab w:val="left" w:pos="3648"/>
        </w:tabs>
        <w:spacing w:before="120" w:after="120"/>
        <w:jc w:val="both"/>
        <w:rPr>
          <w:rFonts w:cs="Times New Roman"/>
          <w:b/>
        </w:rPr>
      </w:pPr>
    </w:p>
    <w:p w14:paraId="5A29F78A" w14:textId="43383F7B" w:rsidR="001B154A" w:rsidRDefault="001B154A" w:rsidP="00F04954">
      <w:pPr>
        <w:spacing w:before="120" w:after="120"/>
        <w:jc w:val="both"/>
        <w:rPr>
          <w:rFonts w:cs="Times New Roman"/>
          <w:b/>
        </w:rPr>
      </w:pPr>
      <w:r>
        <w:rPr>
          <w:rFonts w:cs="Times New Roman"/>
          <w:b/>
        </w:rPr>
        <w:t>Abstract</w:t>
      </w:r>
    </w:p>
    <w:p w14:paraId="5FE82560" w14:textId="2AC12F1A" w:rsidR="004055AB" w:rsidRPr="004055AB" w:rsidRDefault="004055AB" w:rsidP="004055AB">
      <w:pPr>
        <w:spacing w:before="120" w:after="120"/>
        <w:jc w:val="both"/>
        <w:rPr>
          <w:rFonts w:cs="Times New Roman"/>
          <w:bCs/>
        </w:rPr>
      </w:pPr>
      <w:r>
        <w:rPr>
          <w:rFonts w:cs="Times New Roman"/>
          <w:bCs/>
        </w:rPr>
        <w:t xml:space="preserve">In 2019, </w:t>
      </w:r>
      <w:r w:rsidR="00615617">
        <w:rPr>
          <w:rFonts w:cs="Times New Roman"/>
          <w:bCs/>
        </w:rPr>
        <w:t xml:space="preserve">the EU </w:t>
      </w:r>
      <w:r w:rsidR="00134B9C">
        <w:rPr>
          <w:rFonts w:cs="Times New Roman"/>
          <w:bCs/>
        </w:rPr>
        <w:t>adopted</w:t>
      </w:r>
      <w:r w:rsidR="00615617">
        <w:rPr>
          <w:rFonts w:cs="Times New Roman"/>
          <w:bCs/>
        </w:rPr>
        <w:t xml:space="preserve"> the Preventive Restructuring Directive</w:t>
      </w:r>
      <w:r w:rsidR="00134B9C">
        <w:rPr>
          <w:rFonts w:cs="Times New Roman"/>
          <w:bCs/>
        </w:rPr>
        <w:t xml:space="preserve"> to introduce harmonisation </w:t>
      </w:r>
      <w:r w:rsidR="008563C0">
        <w:rPr>
          <w:rFonts w:cs="Times New Roman"/>
          <w:bCs/>
        </w:rPr>
        <w:t>enabling</w:t>
      </w:r>
      <w:r w:rsidR="00134B9C">
        <w:rPr>
          <w:rFonts w:cs="Times New Roman"/>
          <w:bCs/>
        </w:rPr>
        <w:t xml:space="preserve"> </w:t>
      </w:r>
      <w:r w:rsidR="00134B9C">
        <w:t xml:space="preserve">viable enterprises and entrepreneurs that are in financial difficulties to have access to effective national preventive restructuring frameworks </w:t>
      </w:r>
      <w:r w:rsidR="008563C0">
        <w:t>a</w:t>
      </w:r>
      <w:r w:rsidR="008F20EE">
        <w:t xml:space="preserve"> so that they can</w:t>
      </w:r>
      <w:r w:rsidR="00134B9C">
        <w:t xml:space="preserve"> continue operating</w:t>
      </w:r>
      <w:r w:rsidR="00615617">
        <w:rPr>
          <w:rFonts w:cs="Times New Roman"/>
          <w:bCs/>
        </w:rPr>
        <w:t>.</w:t>
      </w:r>
      <w:r w:rsidR="008F20EE">
        <w:rPr>
          <w:rFonts w:cs="Times New Roman"/>
          <w:bCs/>
        </w:rPr>
        <w:t xml:space="preserve"> A harmonised standard to deal with distressed debt and allow for early restructurings was seen as a key component for a competitive and integrated European capital market.</w:t>
      </w:r>
      <w:r w:rsidR="00615617">
        <w:rPr>
          <w:rFonts w:cs="Times New Roman"/>
          <w:bCs/>
        </w:rPr>
        <w:t xml:space="preserve"> In this context, </w:t>
      </w:r>
      <w:r>
        <w:rPr>
          <w:rFonts w:cs="Times New Roman"/>
          <w:bCs/>
        </w:rPr>
        <w:t>the authors came together in a comparative piece entitled ‘</w:t>
      </w:r>
      <w:r w:rsidRPr="004055AB">
        <w:rPr>
          <w:rFonts w:cs="Times New Roman"/>
          <w:bCs/>
        </w:rPr>
        <w:t xml:space="preserve">Restructuring Europe –The EU Preventive Restructuring Framework: </w:t>
      </w:r>
      <w:proofErr w:type="gramStart"/>
      <w:r w:rsidRPr="004055AB">
        <w:rPr>
          <w:rFonts w:cs="Times New Roman"/>
          <w:bCs/>
        </w:rPr>
        <w:t>a</w:t>
      </w:r>
      <w:proofErr w:type="gramEnd"/>
      <w:r w:rsidRPr="004055AB">
        <w:rPr>
          <w:rFonts w:cs="Times New Roman"/>
          <w:bCs/>
        </w:rPr>
        <w:t xml:space="preserve"> </w:t>
      </w:r>
      <w:r>
        <w:rPr>
          <w:rFonts w:cs="Times New Roman"/>
          <w:bCs/>
        </w:rPr>
        <w:t>H</w:t>
      </w:r>
      <w:r w:rsidRPr="004055AB">
        <w:rPr>
          <w:rFonts w:cs="Times New Roman"/>
          <w:bCs/>
        </w:rPr>
        <w:t xml:space="preserve">ole in </w:t>
      </w:r>
      <w:r>
        <w:rPr>
          <w:rFonts w:cs="Times New Roman"/>
          <w:bCs/>
        </w:rPr>
        <w:t>O</w:t>
      </w:r>
      <w:r w:rsidRPr="004055AB">
        <w:rPr>
          <w:rFonts w:cs="Times New Roman"/>
          <w:bCs/>
        </w:rPr>
        <w:t>ne?</w:t>
      </w:r>
      <w:r>
        <w:rPr>
          <w:rFonts w:cs="Times New Roman"/>
          <w:bCs/>
        </w:rPr>
        <w:t xml:space="preserve">’ that </w:t>
      </w:r>
      <w:r w:rsidR="00615617">
        <w:rPr>
          <w:rFonts w:cs="Times New Roman"/>
          <w:bCs/>
        </w:rPr>
        <w:t>mapped selected jurisdictions’ (</w:t>
      </w:r>
      <w:r w:rsidR="00134B9C">
        <w:rPr>
          <w:rFonts w:cs="Times New Roman"/>
          <w:bCs/>
        </w:rPr>
        <w:t xml:space="preserve">Denmark, </w:t>
      </w:r>
      <w:r>
        <w:rPr>
          <w:rFonts w:cs="Times New Roman"/>
          <w:bCs/>
        </w:rPr>
        <w:t>France, Germany, the Netherlands and the United Kingdom</w:t>
      </w:r>
      <w:r w:rsidR="00615617">
        <w:rPr>
          <w:rFonts w:cs="Times New Roman"/>
          <w:bCs/>
        </w:rPr>
        <w:t>) preventive restructuring frameworks against the background of the Directive’s objectives</w:t>
      </w:r>
      <w:r w:rsidR="00134B9C">
        <w:rPr>
          <w:rFonts w:cs="Times New Roman"/>
          <w:bCs/>
        </w:rPr>
        <w:t xml:space="preserve"> and provisions</w:t>
      </w:r>
      <w:r w:rsidR="00615617">
        <w:rPr>
          <w:rFonts w:cs="Times New Roman"/>
          <w:bCs/>
        </w:rPr>
        <w:t>.</w:t>
      </w:r>
      <w:r w:rsidR="002D292A">
        <w:rPr>
          <w:rFonts w:cs="Times New Roman"/>
          <w:bCs/>
        </w:rPr>
        <w:t xml:space="preserve"> </w:t>
      </w:r>
      <w:r w:rsidR="00615617">
        <w:rPr>
          <w:rFonts w:cs="Times New Roman"/>
          <w:bCs/>
        </w:rPr>
        <w:t>Eighteen months later and as the implementation period is coming to an end, t</w:t>
      </w:r>
      <w:r>
        <w:rPr>
          <w:rFonts w:cs="Times New Roman"/>
          <w:bCs/>
        </w:rPr>
        <w:t xml:space="preserve">his article revisits those findings and offers a comparative update </w:t>
      </w:r>
      <w:r w:rsidR="00615617">
        <w:rPr>
          <w:rFonts w:cs="Times New Roman"/>
          <w:bCs/>
        </w:rPr>
        <w:t>on</w:t>
      </w:r>
      <w:r>
        <w:rPr>
          <w:rFonts w:cs="Times New Roman"/>
          <w:bCs/>
        </w:rPr>
        <w:t xml:space="preserve"> the implementation process</w:t>
      </w:r>
      <w:r w:rsidR="006E7B24">
        <w:rPr>
          <w:rFonts w:cs="Times New Roman"/>
          <w:bCs/>
        </w:rPr>
        <w:t>. This article also includes</w:t>
      </w:r>
      <w:r>
        <w:rPr>
          <w:rFonts w:cs="Times New Roman"/>
          <w:bCs/>
        </w:rPr>
        <w:t xml:space="preserve"> additional perspectives on the impact </w:t>
      </w:r>
      <w:r w:rsidR="006E7B24">
        <w:rPr>
          <w:rFonts w:cs="Times New Roman"/>
          <w:bCs/>
        </w:rPr>
        <w:t xml:space="preserve">that </w:t>
      </w:r>
      <w:r>
        <w:rPr>
          <w:rFonts w:cs="Times New Roman"/>
          <w:bCs/>
        </w:rPr>
        <w:t>recent events</w:t>
      </w:r>
      <w:r w:rsidR="008C3942">
        <w:rPr>
          <w:rFonts w:cs="Times New Roman"/>
          <w:bCs/>
        </w:rPr>
        <w:t xml:space="preserve">, </w:t>
      </w:r>
      <w:r>
        <w:rPr>
          <w:rFonts w:cs="Times New Roman"/>
          <w:bCs/>
        </w:rPr>
        <w:t>such as the COVID</w:t>
      </w:r>
      <w:r w:rsidR="00134B9C">
        <w:rPr>
          <w:rFonts w:cs="Times New Roman"/>
          <w:bCs/>
        </w:rPr>
        <w:t>-</w:t>
      </w:r>
      <w:r>
        <w:rPr>
          <w:rFonts w:cs="Times New Roman"/>
          <w:bCs/>
        </w:rPr>
        <w:t>19 Pandemic</w:t>
      </w:r>
      <w:r w:rsidR="008C3942">
        <w:rPr>
          <w:rFonts w:cs="Times New Roman"/>
          <w:bCs/>
        </w:rPr>
        <w:t>,</w:t>
      </w:r>
      <w:r w:rsidR="00134B9C">
        <w:rPr>
          <w:rFonts w:cs="Times New Roman"/>
          <w:bCs/>
        </w:rPr>
        <w:t xml:space="preserve"> </w:t>
      </w:r>
      <w:r w:rsidR="006E7B24">
        <w:rPr>
          <w:rFonts w:cs="Times New Roman"/>
          <w:bCs/>
        </w:rPr>
        <w:t xml:space="preserve">had and are having </w:t>
      </w:r>
      <w:r>
        <w:rPr>
          <w:rFonts w:cs="Times New Roman"/>
          <w:bCs/>
        </w:rPr>
        <w:t xml:space="preserve">on the nature and progress of the </w:t>
      </w:r>
      <w:r w:rsidR="007552A2">
        <w:rPr>
          <w:rFonts w:cs="Times New Roman"/>
          <w:bCs/>
        </w:rPr>
        <w:t>Member State</w:t>
      </w:r>
      <w:r>
        <w:rPr>
          <w:rFonts w:cs="Times New Roman"/>
          <w:bCs/>
        </w:rPr>
        <w:t>s towards the introduction and improvement of preventive restructuring frameworks.</w:t>
      </w:r>
    </w:p>
    <w:p w14:paraId="7BAD5239" w14:textId="77777777" w:rsidR="004055AB" w:rsidRPr="004055AB" w:rsidRDefault="004055AB" w:rsidP="00F04954">
      <w:pPr>
        <w:spacing w:before="120" w:after="120"/>
        <w:jc w:val="both"/>
        <w:rPr>
          <w:rFonts w:cs="Times New Roman"/>
          <w:bCs/>
        </w:rPr>
      </w:pPr>
    </w:p>
    <w:p w14:paraId="1EF4781A" w14:textId="1EBEADBB" w:rsidR="00BE1F9E" w:rsidRPr="00130CA4" w:rsidRDefault="00BE1F9E" w:rsidP="00F04954">
      <w:pPr>
        <w:spacing w:before="120" w:after="120"/>
        <w:jc w:val="both"/>
        <w:rPr>
          <w:rFonts w:cs="Times New Roman"/>
          <w:color w:val="7030A0"/>
        </w:rPr>
      </w:pPr>
    </w:p>
    <w:p w14:paraId="2EA8CA7F" w14:textId="57B0781A" w:rsidR="001B154A" w:rsidRPr="004055AB" w:rsidRDefault="001B154A" w:rsidP="00F04954">
      <w:pPr>
        <w:spacing w:before="120" w:after="120"/>
        <w:jc w:val="both"/>
        <w:rPr>
          <w:rFonts w:cs="Times New Roman"/>
          <w:bCs/>
        </w:rPr>
      </w:pPr>
      <w:r>
        <w:rPr>
          <w:rFonts w:cs="Times New Roman"/>
          <w:b/>
        </w:rPr>
        <w:t xml:space="preserve">Keywords: </w:t>
      </w:r>
      <w:r w:rsidR="004055AB">
        <w:rPr>
          <w:rFonts w:cs="Times New Roman"/>
          <w:bCs/>
        </w:rPr>
        <w:t xml:space="preserve">restructuring; insolvency; comparative law; pre-insolvency; Preventive Restructuring Directive. </w:t>
      </w:r>
    </w:p>
    <w:p w14:paraId="395320EC" w14:textId="77777777" w:rsidR="00A7769B" w:rsidRDefault="00A7769B" w:rsidP="00F04954">
      <w:pPr>
        <w:spacing w:before="120" w:after="120"/>
        <w:jc w:val="both"/>
        <w:rPr>
          <w:rFonts w:cs="Times New Roman"/>
          <w:b/>
        </w:rPr>
      </w:pPr>
    </w:p>
    <w:p w14:paraId="2E304884" w14:textId="02E02268" w:rsidR="005E58BA" w:rsidRDefault="00CA3253" w:rsidP="00F04954">
      <w:pPr>
        <w:spacing w:before="120" w:after="120"/>
        <w:jc w:val="both"/>
        <w:rPr>
          <w:rFonts w:cs="Times New Roman"/>
          <w:b/>
        </w:rPr>
      </w:pPr>
      <w:r w:rsidRPr="00AA2F39">
        <w:rPr>
          <w:rFonts w:cs="Times New Roman"/>
          <w:b/>
        </w:rPr>
        <w:t xml:space="preserve">1. </w:t>
      </w:r>
      <w:r w:rsidRPr="00AA2F39">
        <w:rPr>
          <w:rFonts w:cs="Times New Roman"/>
          <w:b/>
        </w:rPr>
        <w:tab/>
        <w:t>Introduction</w:t>
      </w:r>
    </w:p>
    <w:p w14:paraId="484FAD07" w14:textId="6D301BFC" w:rsidR="005E58BA" w:rsidRDefault="00773B7A" w:rsidP="02B1A70B">
      <w:pPr>
        <w:spacing w:before="120" w:after="120"/>
        <w:jc w:val="both"/>
        <w:rPr>
          <w:rFonts w:cs="Times New Roman"/>
        </w:rPr>
      </w:pPr>
      <w:r w:rsidRPr="02B1A70B">
        <w:rPr>
          <w:rFonts w:cs="Times New Roman"/>
        </w:rPr>
        <w:t>In hindsight, t</w:t>
      </w:r>
      <w:r w:rsidR="005422F2" w:rsidRPr="02B1A70B">
        <w:rPr>
          <w:rFonts w:cs="Times New Roman"/>
        </w:rPr>
        <w:t>he origins of what came to be the Preventive Restructuring Directive</w:t>
      </w:r>
      <w:r w:rsidR="005422F2" w:rsidRPr="02B1A70B">
        <w:rPr>
          <w:rStyle w:val="FootnoteReference"/>
          <w:rFonts w:cs="Times New Roman"/>
        </w:rPr>
        <w:footnoteReference w:id="2"/>
      </w:r>
      <w:r w:rsidR="005422F2" w:rsidRPr="02B1A70B">
        <w:rPr>
          <w:rFonts w:cs="Times New Roman"/>
        </w:rPr>
        <w:t xml:space="preserve"> </w:t>
      </w:r>
      <w:r w:rsidR="00746720">
        <w:rPr>
          <w:rFonts w:cs="Times New Roman"/>
        </w:rPr>
        <w:t>have gradually developed</w:t>
      </w:r>
      <w:r w:rsidR="005422F2" w:rsidRPr="02B1A70B">
        <w:rPr>
          <w:rFonts w:cs="Times New Roman"/>
        </w:rPr>
        <w:t xml:space="preserve">, emerging from a policy statement (Communication) of 2012 and the Recommendation of 2014 </w:t>
      </w:r>
      <w:r w:rsidR="007552A2" w:rsidRPr="02B1A70B">
        <w:rPr>
          <w:rFonts w:cs="Times New Roman"/>
        </w:rPr>
        <w:t>that</w:t>
      </w:r>
      <w:r w:rsidR="005422F2" w:rsidRPr="02B1A70B">
        <w:rPr>
          <w:rFonts w:cs="Times New Roman"/>
        </w:rPr>
        <w:t xml:space="preserve"> followed.</w:t>
      </w:r>
      <w:r w:rsidR="005422F2" w:rsidRPr="006C6298">
        <w:rPr>
          <w:rStyle w:val="FootnoteReference"/>
          <w:rFonts w:cs="Times New Roman"/>
        </w:rPr>
        <w:footnoteReference w:id="3"/>
      </w:r>
      <w:r w:rsidR="005422F2" w:rsidRPr="02B1A70B">
        <w:rPr>
          <w:rFonts w:cs="Times New Roman"/>
        </w:rPr>
        <w:t xml:space="preserve"> In the wake of the fallout occasioned by the Global Financial Crisis of 2008, the themes of the</w:t>
      </w:r>
      <w:r w:rsidR="00746720">
        <w:rPr>
          <w:rFonts w:cs="Times New Roman"/>
        </w:rPr>
        <w:t>se</w:t>
      </w:r>
      <w:r w:rsidR="005422F2" w:rsidRPr="02B1A70B">
        <w:rPr>
          <w:rFonts w:cs="Times New Roman"/>
        </w:rPr>
        <w:t xml:space="preserve"> policy </w:t>
      </w:r>
      <w:r w:rsidRPr="02B1A70B">
        <w:rPr>
          <w:rFonts w:cs="Times New Roman"/>
        </w:rPr>
        <w:t>document</w:t>
      </w:r>
      <w:r w:rsidR="00B05F9D">
        <w:rPr>
          <w:rFonts w:cs="Times New Roman"/>
        </w:rPr>
        <w:t>s</w:t>
      </w:r>
      <w:r w:rsidRPr="02B1A70B">
        <w:rPr>
          <w:rFonts w:cs="Times New Roman"/>
        </w:rPr>
        <w:t xml:space="preserve"> </w:t>
      </w:r>
      <w:r w:rsidR="005422F2" w:rsidRPr="02B1A70B">
        <w:rPr>
          <w:rFonts w:cs="Times New Roman"/>
        </w:rPr>
        <w:t xml:space="preserve">suggested </w:t>
      </w:r>
      <w:r w:rsidR="00746720">
        <w:rPr>
          <w:rFonts w:cs="Times New Roman"/>
        </w:rPr>
        <w:t xml:space="preserve">that </w:t>
      </w:r>
      <w:r w:rsidR="007552A2" w:rsidRPr="02B1A70B">
        <w:rPr>
          <w:rFonts w:cs="Times New Roman"/>
        </w:rPr>
        <w:t>Member State</w:t>
      </w:r>
      <w:r w:rsidR="005422F2" w:rsidRPr="02B1A70B">
        <w:rPr>
          <w:rFonts w:cs="Times New Roman"/>
        </w:rPr>
        <w:t xml:space="preserve">s </w:t>
      </w:r>
      <w:r w:rsidR="00746720">
        <w:rPr>
          <w:rFonts w:cs="Times New Roman"/>
        </w:rPr>
        <w:t xml:space="preserve">should </w:t>
      </w:r>
      <w:r w:rsidR="005422F2" w:rsidRPr="02B1A70B">
        <w:rPr>
          <w:rFonts w:cs="Times New Roman"/>
        </w:rPr>
        <w:t xml:space="preserve">strongly consider improving their insolvency and restructuring frameworks to address modern </w:t>
      </w:r>
      <w:r w:rsidR="02B1A70B" w:rsidRPr="02B1A70B">
        <w:rPr>
          <w:rFonts w:cs="Times New Roman"/>
        </w:rPr>
        <w:t>challenges and needs.</w:t>
      </w:r>
      <w:r w:rsidR="005422F2" w:rsidRPr="02B1A70B">
        <w:rPr>
          <w:rFonts w:cs="Times New Roman"/>
        </w:rPr>
        <w:t xml:space="preserve"> </w:t>
      </w:r>
      <w:r w:rsidR="02B1A70B" w:rsidRPr="02B1A70B">
        <w:rPr>
          <w:rFonts w:cs="Times New Roman"/>
        </w:rPr>
        <w:t>These were</w:t>
      </w:r>
      <w:r w:rsidR="005422F2" w:rsidRPr="02B1A70B">
        <w:rPr>
          <w:rFonts w:cs="Times New Roman"/>
        </w:rPr>
        <w:t xml:space="preserve"> the need for more upstream procedures and early warning systems, the perennial spectre of consumer insolvencies</w:t>
      </w:r>
      <w:r w:rsidR="00C24D5E">
        <w:rPr>
          <w:rFonts w:cs="Times New Roman"/>
        </w:rPr>
        <w:t>,</w:t>
      </w:r>
      <w:r w:rsidR="005422F2" w:rsidRPr="02B1A70B">
        <w:rPr>
          <w:rFonts w:cs="Times New Roman"/>
        </w:rPr>
        <w:t xml:space="preserve"> and the upskilling of the support frameworks for the insolvency sector. Response to the Recommendation was muted, with some </w:t>
      </w:r>
      <w:r w:rsidR="007552A2" w:rsidRPr="02B1A70B">
        <w:rPr>
          <w:rFonts w:cs="Times New Roman"/>
        </w:rPr>
        <w:t>Member State</w:t>
      </w:r>
      <w:r w:rsidR="005422F2" w:rsidRPr="02B1A70B">
        <w:rPr>
          <w:rFonts w:cs="Times New Roman"/>
        </w:rPr>
        <w:t xml:space="preserve">s declining to consider </w:t>
      </w:r>
      <w:r w:rsidR="00C24D5E">
        <w:rPr>
          <w:rFonts w:cs="Times New Roman"/>
        </w:rPr>
        <w:t>it</w:t>
      </w:r>
      <w:r w:rsidR="005422F2" w:rsidRPr="02B1A70B">
        <w:rPr>
          <w:rFonts w:cs="Times New Roman"/>
        </w:rPr>
        <w:t xml:space="preserve">, while others felt they had sufficiently robust tools in their armoury to deal with </w:t>
      </w:r>
      <w:r w:rsidR="00ED4D16" w:rsidRPr="02B1A70B">
        <w:rPr>
          <w:rFonts w:cs="Times New Roman"/>
        </w:rPr>
        <w:t xml:space="preserve">possible </w:t>
      </w:r>
      <w:r w:rsidR="005422F2" w:rsidRPr="02B1A70B">
        <w:rPr>
          <w:rFonts w:cs="Times New Roman"/>
        </w:rPr>
        <w:t>future tests of economic and structural resilience.</w:t>
      </w:r>
      <w:r w:rsidR="00746720">
        <w:rPr>
          <w:rStyle w:val="FootnoteReference"/>
          <w:rFonts w:cs="Times New Roman"/>
        </w:rPr>
        <w:footnoteReference w:id="4"/>
      </w:r>
      <w:r w:rsidR="005422F2" w:rsidRPr="02B1A70B">
        <w:rPr>
          <w:rFonts w:cs="Times New Roman"/>
        </w:rPr>
        <w:t xml:space="preserve"> </w:t>
      </w:r>
      <w:r w:rsidR="00ED4D16" w:rsidRPr="02B1A70B">
        <w:rPr>
          <w:rFonts w:cs="Times New Roman"/>
        </w:rPr>
        <w:t>This led to the European Commission launching the initiative, which eventually saw the PRD enacted, by the formation of an Experts’ Group in Restructuring and Insolvency in 2018</w:t>
      </w:r>
      <w:r w:rsidRPr="02B1A70B">
        <w:rPr>
          <w:rFonts w:cs="Times New Roman"/>
        </w:rPr>
        <w:t>,</w:t>
      </w:r>
      <w:r w:rsidR="00FB5DBF" w:rsidRPr="02B1A70B">
        <w:rPr>
          <w:rStyle w:val="FootnoteReference"/>
          <w:rFonts w:cs="Times New Roman"/>
        </w:rPr>
        <w:footnoteReference w:id="5"/>
      </w:r>
      <w:r w:rsidR="00ED4D16" w:rsidRPr="02B1A70B">
        <w:rPr>
          <w:rFonts w:cs="Times New Roman"/>
        </w:rPr>
        <w:t xml:space="preserve"> </w:t>
      </w:r>
      <w:r w:rsidR="00ED4D16" w:rsidRPr="02B1A70B">
        <w:rPr>
          <w:rFonts w:cs="Times New Roman"/>
        </w:rPr>
        <w:lastRenderedPageBreak/>
        <w:t xml:space="preserve">preceded by the commissioning of reports on the implementation of the </w:t>
      </w:r>
      <w:r w:rsidRPr="02B1A70B">
        <w:rPr>
          <w:rFonts w:cs="Times New Roman"/>
        </w:rPr>
        <w:t xml:space="preserve">(Recast) </w:t>
      </w:r>
      <w:r w:rsidR="00ED4D16" w:rsidRPr="02B1A70B">
        <w:rPr>
          <w:rFonts w:cs="Times New Roman"/>
        </w:rPr>
        <w:t>European Insolvency Regulation</w:t>
      </w:r>
      <w:r w:rsidRPr="02B1A70B">
        <w:rPr>
          <w:rStyle w:val="FootnoteReference"/>
          <w:rFonts w:cs="Times New Roman"/>
        </w:rPr>
        <w:footnoteReference w:id="6"/>
      </w:r>
      <w:r w:rsidR="00ED4D16" w:rsidRPr="02B1A70B">
        <w:rPr>
          <w:rFonts w:cs="Times New Roman"/>
        </w:rPr>
        <w:t xml:space="preserve"> and an assessment of the environment for insolvency and restructuring across Europe.</w:t>
      </w:r>
      <w:r w:rsidR="00ED4D16" w:rsidRPr="02B1A70B">
        <w:rPr>
          <w:rStyle w:val="FootnoteReference"/>
          <w:rFonts w:cs="Times New Roman"/>
        </w:rPr>
        <w:footnoteReference w:id="7"/>
      </w:r>
    </w:p>
    <w:p w14:paraId="38ED99C5" w14:textId="124A1331" w:rsidR="005422F2" w:rsidRPr="005E58BA" w:rsidRDefault="00754513" w:rsidP="1AFC58FF">
      <w:pPr>
        <w:spacing w:before="120" w:after="120"/>
        <w:jc w:val="both"/>
        <w:rPr>
          <w:rFonts w:cs="Times New Roman"/>
        </w:rPr>
      </w:pPr>
      <w:r w:rsidRPr="1AFC58FF">
        <w:rPr>
          <w:rFonts w:cs="Times New Roman"/>
        </w:rPr>
        <w:t>The</w:t>
      </w:r>
      <w:r w:rsidR="1AFC58FF" w:rsidRPr="1AFC58FF">
        <w:rPr>
          <w:rFonts w:cs="Times New Roman"/>
        </w:rPr>
        <w:t xml:space="preserve"> text adopted by the </w:t>
      </w:r>
      <w:r w:rsidR="007D6BBE">
        <w:rPr>
          <w:rFonts w:cs="Times New Roman"/>
        </w:rPr>
        <w:t xml:space="preserve">Council and </w:t>
      </w:r>
      <w:r w:rsidR="1AFC58FF" w:rsidRPr="1AFC58FF">
        <w:rPr>
          <w:rFonts w:cs="Times New Roman"/>
        </w:rPr>
        <w:t>Parliament is quite a different creature from</w:t>
      </w:r>
      <w:r w:rsidRPr="1AFC58FF">
        <w:rPr>
          <w:rFonts w:cs="Times New Roman"/>
        </w:rPr>
        <w:t xml:space="preserve"> </w:t>
      </w:r>
      <w:r w:rsidR="007D6BBE">
        <w:rPr>
          <w:rFonts w:cs="Times New Roman"/>
        </w:rPr>
        <w:t xml:space="preserve">the proposal of the Commission, leaning on </w:t>
      </w:r>
      <w:r w:rsidRPr="1AFC58FF">
        <w:rPr>
          <w:rFonts w:cs="Times New Roman"/>
        </w:rPr>
        <w:t xml:space="preserve">deliberations </w:t>
      </w:r>
      <w:r w:rsidR="007D6BBE">
        <w:rPr>
          <w:rFonts w:cs="Times New Roman"/>
        </w:rPr>
        <w:t>with</w:t>
      </w:r>
      <w:r w:rsidR="00B05F9D">
        <w:rPr>
          <w:rFonts w:cs="Times New Roman"/>
        </w:rPr>
        <w:t>,</w:t>
      </w:r>
      <w:r w:rsidR="007D6BBE">
        <w:rPr>
          <w:rFonts w:cs="Times New Roman"/>
        </w:rPr>
        <w:t xml:space="preserve"> among others</w:t>
      </w:r>
      <w:r w:rsidR="00B05F9D">
        <w:rPr>
          <w:rFonts w:cs="Times New Roman"/>
        </w:rPr>
        <w:t>,</w:t>
      </w:r>
      <w:r w:rsidR="007D6BBE">
        <w:rPr>
          <w:rFonts w:cs="Times New Roman"/>
        </w:rPr>
        <w:t xml:space="preserve"> </w:t>
      </w:r>
      <w:r w:rsidRPr="1AFC58FF">
        <w:rPr>
          <w:rFonts w:cs="Times New Roman"/>
        </w:rPr>
        <w:t xml:space="preserve">the Experts’ Group. In substance, though, the essence of the PRD is to institute a mechanism for preventive restructuring on an </w:t>
      </w:r>
      <w:r w:rsidR="004754C1">
        <w:rPr>
          <w:rFonts w:cs="Times New Roman"/>
        </w:rPr>
        <w:t>‘a</w:t>
      </w:r>
      <w:r w:rsidRPr="1AFC58FF">
        <w:rPr>
          <w:rFonts w:cs="Times New Roman"/>
        </w:rPr>
        <w:t>dopt or adapt</w:t>
      </w:r>
      <w:r w:rsidR="004754C1">
        <w:rPr>
          <w:rFonts w:cs="Times New Roman"/>
        </w:rPr>
        <w:t>’</w:t>
      </w:r>
      <w:r w:rsidRPr="1AFC58FF">
        <w:rPr>
          <w:rFonts w:cs="Times New Roman"/>
        </w:rPr>
        <w:t xml:space="preserve"> basis</w:t>
      </w:r>
      <w:r w:rsidR="1AFC58FF" w:rsidRPr="1AFC58FF">
        <w:rPr>
          <w:rFonts w:cs="Times New Roman"/>
        </w:rPr>
        <w:t>.</w:t>
      </w:r>
      <w:r w:rsidRPr="1AFC58FF">
        <w:rPr>
          <w:rFonts w:cs="Times New Roman"/>
        </w:rPr>
        <w:t xml:space="preserve"> </w:t>
      </w:r>
      <w:r w:rsidR="1AFC58FF" w:rsidRPr="1AFC58FF">
        <w:rPr>
          <w:rFonts w:cs="Times New Roman"/>
        </w:rPr>
        <w:t>As a result,</w:t>
      </w:r>
      <w:r w:rsidRPr="1AFC58FF">
        <w:rPr>
          <w:rFonts w:cs="Times New Roman"/>
        </w:rPr>
        <w:t xml:space="preserve"> those </w:t>
      </w:r>
      <w:r w:rsidR="007552A2" w:rsidRPr="1AFC58FF">
        <w:rPr>
          <w:rFonts w:cs="Times New Roman"/>
        </w:rPr>
        <w:t>Member State</w:t>
      </w:r>
      <w:r w:rsidRPr="1AFC58FF">
        <w:rPr>
          <w:rFonts w:cs="Times New Roman"/>
        </w:rPr>
        <w:t xml:space="preserve">s without such procedures could simply transpose the </w:t>
      </w:r>
      <w:r w:rsidR="00C24D5E">
        <w:rPr>
          <w:rFonts w:cs="Times New Roman"/>
        </w:rPr>
        <w:t>PRD</w:t>
      </w:r>
      <w:r w:rsidRPr="1AFC58FF">
        <w:rPr>
          <w:rFonts w:cs="Times New Roman"/>
        </w:rPr>
        <w:t xml:space="preserve"> </w:t>
      </w:r>
      <w:r w:rsidR="00C17D3B">
        <w:rPr>
          <w:rFonts w:cs="Times New Roman"/>
        </w:rPr>
        <w:t xml:space="preserve">as a </w:t>
      </w:r>
      <w:r w:rsidRPr="1AFC58FF">
        <w:rPr>
          <w:rFonts w:cs="Times New Roman"/>
        </w:rPr>
        <w:t>whole, while others with existing and/or analogous mechanisms could fine</w:t>
      </w:r>
      <w:r w:rsidR="00492F1A" w:rsidRPr="1AFC58FF">
        <w:rPr>
          <w:rFonts w:cs="Times New Roman"/>
        </w:rPr>
        <w:t xml:space="preserve"> </w:t>
      </w:r>
      <w:r w:rsidRPr="1AFC58FF">
        <w:rPr>
          <w:rFonts w:cs="Times New Roman"/>
        </w:rPr>
        <w:t xml:space="preserve">tune </w:t>
      </w:r>
      <w:r w:rsidR="1AFC58FF" w:rsidRPr="1AFC58FF">
        <w:rPr>
          <w:rFonts w:cs="Times New Roman"/>
        </w:rPr>
        <w:t>their procedures</w:t>
      </w:r>
      <w:r w:rsidRPr="1AFC58FF">
        <w:rPr>
          <w:rFonts w:cs="Times New Roman"/>
        </w:rPr>
        <w:t xml:space="preserve">. </w:t>
      </w:r>
      <w:r w:rsidR="00773B7A" w:rsidRPr="1AFC58FF">
        <w:rPr>
          <w:rFonts w:cs="Times New Roman"/>
        </w:rPr>
        <w:t xml:space="preserve">Other measures </w:t>
      </w:r>
      <w:r w:rsidR="00492F1A" w:rsidRPr="1AFC58FF">
        <w:rPr>
          <w:rFonts w:cs="Times New Roman"/>
        </w:rPr>
        <w:t>address</w:t>
      </w:r>
      <w:r w:rsidR="00773B7A" w:rsidRPr="1AFC58FF">
        <w:rPr>
          <w:rFonts w:cs="Times New Roman"/>
        </w:rPr>
        <w:t xml:space="preserve"> discharge for honest entrepreneurs, </w:t>
      </w:r>
      <w:r w:rsidR="00F577CE">
        <w:rPr>
          <w:rFonts w:cs="Times New Roman"/>
        </w:rPr>
        <w:t xml:space="preserve">training and standards to enhance </w:t>
      </w:r>
      <w:r w:rsidR="00773B7A" w:rsidRPr="1AFC58FF">
        <w:rPr>
          <w:rFonts w:cs="Times New Roman"/>
        </w:rPr>
        <w:t xml:space="preserve">court and practitioner competency and a few miscellaneous (though very important) provisions. </w:t>
      </w:r>
      <w:r w:rsidRPr="1AFC58FF">
        <w:rPr>
          <w:rFonts w:cs="Times New Roman"/>
        </w:rPr>
        <w:t xml:space="preserve">While some have drawn analogies with similar </w:t>
      </w:r>
      <w:r w:rsidR="00C17D3B">
        <w:rPr>
          <w:rFonts w:cs="Times New Roman"/>
        </w:rPr>
        <w:t>proceedings</w:t>
      </w:r>
      <w:r w:rsidRPr="1AFC58FF">
        <w:rPr>
          <w:rFonts w:cs="Times New Roman"/>
        </w:rPr>
        <w:t>, especially the US Chapter 11</w:t>
      </w:r>
      <w:r w:rsidR="00773B7A" w:rsidRPr="1AFC58FF">
        <w:rPr>
          <w:rFonts w:cs="Times New Roman"/>
        </w:rPr>
        <w:t xml:space="preserve"> procedure</w:t>
      </w:r>
      <w:r w:rsidRPr="1AFC58FF">
        <w:rPr>
          <w:rFonts w:cs="Times New Roman"/>
        </w:rPr>
        <w:t>,</w:t>
      </w:r>
      <w:r w:rsidRPr="1AFC58FF">
        <w:rPr>
          <w:rStyle w:val="FootnoteReference"/>
          <w:rFonts w:cs="Times New Roman"/>
        </w:rPr>
        <w:footnoteReference w:id="8"/>
      </w:r>
      <w:r w:rsidR="00773B7A" w:rsidRPr="1AFC58FF">
        <w:rPr>
          <w:rFonts w:cs="Times New Roman"/>
        </w:rPr>
        <w:t xml:space="preserve"> the complexity of the text and the </w:t>
      </w:r>
      <w:r w:rsidR="00C17D3B">
        <w:rPr>
          <w:rFonts w:cs="Times New Roman"/>
        </w:rPr>
        <w:t xml:space="preserve">plethora of </w:t>
      </w:r>
      <w:r w:rsidR="00773B7A" w:rsidRPr="1AFC58FF">
        <w:rPr>
          <w:rFonts w:cs="Times New Roman"/>
        </w:rPr>
        <w:t>options for variation it contains</w:t>
      </w:r>
      <w:r w:rsidR="004754C1">
        <w:rPr>
          <w:rFonts w:cs="Times New Roman"/>
        </w:rPr>
        <w:t xml:space="preserve"> </w:t>
      </w:r>
      <w:r w:rsidR="00C24D5E">
        <w:rPr>
          <w:rFonts w:cs="Times New Roman"/>
        </w:rPr>
        <w:t>reduced</w:t>
      </w:r>
      <w:r w:rsidR="00C17D3B">
        <w:rPr>
          <w:rFonts w:cs="Times New Roman"/>
        </w:rPr>
        <w:t xml:space="preserve"> the </w:t>
      </w:r>
      <w:r w:rsidR="001B2252">
        <w:rPr>
          <w:rFonts w:cs="Times New Roman"/>
        </w:rPr>
        <w:t xml:space="preserve">level of </w:t>
      </w:r>
      <w:r w:rsidR="00C17D3B">
        <w:rPr>
          <w:rFonts w:cs="Times New Roman"/>
        </w:rPr>
        <w:t>harmonisation</w:t>
      </w:r>
      <w:r w:rsidR="004754C1">
        <w:rPr>
          <w:rFonts w:cs="Times New Roman"/>
        </w:rPr>
        <w:t xml:space="preserve"> it </w:t>
      </w:r>
      <w:r w:rsidR="00C24D5E">
        <w:rPr>
          <w:rFonts w:cs="Times New Roman"/>
        </w:rPr>
        <w:t>could ultimately obtain</w:t>
      </w:r>
      <w:r w:rsidR="004754C1">
        <w:rPr>
          <w:rFonts w:cs="Times New Roman"/>
        </w:rPr>
        <w:t>, making it quite a unique proposition</w:t>
      </w:r>
      <w:r w:rsidR="00C24D5E">
        <w:rPr>
          <w:rFonts w:cs="Times New Roman"/>
        </w:rPr>
        <w:t xml:space="preserve"> in contrast to its initially proposed form</w:t>
      </w:r>
      <w:r w:rsidR="00773B7A" w:rsidRPr="1AFC58FF">
        <w:rPr>
          <w:rFonts w:cs="Times New Roman"/>
        </w:rPr>
        <w:t>. It is also this complexity that has required the transposition process to contain, perhaps for the first time in European Union</w:t>
      </w:r>
      <w:r w:rsidR="001B2252">
        <w:rPr>
          <w:rFonts w:cs="Times New Roman"/>
        </w:rPr>
        <w:t xml:space="preserve"> (EU)</w:t>
      </w:r>
      <w:r w:rsidR="00773B7A" w:rsidRPr="1AFC58FF">
        <w:rPr>
          <w:rFonts w:cs="Times New Roman"/>
        </w:rPr>
        <w:t xml:space="preserve"> history, the option for an extension to the </w:t>
      </w:r>
      <w:r w:rsidR="00B30157" w:rsidRPr="1AFC58FF">
        <w:rPr>
          <w:rFonts w:cs="Times New Roman"/>
        </w:rPr>
        <w:t xml:space="preserve">usual two-year </w:t>
      </w:r>
      <w:r w:rsidR="00773B7A" w:rsidRPr="1AFC58FF">
        <w:rPr>
          <w:rFonts w:cs="Times New Roman"/>
        </w:rPr>
        <w:t>period given of an extra year.</w:t>
      </w:r>
      <w:r w:rsidR="00773B7A" w:rsidRPr="1AFC58FF">
        <w:rPr>
          <w:rStyle w:val="FootnoteReference"/>
          <w:rFonts w:cs="Times New Roman"/>
        </w:rPr>
        <w:footnoteReference w:id="9"/>
      </w:r>
      <w:r w:rsidR="00F577CE">
        <w:rPr>
          <w:rFonts w:cs="Times New Roman"/>
        </w:rPr>
        <w:t xml:space="preserve"> While the PRD left </w:t>
      </w:r>
      <w:r w:rsidR="004754C1">
        <w:rPr>
          <w:rFonts w:cs="Times New Roman"/>
        </w:rPr>
        <w:t>considerable</w:t>
      </w:r>
      <w:r w:rsidR="00F577CE">
        <w:rPr>
          <w:rFonts w:cs="Times New Roman"/>
        </w:rPr>
        <w:t xml:space="preserve"> flexibility for national implementation, the message was clear and ambitious: The Member States were called upon</w:t>
      </w:r>
      <w:r w:rsidR="004754C1">
        <w:rPr>
          <w:rFonts w:cs="Times New Roman"/>
        </w:rPr>
        <w:t xml:space="preserve"> to prepare to introduce </w:t>
      </w:r>
      <w:r w:rsidR="00332639">
        <w:rPr>
          <w:rFonts w:cs="Times New Roman"/>
        </w:rPr>
        <w:t xml:space="preserve">a modern restructuring </w:t>
      </w:r>
      <w:r w:rsidR="004754C1">
        <w:rPr>
          <w:rFonts w:cs="Times New Roman"/>
        </w:rPr>
        <w:t>framework</w:t>
      </w:r>
      <w:r w:rsidR="00332639">
        <w:rPr>
          <w:rFonts w:cs="Times New Roman"/>
        </w:rPr>
        <w:t>.</w:t>
      </w:r>
    </w:p>
    <w:p w14:paraId="3E4948BB" w14:textId="090766C1" w:rsidR="005E58BA" w:rsidRDefault="005E58BA" w:rsidP="005E58BA">
      <w:pPr>
        <w:spacing w:before="120" w:after="120"/>
        <w:jc w:val="both"/>
        <w:rPr>
          <w:rFonts w:cs="Times New Roman"/>
          <w:iCs/>
        </w:rPr>
      </w:pPr>
      <w:r>
        <w:rPr>
          <w:rFonts w:cs="Times New Roman"/>
          <w:iCs/>
        </w:rPr>
        <w:t xml:space="preserve">In </w:t>
      </w:r>
      <w:r w:rsidR="00615617">
        <w:rPr>
          <w:rFonts w:cs="Times New Roman"/>
          <w:iCs/>
        </w:rPr>
        <w:t xml:space="preserve">2019, in </w:t>
      </w:r>
      <w:r w:rsidR="00773B7A">
        <w:rPr>
          <w:rFonts w:cs="Times New Roman"/>
          <w:iCs/>
        </w:rPr>
        <w:t>light of this complexity and the likely long duration of the transposition process</w:t>
      </w:r>
      <w:r w:rsidR="003373F9">
        <w:rPr>
          <w:rFonts w:cs="Times New Roman"/>
          <w:iCs/>
        </w:rPr>
        <w:t xml:space="preserve">, </w:t>
      </w:r>
      <w:r w:rsidR="00773B7A">
        <w:rPr>
          <w:rFonts w:cs="Times New Roman"/>
          <w:iCs/>
        </w:rPr>
        <w:t xml:space="preserve">which would then be followed by a perhaps equally long bedding in stage, </w:t>
      </w:r>
      <w:r>
        <w:rPr>
          <w:rFonts w:cs="Times New Roman"/>
          <w:iCs/>
        </w:rPr>
        <w:t xml:space="preserve">the authors </w:t>
      </w:r>
      <w:r w:rsidR="00773B7A">
        <w:rPr>
          <w:rFonts w:cs="Times New Roman"/>
          <w:iCs/>
        </w:rPr>
        <w:t xml:space="preserve">embarked on a series of observations initiated by the </w:t>
      </w:r>
      <w:r>
        <w:rPr>
          <w:rFonts w:cs="Times New Roman"/>
          <w:iCs/>
        </w:rPr>
        <w:t>publi</w:t>
      </w:r>
      <w:r w:rsidR="00773B7A">
        <w:rPr>
          <w:rFonts w:cs="Times New Roman"/>
          <w:iCs/>
        </w:rPr>
        <w:t>cation</w:t>
      </w:r>
      <w:r>
        <w:rPr>
          <w:rFonts w:cs="Times New Roman"/>
          <w:iCs/>
        </w:rPr>
        <w:t xml:space="preserve"> </w:t>
      </w:r>
      <w:r w:rsidR="00773B7A">
        <w:rPr>
          <w:rFonts w:cs="Times New Roman"/>
          <w:iCs/>
        </w:rPr>
        <w:t xml:space="preserve">of </w:t>
      </w:r>
      <w:r>
        <w:rPr>
          <w:rFonts w:cs="Times New Roman"/>
          <w:iCs/>
        </w:rPr>
        <w:t>an article entitled ‘</w:t>
      </w:r>
      <w:r w:rsidRPr="005E58BA">
        <w:rPr>
          <w:rFonts w:cs="Times New Roman"/>
          <w:iCs/>
        </w:rPr>
        <w:t>Restructuring Europe –</w:t>
      </w:r>
      <w:r>
        <w:rPr>
          <w:rFonts w:cs="Times New Roman"/>
          <w:iCs/>
        </w:rPr>
        <w:t xml:space="preserve"> </w:t>
      </w:r>
      <w:r w:rsidRPr="005E58BA">
        <w:rPr>
          <w:rFonts w:cs="Times New Roman"/>
          <w:iCs/>
        </w:rPr>
        <w:t>The EU Preventive Restructuring Framework: a hole in one?</w:t>
      </w:r>
      <w:r>
        <w:rPr>
          <w:rFonts w:cs="Times New Roman"/>
          <w:iCs/>
        </w:rPr>
        <w:t>’</w:t>
      </w:r>
      <w:r>
        <w:rPr>
          <w:rStyle w:val="FootnoteReference"/>
          <w:rFonts w:cs="Times New Roman"/>
          <w:iCs/>
        </w:rPr>
        <w:footnoteReference w:id="10"/>
      </w:r>
      <w:r>
        <w:rPr>
          <w:rFonts w:cs="Times New Roman"/>
          <w:iCs/>
        </w:rPr>
        <w:t xml:space="preserve"> </w:t>
      </w:r>
      <w:r w:rsidR="00103C38">
        <w:rPr>
          <w:rFonts w:cs="Times New Roman"/>
          <w:iCs/>
        </w:rPr>
        <w:t xml:space="preserve">The article </w:t>
      </w:r>
      <w:r>
        <w:rPr>
          <w:rFonts w:cs="Times New Roman"/>
          <w:iCs/>
        </w:rPr>
        <w:t>explore</w:t>
      </w:r>
      <w:r w:rsidR="001B2252">
        <w:rPr>
          <w:rFonts w:cs="Times New Roman"/>
          <w:iCs/>
        </w:rPr>
        <w:t>s</w:t>
      </w:r>
      <w:r>
        <w:rPr>
          <w:rFonts w:cs="Times New Roman"/>
          <w:iCs/>
        </w:rPr>
        <w:t xml:space="preserve"> the progress of the debtor- and restructuring- friendly </w:t>
      </w:r>
      <w:r w:rsidR="005422F2">
        <w:rPr>
          <w:rFonts w:cs="Times New Roman"/>
          <w:iCs/>
        </w:rPr>
        <w:t>PRD</w:t>
      </w:r>
      <w:r>
        <w:rPr>
          <w:rFonts w:cs="Times New Roman"/>
          <w:iCs/>
        </w:rPr>
        <w:t xml:space="preserve"> in five different European jurisdictions </w:t>
      </w:r>
      <w:r w:rsidR="00103C38">
        <w:rPr>
          <w:rFonts w:cs="Times New Roman"/>
          <w:iCs/>
        </w:rPr>
        <w:t>(</w:t>
      </w:r>
      <w:r>
        <w:rPr>
          <w:rFonts w:cs="Times New Roman"/>
          <w:iCs/>
        </w:rPr>
        <w:t>Denmark, France, Germany, the Netherlands, and the United Kingdom</w:t>
      </w:r>
      <w:r w:rsidR="003373F9">
        <w:rPr>
          <w:rFonts w:cs="Times New Roman"/>
          <w:iCs/>
        </w:rPr>
        <w:t>)</w:t>
      </w:r>
      <w:r w:rsidR="00C94354">
        <w:rPr>
          <w:rFonts w:cs="Times New Roman"/>
          <w:iCs/>
        </w:rPr>
        <w:t>. This article</w:t>
      </w:r>
      <w:r w:rsidR="00773B7A">
        <w:rPr>
          <w:rFonts w:cs="Times New Roman"/>
          <w:iCs/>
        </w:rPr>
        <w:t xml:space="preserve">, which </w:t>
      </w:r>
      <w:r w:rsidR="00492F1A">
        <w:rPr>
          <w:rFonts w:cs="Times New Roman"/>
          <w:iCs/>
        </w:rPr>
        <w:t>follows up and updates the previous one</w:t>
      </w:r>
      <w:r w:rsidR="00773B7A">
        <w:rPr>
          <w:rFonts w:cs="Times New Roman"/>
          <w:iCs/>
        </w:rPr>
        <w:t>,</w:t>
      </w:r>
      <w:r w:rsidR="00C94354">
        <w:rPr>
          <w:rFonts w:cs="Times New Roman"/>
          <w:iCs/>
        </w:rPr>
        <w:t xml:space="preserve"> will chart the</w:t>
      </w:r>
      <w:r w:rsidR="00B03E18">
        <w:rPr>
          <w:rFonts w:cs="Times New Roman"/>
          <w:iCs/>
        </w:rPr>
        <w:t xml:space="preserve"> comparative</w:t>
      </w:r>
      <w:r w:rsidR="00C94354">
        <w:rPr>
          <w:rFonts w:cs="Times New Roman"/>
          <w:iCs/>
        </w:rPr>
        <w:t xml:space="preserve"> progress of the</w:t>
      </w:r>
      <w:r w:rsidR="00B03E18">
        <w:rPr>
          <w:rFonts w:cs="Times New Roman"/>
          <w:iCs/>
        </w:rPr>
        <w:t>se</w:t>
      </w:r>
      <w:r w:rsidR="00C94354">
        <w:rPr>
          <w:rFonts w:cs="Times New Roman"/>
          <w:iCs/>
        </w:rPr>
        <w:t xml:space="preserve"> </w:t>
      </w:r>
      <w:r w:rsidR="007552A2">
        <w:rPr>
          <w:rFonts w:cs="Times New Roman"/>
          <w:iCs/>
        </w:rPr>
        <w:t>Member State</w:t>
      </w:r>
      <w:r w:rsidR="00C94354">
        <w:rPr>
          <w:rFonts w:cs="Times New Roman"/>
          <w:iCs/>
        </w:rPr>
        <w:t xml:space="preserve"> reforms toward the implementation of the PRD</w:t>
      </w:r>
      <w:r w:rsidR="001B2252">
        <w:rPr>
          <w:rFonts w:cs="Times New Roman"/>
          <w:iCs/>
        </w:rPr>
        <w:t xml:space="preserve">. </w:t>
      </w:r>
      <w:r w:rsidR="004754C1">
        <w:rPr>
          <w:rFonts w:cs="Times New Roman"/>
          <w:iCs/>
        </w:rPr>
        <w:t xml:space="preserve">Although </w:t>
      </w:r>
      <w:r w:rsidR="003373F9">
        <w:rPr>
          <w:rFonts w:cs="Times New Roman"/>
          <w:iCs/>
        </w:rPr>
        <w:t xml:space="preserve">several jurisdictions have hastened their reforms in the last 18 months, such as the Netherlands, Germany, and arguably the UK, </w:t>
      </w:r>
      <w:r w:rsidR="001B2252">
        <w:rPr>
          <w:rFonts w:cs="Times New Roman"/>
          <w:iCs/>
        </w:rPr>
        <w:t>most Member States have opted for the one</w:t>
      </w:r>
      <w:r w:rsidR="00B05F9D">
        <w:rPr>
          <w:rFonts w:cs="Times New Roman"/>
          <w:iCs/>
        </w:rPr>
        <w:t>-</w:t>
      </w:r>
      <w:r w:rsidR="001B2252">
        <w:rPr>
          <w:rFonts w:cs="Times New Roman"/>
          <w:iCs/>
        </w:rPr>
        <w:t>year extension</w:t>
      </w:r>
      <w:r w:rsidR="003373F9">
        <w:rPr>
          <w:rFonts w:cs="Times New Roman"/>
          <w:iCs/>
        </w:rPr>
        <w:t xml:space="preserve">, therefore, </w:t>
      </w:r>
      <w:r w:rsidR="001B2252">
        <w:rPr>
          <w:rFonts w:cs="Times New Roman"/>
          <w:iCs/>
        </w:rPr>
        <w:t xml:space="preserve">many </w:t>
      </w:r>
      <w:r w:rsidR="00B05F9D">
        <w:rPr>
          <w:rFonts w:cs="Times New Roman"/>
          <w:iCs/>
        </w:rPr>
        <w:t xml:space="preserve">of the </w:t>
      </w:r>
      <w:r w:rsidR="003373F9">
        <w:rPr>
          <w:rFonts w:cs="Times New Roman"/>
          <w:iCs/>
        </w:rPr>
        <w:t>reforms are</w:t>
      </w:r>
      <w:r w:rsidR="00B03E18">
        <w:rPr>
          <w:rFonts w:cs="Times New Roman"/>
          <w:iCs/>
        </w:rPr>
        <w:t xml:space="preserve"> not</w:t>
      </w:r>
      <w:r w:rsidR="003373F9">
        <w:rPr>
          <w:rFonts w:cs="Times New Roman"/>
          <w:iCs/>
        </w:rPr>
        <w:t xml:space="preserve"> likely to be implemented </w:t>
      </w:r>
      <w:r w:rsidR="00B03E18">
        <w:rPr>
          <w:rFonts w:cs="Times New Roman"/>
          <w:iCs/>
        </w:rPr>
        <w:t>until</w:t>
      </w:r>
      <w:r w:rsidR="003373F9">
        <w:rPr>
          <w:rFonts w:cs="Times New Roman"/>
          <w:iCs/>
        </w:rPr>
        <w:t xml:space="preserve"> J</w:t>
      </w:r>
      <w:r w:rsidR="00C94354">
        <w:rPr>
          <w:rFonts w:cs="Times New Roman"/>
          <w:iCs/>
        </w:rPr>
        <w:t>uly 2022</w:t>
      </w:r>
      <w:r w:rsidR="004754C1">
        <w:rPr>
          <w:rFonts w:cs="Times New Roman"/>
          <w:iCs/>
        </w:rPr>
        <w:t>.</w:t>
      </w:r>
      <w:r w:rsidR="00C94354">
        <w:rPr>
          <w:rFonts w:cs="Times New Roman"/>
          <w:iCs/>
        </w:rPr>
        <w:t xml:space="preserve"> </w:t>
      </w:r>
      <w:r w:rsidR="00D10A82">
        <w:rPr>
          <w:rFonts w:cs="Times New Roman"/>
          <w:iCs/>
        </w:rPr>
        <w:t xml:space="preserve">As </w:t>
      </w:r>
      <w:r w:rsidR="00B03E18">
        <w:rPr>
          <w:rFonts w:cs="Times New Roman"/>
          <w:iCs/>
        </w:rPr>
        <w:t>this</w:t>
      </w:r>
      <w:r w:rsidR="00D10A82">
        <w:rPr>
          <w:rFonts w:cs="Times New Roman"/>
          <w:iCs/>
        </w:rPr>
        <w:t xml:space="preserve"> </w:t>
      </w:r>
      <w:r w:rsidR="00B03E18">
        <w:rPr>
          <w:rFonts w:cs="Times New Roman"/>
          <w:iCs/>
        </w:rPr>
        <w:t>article</w:t>
      </w:r>
      <w:r w:rsidR="00D10A82">
        <w:rPr>
          <w:rFonts w:cs="Times New Roman"/>
          <w:iCs/>
        </w:rPr>
        <w:t xml:space="preserve"> will demonstrate, t</w:t>
      </w:r>
      <w:r w:rsidR="00FA3BF7">
        <w:rPr>
          <w:rFonts w:cs="Times New Roman"/>
          <w:iCs/>
        </w:rPr>
        <w:t xml:space="preserve">he COVID-19 </w:t>
      </w:r>
      <w:r w:rsidR="00B03E18">
        <w:rPr>
          <w:rFonts w:cs="Times New Roman"/>
          <w:iCs/>
        </w:rPr>
        <w:t>p</w:t>
      </w:r>
      <w:r w:rsidR="00FA3BF7">
        <w:rPr>
          <w:rFonts w:cs="Times New Roman"/>
          <w:iCs/>
        </w:rPr>
        <w:t xml:space="preserve">andemic has been blamed by some for the </w:t>
      </w:r>
      <w:r w:rsidR="005D2EC3">
        <w:rPr>
          <w:rFonts w:cs="Times New Roman"/>
          <w:iCs/>
        </w:rPr>
        <w:t>delay but</w:t>
      </w:r>
      <w:r w:rsidR="00FA3BF7">
        <w:rPr>
          <w:rFonts w:cs="Times New Roman"/>
          <w:iCs/>
        </w:rPr>
        <w:t xml:space="preserve"> </w:t>
      </w:r>
      <w:r w:rsidR="00B03E18">
        <w:rPr>
          <w:rFonts w:cs="Times New Roman"/>
          <w:iCs/>
        </w:rPr>
        <w:t xml:space="preserve">it </w:t>
      </w:r>
      <w:r w:rsidR="00FA3BF7">
        <w:rPr>
          <w:rFonts w:cs="Times New Roman"/>
          <w:iCs/>
        </w:rPr>
        <w:t>has equally been an incentive to introduce more flexible procedures to ensure the rescue of viable business</w:t>
      </w:r>
      <w:r w:rsidR="00B05F9D">
        <w:rPr>
          <w:rFonts w:cs="Times New Roman"/>
          <w:iCs/>
        </w:rPr>
        <w:t>es</w:t>
      </w:r>
      <w:r w:rsidR="00FA3BF7">
        <w:rPr>
          <w:rFonts w:cs="Times New Roman"/>
          <w:iCs/>
        </w:rPr>
        <w:t xml:space="preserve"> </w:t>
      </w:r>
      <w:r w:rsidR="00B05F9D">
        <w:rPr>
          <w:rFonts w:cs="Times New Roman"/>
          <w:iCs/>
        </w:rPr>
        <w:t xml:space="preserve">that are facing </w:t>
      </w:r>
      <w:r w:rsidR="00FA3BF7">
        <w:rPr>
          <w:rFonts w:cs="Times New Roman"/>
          <w:iCs/>
        </w:rPr>
        <w:t xml:space="preserve">the financial distress caused by lockdowns, restrictions, and other unforeseen </w:t>
      </w:r>
      <w:r w:rsidR="001B2252">
        <w:rPr>
          <w:rFonts w:cs="Times New Roman"/>
          <w:iCs/>
        </w:rPr>
        <w:t xml:space="preserve">economic </w:t>
      </w:r>
      <w:r w:rsidR="00FA3BF7">
        <w:rPr>
          <w:rFonts w:cs="Times New Roman"/>
          <w:iCs/>
        </w:rPr>
        <w:t xml:space="preserve">consequences of the pandemic. </w:t>
      </w:r>
    </w:p>
    <w:p w14:paraId="0937D73F" w14:textId="48F572B0" w:rsidR="005E58BA" w:rsidRDefault="00C94354" w:rsidP="00F04954">
      <w:pPr>
        <w:spacing w:before="120" w:after="120"/>
        <w:jc w:val="both"/>
        <w:rPr>
          <w:rFonts w:cs="Times New Roman"/>
          <w:b/>
          <w:bCs/>
        </w:rPr>
      </w:pPr>
      <w:r>
        <w:rPr>
          <w:rFonts w:cs="Times New Roman"/>
          <w:iCs/>
        </w:rPr>
        <w:t xml:space="preserve">The following discussion will </w:t>
      </w:r>
      <w:r w:rsidR="00615617">
        <w:rPr>
          <w:rFonts w:cs="Times New Roman"/>
          <w:iCs/>
        </w:rPr>
        <w:t>build on</w:t>
      </w:r>
      <w:r>
        <w:rPr>
          <w:rFonts w:cs="Times New Roman"/>
          <w:iCs/>
        </w:rPr>
        <w:t xml:space="preserve"> </w:t>
      </w:r>
      <w:r w:rsidR="003373F9">
        <w:rPr>
          <w:rFonts w:cs="Times New Roman"/>
          <w:iCs/>
        </w:rPr>
        <w:t xml:space="preserve">the progress of the subject jurisdictions within </w:t>
      </w:r>
      <w:r>
        <w:rPr>
          <w:rFonts w:cs="Times New Roman"/>
          <w:iCs/>
        </w:rPr>
        <w:t>the four themes explored in the previous article</w:t>
      </w:r>
      <w:r w:rsidR="00615617">
        <w:rPr>
          <w:rFonts w:cs="Times New Roman"/>
          <w:iCs/>
        </w:rPr>
        <w:t xml:space="preserve"> by</w:t>
      </w:r>
      <w:r>
        <w:rPr>
          <w:rFonts w:cs="Times New Roman"/>
          <w:iCs/>
        </w:rPr>
        <w:t xml:space="preserve"> examin</w:t>
      </w:r>
      <w:r w:rsidR="00615617">
        <w:rPr>
          <w:rFonts w:cs="Times New Roman"/>
          <w:iCs/>
        </w:rPr>
        <w:t>ing, first,</w:t>
      </w:r>
      <w:r>
        <w:rPr>
          <w:rFonts w:cs="Times New Roman"/>
          <w:iCs/>
        </w:rPr>
        <w:t xml:space="preserve"> the progress of the introduction of up-stream or preventive restructuring mechanisms</w:t>
      </w:r>
      <w:r w:rsidR="001533CA">
        <w:rPr>
          <w:rFonts w:cs="Times New Roman"/>
          <w:iCs/>
        </w:rPr>
        <w:t xml:space="preserve"> and the incentives to use such a process</w:t>
      </w:r>
      <w:r>
        <w:rPr>
          <w:rFonts w:cs="Times New Roman"/>
          <w:iCs/>
        </w:rPr>
        <w:t>.</w:t>
      </w:r>
      <w:r w:rsidR="001533CA">
        <w:rPr>
          <w:rFonts w:cs="Times New Roman"/>
          <w:iCs/>
        </w:rPr>
        <w:t xml:space="preserve"> It will then discuss the presence of and approach to the cram-down mechanism against creditors who dissent to a plan. Finally, it will explore the comparative developments within the culture of rescue in the five jurisdictions under examination. </w:t>
      </w:r>
    </w:p>
    <w:p w14:paraId="29F1BD8B" w14:textId="46FB806E" w:rsidR="00130CA4" w:rsidRDefault="00130CA4" w:rsidP="00F04954">
      <w:pPr>
        <w:spacing w:before="120" w:after="120"/>
        <w:jc w:val="both"/>
        <w:rPr>
          <w:rFonts w:cs="Times New Roman"/>
          <w:b/>
          <w:bCs/>
        </w:rPr>
      </w:pPr>
      <w:r>
        <w:rPr>
          <w:rFonts w:cs="Times New Roman"/>
          <w:b/>
          <w:bCs/>
        </w:rPr>
        <w:lastRenderedPageBreak/>
        <w:t>2. Comparative Progress toward Preventive Restructuring</w:t>
      </w:r>
    </w:p>
    <w:p w14:paraId="397AD281" w14:textId="0D9EB22D" w:rsidR="00865E92" w:rsidRPr="00865E92" w:rsidRDefault="00865E92" w:rsidP="00F04954">
      <w:pPr>
        <w:spacing w:before="120" w:after="120"/>
        <w:jc w:val="both"/>
        <w:rPr>
          <w:rFonts w:cs="Times New Roman"/>
        </w:rPr>
      </w:pPr>
      <w:r>
        <w:rPr>
          <w:rFonts w:cs="Times New Roman"/>
        </w:rPr>
        <w:t>The PRD has had a</w:t>
      </w:r>
      <w:r w:rsidR="1AFC58FF" w:rsidRPr="1AFC58FF">
        <w:rPr>
          <w:rFonts w:cs="Times New Roman"/>
        </w:rPr>
        <w:t xml:space="preserve"> clear</w:t>
      </w:r>
      <w:r>
        <w:rPr>
          <w:rFonts w:cs="Times New Roman"/>
        </w:rPr>
        <w:t xml:space="preserve"> impact on the substantive insolvency laws across E</w:t>
      </w:r>
      <w:r w:rsidR="1AFC58FF" w:rsidRPr="1AFC58FF">
        <w:rPr>
          <w:rFonts w:cs="Times New Roman"/>
        </w:rPr>
        <w:t>urope.</w:t>
      </w:r>
      <w:r>
        <w:rPr>
          <w:rFonts w:cs="Times New Roman"/>
        </w:rPr>
        <w:t xml:space="preserve"> </w:t>
      </w:r>
      <w:r w:rsidR="1AFC58FF" w:rsidRPr="1AFC58FF">
        <w:rPr>
          <w:rFonts w:cs="Times New Roman"/>
        </w:rPr>
        <w:t>E</w:t>
      </w:r>
      <w:r>
        <w:rPr>
          <w:rFonts w:cs="Times New Roman"/>
        </w:rPr>
        <w:t>ach of the jurisdictions have revised</w:t>
      </w:r>
      <w:r w:rsidR="003373F9">
        <w:rPr>
          <w:rFonts w:cs="Times New Roman"/>
        </w:rPr>
        <w:t xml:space="preserve"> or are in the process of revising</w:t>
      </w:r>
      <w:r>
        <w:rPr>
          <w:rFonts w:cs="Times New Roman"/>
        </w:rPr>
        <w:t xml:space="preserve"> their </w:t>
      </w:r>
      <w:r w:rsidR="003373F9">
        <w:rPr>
          <w:rFonts w:cs="Times New Roman"/>
        </w:rPr>
        <w:t>‘</w:t>
      </w:r>
      <w:r>
        <w:rPr>
          <w:rFonts w:cs="Times New Roman"/>
        </w:rPr>
        <w:t>state of the art</w:t>
      </w:r>
      <w:r w:rsidR="003373F9">
        <w:rPr>
          <w:rFonts w:cs="Times New Roman"/>
        </w:rPr>
        <w:t>’</w:t>
      </w:r>
      <w:r>
        <w:rPr>
          <w:rFonts w:cs="Times New Roman"/>
        </w:rPr>
        <w:t xml:space="preserve"> to align</w:t>
      </w:r>
      <w:r w:rsidR="1AFC58FF" w:rsidRPr="1AFC58FF">
        <w:rPr>
          <w:rFonts w:cs="Times New Roman"/>
        </w:rPr>
        <w:t>, to varying degrees,</w:t>
      </w:r>
      <w:r>
        <w:rPr>
          <w:rFonts w:cs="Times New Roman"/>
        </w:rPr>
        <w:t xml:space="preserve"> with the minimum </w:t>
      </w:r>
      <w:r w:rsidR="00B03E18">
        <w:rPr>
          <w:rFonts w:cs="Times New Roman"/>
        </w:rPr>
        <w:t>requirements</w:t>
      </w:r>
      <w:r>
        <w:rPr>
          <w:rFonts w:cs="Times New Roman"/>
        </w:rPr>
        <w:t xml:space="preserve"> of the PRD. Two of the jurisdictions that will be discussed, The Netherlands and Germany</w:t>
      </w:r>
      <w:r w:rsidR="1AFC58FF" w:rsidRPr="1AFC58FF">
        <w:rPr>
          <w:rFonts w:cs="Times New Roman"/>
        </w:rPr>
        <w:t>,</w:t>
      </w:r>
      <w:r>
        <w:rPr>
          <w:rFonts w:cs="Times New Roman"/>
        </w:rPr>
        <w:t xml:space="preserve"> were quick to introduce new mechanisms, though the WHOA</w:t>
      </w:r>
      <w:r>
        <w:rPr>
          <w:rStyle w:val="FootnoteReference"/>
          <w:rFonts w:cs="Times New Roman"/>
        </w:rPr>
        <w:footnoteReference w:id="11"/>
      </w:r>
      <w:r>
        <w:rPr>
          <w:rFonts w:cs="Times New Roman"/>
        </w:rPr>
        <w:t xml:space="preserve"> had been in the works for a few years prior to its introduction in 2021. The German </w:t>
      </w:r>
      <w:proofErr w:type="spellStart"/>
      <w:r>
        <w:rPr>
          <w:rFonts w:cs="Times New Roman"/>
        </w:rPr>
        <w:t>StaRUG</w:t>
      </w:r>
      <w:proofErr w:type="spellEnd"/>
      <w:r>
        <w:rPr>
          <w:rStyle w:val="FootnoteReference"/>
          <w:rFonts w:cs="Times New Roman"/>
        </w:rPr>
        <w:footnoteReference w:id="12"/>
      </w:r>
      <w:r>
        <w:rPr>
          <w:rFonts w:cs="Times New Roman"/>
        </w:rPr>
        <w:t xml:space="preserve"> </w:t>
      </w:r>
      <w:r w:rsidR="001A2E29">
        <w:rPr>
          <w:rFonts w:cs="Times New Roman"/>
        </w:rPr>
        <w:t xml:space="preserve">was </w:t>
      </w:r>
      <w:r>
        <w:rPr>
          <w:rFonts w:cs="Times New Roman"/>
        </w:rPr>
        <w:t>also introduced in 2021</w:t>
      </w:r>
      <w:r w:rsidR="001A2E29">
        <w:rPr>
          <w:rFonts w:cs="Times New Roman"/>
        </w:rPr>
        <w:t>with compara</w:t>
      </w:r>
      <w:r w:rsidR="00B05F9D">
        <w:rPr>
          <w:rFonts w:cs="Times New Roman"/>
        </w:rPr>
        <w:t>bl</w:t>
      </w:r>
      <w:r w:rsidR="001A2E29">
        <w:rPr>
          <w:rFonts w:cs="Times New Roman"/>
        </w:rPr>
        <w:t>e rules to the WHOA</w:t>
      </w:r>
      <w:r w:rsidR="00FA3BF7">
        <w:rPr>
          <w:rFonts w:cs="Times New Roman"/>
        </w:rPr>
        <w:t>. France has recently introduced an Ordinance</w:t>
      </w:r>
      <w:r w:rsidR="00FA3BF7">
        <w:rPr>
          <w:rStyle w:val="FootnoteReference"/>
          <w:rFonts w:cs="Times New Roman"/>
        </w:rPr>
        <w:footnoteReference w:id="13"/>
      </w:r>
      <w:r>
        <w:rPr>
          <w:rFonts w:cs="Times New Roman"/>
        </w:rPr>
        <w:t xml:space="preserve"> </w:t>
      </w:r>
      <w:r w:rsidR="00FA3BF7">
        <w:rPr>
          <w:rFonts w:cs="Times New Roman"/>
        </w:rPr>
        <w:t>intended to implement the PRD</w:t>
      </w:r>
      <w:r w:rsidR="00D00118">
        <w:rPr>
          <w:rFonts w:cs="Times New Roman"/>
        </w:rPr>
        <w:t>,</w:t>
      </w:r>
      <w:r w:rsidR="009232A3">
        <w:rPr>
          <w:rFonts w:cs="Times New Roman"/>
        </w:rPr>
        <w:t xml:space="preserve"> and while Denmark has not yet introduced implementing legislation, a number of changes have been made to incentivise the use of rescue procedures. Finally, although the UK is no longer a member of the </w:t>
      </w:r>
      <w:r w:rsidR="00E07BA9">
        <w:rPr>
          <w:rFonts w:cs="Times New Roman"/>
        </w:rPr>
        <w:t>EU</w:t>
      </w:r>
      <w:r w:rsidR="009232A3">
        <w:rPr>
          <w:rFonts w:cs="Times New Roman"/>
        </w:rPr>
        <w:t>, it has arguably followed the ethos of the PRD quite closely in its most recent reforms, perhaps with the aim of remaining a competitive restructuring jurisdiction despite the uncertainty that Brexit introduced to the enforceability and recognition of UK</w:t>
      </w:r>
      <w:r w:rsidR="00B03E18">
        <w:rPr>
          <w:rFonts w:cs="Times New Roman"/>
        </w:rPr>
        <w:t xml:space="preserve"> procedures</w:t>
      </w:r>
      <w:r w:rsidR="009232A3">
        <w:rPr>
          <w:rFonts w:cs="Times New Roman"/>
        </w:rPr>
        <w:t xml:space="preserve">. </w:t>
      </w:r>
    </w:p>
    <w:p w14:paraId="141B9110" w14:textId="03AAF0E0" w:rsidR="00130CA4" w:rsidRDefault="00130CA4" w:rsidP="00130CA4">
      <w:pPr>
        <w:spacing w:before="120" w:after="120"/>
        <w:jc w:val="both"/>
        <w:rPr>
          <w:rFonts w:cs="Times New Roman"/>
          <w:i/>
        </w:rPr>
      </w:pPr>
      <w:r>
        <w:rPr>
          <w:rFonts w:cs="Times New Roman"/>
          <w:i/>
        </w:rPr>
        <w:t xml:space="preserve">2.1 </w:t>
      </w:r>
      <w:r w:rsidRPr="00130CA4">
        <w:rPr>
          <w:rFonts w:cs="Times New Roman"/>
          <w:i/>
        </w:rPr>
        <w:t>Early Restructuring Mechanism</w:t>
      </w:r>
      <w:r w:rsidR="00E07BA9">
        <w:rPr>
          <w:rFonts w:cs="Times New Roman"/>
          <w:i/>
        </w:rPr>
        <w:t>s</w:t>
      </w:r>
    </w:p>
    <w:p w14:paraId="2C584332" w14:textId="11416674" w:rsidR="00922A5C" w:rsidRDefault="00922A5C" w:rsidP="00922A5C">
      <w:pPr>
        <w:spacing w:before="120" w:after="120"/>
        <w:jc w:val="both"/>
        <w:rPr>
          <w:rFonts w:cs="Times New Roman"/>
        </w:rPr>
      </w:pPr>
      <w:r>
        <w:rPr>
          <w:rFonts w:cs="Times New Roman"/>
          <w:iCs/>
        </w:rPr>
        <w:t xml:space="preserve">The PRD provides </w:t>
      </w:r>
      <w:r w:rsidRPr="00AA2F39">
        <w:rPr>
          <w:rFonts w:cs="Times New Roman"/>
        </w:rPr>
        <w:t xml:space="preserve">for an early </w:t>
      </w:r>
      <w:r w:rsidR="007F2AB4">
        <w:rPr>
          <w:rFonts w:cs="Times New Roman"/>
        </w:rPr>
        <w:t xml:space="preserve">preventive </w:t>
      </w:r>
      <w:r w:rsidRPr="00AA2F39">
        <w:rPr>
          <w:rFonts w:cs="Times New Roman"/>
        </w:rPr>
        <w:t xml:space="preserve">restructuring </w:t>
      </w:r>
      <w:r>
        <w:rPr>
          <w:rFonts w:cs="Times New Roman"/>
        </w:rPr>
        <w:t xml:space="preserve">process that should be made </w:t>
      </w:r>
      <w:r w:rsidRPr="00AA2F39">
        <w:rPr>
          <w:rFonts w:cs="Times New Roman"/>
        </w:rPr>
        <w:t xml:space="preserve">available </w:t>
      </w:r>
      <w:r>
        <w:rPr>
          <w:rFonts w:cs="Times New Roman"/>
        </w:rPr>
        <w:t>when a company finds itself likely to become insolvent</w:t>
      </w:r>
      <w:r w:rsidR="008C6092">
        <w:rPr>
          <w:rFonts w:cs="Times New Roman"/>
        </w:rPr>
        <w:t>,</w:t>
      </w:r>
      <w:r w:rsidRPr="00AA2F39">
        <w:rPr>
          <w:rStyle w:val="FootnoteReference"/>
          <w:rFonts w:cs="Times New Roman"/>
        </w:rPr>
        <w:footnoteReference w:id="14"/>
      </w:r>
      <w:r w:rsidR="008C6092">
        <w:rPr>
          <w:rFonts w:cs="Times New Roman"/>
        </w:rPr>
        <w:t xml:space="preserve"> though the definition of this likelihood is left to the determination of </w:t>
      </w:r>
      <w:r w:rsidR="007552A2">
        <w:rPr>
          <w:rFonts w:cs="Times New Roman"/>
        </w:rPr>
        <w:t>Member State</w:t>
      </w:r>
      <w:r w:rsidR="008C6092">
        <w:rPr>
          <w:rFonts w:cs="Times New Roman"/>
        </w:rPr>
        <w:t>s.</w:t>
      </w:r>
      <w:r w:rsidR="008C6092">
        <w:rPr>
          <w:rStyle w:val="FootnoteReference"/>
          <w:rFonts w:cs="Times New Roman"/>
        </w:rPr>
        <w:footnoteReference w:id="15"/>
      </w:r>
      <w:r w:rsidRPr="00AA2F39">
        <w:rPr>
          <w:rFonts w:cs="Times New Roman"/>
        </w:rPr>
        <w:t xml:space="preserve"> </w:t>
      </w:r>
      <w:r>
        <w:rPr>
          <w:rFonts w:cs="Times New Roman"/>
        </w:rPr>
        <w:t>At the time of the</w:t>
      </w:r>
      <w:r w:rsidR="005B4184">
        <w:rPr>
          <w:rFonts w:cs="Times New Roman"/>
        </w:rPr>
        <w:t xml:space="preserve"> authors’</w:t>
      </w:r>
      <w:r>
        <w:rPr>
          <w:rFonts w:cs="Times New Roman"/>
        </w:rPr>
        <w:t xml:space="preserve"> original article in 2019, the UK still edged out the restructuring competition by offering the Scheme of Arrangement, a procedure that is not technically an insolvency procedure</w:t>
      </w:r>
      <w:r w:rsidR="00FB5DBF">
        <w:rPr>
          <w:rFonts w:cs="Times New Roman"/>
        </w:rPr>
        <w:t>,</w:t>
      </w:r>
      <w:r>
        <w:rPr>
          <w:rFonts w:cs="Times New Roman"/>
        </w:rPr>
        <w:t xml:space="preserve"> sitting as it does within the Companies Act 2006 and available to solvent and insolvent companies alike. However, although the UK has now introduced a new </w:t>
      </w:r>
      <w:r w:rsidR="00045E96">
        <w:rPr>
          <w:rFonts w:cs="Times New Roman"/>
        </w:rPr>
        <w:t xml:space="preserve">restructuring plan </w:t>
      </w:r>
      <w:r>
        <w:rPr>
          <w:rFonts w:cs="Times New Roman"/>
        </w:rPr>
        <w:t>that largely reflects the provisions of the PRD,</w:t>
      </w:r>
      <w:r w:rsidR="00045E96">
        <w:rPr>
          <w:rStyle w:val="FootnoteReference"/>
          <w:rFonts w:cs="Times New Roman"/>
        </w:rPr>
        <w:footnoteReference w:id="16"/>
      </w:r>
      <w:r>
        <w:rPr>
          <w:rFonts w:cs="Times New Roman"/>
        </w:rPr>
        <w:t xml:space="preserve"> the Dutch WHOA, German </w:t>
      </w:r>
      <w:proofErr w:type="spellStart"/>
      <w:r>
        <w:rPr>
          <w:rFonts w:cs="Times New Roman"/>
        </w:rPr>
        <w:t>StaRUG</w:t>
      </w:r>
      <w:proofErr w:type="spellEnd"/>
      <w:r>
        <w:rPr>
          <w:rFonts w:cs="Times New Roman"/>
        </w:rPr>
        <w:t xml:space="preserve">, and new French reforms arguably introduce </w:t>
      </w:r>
      <w:r w:rsidR="00B03E18">
        <w:rPr>
          <w:rFonts w:cs="Times New Roman"/>
        </w:rPr>
        <w:t>creditable</w:t>
      </w:r>
      <w:r>
        <w:rPr>
          <w:rFonts w:cs="Times New Roman"/>
        </w:rPr>
        <w:t xml:space="preserve"> competition in terms of the efficiency of process and, due to Brexit, their ease of access and certainty of recognition and enforcement</w:t>
      </w:r>
      <w:r w:rsidR="007F2AB4">
        <w:rPr>
          <w:rFonts w:cs="Times New Roman"/>
        </w:rPr>
        <w:t xml:space="preserve"> of judgments</w:t>
      </w:r>
      <w:r w:rsidR="001A2E29">
        <w:rPr>
          <w:rFonts w:cs="Times New Roman"/>
        </w:rPr>
        <w:t xml:space="preserve"> within the EU under the Recast EIR</w:t>
      </w:r>
      <w:r>
        <w:rPr>
          <w:rFonts w:cs="Times New Roman"/>
        </w:rPr>
        <w:t xml:space="preserve">. </w:t>
      </w:r>
    </w:p>
    <w:p w14:paraId="7D166A0F" w14:textId="47E410F5" w:rsidR="00F436A5" w:rsidRDefault="001A2E29" w:rsidP="00922A5C">
      <w:pPr>
        <w:spacing w:before="120" w:after="120"/>
        <w:jc w:val="both"/>
        <w:rPr>
          <w:rFonts w:cs="Times New Roman"/>
        </w:rPr>
      </w:pPr>
      <w:r>
        <w:rPr>
          <w:rFonts w:cs="Times New Roman"/>
        </w:rPr>
        <w:t>The</w:t>
      </w:r>
      <w:r w:rsidR="003373F9">
        <w:rPr>
          <w:rFonts w:cs="Times New Roman"/>
        </w:rPr>
        <w:t xml:space="preserve"> introduction of the WHOA as an </w:t>
      </w:r>
      <w:r w:rsidR="002C05A7">
        <w:rPr>
          <w:rFonts w:cs="Times New Roman"/>
        </w:rPr>
        <w:t>implementation</w:t>
      </w:r>
      <w:r w:rsidR="003373F9">
        <w:rPr>
          <w:rFonts w:cs="Times New Roman"/>
        </w:rPr>
        <w:t xml:space="preserve"> of the PRD was a huge step forward for the Netherlands. </w:t>
      </w:r>
      <w:r w:rsidR="00922A5C">
        <w:rPr>
          <w:rFonts w:cs="Times New Roman"/>
        </w:rPr>
        <w:t>Previously, the Netherlands merely provided a procedural stay</w:t>
      </w:r>
      <w:r w:rsidR="00EE129D">
        <w:rPr>
          <w:rFonts w:cs="Times New Roman"/>
        </w:rPr>
        <w:t xml:space="preserve"> of </w:t>
      </w:r>
      <w:r w:rsidR="00B71A41">
        <w:rPr>
          <w:rFonts w:cs="Times New Roman"/>
        </w:rPr>
        <w:t>enforcement</w:t>
      </w:r>
      <w:r w:rsidR="00922A5C">
        <w:rPr>
          <w:rFonts w:cs="Times New Roman"/>
        </w:rPr>
        <w:t xml:space="preserve">, the </w:t>
      </w:r>
      <w:proofErr w:type="spellStart"/>
      <w:r w:rsidR="00EE129D" w:rsidRPr="35B6F049">
        <w:rPr>
          <w:rFonts w:cs="Times New Roman"/>
          <w:i/>
          <w:iCs/>
        </w:rPr>
        <w:t>surseance</w:t>
      </w:r>
      <w:proofErr w:type="spellEnd"/>
      <w:r w:rsidR="00EE129D" w:rsidRPr="35B6F049">
        <w:rPr>
          <w:rFonts w:cs="Times New Roman"/>
          <w:i/>
          <w:iCs/>
        </w:rPr>
        <w:t xml:space="preserve"> van </w:t>
      </w:r>
      <w:proofErr w:type="spellStart"/>
      <w:r w:rsidR="00EE129D" w:rsidRPr="35B6F049">
        <w:rPr>
          <w:rFonts w:cs="Times New Roman"/>
          <w:i/>
          <w:iCs/>
        </w:rPr>
        <w:t>betaling</w:t>
      </w:r>
      <w:proofErr w:type="spellEnd"/>
      <w:r w:rsidR="00EE129D">
        <w:rPr>
          <w:rFonts w:cs="Times New Roman"/>
        </w:rPr>
        <w:t>,</w:t>
      </w:r>
      <w:r w:rsidR="00EE129D">
        <w:rPr>
          <w:rStyle w:val="FootnoteReference"/>
          <w:rFonts w:cs="Times New Roman"/>
        </w:rPr>
        <w:footnoteReference w:id="17"/>
      </w:r>
      <w:r w:rsidR="00B71A41">
        <w:rPr>
          <w:rFonts w:cs="Times New Roman"/>
        </w:rPr>
        <w:t xml:space="preserve"> that could be used as breathing space to try to reach an agreement</w:t>
      </w:r>
      <w:r w:rsidR="007F2AB4">
        <w:rPr>
          <w:rFonts w:cs="Times New Roman"/>
        </w:rPr>
        <w:t xml:space="preserve"> or composition</w:t>
      </w:r>
      <w:r w:rsidR="00B71A41">
        <w:rPr>
          <w:rFonts w:cs="Times New Roman"/>
        </w:rPr>
        <w:t xml:space="preserve"> with unsecured creditors. The procedure</w:t>
      </w:r>
      <w:r w:rsidR="00EE129D">
        <w:rPr>
          <w:rFonts w:cs="Times New Roman"/>
        </w:rPr>
        <w:t xml:space="preserve"> was </w:t>
      </w:r>
      <w:r w:rsidR="00B71A41">
        <w:rPr>
          <w:rFonts w:cs="Times New Roman"/>
        </w:rPr>
        <w:t xml:space="preserve">quite </w:t>
      </w:r>
      <w:r w:rsidR="00EE129D">
        <w:rPr>
          <w:rFonts w:cs="Times New Roman"/>
        </w:rPr>
        <w:t>limited in scope</w:t>
      </w:r>
      <w:r w:rsidR="00163238">
        <w:rPr>
          <w:rFonts w:cs="Times New Roman"/>
        </w:rPr>
        <w:t xml:space="preserve">, with </w:t>
      </w:r>
      <w:r w:rsidR="00A4402E">
        <w:rPr>
          <w:rFonts w:cs="Times New Roman"/>
        </w:rPr>
        <w:t xml:space="preserve">fairly </w:t>
      </w:r>
      <w:r w:rsidR="002C05A7">
        <w:rPr>
          <w:rFonts w:cs="Times New Roman"/>
        </w:rPr>
        <w:t>prescriptive</w:t>
      </w:r>
      <w:r w:rsidR="00A4402E">
        <w:rPr>
          <w:rFonts w:cs="Times New Roman"/>
        </w:rPr>
        <w:t xml:space="preserve"> </w:t>
      </w:r>
      <w:r w:rsidR="00163238">
        <w:rPr>
          <w:rFonts w:cs="Times New Roman"/>
        </w:rPr>
        <w:t>option</w:t>
      </w:r>
      <w:r w:rsidR="00A4402E">
        <w:rPr>
          <w:rFonts w:cs="Times New Roman"/>
        </w:rPr>
        <w:t>s</w:t>
      </w:r>
      <w:r w:rsidR="00163238">
        <w:rPr>
          <w:rFonts w:cs="Times New Roman"/>
        </w:rPr>
        <w:t xml:space="preserve"> for </w:t>
      </w:r>
      <w:r w:rsidR="00B71A41">
        <w:rPr>
          <w:rFonts w:cs="Times New Roman"/>
        </w:rPr>
        <w:t>a specific</w:t>
      </w:r>
      <w:r w:rsidR="00163238">
        <w:rPr>
          <w:rFonts w:cs="Times New Roman"/>
        </w:rPr>
        <w:t xml:space="preserve"> up-stream or preventive procedure</w:t>
      </w:r>
      <w:r w:rsidR="00B71A41">
        <w:rPr>
          <w:rFonts w:cs="Times New Roman"/>
        </w:rPr>
        <w:t xml:space="preserve"> aimed at rescuing a viable company.</w:t>
      </w:r>
      <w:r w:rsidR="00163238">
        <w:rPr>
          <w:rStyle w:val="FootnoteReference"/>
          <w:rFonts w:cs="Times New Roman"/>
        </w:rPr>
        <w:footnoteReference w:id="18"/>
      </w:r>
      <w:r w:rsidR="00F436A5">
        <w:rPr>
          <w:rFonts w:cs="Times New Roman"/>
        </w:rPr>
        <w:t xml:space="preserve"> Although it was available to imminently insolvent</w:t>
      </w:r>
      <w:r w:rsidR="00045E96">
        <w:rPr>
          <w:rFonts w:cs="Times New Roman"/>
        </w:rPr>
        <w:t xml:space="preserve"> companies</w:t>
      </w:r>
      <w:r w:rsidR="002C05A7">
        <w:rPr>
          <w:rFonts w:cs="Times New Roman"/>
        </w:rPr>
        <w:t xml:space="preserve">, </w:t>
      </w:r>
      <w:r w:rsidR="007F2AB4">
        <w:rPr>
          <w:rFonts w:cs="Times New Roman"/>
        </w:rPr>
        <w:t xml:space="preserve">in practice, </w:t>
      </w:r>
      <w:r w:rsidR="00F436A5">
        <w:rPr>
          <w:rFonts w:cs="Times New Roman"/>
        </w:rPr>
        <w:t xml:space="preserve">it did not provide an </w:t>
      </w:r>
      <w:r w:rsidR="007F2AB4">
        <w:rPr>
          <w:rFonts w:cs="Times New Roman"/>
        </w:rPr>
        <w:t xml:space="preserve">effective </w:t>
      </w:r>
      <w:r w:rsidR="00F436A5">
        <w:rPr>
          <w:rFonts w:cs="Times New Roman"/>
        </w:rPr>
        <w:t>procedure for restructuring.</w:t>
      </w:r>
      <w:r w:rsidR="00EE129D">
        <w:rPr>
          <w:rFonts w:cs="Times New Roman"/>
        </w:rPr>
        <w:t xml:space="preserve"> The WHOA has introduced an entirely new paradigm into the preventive restructuring possibilities in the Netherlands</w:t>
      </w:r>
      <w:r w:rsidR="005B4184">
        <w:rPr>
          <w:rFonts w:cs="Times New Roman"/>
        </w:rPr>
        <w:t>,</w:t>
      </w:r>
      <w:r w:rsidR="00A4402E">
        <w:rPr>
          <w:rStyle w:val="FootnoteReference"/>
          <w:rFonts w:cs="Times New Roman"/>
        </w:rPr>
        <w:footnoteReference w:id="19"/>
      </w:r>
      <w:r w:rsidR="005B4184">
        <w:rPr>
          <w:rFonts w:cs="Times New Roman"/>
        </w:rPr>
        <w:t xml:space="preserve"> which although </w:t>
      </w:r>
      <w:r w:rsidR="00E07BA9">
        <w:rPr>
          <w:rFonts w:cs="Times New Roman"/>
        </w:rPr>
        <w:t>initially</w:t>
      </w:r>
      <w:r w:rsidR="005B4184">
        <w:rPr>
          <w:rFonts w:cs="Times New Roman"/>
        </w:rPr>
        <w:t xml:space="preserve"> not intended to implement the PRD,</w:t>
      </w:r>
      <w:r w:rsidR="005B4184">
        <w:rPr>
          <w:rStyle w:val="FootnoteReference"/>
          <w:rFonts w:cs="Times New Roman"/>
        </w:rPr>
        <w:footnoteReference w:id="20"/>
      </w:r>
      <w:r w:rsidR="005B4184">
        <w:rPr>
          <w:rFonts w:cs="Times New Roman"/>
        </w:rPr>
        <w:t xml:space="preserve"> goes a long way toward introducing a viable early restructuring mechanism that puts</w:t>
      </w:r>
      <w:r w:rsidR="002C05A7">
        <w:rPr>
          <w:rFonts w:cs="Times New Roman"/>
        </w:rPr>
        <w:t xml:space="preserve"> gives it a competitive edge in the EU’s restructuring </w:t>
      </w:r>
      <w:r w:rsidR="0092669B">
        <w:rPr>
          <w:rFonts w:cs="Times New Roman"/>
        </w:rPr>
        <w:t>market</w:t>
      </w:r>
      <w:r w:rsidR="005B4184">
        <w:rPr>
          <w:rFonts w:cs="Times New Roman"/>
        </w:rPr>
        <w:t>.</w:t>
      </w:r>
      <w:r w:rsidR="00D524D6">
        <w:rPr>
          <w:rFonts w:cs="Times New Roman"/>
        </w:rPr>
        <w:t xml:space="preserve"> The WHOA introduces a </w:t>
      </w:r>
      <w:r w:rsidR="00B05F9D">
        <w:rPr>
          <w:rFonts w:cs="Times New Roman"/>
        </w:rPr>
        <w:t>debtor-</w:t>
      </w:r>
      <w:r w:rsidR="00D524D6">
        <w:rPr>
          <w:rFonts w:cs="Times New Roman"/>
        </w:rPr>
        <w:t>in</w:t>
      </w:r>
      <w:r w:rsidR="00B05F9D">
        <w:rPr>
          <w:rFonts w:cs="Times New Roman"/>
        </w:rPr>
        <w:t>-</w:t>
      </w:r>
      <w:r w:rsidR="00D524D6">
        <w:rPr>
          <w:rFonts w:cs="Times New Roman"/>
        </w:rPr>
        <w:t xml:space="preserve">possession procedure </w:t>
      </w:r>
      <w:r w:rsidR="00B71A41">
        <w:rPr>
          <w:rFonts w:cs="Times New Roman"/>
        </w:rPr>
        <w:t xml:space="preserve">available to </w:t>
      </w:r>
      <w:r w:rsidR="002C05A7">
        <w:rPr>
          <w:rFonts w:cs="Times New Roman"/>
        </w:rPr>
        <w:t>companies</w:t>
      </w:r>
      <w:r w:rsidR="00B71A41">
        <w:rPr>
          <w:rFonts w:cs="Times New Roman"/>
        </w:rPr>
        <w:t xml:space="preserve"> </w:t>
      </w:r>
      <w:r w:rsidR="00B05F9D">
        <w:rPr>
          <w:rFonts w:cs="Times New Roman"/>
        </w:rPr>
        <w:t xml:space="preserve">that </w:t>
      </w:r>
      <w:r w:rsidR="00B71A41">
        <w:rPr>
          <w:rFonts w:cs="Times New Roman"/>
        </w:rPr>
        <w:lastRenderedPageBreak/>
        <w:t>foresee a likelihood of insolvency. The procedure supports</w:t>
      </w:r>
      <w:r w:rsidR="00D524D6">
        <w:rPr>
          <w:rFonts w:cs="Times New Roman"/>
        </w:rPr>
        <w:t xml:space="preserve"> limited court involvement through which a restructuring plan can be adopted by a majority that can then be confirmed by a court</w:t>
      </w:r>
      <w:r w:rsidR="00E07BA9">
        <w:rPr>
          <w:rFonts w:cs="Times New Roman"/>
        </w:rPr>
        <w:t>.</w:t>
      </w:r>
      <w:r w:rsidR="00316BF4">
        <w:rPr>
          <w:rStyle w:val="FootnoteReference"/>
          <w:rFonts w:cs="Times New Roman"/>
        </w:rPr>
        <w:footnoteReference w:id="21"/>
      </w:r>
      <w:r w:rsidR="00E07BA9">
        <w:rPr>
          <w:rFonts w:cs="Times New Roman"/>
        </w:rPr>
        <w:t xml:space="preserve"> </w:t>
      </w:r>
    </w:p>
    <w:p w14:paraId="7B7F45D3" w14:textId="2ECE2D5B" w:rsidR="00F436A5" w:rsidRDefault="00B71A41" w:rsidP="00922A5C">
      <w:pPr>
        <w:spacing w:before="120" w:after="120"/>
        <w:jc w:val="both"/>
        <w:rPr>
          <w:rFonts w:cs="Times New Roman"/>
        </w:rPr>
      </w:pPr>
      <w:r>
        <w:rPr>
          <w:rFonts w:cs="Times New Roman"/>
        </w:rPr>
        <w:t xml:space="preserve">At the time of the authors’ last investigation, Germany </w:t>
      </w:r>
      <w:r w:rsidR="001A2E29">
        <w:rPr>
          <w:rFonts w:cs="Times New Roman"/>
        </w:rPr>
        <w:t>offered its debtors an insolvency plan procedure</w:t>
      </w:r>
      <w:r w:rsidR="005C6436">
        <w:rPr>
          <w:rFonts w:cs="Times New Roman"/>
          <w:i/>
        </w:rPr>
        <w:t xml:space="preserve"> </w:t>
      </w:r>
      <w:r w:rsidR="005C6436">
        <w:rPr>
          <w:rFonts w:cs="Times New Roman"/>
          <w:iCs/>
        </w:rPr>
        <w:t xml:space="preserve">under the </w:t>
      </w:r>
      <w:proofErr w:type="spellStart"/>
      <w:r w:rsidR="005C6436" w:rsidRPr="00AA2F39">
        <w:rPr>
          <w:rFonts w:cs="Times New Roman"/>
          <w:i/>
        </w:rPr>
        <w:t>Insolvenzordnung</w:t>
      </w:r>
      <w:proofErr w:type="spellEnd"/>
      <w:r w:rsidR="005C6436" w:rsidRPr="00AA2F39">
        <w:rPr>
          <w:rFonts w:cs="Times New Roman"/>
        </w:rPr>
        <w:t xml:space="preserve"> (</w:t>
      </w:r>
      <w:proofErr w:type="spellStart"/>
      <w:r w:rsidR="005C6436" w:rsidRPr="00AA2F39">
        <w:rPr>
          <w:rFonts w:cs="Times New Roman"/>
        </w:rPr>
        <w:t>InsO</w:t>
      </w:r>
      <w:proofErr w:type="spellEnd"/>
      <w:r w:rsidR="005C6436" w:rsidRPr="00AA2F39">
        <w:rPr>
          <w:rFonts w:cs="Times New Roman"/>
        </w:rPr>
        <w:t>) of 1999</w:t>
      </w:r>
      <w:r w:rsidR="00F56749">
        <w:rPr>
          <w:rFonts w:cs="Times New Roman"/>
        </w:rPr>
        <w:t>, available for debtors</w:t>
      </w:r>
      <w:r w:rsidR="002C05A7">
        <w:rPr>
          <w:rFonts w:cs="Times New Roman"/>
        </w:rPr>
        <w:t xml:space="preserve"> who were</w:t>
      </w:r>
      <w:r w:rsidR="00F56749">
        <w:rPr>
          <w:rFonts w:cs="Times New Roman"/>
        </w:rPr>
        <w:t xml:space="preserve"> unable to pay their debts,</w:t>
      </w:r>
      <w:r w:rsidR="00F56749">
        <w:rPr>
          <w:rStyle w:val="FootnoteReference"/>
          <w:rFonts w:cs="Times New Roman"/>
        </w:rPr>
        <w:footnoteReference w:id="22"/>
      </w:r>
      <w:r w:rsidR="00F56749">
        <w:rPr>
          <w:rFonts w:cs="Times New Roman"/>
        </w:rPr>
        <w:t xml:space="preserve"> over-indebted,</w:t>
      </w:r>
      <w:r w:rsidR="00F56749">
        <w:rPr>
          <w:rStyle w:val="FootnoteReference"/>
          <w:rFonts w:cs="Times New Roman"/>
        </w:rPr>
        <w:footnoteReference w:id="23"/>
      </w:r>
      <w:r w:rsidR="00F56749">
        <w:rPr>
          <w:rFonts w:cs="Times New Roman"/>
        </w:rPr>
        <w:t xml:space="preserve"> or likely to become unable to pay their debts.</w:t>
      </w:r>
      <w:r w:rsidR="00F56749">
        <w:rPr>
          <w:rStyle w:val="FootnoteReference"/>
          <w:rFonts w:cs="Times New Roman"/>
        </w:rPr>
        <w:footnoteReference w:id="24"/>
      </w:r>
      <w:r w:rsidR="005C6436">
        <w:rPr>
          <w:rFonts w:cs="Times New Roman"/>
        </w:rPr>
        <w:t xml:space="preserve"> </w:t>
      </w:r>
      <w:r w:rsidR="00F56749">
        <w:rPr>
          <w:rFonts w:cs="Times New Roman"/>
        </w:rPr>
        <w:t xml:space="preserve">In </w:t>
      </w:r>
      <w:r w:rsidR="005C6436">
        <w:rPr>
          <w:rFonts w:cs="Times New Roman"/>
        </w:rPr>
        <w:t>Germany</w:t>
      </w:r>
      <w:r w:rsidR="00F56749">
        <w:rPr>
          <w:rFonts w:cs="Times New Roman"/>
        </w:rPr>
        <w:t>,</w:t>
      </w:r>
      <w:r w:rsidR="005C6436">
        <w:rPr>
          <w:rFonts w:cs="Times New Roman"/>
        </w:rPr>
        <w:t xml:space="preserve"> the </w:t>
      </w:r>
      <w:proofErr w:type="spellStart"/>
      <w:r w:rsidR="005C6436">
        <w:rPr>
          <w:rFonts w:cs="Times New Roman"/>
        </w:rPr>
        <w:t>StaRUG</w:t>
      </w:r>
      <w:proofErr w:type="spellEnd"/>
      <w:r w:rsidR="00F56749">
        <w:rPr>
          <w:rFonts w:cs="Times New Roman"/>
        </w:rPr>
        <w:t xml:space="preserve"> is </w:t>
      </w:r>
      <w:r w:rsidR="005C6436">
        <w:rPr>
          <w:rFonts w:cs="Times New Roman"/>
        </w:rPr>
        <w:t xml:space="preserve">available to debtors who are likely to be unable to pay their debts within 24 months </w:t>
      </w:r>
      <w:r w:rsidR="00F56749">
        <w:rPr>
          <w:rFonts w:cs="Times New Roman"/>
        </w:rPr>
        <w:t>as an alternative to the insolvency plan procedure</w:t>
      </w:r>
      <w:r w:rsidR="007D768B">
        <w:rPr>
          <w:rFonts w:cs="Times New Roman"/>
        </w:rPr>
        <w:t>.</w:t>
      </w:r>
      <w:r w:rsidR="006D742A">
        <w:rPr>
          <w:rFonts w:cs="Times New Roman"/>
        </w:rPr>
        <w:t xml:space="preserve"> </w:t>
      </w:r>
      <w:r w:rsidR="007D768B">
        <w:rPr>
          <w:rFonts w:cs="Times New Roman"/>
        </w:rPr>
        <w:t>In this case, the debtor has voluntary access to both procedures.</w:t>
      </w:r>
      <w:r w:rsidR="002D292A">
        <w:rPr>
          <w:rFonts w:cs="Times New Roman"/>
        </w:rPr>
        <w:t xml:space="preserve"> </w:t>
      </w:r>
      <w:r w:rsidR="007D768B">
        <w:rPr>
          <w:rFonts w:cs="Times New Roman"/>
        </w:rPr>
        <w:t xml:space="preserve"> </w:t>
      </w:r>
      <w:r w:rsidR="006D742A">
        <w:rPr>
          <w:rFonts w:cs="Times New Roman"/>
        </w:rPr>
        <w:t xml:space="preserve">However, as soon as a debtor becomes </w:t>
      </w:r>
      <w:r w:rsidR="00B05F9D">
        <w:rPr>
          <w:rFonts w:cs="Times New Roman"/>
        </w:rPr>
        <w:t xml:space="preserve">over-indebted or </w:t>
      </w:r>
      <w:r w:rsidR="006D742A">
        <w:rPr>
          <w:rFonts w:cs="Times New Roman"/>
        </w:rPr>
        <w:t xml:space="preserve">unable to pay its debts, the debtor will typically be under </w:t>
      </w:r>
      <w:r w:rsidR="00B05F9D">
        <w:rPr>
          <w:rFonts w:cs="Times New Roman"/>
        </w:rPr>
        <w:t>an</w:t>
      </w:r>
      <w:r w:rsidR="006D742A">
        <w:rPr>
          <w:rFonts w:cs="Times New Roman"/>
        </w:rPr>
        <w:t xml:space="preserve"> obligation to file for insolvency</w:t>
      </w:r>
      <w:r w:rsidR="007D768B">
        <w:rPr>
          <w:rFonts w:cs="Times New Roman"/>
        </w:rPr>
        <w:t xml:space="preserve">, unless the debtor can show probable cause that continuation of the </w:t>
      </w:r>
      <w:proofErr w:type="spellStart"/>
      <w:r w:rsidR="007D768B">
        <w:rPr>
          <w:rFonts w:cs="Times New Roman"/>
        </w:rPr>
        <w:t>StaRUG</w:t>
      </w:r>
      <w:proofErr w:type="spellEnd"/>
      <w:r w:rsidR="007D768B">
        <w:rPr>
          <w:rFonts w:cs="Times New Roman"/>
        </w:rPr>
        <w:t xml:space="preserve"> procedure is in the best interest of its creditors.</w:t>
      </w:r>
      <w:r w:rsidR="002627C0">
        <w:rPr>
          <w:rStyle w:val="FootnoteReference"/>
          <w:rFonts w:cs="Times New Roman"/>
        </w:rPr>
        <w:footnoteReference w:id="25"/>
      </w:r>
      <w:r w:rsidR="002C05A7">
        <w:rPr>
          <w:rFonts w:cs="Times New Roman"/>
        </w:rPr>
        <w:t xml:space="preserve"> The procedure allows a </w:t>
      </w:r>
      <w:r w:rsidR="00540D2E">
        <w:rPr>
          <w:rFonts w:cs="Times New Roman"/>
        </w:rPr>
        <w:t>debtor to attempt to remedy its pending financial crisis at an early stage and outside of formal insolvency proceedings</w:t>
      </w:r>
      <w:r w:rsidR="002C05A7">
        <w:rPr>
          <w:rFonts w:cs="Times New Roman"/>
        </w:rPr>
        <w:t>. I</w:t>
      </w:r>
      <w:r w:rsidR="00540D2E">
        <w:rPr>
          <w:rFonts w:cs="Times New Roman"/>
        </w:rPr>
        <w:t>t is broadly in line with the provisions of the PRD</w:t>
      </w:r>
      <w:r w:rsidR="00B262BA">
        <w:rPr>
          <w:rFonts w:cs="Times New Roman"/>
        </w:rPr>
        <w:t xml:space="preserve"> and presents a competitive option in the EU’s restructuring industry. </w:t>
      </w:r>
    </w:p>
    <w:p w14:paraId="6E5BB25D" w14:textId="0430D9BD" w:rsidR="005C6436" w:rsidRDefault="007D695E" w:rsidP="00922A5C">
      <w:pPr>
        <w:spacing w:before="120" w:after="120"/>
        <w:jc w:val="both"/>
        <w:rPr>
          <w:rFonts w:cs="Times New Roman"/>
        </w:rPr>
      </w:pPr>
      <w:r>
        <w:rPr>
          <w:rFonts w:cs="Times New Roman"/>
        </w:rPr>
        <w:t xml:space="preserve">France has been </w:t>
      </w:r>
      <w:r w:rsidR="00B262BA">
        <w:rPr>
          <w:rFonts w:cs="Times New Roman"/>
        </w:rPr>
        <w:t>considered a r</w:t>
      </w:r>
      <w:r>
        <w:rPr>
          <w:rFonts w:cs="Times New Roman"/>
        </w:rPr>
        <w:t xml:space="preserve">estructuring </w:t>
      </w:r>
      <w:r w:rsidR="00B262BA">
        <w:rPr>
          <w:rFonts w:cs="Times New Roman"/>
        </w:rPr>
        <w:t>friendly</w:t>
      </w:r>
      <w:r>
        <w:rPr>
          <w:rFonts w:cs="Times New Roman"/>
        </w:rPr>
        <w:t xml:space="preserve"> jurisdiction for quite some time </w:t>
      </w:r>
      <w:r w:rsidR="00B262BA">
        <w:rPr>
          <w:rFonts w:cs="Times New Roman"/>
        </w:rPr>
        <w:t xml:space="preserve">as its insolvency regime’s </w:t>
      </w:r>
      <w:r>
        <w:rPr>
          <w:rFonts w:cs="Times New Roman"/>
        </w:rPr>
        <w:t xml:space="preserve">traditional aim </w:t>
      </w:r>
      <w:r w:rsidR="00B262BA">
        <w:rPr>
          <w:rFonts w:cs="Times New Roman"/>
        </w:rPr>
        <w:t xml:space="preserve">has always been </w:t>
      </w:r>
      <w:r>
        <w:rPr>
          <w:rFonts w:cs="Times New Roman"/>
        </w:rPr>
        <w:t>geared toward the rescue of ailing businesses</w:t>
      </w:r>
      <w:r w:rsidR="00B262BA">
        <w:rPr>
          <w:rFonts w:cs="Times New Roman"/>
        </w:rPr>
        <w:t xml:space="preserve"> in order to</w:t>
      </w:r>
      <w:r>
        <w:rPr>
          <w:rFonts w:cs="Times New Roman"/>
        </w:rPr>
        <w:t xml:space="preserve"> preserv</w:t>
      </w:r>
      <w:r w:rsidR="00B262BA">
        <w:rPr>
          <w:rFonts w:cs="Times New Roman"/>
        </w:rPr>
        <w:t>e</w:t>
      </w:r>
      <w:r>
        <w:rPr>
          <w:rFonts w:cs="Times New Roman"/>
        </w:rPr>
        <w:t xml:space="preserve"> employment. </w:t>
      </w:r>
      <w:r w:rsidR="00735076">
        <w:rPr>
          <w:rFonts w:cs="Times New Roman"/>
        </w:rPr>
        <w:t>French law continue</w:t>
      </w:r>
      <w:r w:rsidR="00DB50FD">
        <w:rPr>
          <w:rFonts w:cs="Times New Roman"/>
        </w:rPr>
        <w:t>s</w:t>
      </w:r>
      <w:r w:rsidR="00735076">
        <w:rPr>
          <w:rFonts w:cs="Times New Roman"/>
        </w:rPr>
        <w:t xml:space="preserve"> to rel</w:t>
      </w:r>
      <w:r w:rsidR="00B262BA">
        <w:rPr>
          <w:rFonts w:cs="Times New Roman"/>
        </w:rPr>
        <w:t>y</w:t>
      </w:r>
      <w:r w:rsidR="00735076">
        <w:rPr>
          <w:rFonts w:cs="Times New Roman"/>
        </w:rPr>
        <w:t xml:space="preserve"> on procedures such as the </w:t>
      </w:r>
      <w:proofErr w:type="spellStart"/>
      <w:r w:rsidR="00735076">
        <w:rPr>
          <w:rFonts w:cs="Times New Roman"/>
          <w:i/>
          <w:iCs/>
        </w:rPr>
        <w:t>mandat</w:t>
      </w:r>
      <w:proofErr w:type="spellEnd"/>
      <w:r w:rsidR="00735076">
        <w:rPr>
          <w:rFonts w:cs="Times New Roman"/>
          <w:i/>
          <w:iCs/>
        </w:rPr>
        <w:t xml:space="preserve"> ad hoc, conciliation,</w:t>
      </w:r>
      <w:r w:rsidR="001F0869">
        <w:rPr>
          <w:rStyle w:val="FootnoteReference"/>
          <w:rFonts w:cs="Times New Roman"/>
          <w:i/>
          <w:iCs/>
        </w:rPr>
        <w:footnoteReference w:id="26"/>
      </w:r>
      <w:r w:rsidR="00735076">
        <w:rPr>
          <w:rFonts w:cs="Times New Roman"/>
          <w:i/>
          <w:iCs/>
        </w:rPr>
        <w:t xml:space="preserve"> </w:t>
      </w:r>
      <w:r w:rsidR="00735076">
        <w:rPr>
          <w:rFonts w:cs="Times New Roman"/>
        </w:rPr>
        <w:t xml:space="preserve">and the various iterations of the </w:t>
      </w:r>
      <w:proofErr w:type="spellStart"/>
      <w:r w:rsidR="00735076">
        <w:rPr>
          <w:rFonts w:cs="Times New Roman"/>
          <w:i/>
          <w:iCs/>
        </w:rPr>
        <w:t>sauvegarde</w:t>
      </w:r>
      <w:proofErr w:type="spellEnd"/>
      <w:r w:rsidR="00735076">
        <w:rPr>
          <w:rFonts w:cs="Times New Roman"/>
        </w:rPr>
        <w:t xml:space="preserve"> procedure,</w:t>
      </w:r>
      <w:r w:rsidR="001F0869">
        <w:rPr>
          <w:rStyle w:val="FootnoteReference"/>
          <w:rFonts w:cs="Times New Roman"/>
        </w:rPr>
        <w:footnoteReference w:id="27"/>
      </w:r>
      <w:r w:rsidR="00735076">
        <w:rPr>
          <w:rFonts w:cs="Times New Roman"/>
        </w:rPr>
        <w:t xml:space="preserve"> all of which are available prior to</w:t>
      </w:r>
      <w:r w:rsidR="003B71B5">
        <w:rPr>
          <w:rFonts w:cs="Times New Roman"/>
        </w:rPr>
        <w:t xml:space="preserve"> insolvency</w:t>
      </w:r>
      <w:r w:rsidR="00735076">
        <w:rPr>
          <w:rFonts w:cs="Times New Roman"/>
        </w:rPr>
        <w:t xml:space="preserve"> </w:t>
      </w:r>
      <w:r w:rsidR="003B71B5">
        <w:rPr>
          <w:rFonts w:cs="Times New Roman"/>
        </w:rPr>
        <w:t>(</w:t>
      </w:r>
      <w:r w:rsidR="00735076">
        <w:rPr>
          <w:rFonts w:cs="Times New Roman"/>
          <w:i/>
          <w:iCs/>
        </w:rPr>
        <w:t xml:space="preserve">cessation of </w:t>
      </w:r>
      <w:proofErr w:type="spellStart"/>
      <w:r w:rsidR="00735076">
        <w:rPr>
          <w:rFonts w:cs="Times New Roman"/>
          <w:i/>
          <w:iCs/>
        </w:rPr>
        <w:t>paiements</w:t>
      </w:r>
      <w:proofErr w:type="spellEnd"/>
      <w:r w:rsidR="003B71B5">
        <w:rPr>
          <w:rFonts w:cs="Times New Roman"/>
          <w:i/>
          <w:iCs/>
        </w:rPr>
        <w:t>)</w:t>
      </w:r>
      <w:r w:rsidR="00735076">
        <w:rPr>
          <w:rFonts w:cs="Times New Roman"/>
          <w:i/>
          <w:iCs/>
        </w:rPr>
        <w:t>.</w:t>
      </w:r>
      <w:r w:rsidR="00735076">
        <w:rPr>
          <w:rFonts w:cs="Times New Roman"/>
        </w:rPr>
        <w:t xml:space="preserve"> </w:t>
      </w:r>
      <w:r w:rsidR="001F0869">
        <w:rPr>
          <w:rFonts w:cs="Times New Roman"/>
        </w:rPr>
        <w:t xml:space="preserve">However, </w:t>
      </w:r>
      <w:r w:rsidR="003B71B5">
        <w:rPr>
          <w:rFonts w:cs="Times New Roman"/>
        </w:rPr>
        <w:t xml:space="preserve">in practice, </w:t>
      </w:r>
      <w:r w:rsidR="001F0869">
        <w:rPr>
          <w:rFonts w:cs="Times New Roman"/>
        </w:rPr>
        <w:t xml:space="preserve">businesses </w:t>
      </w:r>
      <w:r w:rsidR="00DB50FD">
        <w:rPr>
          <w:rFonts w:cs="Times New Roman"/>
        </w:rPr>
        <w:t>often</w:t>
      </w:r>
      <w:r w:rsidR="001F0869">
        <w:rPr>
          <w:rFonts w:cs="Times New Roman"/>
        </w:rPr>
        <w:t xml:space="preserve"> still wait too long to utilise the procedures due to a desire to avoid the stigma of insolvency. </w:t>
      </w:r>
      <w:r w:rsidR="00735076">
        <w:rPr>
          <w:rFonts w:cs="Times New Roman"/>
        </w:rPr>
        <w:t xml:space="preserve">While these procedures at the time of the authors’ 2019 article </w:t>
      </w:r>
      <w:r w:rsidR="00B262BA">
        <w:rPr>
          <w:rFonts w:cs="Times New Roman"/>
        </w:rPr>
        <w:t xml:space="preserve">were already </w:t>
      </w:r>
      <w:r w:rsidR="00735076">
        <w:rPr>
          <w:rFonts w:cs="Times New Roman"/>
        </w:rPr>
        <w:t>close in nature to the provisions of the PRD,</w:t>
      </w:r>
      <w:r w:rsidR="00735076" w:rsidRPr="00AA2F39">
        <w:rPr>
          <w:rStyle w:val="FootnoteReference"/>
          <w:rFonts w:cs="Times New Roman"/>
        </w:rPr>
        <w:footnoteReference w:id="28"/>
      </w:r>
      <w:r w:rsidR="00735076" w:rsidRPr="00AA2F39">
        <w:rPr>
          <w:rFonts w:cs="Times New Roman"/>
        </w:rPr>
        <w:t xml:space="preserve"> </w:t>
      </w:r>
      <w:r w:rsidR="00735076">
        <w:rPr>
          <w:rFonts w:cs="Times New Roman"/>
        </w:rPr>
        <w:t xml:space="preserve">France has </w:t>
      </w:r>
      <w:r w:rsidR="001F0869">
        <w:rPr>
          <w:rFonts w:cs="Times New Roman"/>
        </w:rPr>
        <w:t>nonetheless introduced</w:t>
      </w:r>
      <w:r w:rsidR="00735076">
        <w:rPr>
          <w:rFonts w:cs="Times New Roman"/>
        </w:rPr>
        <w:t xml:space="preserve"> </w:t>
      </w:r>
      <w:r>
        <w:rPr>
          <w:rFonts w:cs="Times New Roman"/>
        </w:rPr>
        <w:t>a</w:t>
      </w:r>
      <w:r w:rsidR="00735076">
        <w:rPr>
          <w:rFonts w:cs="Times New Roman"/>
        </w:rPr>
        <w:t xml:space="preserve"> </w:t>
      </w:r>
      <w:r w:rsidR="00B05F9D">
        <w:rPr>
          <w:rFonts w:cs="Times New Roman"/>
        </w:rPr>
        <w:t>PRD-</w:t>
      </w:r>
      <w:r w:rsidR="00735076">
        <w:rPr>
          <w:rFonts w:cs="Times New Roman"/>
        </w:rPr>
        <w:t xml:space="preserve">implementing </w:t>
      </w:r>
      <w:r>
        <w:rPr>
          <w:rFonts w:cs="Times New Roman"/>
        </w:rPr>
        <w:t>Ordinance of 15 September 2021</w:t>
      </w:r>
      <w:r w:rsidR="003B71B5">
        <w:rPr>
          <w:rFonts w:cs="Times New Roman"/>
        </w:rPr>
        <w:t xml:space="preserve">. The Ordinance </w:t>
      </w:r>
      <w:r w:rsidR="00997B2C">
        <w:rPr>
          <w:rFonts w:cs="Times New Roman"/>
        </w:rPr>
        <w:t xml:space="preserve">acknowledged that the French system already largely complied with the </w:t>
      </w:r>
      <w:r w:rsidR="00B262BA">
        <w:rPr>
          <w:rFonts w:cs="Times New Roman"/>
        </w:rPr>
        <w:t>PRD</w:t>
      </w:r>
      <w:r w:rsidR="003B71B5">
        <w:rPr>
          <w:rFonts w:cs="Times New Roman"/>
        </w:rPr>
        <w:t xml:space="preserve"> </w:t>
      </w:r>
      <w:r w:rsidR="00B05F9D">
        <w:rPr>
          <w:rFonts w:cs="Times New Roman"/>
        </w:rPr>
        <w:t>a</w:t>
      </w:r>
      <w:r w:rsidR="003B71B5">
        <w:rPr>
          <w:rFonts w:cs="Times New Roman"/>
        </w:rPr>
        <w:t>nd</w:t>
      </w:r>
      <w:r w:rsidR="00B05F9D">
        <w:rPr>
          <w:rFonts w:cs="Times New Roman"/>
        </w:rPr>
        <w:t>,</w:t>
      </w:r>
      <w:r w:rsidR="003B71B5">
        <w:rPr>
          <w:rFonts w:cs="Times New Roman"/>
        </w:rPr>
        <w:t xml:space="preserve"> therefore, t</w:t>
      </w:r>
      <w:r w:rsidR="00997B2C">
        <w:rPr>
          <w:rFonts w:cs="Times New Roman"/>
        </w:rPr>
        <w:t xml:space="preserve">he availability of preventive procedures </w:t>
      </w:r>
      <w:r w:rsidR="003B71B5">
        <w:rPr>
          <w:rFonts w:cs="Times New Roman"/>
        </w:rPr>
        <w:t>has mostly remained similar</w:t>
      </w:r>
      <w:r w:rsidR="00997B2C">
        <w:rPr>
          <w:rFonts w:cs="Times New Roman"/>
        </w:rPr>
        <w:t>, although</w:t>
      </w:r>
      <w:r w:rsidR="003B71B5">
        <w:rPr>
          <w:rFonts w:cs="Times New Roman"/>
        </w:rPr>
        <w:t xml:space="preserve"> the Ordinance has introduced</w:t>
      </w:r>
      <w:r w:rsidR="00997B2C">
        <w:rPr>
          <w:rFonts w:cs="Times New Roman"/>
        </w:rPr>
        <w:t xml:space="preserve"> some changes that aim to increase efficiency further and comply with other obligatory provisions of the PRD</w:t>
      </w:r>
      <w:r w:rsidR="00DB50FD">
        <w:rPr>
          <w:rFonts w:cs="Times New Roman"/>
        </w:rPr>
        <w:t xml:space="preserve">, such as the </w:t>
      </w:r>
      <w:r w:rsidR="003B71B5">
        <w:rPr>
          <w:rFonts w:cs="Times New Roman"/>
        </w:rPr>
        <w:t>length of the procedures)</w:t>
      </w:r>
      <w:r w:rsidR="00997B2C">
        <w:rPr>
          <w:rFonts w:cs="Times New Roman"/>
        </w:rPr>
        <w:t xml:space="preserve">. </w:t>
      </w:r>
    </w:p>
    <w:p w14:paraId="4D0D0616" w14:textId="3F9CCBDA" w:rsidR="00922A5C" w:rsidRPr="00B8370F" w:rsidRDefault="00997B2C" w:rsidP="00922A5C">
      <w:pPr>
        <w:spacing w:before="120" w:after="120"/>
        <w:jc w:val="both"/>
        <w:rPr>
          <w:rFonts w:cs="Times New Roman"/>
        </w:rPr>
      </w:pPr>
      <w:r>
        <w:rPr>
          <w:rFonts w:cs="Times New Roman"/>
        </w:rPr>
        <w:t xml:space="preserve">Denmark </w:t>
      </w:r>
      <w:r w:rsidR="00DB50FD">
        <w:rPr>
          <w:rFonts w:cs="Times New Roman"/>
        </w:rPr>
        <w:t>still provides</w:t>
      </w:r>
      <w:r>
        <w:rPr>
          <w:rFonts w:cs="Times New Roman"/>
        </w:rPr>
        <w:t xml:space="preserve"> a</w:t>
      </w:r>
      <w:r w:rsidR="00B8370F">
        <w:rPr>
          <w:rFonts w:cs="Times New Roman"/>
        </w:rPr>
        <w:t xml:space="preserve"> plan procedure,</w:t>
      </w:r>
      <w:r w:rsidR="00DB50FD">
        <w:rPr>
          <w:rFonts w:cs="Times New Roman"/>
        </w:rPr>
        <w:t xml:space="preserve"> the</w:t>
      </w:r>
      <w:r w:rsidRPr="1AFC58FF">
        <w:rPr>
          <w:rFonts w:cs="Times New Roman"/>
          <w:i/>
          <w:iCs/>
        </w:rPr>
        <w:t xml:space="preserve"> </w:t>
      </w:r>
      <w:proofErr w:type="spellStart"/>
      <w:r w:rsidRPr="1AFC58FF">
        <w:rPr>
          <w:rFonts w:cs="Times New Roman"/>
          <w:i/>
          <w:iCs/>
        </w:rPr>
        <w:t>Rekonstruktion</w:t>
      </w:r>
      <w:proofErr w:type="spellEnd"/>
      <w:r w:rsidR="00B8370F" w:rsidRPr="1AFC58FF">
        <w:rPr>
          <w:rFonts w:cs="Times New Roman"/>
          <w:i/>
          <w:iCs/>
        </w:rPr>
        <w:t xml:space="preserve">, </w:t>
      </w:r>
      <w:r>
        <w:rPr>
          <w:rFonts w:cs="Times New Roman"/>
        </w:rPr>
        <w:t xml:space="preserve">that is only available </w:t>
      </w:r>
      <w:r w:rsidR="00B8370F">
        <w:rPr>
          <w:rFonts w:cs="Times New Roman"/>
        </w:rPr>
        <w:t>during insolvency.</w:t>
      </w:r>
      <w:r>
        <w:rPr>
          <w:rFonts w:cs="Times New Roman"/>
        </w:rPr>
        <w:t xml:space="preserve"> </w:t>
      </w:r>
      <w:r w:rsidR="00B8370F">
        <w:rPr>
          <w:rFonts w:cs="Times New Roman"/>
        </w:rPr>
        <w:t xml:space="preserve">However, in May 2021 </w:t>
      </w:r>
      <w:r w:rsidR="1AFC58FF" w:rsidRPr="1AFC58FF">
        <w:rPr>
          <w:rFonts w:cs="Times New Roman"/>
        </w:rPr>
        <w:t>in</w:t>
      </w:r>
      <w:r w:rsidR="00B8370F">
        <w:rPr>
          <w:rFonts w:cs="Times New Roman"/>
        </w:rPr>
        <w:t xml:space="preserve"> response to the expected </w:t>
      </w:r>
      <w:r w:rsidR="00B8370F" w:rsidRPr="00B8370F">
        <w:rPr>
          <w:rFonts w:cs="Times New Roman"/>
        </w:rPr>
        <w:t>impact of the COVID-19 Pandemic on Danish businesses, the plan procedure was amended</w:t>
      </w:r>
      <w:r w:rsidR="1AFC58FF" w:rsidRPr="1AFC58FF">
        <w:rPr>
          <w:rFonts w:cs="Times New Roman"/>
        </w:rPr>
        <w:t>.</w:t>
      </w:r>
      <w:r w:rsidR="00B8370F" w:rsidRPr="00B8370F">
        <w:rPr>
          <w:rStyle w:val="FootnoteReference"/>
          <w:rFonts w:cs="Times New Roman"/>
        </w:rPr>
        <w:footnoteReference w:id="29"/>
      </w:r>
      <w:r w:rsidR="00B8370F">
        <w:rPr>
          <w:rFonts w:cs="Times New Roman"/>
        </w:rPr>
        <w:t xml:space="preserve"> </w:t>
      </w:r>
      <w:r w:rsidR="1AFC58FF" w:rsidRPr="1AFC58FF">
        <w:rPr>
          <w:rFonts w:cs="Times New Roman"/>
        </w:rPr>
        <w:t>M</w:t>
      </w:r>
      <w:r w:rsidR="00B8370F">
        <w:rPr>
          <w:rFonts w:cs="Times New Roman"/>
        </w:rPr>
        <w:t>ost of the</w:t>
      </w:r>
      <w:r w:rsidR="1AFC58FF" w:rsidRPr="1AFC58FF">
        <w:rPr>
          <w:rFonts w:cs="Times New Roman"/>
        </w:rPr>
        <w:t xml:space="preserve"> </w:t>
      </w:r>
      <w:r w:rsidR="00B8370F">
        <w:rPr>
          <w:rFonts w:cs="Times New Roman"/>
        </w:rPr>
        <w:t xml:space="preserve">changes </w:t>
      </w:r>
      <w:r w:rsidR="00DB50FD">
        <w:rPr>
          <w:rFonts w:cs="Times New Roman"/>
        </w:rPr>
        <w:t xml:space="preserve">had already been </w:t>
      </w:r>
      <w:r w:rsidR="00B8370F">
        <w:rPr>
          <w:rFonts w:cs="Times New Roman"/>
        </w:rPr>
        <w:t>recommended by the Danish Bankruptcy Council to increase the efficiency of the Danish Restructuring Regime.</w:t>
      </w:r>
      <w:r w:rsidR="00B8370F">
        <w:rPr>
          <w:rStyle w:val="FootnoteReference"/>
          <w:rFonts w:cs="Times New Roman"/>
        </w:rPr>
        <w:footnoteReference w:id="30"/>
      </w:r>
      <w:r w:rsidR="00B8370F">
        <w:rPr>
          <w:rFonts w:cs="Times New Roman"/>
        </w:rPr>
        <w:t xml:space="preserve"> The amendments introduce a </w:t>
      </w:r>
      <w:r w:rsidR="00B05F9D">
        <w:rPr>
          <w:rFonts w:cs="Times New Roman"/>
        </w:rPr>
        <w:t>fast-</w:t>
      </w:r>
      <w:r w:rsidR="00B8370F">
        <w:rPr>
          <w:rFonts w:cs="Times New Roman"/>
        </w:rPr>
        <w:t>track procedure for business transfers that allow</w:t>
      </w:r>
      <w:r w:rsidR="00DB50FD">
        <w:rPr>
          <w:rFonts w:cs="Times New Roman"/>
        </w:rPr>
        <w:t>s</w:t>
      </w:r>
      <w:r w:rsidR="00B8370F">
        <w:rPr>
          <w:rFonts w:cs="Times New Roman"/>
        </w:rPr>
        <w:t xml:space="preserve"> for a more efficient </w:t>
      </w:r>
      <w:r w:rsidR="00365244">
        <w:rPr>
          <w:rFonts w:cs="Times New Roman"/>
        </w:rPr>
        <w:t>corporate rescue potentiality</w:t>
      </w:r>
      <w:r w:rsidR="006949C0">
        <w:rPr>
          <w:rFonts w:cs="Times New Roman"/>
        </w:rPr>
        <w:t>. The procedure is</w:t>
      </w:r>
      <w:r w:rsidR="00DB50FD">
        <w:rPr>
          <w:rFonts w:cs="Times New Roman"/>
        </w:rPr>
        <w:t xml:space="preserve"> available within a four-week window</w:t>
      </w:r>
      <w:r w:rsidR="006949C0">
        <w:rPr>
          <w:rFonts w:cs="Times New Roman"/>
        </w:rPr>
        <w:t xml:space="preserve"> during which v</w:t>
      </w:r>
      <w:r w:rsidR="00365244">
        <w:rPr>
          <w:rFonts w:cs="Times New Roman"/>
        </w:rPr>
        <w:t xml:space="preserve">iable businesses may attempt to rescue themselves from financial distress through voluntary and informal out-of-court workouts </w:t>
      </w:r>
      <w:r w:rsidR="006949C0">
        <w:rPr>
          <w:rFonts w:cs="Times New Roman"/>
        </w:rPr>
        <w:t>while avoiding</w:t>
      </w:r>
      <w:r w:rsidR="00365244">
        <w:rPr>
          <w:rFonts w:cs="Times New Roman"/>
        </w:rPr>
        <w:t xml:space="preserve"> the complexity and stigma of commencing an insolvency procedure. </w:t>
      </w:r>
    </w:p>
    <w:p w14:paraId="458DD82E" w14:textId="0DFFA2DB" w:rsidR="009232A3" w:rsidRDefault="00F71769" w:rsidP="00130CA4">
      <w:pPr>
        <w:spacing w:before="120" w:after="120"/>
        <w:jc w:val="both"/>
        <w:rPr>
          <w:rFonts w:cs="Times New Roman"/>
          <w:iCs/>
        </w:rPr>
      </w:pPr>
      <w:r>
        <w:rPr>
          <w:rFonts w:cs="Times New Roman"/>
          <w:iCs/>
        </w:rPr>
        <w:t xml:space="preserve">The UK has long been a haven for corporate rescue and restructuring, a position that it has tried to bolster further with the introduction of </w:t>
      </w:r>
      <w:r w:rsidR="006949C0">
        <w:rPr>
          <w:rFonts w:cs="Times New Roman"/>
          <w:iCs/>
        </w:rPr>
        <w:t>a new restructuring plan modelled on the scheme of arrangement.</w:t>
      </w:r>
      <w:r w:rsidR="006949C0">
        <w:rPr>
          <w:rStyle w:val="FootnoteReference"/>
          <w:rFonts w:cs="Times New Roman"/>
          <w:iCs/>
        </w:rPr>
        <w:footnoteReference w:id="31"/>
      </w:r>
      <w:r w:rsidR="006949C0">
        <w:rPr>
          <w:rFonts w:cs="Times New Roman"/>
          <w:iCs/>
        </w:rPr>
        <w:t xml:space="preserve"> </w:t>
      </w:r>
      <w:r>
        <w:rPr>
          <w:rFonts w:cs="Times New Roman"/>
          <w:iCs/>
        </w:rPr>
        <w:t>T</w:t>
      </w:r>
      <w:r w:rsidR="00AE02D8">
        <w:rPr>
          <w:rFonts w:cs="Times New Roman"/>
          <w:iCs/>
        </w:rPr>
        <w:t>he UK was</w:t>
      </w:r>
      <w:r>
        <w:rPr>
          <w:rFonts w:cs="Times New Roman"/>
          <w:iCs/>
        </w:rPr>
        <w:t xml:space="preserve"> fairly</w:t>
      </w:r>
      <w:r w:rsidR="00AE02D8">
        <w:rPr>
          <w:rFonts w:cs="Times New Roman"/>
          <w:iCs/>
        </w:rPr>
        <w:t xml:space="preserve"> quick </w:t>
      </w:r>
      <w:r w:rsidR="008468CD">
        <w:rPr>
          <w:rFonts w:cs="Times New Roman"/>
          <w:iCs/>
        </w:rPr>
        <w:t xml:space="preserve">to introduce </w:t>
      </w:r>
      <w:r>
        <w:rPr>
          <w:rFonts w:cs="Times New Roman"/>
          <w:iCs/>
        </w:rPr>
        <w:t xml:space="preserve">this </w:t>
      </w:r>
      <w:r w:rsidR="00AE02D8">
        <w:rPr>
          <w:rFonts w:cs="Times New Roman"/>
          <w:iCs/>
        </w:rPr>
        <w:t>new procedure</w:t>
      </w:r>
      <w:r>
        <w:rPr>
          <w:rFonts w:cs="Times New Roman"/>
          <w:iCs/>
        </w:rPr>
        <w:t xml:space="preserve">, incentivised to some </w:t>
      </w:r>
      <w:r>
        <w:rPr>
          <w:rFonts w:cs="Times New Roman"/>
          <w:iCs/>
        </w:rPr>
        <w:lastRenderedPageBreak/>
        <w:t xml:space="preserve">extent by the economic impact of the COVID-19 pandemic. The new </w:t>
      </w:r>
      <w:r w:rsidR="00045E96">
        <w:rPr>
          <w:rFonts w:cs="Times New Roman"/>
          <w:iCs/>
        </w:rPr>
        <w:t xml:space="preserve">restructuring plan </w:t>
      </w:r>
      <w:r w:rsidR="00AE02D8">
        <w:rPr>
          <w:rFonts w:cs="Times New Roman"/>
          <w:iCs/>
        </w:rPr>
        <w:t>aligns in ma</w:t>
      </w:r>
      <w:r w:rsidR="005B05A3">
        <w:rPr>
          <w:rFonts w:cs="Times New Roman"/>
          <w:iCs/>
        </w:rPr>
        <w:t>n</w:t>
      </w:r>
      <w:r w:rsidR="00AE02D8">
        <w:rPr>
          <w:rFonts w:cs="Times New Roman"/>
          <w:iCs/>
        </w:rPr>
        <w:t>y characteristics with the PRD</w:t>
      </w:r>
      <w:r>
        <w:rPr>
          <w:rFonts w:cs="Times New Roman"/>
          <w:iCs/>
        </w:rPr>
        <w:t xml:space="preserve"> and supplements the rescue toolkit that the authors’ discussed in their 2019 article</w:t>
      </w:r>
      <w:r w:rsidR="00AE02D8">
        <w:rPr>
          <w:rFonts w:cs="Times New Roman"/>
          <w:iCs/>
        </w:rPr>
        <w:t xml:space="preserve">. </w:t>
      </w:r>
      <w:r w:rsidR="005B05A3">
        <w:rPr>
          <w:rFonts w:cs="Times New Roman"/>
          <w:iCs/>
        </w:rPr>
        <w:t xml:space="preserve">The threshold for </w:t>
      </w:r>
      <w:r w:rsidR="006949C0">
        <w:rPr>
          <w:rFonts w:cs="Times New Roman"/>
          <w:iCs/>
        </w:rPr>
        <w:t>using</w:t>
      </w:r>
      <w:r w:rsidR="005B05A3">
        <w:rPr>
          <w:rFonts w:cs="Times New Roman"/>
          <w:iCs/>
        </w:rPr>
        <w:t xml:space="preserve"> the new </w:t>
      </w:r>
      <w:r w:rsidR="00045E96">
        <w:rPr>
          <w:rFonts w:cs="Times New Roman"/>
          <w:iCs/>
        </w:rPr>
        <w:t xml:space="preserve">restructuring plan is somewhat stricter than </w:t>
      </w:r>
      <w:r w:rsidR="008468CD">
        <w:rPr>
          <w:rFonts w:cs="Times New Roman"/>
          <w:iCs/>
        </w:rPr>
        <w:t xml:space="preserve">for </w:t>
      </w:r>
      <w:r w:rsidR="00045E96">
        <w:rPr>
          <w:rFonts w:cs="Times New Roman"/>
          <w:iCs/>
        </w:rPr>
        <w:t>traditional schemes.</w:t>
      </w:r>
      <w:r w:rsidR="006949C0">
        <w:rPr>
          <w:rFonts w:cs="Times New Roman"/>
          <w:iCs/>
        </w:rPr>
        <w:t xml:space="preserve"> The n</w:t>
      </w:r>
      <w:r w:rsidR="00045E96">
        <w:rPr>
          <w:rFonts w:cs="Times New Roman"/>
          <w:iCs/>
        </w:rPr>
        <w:t>ew restructuring plans are</w:t>
      </w:r>
      <w:r w:rsidR="005B05A3">
        <w:rPr>
          <w:rFonts w:cs="Times New Roman"/>
          <w:iCs/>
        </w:rPr>
        <w:t xml:space="preserve"> only available to companies that are likely to encounter financial difficulties,</w:t>
      </w:r>
      <w:r w:rsidR="00DC13DB">
        <w:rPr>
          <w:rStyle w:val="FootnoteReference"/>
          <w:rFonts w:cs="Times New Roman"/>
          <w:iCs/>
        </w:rPr>
        <w:footnoteReference w:id="32"/>
      </w:r>
      <w:r w:rsidR="005B05A3">
        <w:rPr>
          <w:rFonts w:cs="Times New Roman"/>
          <w:iCs/>
        </w:rPr>
        <w:t xml:space="preserve"> reflecting the idea of </w:t>
      </w:r>
      <w:r w:rsidR="008468CD">
        <w:rPr>
          <w:rFonts w:cs="Times New Roman"/>
          <w:iCs/>
        </w:rPr>
        <w:t xml:space="preserve">the </w:t>
      </w:r>
      <w:r w:rsidR="005B05A3">
        <w:rPr>
          <w:rFonts w:cs="Times New Roman"/>
          <w:iCs/>
        </w:rPr>
        <w:t xml:space="preserve">likelihood of insolvency </w:t>
      </w:r>
      <w:r w:rsidR="006949C0">
        <w:rPr>
          <w:rFonts w:cs="Times New Roman"/>
          <w:iCs/>
        </w:rPr>
        <w:t>and reflects many of the preventive provisions contained in the PRD</w:t>
      </w:r>
      <w:r w:rsidR="005B05A3">
        <w:rPr>
          <w:rFonts w:cs="Times New Roman"/>
          <w:iCs/>
        </w:rPr>
        <w:t xml:space="preserve">. </w:t>
      </w:r>
      <w:r>
        <w:rPr>
          <w:rFonts w:cs="Times New Roman"/>
          <w:iCs/>
        </w:rPr>
        <w:t xml:space="preserve">The main missing feature that places the </w:t>
      </w:r>
      <w:r w:rsidR="00A137DD">
        <w:rPr>
          <w:rFonts w:cs="Times New Roman"/>
          <w:iCs/>
        </w:rPr>
        <w:t xml:space="preserve">new </w:t>
      </w:r>
      <w:r w:rsidR="00DC13DB">
        <w:rPr>
          <w:rFonts w:cs="Times New Roman"/>
          <w:iCs/>
        </w:rPr>
        <w:t xml:space="preserve">restructuring plan </w:t>
      </w:r>
      <w:r>
        <w:rPr>
          <w:rFonts w:cs="Times New Roman"/>
          <w:iCs/>
        </w:rPr>
        <w:t>at a competitive disadvantage</w:t>
      </w:r>
      <w:r w:rsidR="00A137DD">
        <w:rPr>
          <w:rFonts w:cs="Times New Roman"/>
          <w:iCs/>
        </w:rPr>
        <w:t xml:space="preserve"> to the other new procedures that have been introduced in</w:t>
      </w:r>
      <w:r w:rsidR="00FB5DBF">
        <w:rPr>
          <w:rFonts w:cs="Times New Roman"/>
          <w:iCs/>
        </w:rPr>
        <w:t xml:space="preserve"> </w:t>
      </w:r>
      <w:r w:rsidR="00A137DD">
        <w:rPr>
          <w:rFonts w:cs="Times New Roman"/>
          <w:iCs/>
        </w:rPr>
        <w:t>2021</w:t>
      </w:r>
      <w:r>
        <w:rPr>
          <w:rFonts w:cs="Times New Roman"/>
          <w:iCs/>
        </w:rPr>
        <w:t xml:space="preserve"> is the uncertainty of recognition or enforcement given that</w:t>
      </w:r>
      <w:r w:rsidR="008468CD">
        <w:rPr>
          <w:rFonts w:cs="Times New Roman"/>
          <w:iCs/>
        </w:rPr>
        <w:t>,</w:t>
      </w:r>
      <w:r>
        <w:rPr>
          <w:rFonts w:cs="Times New Roman"/>
          <w:iCs/>
        </w:rPr>
        <w:t xml:space="preserve"> due to Brexit, it will not be included in under the umbrella of the</w:t>
      </w:r>
      <w:r w:rsidR="0002201D">
        <w:rPr>
          <w:rFonts w:cs="Times New Roman"/>
          <w:iCs/>
        </w:rPr>
        <w:t xml:space="preserve"> EIR Recast</w:t>
      </w:r>
      <w:r>
        <w:rPr>
          <w:rFonts w:cs="Times New Roman"/>
          <w:iCs/>
        </w:rPr>
        <w:t>.</w:t>
      </w:r>
      <w:r w:rsidR="00DC13DB">
        <w:rPr>
          <w:rFonts w:cs="Times New Roman"/>
          <w:iCs/>
        </w:rPr>
        <w:t xml:space="preserve"> </w:t>
      </w:r>
    </w:p>
    <w:p w14:paraId="61C8D095" w14:textId="2B2A4F71" w:rsidR="00F42DA5" w:rsidRDefault="00F42DA5" w:rsidP="00F42DA5">
      <w:pPr>
        <w:spacing w:before="120" w:after="120"/>
        <w:jc w:val="both"/>
        <w:rPr>
          <w:rFonts w:cs="Times New Roman"/>
        </w:rPr>
      </w:pPr>
      <w:r>
        <w:rPr>
          <w:rFonts w:cs="Times New Roman"/>
        </w:rPr>
        <w:t xml:space="preserve">The EU-UK relationship is now regulated by the </w:t>
      </w:r>
      <w:r w:rsidR="00241497">
        <w:rPr>
          <w:rFonts w:cs="Times New Roman"/>
        </w:rPr>
        <w:t>‘</w:t>
      </w:r>
      <w:r w:rsidRPr="00BD61B7">
        <w:rPr>
          <w:rFonts w:cs="Times New Roman"/>
        </w:rPr>
        <w:t>EU-UK Trade and Cooperation Agreement</w:t>
      </w:r>
      <w:r w:rsidR="00241497">
        <w:rPr>
          <w:rFonts w:cs="Times New Roman"/>
        </w:rPr>
        <w:t>’</w:t>
      </w:r>
      <w:r w:rsidRPr="00BD61B7">
        <w:rPr>
          <w:rFonts w:cs="Times New Roman"/>
        </w:rPr>
        <w:t xml:space="preserve"> (24 December 2020), which was implemented in the UK via the </w:t>
      </w:r>
      <w:r w:rsidRPr="004526E5">
        <w:rPr>
          <w:rFonts w:cs="Times New Roman"/>
        </w:rPr>
        <w:t>European Union (Future Relationship) Act 2020</w:t>
      </w:r>
      <w:r w:rsidRPr="00BD61B7">
        <w:rPr>
          <w:rFonts w:cs="Times New Roman"/>
        </w:rPr>
        <w:t>.</w:t>
      </w:r>
      <w:r w:rsidRPr="00BD61B7">
        <w:rPr>
          <w:rFonts w:cs="Times New Roman"/>
          <w:vertAlign w:val="superscript"/>
        </w:rPr>
        <w:footnoteReference w:id="33"/>
      </w:r>
      <w:r>
        <w:rPr>
          <w:rFonts w:cs="Times New Roman"/>
        </w:rPr>
        <w:t xml:space="preserve"> T</w:t>
      </w:r>
      <w:r w:rsidRPr="00BD61B7">
        <w:rPr>
          <w:rFonts w:cs="Times New Roman"/>
        </w:rPr>
        <w:t>hese documents</w:t>
      </w:r>
      <w:r>
        <w:rPr>
          <w:rFonts w:cs="Times New Roman"/>
        </w:rPr>
        <w:t>, however,</w:t>
      </w:r>
      <w:r w:rsidRPr="00BD61B7">
        <w:rPr>
          <w:rFonts w:cs="Times New Roman"/>
        </w:rPr>
        <w:t xml:space="preserve"> fail to replicate the seamless and straightforward system for the recognition of civil and insolvency judgments outlined by the Brussels Recast Regulation 2012</w:t>
      </w:r>
      <w:bookmarkStart w:id="0" w:name="_Ref72126338"/>
      <w:r w:rsidRPr="00BD61B7">
        <w:rPr>
          <w:rFonts w:cs="Times New Roman"/>
          <w:vertAlign w:val="superscript"/>
        </w:rPr>
        <w:footnoteReference w:id="34"/>
      </w:r>
      <w:bookmarkEnd w:id="0"/>
      <w:r w:rsidRPr="00BD61B7">
        <w:rPr>
          <w:rFonts w:cs="Times New Roman"/>
        </w:rPr>
        <w:t xml:space="preserve"> and the </w:t>
      </w:r>
      <w:r w:rsidR="0002201D">
        <w:rPr>
          <w:rFonts w:cs="Times New Roman"/>
        </w:rPr>
        <w:t>EIR Recast</w:t>
      </w:r>
      <w:r w:rsidRPr="00BD61B7">
        <w:rPr>
          <w:rFonts w:cs="Times New Roman"/>
        </w:rPr>
        <w:t>.</w:t>
      </w:r>
      <w:r>
        <w:rPr>
          <w:rFonts w:cs="Times New Roman"/>
        </w:rPr>
        <w:t xml:space="preserve"> Further, these 2020 trade and relationship agreements </w:t>
      </w:r>
      <w:r w:rsidRPr="00BD61B7">
        <w:rPr>
          <w:rFonts w:cs="Times New Roman"/>
        </w:rPr>
        <w:t xml:space="preserve">fail to make any mention of the procedure for the recognition of restructuring and insolvency proceedings between ex-partners. This omission means that the insolvency and restructuring industry has </w:t>
      </w:r>
      <w:r w:rsidRPr="00BD61B7">
        <w:rPr>
          <w:rFonts w:cs="Times New Roman"/>
          <w:i/>
          <w:iCs/>
        </w:rPr>
        <w:t>de facto</w:t>
      </w:r>
      <w:r w:rsidRPr="00BD61B7">
        <w:rPr>
          <w:rFonts w:cs="Times New Roman"/>
        </w:rPr>
        <w:t xml:space="preserve"> been affected by a </w:t>
      </w:r>
      <w:r w:rsidR="00241497">
        <w:rPr>
          <w:rFonts w:cs="Times New Roman"/>
        </w:rPr>
        <w:t>‘</w:t>
      </w:r>
      <w:r w:rsidRPr="00BD61B7">
        <w:rPr>
          <w:rFonts w:cs="Times New Roman"/>
        </w:rPr>
        <w:t xml:space="preserve">hard </w:t>
      </w:r>
      <w:r w:rsidRPr="00BD61B7">
        <w:rPr>
          <w:rFonts w:cs="Times New Roman"/>
          <w:i/>
          <w:iCs/>
        </w:rPr>
        <w:t>Brexit</w:t>
      </w:r>
      <w:r w:rsidR="00241497">
        <w:rPr>
          <w:rFonts w:cs="Times New Roman"/>
        </w:rPr>
        <w:t>’</w:t>
      </w:r>
      <w:r w:rsidRPr="00BD61B7">
        <w:rPr>
          <w:rFonts w:cs="Times New Roman"/>
        </w:rPr>
        <w:t>,</w:t>
      </w:r>
      <w:bookmarkStart w:id="1" w:name="_Ref72126480"/>
      <w:r w:rsidRPr="00BD61B7">
        <w:rPr>
          <w:rFonts w:cs="Times New Roman"/>
          <w:vertAlign w:val="superscript"/>
        </w:rPr>
        <w:footnoteReference w:id="35"/>
      </w:r>
      <w:bookmarkEnd w:id="1"/>
      <w:r w:rsidRPr="00BD61B7">
        <w:rPr>
          <w:rFonts w:cs="Times New Roman"/>
        </w:rPr>
        <w:t xml:space="preserve"> despite some emergency regulation enacted in the area by the UK government.</w:t>
      </w:r>
      <w:r w:rsidRPr="00BD61B7">
        <w:rPr>
          <w:rFonts w:cs="Times New Roman"/>
          <w:vertAlign w:val="superscript"/>
        </w:rPr>
        <w:footnoteReference w:id="36"/>
      </w:r>
      <w:r>
        <w:rPr>
          <w:rFonts w:cs="Times New Roman"/>
        </w:rPr>
        <w:t xml:space="preserve"> Thus, the UK’s seemingly unassailable dominance </w:t>
      </w:r>
      <w:r w:rsidR="0002201D">
        <w:rPr>
          <w:rFonts w:cs="Times New Roman"/>
        </w:rPr>
        <w:t>as a</w:t>
      </w:r>
      <w:r>
        <w:rPr>
          <w:rFonts w:cs="Times New Roman"/>
        </w:rPr>
        <w:t xml:space="preserve"> restructuring </w:t>
      </w:r>
      <w:r w:rsidR="0002201D">
        <w:rPr>
          <w:rFonts w:cs="Times New Roman"/>
        </w:rPr>
        <w:t xml:space="preserve">hub </w:t>
      </w:r>
      <w:r>
        <w:rPr>
          <w:rFonts w:cs="Times New Roman"/>
        </w:rPr>
        <w:t>in the EU has now been thrown into doubt, particularly now that jurisdictions such as Germany and the Netherlands have introduced mechanisms that could clearly compete with the Scheme even pre-Brexit.</w:t>
      </w:r>
    </w:p>
    <w:p w14:paraId="209C17EB" w14:textId="6956B85F" w:rsidR="001533CA" w:rsidRDefault="001533CA" w:rsidP="001533CA">
      <w:pPr>
        <w:spacing w:before="120" w:after="120"/>
        <w:jc w:val="both"/>
        <w:rPr>
          <w:rFonts w:cs="Times New Roman"/>
        </w:rPr>
      </w:pPr>
      <w:r>
        <w:rPr>
          <w:rFonts w:cs="Times New Roman"/>
          <w:i/>
        </w:rPr>
        <w:t xml:space="preserve">2.2 </w:t>
      </w:r>
      <w:r w:rsidRPr="00130CA4">
        <w:rPr>
          <w:rFonts w:cs="Times New Roman"/>
          <w:i/>
        </w:rPr>
        <w:t>Incentives to Enter a Preventive/Early Restructuring Mechanism</w:t>
      </w:r>
    </w:p>
    <w:p w14:paraId="7C90FF73" w14:textId="70EA288F" w:rsidR="00A137DD" w:rsidRDefault="008314FE" w:rsidP="008314FE">
      <w:pPr>
        <w:spacing w:before="120" w:after="120"/>
        <w:jc w:val="both"/>
        <w:rPr>
          <w:rFonts w:cs="Times New Roman"/>
        </w:rPr>
      </w:pPr>
      <w:r>
        <w:rPr>
          <w:rFonts w:cs="Times New Roman"/>
        </w:rPr>
        <w:t>There are a number of incentives that can encourage early entry into restructuring negotiations to ensure the preservation of assets and value and to maximise the potential for rescuing the company from its financial distress. The earlier that a company engages with this process when it foresees financial difficulties, the more assets it is likely to have to support a turnaround and to convince creditors to cooperate for the benefit of the collective</w:t>
      </w:r>
      <w:r w:rsidR="007C219F">
        <w:rPr>
          <w:rFonts w:cs="Times New Roman"/>
        </w:rPr>
        <w:t xml:space="preserve"> and equitable</w:t>
      </w:r>
      <w:r>
        <w:rPr>
          <w:rFonts w:cs="Times New Roman"/>
        </w:rPr>
        <w:t xml:space="preserve"> </w:t>
      </w:r>
      <w:r w:rsidR="007C219F">
        <w:rPr>
          <w:rFonts w:cs="Times New Roman"/>
        </w:rPr>
        <w:t>satisfaction of creditors</w:t>
      </w:r>
      <w:r>
        <w:rPr>
          <w:rFonts w:cs="Times New Roman"/>
        </w:rPr>
        <w:t xml:space="preserve">. If a company waits too long and must enter into an official procedure due to an event of insolvency, even though that procedure may lead to a </w:t>
      </w:r>
      <w:r w:rsidR="007743D7">
        <w:rPr>
          <w:rFonts w:cs="Times New Roman"/>
        </w:rPr>
        <w:t xml:space="preserve">restructuring of a sort, </w:t>
      </w:r>
      <w:r w:rsidR="007743D7" w:rsidRPr="00AA2F39">
        <w:rPr>
          <w:rFonts w:cs="Times New Roman"/>
        </w:rPr>
        <w:t>procedural cost</w:t>
      </w:r>
      <w:r w:rsidR="00A137DD" w:rsidRPr="00AA2F39">
        <w:rPr>
          <w:rFonts w:cs="Times New Roman"/>
        </w:rPr>
        <w:t xml:space="preserve"> </w:t>
      </w:r>
      <w:r>
        <w:rPr>
          <w:rFonts w:cs="Times New Roman"/>
        </w:rPr>
        <w:t xml:space="preserve">will be </w:t>
      </w:r>
      <w:r w:rsidRPr="00AA2F39">
        <w:rPr>
          <w:rFonts w:cs="Times New Roman"/>
        </w:rPr>
        <w:t>incurred</w:t>
      </w:r>
      <w:r w:rsidR="00A137DD" w:rsidRPr="00AA2F39">
        <w:rPr>
          <w:rFonts w:cs="Times New Roman"/>
        </w:rPr>
        <w:t xml:space="preserve"> and information about the debtor’s </w:t>
      </w:r>
      <w:r w:rsidR="007743D7">
        <w:rPr>
          <w:rFonts w:cs="Times New Roman"/>
        </w:rPr>
        <w:t xml:space="preserve">condition will circulate, to which some degree of reputational stigma will be attached. </w:t>
      </w:r>
      <w:r w:rsidR="00A137DD" w:rsidRPr="00AA2F39">
        <w:rPr>
          <w:rFonts w:cs="Times New Roman"/>
        </w:rPr>
        <w:t>If the restructuring eventually fails, the debtor has to carry the procedural and reputational costs without the benefit of a reorganised capital structure.</w:t>
      </w:r>
      <w:r w:rsidR="00A137DD">
        <w:rPr>
          <w:rFonts w:cs="Times New Roman"/>
        </w:rPr>
        <w:t xml:space="preserve"> </w:t>
      </w:r>
      <w:r w:rsidR="007743D7">
        <w:rPr>
          <w:rFonts w:cs="Times New Roman"/>
        </w:rPr>
        <w:t>Therefore, the availability in general of restructuring procedures at an early stage of financial distress is a key incentive for their utilisation.</w:t>
      </w:r>
      <w:r w:rsidR="00626FD7">
        <w:rPr>
          <w:rStyle w:val="FootnoteReference"/>
          <w:rFonts w:cs="Times New Roman"/>
        </w:rPr>
        <w:footnoteReference w:id="37"/>
      </w:r>
      <w:r w:rsidR="007743D7">
        <w:rPr>
          <w:rFonts w:cs="Times New Roman"/>
        </w:rPr>
        <w:t xml:space="preserve"> </w:t>
      </w:r>
      <w:r w:rsidR="007C219F">
        <w:rPr>
          <w:rFonts w:cs="Times New Roman"/>
        </w:rPr>
        <w:t>While</w:t>
      </w:r>
      <w:r w:rsidR="007743D7">
        <w:rPr>
          <w:rFonts w:cs="Times New Roman"/>
        </w:rPr>
        <w:t xml:space="preserve"> France, the UK, and to some extent the Netherlands</w:t>
      </w:r>
      <w:r w:rsidR="003B71B5">
        <w:rPr>
          <w:rFonts w:cs="Times New Roman"/>
        </w:rPr>
        <w:t>,</w:t>
      </w:r>
      <w:r w:rsidR="007743D7">
        <w:rPr>
          <w:rFonts w:cs="Times New Roman"/>
        </w:rPr>
        <w:t xml:space="preserve"> provided pre-insolvency restructuring options</w:t>
      </w:r>
      <w:r w:rsidR="007C219F">
        <w:rPr>
          <w:rFonts w:cs="Times New Roman"/>
        </w:rPr>
        <w:t xml:space="preserve"> before</w:t>
      </w:r>
      <w:r w:rsidR="007743D7">
        <w:rPr>
          <w:rFonts w:cs="Times New Roman"/>
        </w:rPr>
        <w:t xml:space="preserve">, </w:t>
      </w:r>
      <w:r w:rsidR="007C219F">
        <w:rPr>
          <w:rFonts w:cs="Times New Roman"/>
        </w:rPr>
        <w:t xml:space="preserve">as well as Germany </w:t>
      </w:r>
      <w:r w:rsidR="00241497">
        <w:rPr>
          <w:rFonts w:cs="Times New Roman"/>
        </w:rPr>
        <w:t xml:space="preserve">which </w:t>
      </w:r>
      <w:r w:rsidR="007C219F">
        <w:rPr>
          <w:rFonts w:cs="Times New Roman"/>
        </w:rPr>
        <w:t xml:space="preserve">always allowed for an early voluntary use of the insolvency regime, </w:t>
      </w:r>
      <w:r w:rsidR="007743D7">
        <w:rPr>
          <w:rFonts w:cs="Times New Roman"/>
        </w:rPr>
        <w:t>all jurisdictions have now improved this position to either reflect the ‘likelihood of insolvency’ threshold provided in the PRD</w:t>
      </w:r>
      <w:r w:rsidR="00FA2272">
        <w:rPr>
          <w:rFonts w:cs="Times New Roman"/>
        </w:rPr>
        <w:t xml:space="preserve"> or in case of Germany, now clearly define</w:t>
      </w:r>
      <w:r w:rsidR="002D292A">
        <w:rPr>
          <w:rFonts w:cs="Times New Roman"/>
        </w:rPr>
        <w:t>s</w:t>
      </w:r>
      <w:r w:rsidR="00FA2272">
        <w:rPr>
          <w:rFonts w:cs="Times New Roman"/>
        </w:rPr>
        <w:t xml:space="preserve"> the entry for voluntary access to both the restructuring and the insolvency procedure. </w:t>
      </w:r>
      <w:r w:rsidR="00C46FC4">
        <w:rPr>
          <w:rFonts w:cs="Times New Roman"/>
        </w:rPr>
        <w:t xml:space="preserve">Only Denmark so far </w:t>
      </w:r>
      <w:r w:rsidR="00C46FC4">
        <w:rPr>
          <w:rFonts w:cs="Times New Roman"/>
        </w:rPr>
        <w:lastRenderedPageBreak/>
        <w:t xml:space="preserve">maintains a restructuring procedure that is only available if a company has become insolvent, though this may well change in the near future as they come to implement the PRD. </w:t>
      </w:r>
    </w:p>
    <w:p w14:paraId="7603BB54" w14:textId="2EEB09FC" w:rsidR="00B16189" w:rsidRDefault="00C46FC4" w:rsidP="00E55A2E">
      <w:pPr>
        <w:spacing w:before="120" w:after="120"/>
        <w:jc w:val="both"/>
        <w:rPr>
          <w:rFonts w:cs="Times New Roman"/>
        </w:rPr>
      </w:pPr>
      <w:r w:rsidRPr="00AA2F39">
        <w:rPr>
          <w:rFonts w:cs="Times New Roman"/>
        </w:rPr>
        <w:t xml:space="preserve">Another key element for the debtor to enter into a restructuring procedure is that the </w:t>
      </w:r>
      <w:r w:rsidR="00626FD7">
        <w:rPr>
          <w:rFonts w:cs="Times New Roman"/>
        </w:rPr>
        <w:t>debtor stays in possession</w:t>
      </w:r>
      <w:r w:rsidRPr="00AA2F39">
        <w:rPr>
          <w:rFonts w:cs="Times New Roman"/>
        </w:rPr>
        <w:t xml:space="preserve">. </w:t>
      </w:r>
      <w:r w:rsidR="00BF7867">
        <w:rPr>
          <w:rFonts w:cs="Times New Roman"/>
        </w:rPr>
        <w:t>To incentivise early recourse to restructuring mechanisms, the PRD allows</w:t>
      </w:r>
      <w:r w:rsidRPr="00AA2F39">
        <w:rPr>
          <w:rFonts w:cs="Times New Roman"/>
        </w:rPr>
        <w:t xml:space="preserve"> </w:t>
      </w:r>
      <w:r w:rsidR="00BF7867">
        <w:rPr>
          <w:rFonts w:cs="Times New Roman"/>
        </w:rPr>
        <w:t>the debtor’s</w:t>
      </w:r>
      <w:r>
        <w:rPr>
          <w:rFonts w:cs="Times New Roman"/>
        </w:rPr>
        <w:t xml:space="preserve"> shareholders </w:t>
      </w:r>
      <w:r w:rsidR="00BF7867">
        <w:rPr>
          <w:rFonts w:cs="Times New Roman"/>
        </w:rPr>
        <w:t>to retain</w:t>
      </w:r>
      <w:r w:rsidRPr="00AA2F39">
        <w:rPr>
          <w:rFonts w:cs="Times New Roman"/>
        </w:rPr>
        <w:t xml:space="preserve"> a stake in the restructured company or, even more important</w:t>
      </w:r>
      <w:r w:rsidR="00BF7867">
        <w:rPr>
          <w:rFonts w:cs="Times New Roman"/>
        </w:rPr>
        <w:t>ly</w:t>
      </w:r>
      <w:r w:rsidR="004A1509">
        <w:rPr>
          <w:rFonts w:cs="Times New Roman"/>
        </w:rPr>
        <w:t xml:space="preserve"> for directors</w:t>
      </w:r>
      <w:r w:rsidRPr="00AA2F39">
        <w:rPr>
          <w:rFonts w:cs="Times New Roman"/>
        </w:rPr>
        <w:t xml:space="preserve">, </w:t>
      </w:r>
      <w:r w:rsidR="00BF7867">
        <w:rPr>
          <w:rFonts w:cs="Times New Roman"/>
        </w:rPr>
        <w:t>the</w:t>
      </w:r>
      <w:r w:rsidRPr="00AA2F39">
        <w:rPr>
          <w:rFonts w:cs="Times New Roman"/>
        </w:rPr>
        <w:t xml:space="preserve"> chance to stay on</w:t>
      </w:r>
      <w:r w:rsidR="002D292A">
        <w:rPr>
          <w:rFonts w:cs="Times New Roman"/>
        </w:rPr>
        <w:t xml:space="preserve"> the company’s</w:t>
      </w:r>
      <w:r w:rsidRPr="00AA2F39">
        <w:rPr>
          <w:rFonts w:cs="Times New Roman"/>
        </w:rPr>
        <w:t xml:space="preserve"> </w:t>
      </w:r>
      <w:r w:rsidR="00BF7867">
        <w:rPr>
          <w:rFonts w:cs="Times New Roman"/>
        </w:rPr>
        <w:t xml:space="preserve">the </w:t>
      </w:r>
      <w:r w:rsidRPr="00AA2F39">
        <w:rPr>
          <w:rFonts w:cs="Times New Roman"/>
        </w:rPr>
        <w:t xml:space="preserve">board after having </w:t>
      </w:r>
      <w:r w:rsidR="00E55A2E" w:rsidRPr="00AA2F39">
        <w:rPr>
          <w:rFonts w:cs="Times New Roman"/>
        </w:rPr>
        <w:t>man</w:t>
      </w:r>
      <w:r w:rsidR="00E55A2E">
        <w:rPr>
          <w:rFonts w:cs="Times New Roman"/>
        </w:rPr>
        <w:t>o</w:t>
      </w:r>
      <w:r w:rsidR="00E55A2E" w:rsidRPr="00AA2F39">
        <w:rPr>
          <w:rFonts w:cs="Times New Roman"/>
        </w:rPr>
        <w:t>euvre</w:t>
      </w:r>
      <w:r w:rsidR="00E55A2E">
        <w:rPr>
          <w:rFonts w:cs="Times New Roman"/>
        </w:rPr>
        <w:t>d</w:t>
      </w:r>
      <w:r w:rsidRPr="00AA2F39">
        <w:rPr>
          <w:rFonts w:cs="Times New Roman"/>
        </w:rPr>
        <w:t xml:space="preserve"> the company </w:t>
      </w:r>
      <w:r>
        <w:rPr>
          <w:rFonts w:cs="Times New Roman"/>
        </w:rPr>
        <w:t>out of the rapids</w:t>
      </w:r>
      <w:r w:rsidRPr="00AA2F39">
        <w:rPr>
          <w:rFonts w:cs="Times New Roman"/>
        </w:rPr>
        <w:t>. The</w:t>
      </w:r>
      <w:r>
        <w:rPr>
          <w:rFonts w:cs="Times New Roman"/>
        </w:rPr>
        <w:t xml:space="preserve"> PRD</w:t>
      </w:r>
      <w:r w:rsidRPr="00AA2F39">
        <w:rPr>
          <w:rFonts w:cs="Times New Roman"/>
        </w:rPr>
        <w:t xml:space="preserve"> is </w:t>
      </w:r>
      <w:r w:rsidR="002D292A">
        <w:rPr>
          <w:rFonts w:cs="Times New Roman"/>
        </w:rPr>
        <w:t>designed</w:t>
      </w:r>
      <w:r w:rsidRPr="00AA2F39">
        <w:rPr>
          <w:rFonts w:cs="Times New Roman"/>
        </w:rPr>
        <w:t xml:space="preserve"> as a debtor-in-possession </w:t>
      </w:r>
      <w:r w:rsidR="00B561A2">
        <w:rPr>
          <w:rFonts w:cs="Times New Roman"/>
        </w:rPr>
        <w:t>(</w:t>
      </w:r>
      <w:proofErr w:type="spellStart"/>
      <w:r w:rsidR="00B561A2">
        <w:rPr>
          <w:rFonts w:cs="Times New Roman"/>
        </w:rPr>
        <w:t>DiP</w:t>
      </w:r>
      <w:proofErr w:type="spellEnd"/>
      <w:r w:rsidR="00B561A2">
        <w:rPr>
          <w:rFonts w:cs="Times New Roman"/>
        </w:rPr>
        <w:t xml:space="preserve">) </w:t>
      </w:r>
      <w:r w:rsidR="002D292A">
        <w:rPr>
          <w:rFonts w:cs="Times New Roman"/>
        </w:rPr>
        <w:t>framework</w:t>
      </w:r>
      <w:r w:rsidR="004A1509">
        <w:rPr>
          <w:rFonts w:cs="Times New Roman"/>
        </w:rPr>
        <w:t xml:space="preserve">, where the debtor should remain fully or at least partially in control of its assets and </w:t>
      </w:r>
      <w:r w:rsidR="00C178BE">
        <w:rPr>
          <w:rFonts w:cs="Times New Roman"/>
        </w:rPr>
        <w:t xml:space="preserve">the </w:t>
      </w:r>
      <w:r w:rsidR="004A1509">
        <w:rPr>
          <w:rFonts w:cs="Times New Roman"/>
        </w:rPr>
        <w:t>day-to-day activities</w:t>
      </w:r>
      <w:r w:rsidRPr="00AA2F39">
        <w:rPr>
          <w:rFonts w:cs="Times New Roman"/>
        </w:rPr>
        <w:t>.</w:t>
      </w:r>
      <w:r w:rsidRPr="00AA2F39">
        <w:rPr>
          <w:rStyle w:val="FootnoteReference"/>
          <w:rFonts w:cs="Times New Roman"/>
        </w:rPr>
        <w:footnoteReference w:id="38"/>
      </w:r>
      <w:r w:rsidRPr="00AA2F39">
        <w:rPr>
          <w:rFonts w:cs="Times New Roman"/>
        </w:rPr>
        <w:t xml:space="preserve"> </w:t>
      </w:r>
      <w:r>
        <w:rPr>
          <w:rFonts w:cs="Times New Roman"/>
        </w:rPr>
        <w:t xml:space="preserve">The UK provides for </w:t>
      </w:r>
      <w:r w:rsidR="004A1509">
        <w:rPr>
          <w:rFonts w:cs="Times New Roman"/>
        </w:rPr>
        <w:t xml:space="preserve">a </w:t>
      </w:r>
      <w:r>
        <w:rPr>
          <w:rFonts w:cs="Times New Roman"/>
        </w:rPr>
        <w:t xml:space="preserve">full debtor in possession for its new </w:t>
      </w:r>
      <w:r w:rsidR="00BF7867">
        <w:rPr>
          <w:rFonts w:cs="Times New Roman"/>
        </w:rPr>
        <w:t xml:space="preserve">restructuring plan </w:t>
      </w:r>
      <w:r>
        <w:rPr>
          <w:rFonts w:cs="Times New Roman"/>
        </w:rPr>
        <w:t>and old schemes</w:t>
      </w:r>
      <w:r w:rsidR="004A1509">
        <w:rPr>
          <w:rFonts w:cs="Times New Roman"/>
        </w:rPr>
        <w:t>,</w:t>
      </w:r>
      <w:r>
        <w:rPr>
          <w:rFonts w:cs="Times New Roman"/>
        </w:rPr>
        <w:t xml:space="preserve"> as well as for its CVA, although the administration procedure and the associated pre-pack, once submitted, lead to the displacement of the board of directors with an insolvency practitioner</w:t>
      </w:r>
      <w:r w:rsidR="00BF7867">
        <w:rPr>
          <w:rFonts w:cs="Times New Roman"/>
        </w:rPr>
        <w:t>. This</w:t>
      </w:r>
      <w:r>
        <w:rPr>
          <w:rFonts w:cs="Times New Roman"/>
        </w:rPr>
        <w:t xml:space="preserve"> position is arguably more draconian than most other jurisdiction</w:t>
      </w:r>
      <w:r w:rsidR="002D292A">
        <w:rPr>
          <w:rFonts w:cs="Times New Roman"/>
        </w:rPr>
        <w:t>s</w:t>
      </w:r>
      <w:r>
        <w:rPr>
          <w:rFonts w:cs="Times New Roman"/>
        </w:rPr>
        <w:t xml:space="preserve"> in continental Europe along the spectrum of </w:t>
      </w:r>
      <w:proofErr w:type="spellStart"/>
      <w:r>
        <w:rPr>
          <w:rFonts w:cs="Times New Roman"/>
        </w:rPr>
        <w:t>DiP</w:t>
      </w:r>
      <w:proofErr w:type="spellEnd"/>
      <w:r>
        <w:rPr>
          <w:rFonts w:cs="Times New Roman"/>
        </w:rPr>
        <w:t>.</w:t>
      </w:r>
      <w:r w:rsidR="00BF7867">
        <w:rPr>
          <w:rFonts w:cs="Times New Roman"/>
        </w:rPr>
        <w:t xml:space="preserve"> At the same time, practitioner</w:t>
      </w:r>
      <w:r w:rsidR="00C178BE">
        <w:rPr>
          <w:rFonts w:cs="Times New Roman"/>
        </w:rPr>
        <w:t>s</w:t>
      </w:r>
      <w:r w:rsidR="00BF7867">
        <w:rPr>
          <w:rFonts w:cs="Times New Roman"/>
        </w:rPr>
        <w:t xml:space="preserve"> have devised a debtor-in-possession administration procedure, known as </w:t>
      </w:r>
      <w:r w:rsidR="00241497">
        <w:rPr>
          <w:rFonts w:cs="Times New Roman"/>
        </w:rPr>
        <w:t>‘</w:t>
      </w:r>
      <w:r w:rsidR="00BF7867">
        <w:rPr>
          <w:rFonts w:cs="Times New Roman"/>
        </w:rPr>
        <w:t>light-touch administration</w:t>
      </w:r>
      <w:r w:rsidR="00241497">
        <w:rPr>
          <w:rFonts w:cs="Times New Roman"/>
        </w:rPr>
        <w:t>’</w:t>
      </w:r>
      <w:r w:rsidR="00BF7867">
        <w:rPr>
          <w:rFonts w:cs="Times New Roman"/>
        </w:rPr>
        <w:t>,</w:t>
      </w:r>
      <w:r w:rsidR="00B16189">
        <w:rPr>
          <w:rFonts w:cs="Times New Roman"/>
        </w:rPr>
        <w:t xml:space="preserve"> in which existing management remains in place</w:t>
      </w:r>
      <w:r w:rsidR="00BF7867">
        <w:rPr>
          <w:rFonts w:cs="Times New Roman"/>
        </w:rPr>
        <w:t>.</w:t>
      </w:r>
      <w:r w:rsidR="00BF7867">
        <w:rPr>
          <w:rStyle w:val="FootnoteReference"/>
          <w:rFonts w:cs="Times New Roman"/>
        </w:rPr>
        <w:footnoteReference w:id="39"/>
      </w:r>
      <w:r w:rsidR="00BF7867">
        <w:rPr>
          <w:rFonts w:cs="Times New Roman"/>
        </w:rPr>
        <w:t xml:space="preserve"> </w:t>
      </w:r>
    </w:p>
    <w:p w14:paraId="6B9917A3" w14:textId="3487DF18" w:rsidR="00C46FC4" w:rsidRPr="00AA2F39" w:rsidRDefault="00BF7867" w:rsidP="00E55A2E">
      <w:pPr>
        <w:spacing w:before="120" w:after="120"/>
        <w:jc w:val="both"/>
        <w:rPr>
          <w:rFonts w:cs="Times New Roman"/>
        </w:rPr>
      </w:pPr>
      <w:r>
        <w:rPr>
          <w:rFonts w:cs="Times New Roman"/>
        </w:rPr>
        <w:t xml:space="preserve">On the other side of the Channel, </w:t>
      </w:r>
      <w:r w:rsidR="00E55A2E">
        <w:rPr>
          <w:rFonts w:cs="Times New Roman"/>
        </w:rPr>
        <w:t xml:space="preserve">France is renowned for its </w:t>
      </w:r>
      <w:proofErr w:type="spellStart"/>
      <w:r w:rsidR="00E55A2E">
        <w:rPr>
          <w:rFonts w:cs="Times New Roman"/>
        </w:rPr>
        <w:t>DiP</w:t>
      </w:r>
      <w:proofErr w:type="spellEnd"/>
      <w:r w:rsidR="00E55A2E">
        <w:rPr>
          <w:rFonts w:cs="Times New Roman"/>
        </w:rPr>
        <w:t xml:space="preserve"> procedures, which continues to include the </w:t>
      </w:r>
      <w:proofErr w:type="spellStart"/>
      <w:r w:rsidR="00C46FC4" w:rsidRPr="00AA2F39">
        <w:rPr>
          <w:rFonts w:cs="Times New Roman"/>
          <w:i/>
        </w:rPr>
        <w:t>mandat</w:t>
      </w:r>
      <w:proofErr w:type="spellEnd"/>
      <w:r w:rsidR="00C46FC4" w:rsidRPr="00AA2F39">
        <w:rPr>
          <w:rFonts w:cs="Times New Roman"/>
          <w:i/>
        </w:rPr>
        <w:t xml:space="preserve"> ad hoc, </w:t>
      </w:r>
      <w:r w:rsidR="00C46FC4" w:rsidRPr="00AA2F39">
        <w:rPr>
          <w:rFonts w:cs="Times New Roman"/>
        </w:rPr>
        <w:t>the</w:t>
      </w:r>
      <w:r w:rsidR="00C46FC4" w:rsidRPr="00AA2F39">
        <w:rPr>
          <w:rFonts w:cs="Times New Roman"/>
          <w:i/>
        </w:rPr>
        <w:t xml:space="preserve"> conciliation</w:t>
      </w:r>
      <w:r w:rsidR="00C46FC4" w:rsidRPr="00AA2F39">
        <w:rPr>
          <w:rFonts w:cs="Times New Roman"/>
        </w:rPr>
        <w:t>,</w:t>
      </w:r>
      <w:r w:rsidR="00C46FC4" w:rsidRPr="00AA2F39">
        <w:rPr>
          <w:rFonts w:cs="Times New Roman"/>
          <w:i/>
        </w:rPr>
        <w:t xml:space="preserve"> </w:t>
      </w:r>
      <w:r w:rsidR="00C46FC4" w:rsidRPr="00AA2F39">
        <w:rPr>
          <w:rFonts w:cs="Times New Roman"/>
        </w:rPr>
        <w:t>and</w:t>
      </w:r>
      <w:r w:rsidR="000425B5">
        <w:rPr>
          <w:rFonts w:cs="Times New Roman"/>
        </w:rPr>
        <w:t xml:space="preserve"> in principle</w:t>
      </w:r>
      <w:r w:rsidR="003B71B5">
        <w:rPr>
          <w:rFonts w:cs="Times New Roman"/>
        </w:rPr>
        <w:t>,</w:t>
      </w:r>
      <w:r w:rsidR="000425B5">
        <w:rPr>
          <w:rFonts w:cs="Times New Roman"/>
        </w:rPr>
        <w:t xml:space="preserve"> </w:t>
      </w:r>
      <w:r w:rsidR="00C46FC4" w:rsidRPr="00AA2F39">
        <w:rPr>
          <w:rFonts w:cs="Times New Roman"/>
        </w:rPr>
        <w:t>the</w:t>
      </w:r>
      <w:r w:rsidR="00C46FC4" w:rsidRPr="00AA2F39">
        <w:rPr>
          <w:rFonts w:cs="Times New Roman"/>
          <w:i/>
        </w:rPr>
        <w:t xml:space="preserve"> </w:t>
      </w:r>
      <w:proofErr w:type="spellStart"/>
      <w:r w:rsidR="00C46FC4" w:rsidRPr="00AA2F39">
        <w:rPr>
          <w:rFonts w:cs="Times New Roman"/>
          <w:i/>
        </w:rPr>
        <w:t>sauvegarde</w:t>
      </w:r>
      <w:proofErr w:type="spellEnd"/>
      <w:r w:rsidR="00C46FC4" w:rsidRPr="00AA2F39">
        <w:rPr>
          <w:rFonts w:cs="Times New Roman"/>
          <w:i/>
        </w:rPr>
        <w:t xml:space="preserve"> </w:t>
      </w:r>
      <w:r w:rsidR="00C46FC4" w:rsidRPr="00AA2F39">
        <w:rPr>
          <w:rFonts w:cs="Times New Roman"/>
        </w:rPr>
        <w:t>procedure</w:t>
      </w:r>
      <w:r>
        <w:rPr>
          <w:rFonts w:cs="Times New Roman"/>
        </w:rPr>
        <w:t xml:space="preserve"> (the latter</w:t>
      </w:r>
      <w:r w:rsidR="000425B5">
        <w:rPr>
          <w:rFonts w:cs="Times New Roman"/>
        </w:rPr>
        <w:t>, however, require the appointment of an administrator</w:t>
      </w:r>
      <w:r>
        <w:rPr>
          <w:rFonts w:cs="Times New Roman"/>
        </w:rPr>
        <w:t>)</w:t>
      </w:r>
      <w:r w:rsidR="00E55A2E">
        <w:rPr>
          <w:rFonts w:cs="Times New Roman"/>
        </w:rPr>
        <w:t>. The Dutch WHOA allows the debtor to remain in full possession</w:t>
      </w:r>
      <w:r w:rsidR="00C178BE">
        <w:rPr>
          <w:rFonts w:cs="Times New Roman"/>
        </w:rPr>
        <w:t>. This is also the case when</w:t>
      </w:r>
      <w:r w:rsidR="00E55A2E">
        <w:rPr>
          <w:rFonts w:cs="Times New Roman"/>
        </w:rPr>
        <w:t xml:space="preserve"> a plan expert assists in the drafting and negotiating of a restructuring plan</w:t>
      </w:r>
      <w:r w:rsidR="000425B5">
        <w:rPr>
          <w:rFonts w:cs="Times New Roman"/>
        </w:rPr>
        <w:t xml:space="preserve">, </w:t>
      </w:r>
      <w:r w:rsidR="00C178BE">
        <w:rPr>
          <w:rFonts w:cs="Times New Roman"/>
        </w:rPr>
        <w:t xml:space="preserve">which is </w:t>
      </w:r>
      <w:r w:rsidR="000425B5">
        <w:rPr>
          <w:rFonts w:cs="Times New Roman"/>
        </w:rPr>
        <w:t xml:space="preserve">similar to the nature of the administrator appointed under the French </w:t>
      </w:r>
      <w:proofErr w:type="spellStart"/>
      <w:r w:rsidR="000425B5">
        <w:rPr>
          <w:rFonts w:cs="Times New Roman"/>
          <w:i/>
          <w:iCs/>
        </w:rPr>
        <w:t>sauvegarde</w:t>
      </w:r>
      <w:proofErr w:type="spellEnd"/>
      <w:r w:rsidR="00E55A2E">
        <w:rPr>
          <w:rFonts w:cs="Times New Roman"/>
        </w:rPr>
        <w:t>.</w:t>
      </w:r>
      <w:r w:rsidR="00E55A2E">
        <w:rPr>
          <w:rStyle w:val="FootnoteReference"/>
          <w:rFonts w:cs="Times New Roman"/>
        </w:rPr>
        <w:footnoteReference w:id="40"/>
      </w:r>
      <w:r w:rsidR="000425B5">
        <w:rPr>
          <w:rFonts w:cs="Times New Roman"/>
        </w:rPr>
        <w:t xml:space="preserve"> Germany has facilitated </w:t>
      </w:r>
      <w:r w:rsidR="00C52A7F">
        <w:rPr>
          <w:rFonts w:cs="Times New Roman"/>
        </w:rPr>
        <w:t xml:space="preserve">and continuously strengthened the </w:t>
      </w:r>
      <w:proofErr w:type="spellStart"/>
      <w:r w:rsidR="000425B5">
        <w:rPr>
          <w:rFonts w:cs="Times New Roman"/>
        </w:rPr>
        <w:t>DiP</w:t>
      </w:r>
      <w:proofErr w:type="spellEnd"/>
      <w:r w:rsidR="00C52A7F">
        <w:rPr>
          <w:rFonts w:cs="Times New Roman"/>
        </w:rPr>
        <w:t xml:space="preserve"> option</w:t>
      </w:r>
      <w:r w:rsidR="000425B5">
        <w:rPr>
          <w:rFonts w:cs="Times New Roman"/>
        </w:rPr>
        <w:t xml:space="preserve"> in its previous offerings </w:t>
      </w:r>
      <w:r w:rsidR="00C52A7F">
        <w:rPr>
          <w:rFonts w:cs="Times New Roman"/>
        </w:rPr>
        <w:t xml:space="preserve">of insolvency procedures </w:t>
      </w:r>
      <w:r w:rsidR="000425B5">
        <w:rPr>
          <w:rFonts w:cs="Times New Roman"/>
        </w:rPr>
        <w:t xml:space="preserve">and the </w:t>
      </w:r>
      <w:proofErr w:type="spellStart"/>
      <w:r w:rsidR="000425B5">
        <w:rPr>
          <w:rFonts w:cs="Times New Roman"/>
        </w:rPr>
        <w:t>StaRUG</w:t>
      </w:r>
      <w:proofErr w:type="spellEnd"/>
      <w:r w:rsidR="000425B5">
        <w:rPr>
          <w:rFonts w:cs="Times New Roman"/>
        </w:rPr>
        <w:t xml:space="preserve"> </w:t>
      </w:r>
      <w:r w:rsidR="00807E05">
        <w:rPr>
          <w:rFonts w:cs="Times New Roman"/>
        </w:rPr>
        <w:t xml:space="preserve">is designed exclusively as a </w:t>
      </w:r>
      <w:proofErr w:type="spellStart"/>
      <w:r w:rsidR="00807E05">
        <w:rPr>
          <w:rFonts w:cs="Times New Roman"/>
        </w:rPr>
        <w:t>DiP</w:t>
      </w:r>
      <w:proofErr w:type="spellEnd"/>
      <w:r w:rsidR="00807E05">
        <w:rPr>
          <w:rFonts w:cs="Times New Roman"/>
        </w:rPr>
        <w:t xml:space="preserve"> procedure, though a restructuring expert can be appointed to support and supervise the process. Denmark, however, requires </w:t>
      </w:r>
      <w:r w:rsidR="00C46FC4" w:rsidRPr="00AA2F39">
        <w:rPr>
          <w:rFonts w:cs="Times New Roman"/>
        </w:rPr>
        <w:t xml:space="preserve">the appointment of an administrator for the </w:t>
      </w:r>
      <w:proofErr w:type="spellStart"/>
      <w:r w:rsidR="00C46FC4" w:rsidRPr="00AA2F39">
        <w:rPr>
          <w:rFonts w:cs="Times New Roman"/>
          <w:i/>
        </w:rPr>
        <w:t>rekonstruktion</w:t>
      </w:r>
      <w:proofErr w:type="spellEnd"/>
      <w:r w:rsidR="00C46FC4" w:rsidRPr="00AA2F39">
        <w:rPr>
          <w:rFonts w:cs="Times New Roman"/>
        </w:rPr>
        <w:t xml:space="preserve"> procedure</w:t>
      </w:r>
      <w:r w:rsidR="00807E05">
        <w:rPr>
          <w:rFonts w:cs="Times New Roman"/>
        </w:rPr>
        <w:t xml:space="preserve"> along with a qualified accountant to </w:t>
      </w:r>
      <w:r w:rsidR="00C50579">
        <w:rPr>
          <w:rFonts w:cs="Times New Roman"/>
        </w:rPr>
        <w:t>provide</w:t>
      </w:r>
      <w:r w:rsidR="00807E05">
        <w:rPr>
          <w:rFonts w:cs="Times New Roman"/>
        </w:rPr>
        <w:t xml:space="preserve"> new and updated balance sheets. These appointments previously resulted in soaring costs, which were particularly burdensome to small and medium sized enterprises. The 2021 reforms, however, removed the mandatory requirement to appoint an accountant, leaving it open to the debtor whether or not to do so</w:t>
      </w:r>
      <w:r w:rsidR="00C46FC4" w:rsidRPr="00AA2F39">
        <w:rPr>
          <w:rFonts w:cs="Times New Roman"/>
        </w:rPr>
        <w:t>.</w:t>
      </w:r>
      <w:r w:rsidR="00807E05">
        <w:rPr>
          <w:rFonts w:cs="Times New Roman"/>
        </w:rPr>
        <w:t xml:space="preserve"> In summary, none of the pre-insolvency or restructuring procedures</w:t>
      </w:r>
      <w:r w:rsidR="00C87CCB">
        <w:rPr>
          <w:rFonts w:cs="Times New Roman"/>
        </w:rPr>
        <w:t xml:space="preserve"> surveyed in the jurisdi</w:t>
      </w:r>
      <w:r w:rsidR="00807E05">
        <w:rPr>
          <w:rFonts w:cs="Times New Roman"/>
        </w:rPr>
        <w:t xml:space="preserve">ctions </w:t>
      </w:r>
      <w:r>
        <w:rPr>
          <w:rFonts w:cs="Times New Roman"/>
        </w:rPr>
        <w:t xml:space="preserve">of this study </w:t>
      </w:r>
      <w:r w:rsidR="00807E05">
        <w:rPr>
          <w:rFonts w:cs="Times New Roman"/>
        </w:rPr>
        <w:t>remove the debtor from control</w:t>
      </w:r>
      <w:r w:rsidR="00C87CCB">
        <w:rPr>
          <w:rFonts w:cs="Times New Roman"/>
        </w:rPr>
        <w:t xml:space="preserve">, though some do require the appointment of some kind of expert to assist in the process. </w:t>
      </w:r>
    </w:p>
    <w:p w14:paraId="6BDBD577" w14:textId="1D2AC8BC" w:rsidR="00C46FC4" w:rsidRDefault="00C46FC4" w:rsidP="008314FE">
      <w:pPr>
        <w:spacing w:before="120" w:after="120"/>
        <w:jc w:val="both"/>
        <w:rPr>
          <w:rFonts w:cs="Times New Roman"/>
        </w:rPr>
      </w:pPr>
      <w:r w:rsidRPr="00AA2F39">
        <w:rPr>
          <w:rFonts w:cs="Times New Roman"/>
        </w:rPr>
        <w:t xml:space="preserve">A stay on enforcement </w:t>
      </w:r>
      <w:r w:rsidR="00C87CCB">
        <w:rPr>
          <w:rFonts w:cs="Times New Roman"/>
        </w:rPr>
        <w:t>actions can also act as an incentive for the use of a procedure at an earlier stage</w:t>
      </w:r>
      <w:r w:rsidR="00BF7867">
        <w:rPr>
          <w:rFonts w:cs="Times New Roman"/>
        </w:rPr>
        <w:t>,</w:t>
      </w:r>
      <w:r w:rsidR="00C87CCB">
        <w:rPr>
          <w:rFonts w:cs="Times New Roman"/>
        </w:rPr>
        <w:t xml:space="preserve"> as it allows for respite from credito</w:t>
      </w:r>
      <w:r w:rsidR="002D292A">
        <w:rPr>
          <w:rFonts w:cs="Times New Roman"/>
        </w:rPr>
        <w:t>r claim</w:t>
      </w:r>
      <w:r w:rsidR="00C87CCB">
        <w:rPr>
          <w:rFonts w:cs="Times New Roman"/>
        </w:rPr>
        <w:t xml:space="preserve">s. When the authors were writing in 2019, the PRD </w:t>
      </w:r>
      <w:r w:rsidR="00BF7867">
        <w:rPr>
          <w:rFonts w:cs="Times New Roman"/>
        </w:rPr>
        <w:t>represented a drastic innovation for</w:t>
      </w:r>
      <w:r w:rsidRPr="00AA2F39">
        <w:rPr>
          <w:rFonts w:cs="Times New Roman"/>
        </w:rPr>
        <w:t xml:space="preserve"> </w:t>
      </w:r>
      <w:r w:rsidR="00BF7867">
        <w:rPr>
          <w:rFonts w:cs="Times New Roman"/>
        </w:rPr>
        <w:t xml:space="preserve">all </w:t>
      </w:r>
      <w:r w:rsidRPr="00AA2F39">
        <w:rPr>
          <w:rFonts w:cs="Times New Roman"/>
        </w:rPr>
        <w:t xml:space="preserve">of the five countries analysed </w:t>
      </w:r>
      <w:r w:rsidR="00BF7867">
        <w:rPr>
          <w:rFonts w:cs="Times New Roman"/>
        </w:rPr>
        <w:t xml:space="preserve">due to its use of </w:t>
      </w:r>
      <w:r w:rsidRPr="00AA2F39">
        <w:rPr>
          <w:rFonts w:cs="Times New Roman"/>
        </w:rPr>
        <w:t>the threshold of the ‘likelihood of insolvency’</w:t>
      </w:r>
      <w:r w:rsidR="00C52A7F">
        <w:rPr>
          <w:rFonts w:cs="Times New Roman"/>
        </w:rPr>
        <w:t xml:space="preserve"> for a stay on enforcement outside of formal insolvency</w:t>
      </w:r>
      <w:r w:rsidR="001433B0">
        <w:rPr>
          <w:rFonts w:cs="Times New Roman"/>
        </w:rPr>
        <w:t xml:space="preserve">, </w:t>
      </w:r>
      <w:r w:rsidR="00BF7867">
        <w:rPr>
          <w:rFonts w:cs="Times New Roman"/>
        </w:rPr>
        <w:t xml:space="preserve">the only exception </w:t>
      </w:r>
      <w:r w:rsidR="001433B0">
        <w:rPr>
          <w:rFonts w:cs="Times New Roman"/>
        </w:rPr>
        <w:t xml:space="preserve">perhaps </w:t>
      </w:r>
      <w:r w:rsidR="00BF7867">
        <w:rPr>
          <w:rFonts w:cs="Times New Roman"/>
        </w:rPr>
        <w:t xml:space="preserve">being </w:t>
      </w:r>
      <w:r w:rsidR="001433B0">
        <w:rPr>
          <w:rFonts w:cs="Times New Roman"/>
        </w:rPr>
        <w:t xml:space="preserve">France, which already provided a clear pre-insolvency offering that required that a company </w:t>
      </w:r>
      <w:r w:rsidR="001433B0">
        <w:rPr>
          <w:rFonts w:cs="Times New Roman"/>
          <w:i/>
          <w:iCs/>
        </w:rPr>
        <w:t>not</w:t>
      </w:r>
      <w:r w:rsidR="001433B0">
        <w:rPr>
          <w:rFonts w:cs="Times New Roman"/>
        </w:rPr>
        <w:t xml:space="preserve"> be insolvent in order to use it (</w:t>
      </w:r>
      <w:proofErr w:type="spellStart"/>
      <w:r w:rsidR="001433B0">
        <w:rPr>
          <w:rFonts w:cs="Times New Roman"/>
          <w:i/>
          <w:iCs/>
        </w:rPr>
        <w:t>sauvegarde</w:t>
      </w:r>
      <w:proofErr w:type="spellEnd"/>
      <w:r w:rsidR="001433B0">
        <w:rPr>
          <w:rFonts w:cs="Times New Roman"/>
        </w:rPr>
        <w:t xml:space="preserve">). However, since </w:t>
      </w:r>
      <w:r w:rsidR="00BF7867">
        <w:rPr>
          <w:rFonts w:cs="Times New Roman"/>
        </w:rPr>
        <w:t>then</w:t>
      </w:r>
      <w:r w:rsidR="001433B0">
        <w:rPr>
          <w:rFonts w:cs="Times New Roman"/>
        </w:rPr>
        <w:t xml:space="preserve"> the Netherlands, Germany, and the UK have introduced procedures that closely reflect this early threshold and allow for a stay</w:t>
      </w:r>
      <w:r w:rsidR="00C52A7F">
        <w:rPr>
          <w:rFonts w:cs="Times New Roman"/>
        </w:rPr>
        <w:t xml:space="preserve"> upon the debtor</w:t>
      </w:r>
      <w:r w:rsidR="002D292A">
        <w:rPr>
          <w:rFonts w:cs="Times New Roman"/>
        </w:rPr>
        <w:t>’</w:t>
      </w:r>
      <w:r w:rsidR="00C52A7F">
        <w:rPr>
          <w:rFonts w:cs="Times New Roman"/>
        </w:rPr>
        <w:t>s application</w:t>
      </w:r>
      <w:r w:rsidR="001433B0">
        <w:rPr>
          <w:rFonts w:cs="Times New Roman"/>
        </w:rPr>
        <w:t xml:space="preserve"> as a part of those procedures</w:t>
      </w:r>
      <w:r w:rsidR="00BF7867">
        <w:rPr>
          <w:rFonts w:cs="Times New Roman"/>
        </w:rPr>
        <w:t>.</w:t>
      </w:r>
      <w:r w:rsidR="00CB71AA">
        <w:rPr>
          <w:rFonts w:cs="Times New Roman"/>
        </w:rPr>
        <w:t xml:space="preserve"> </w:t>
      </w:r>
      <w:r w:rsidR="00BF7867">
        <w:rPr>
          <w:rFonts w:cs="Times New Roman"/>
        </w:rPr>
        <w:t>I</w:t>
      </w:r>
      <w:r w:rsidR="00CB71AA">
        <w:rPr>
          <w:rFonts w:cs="Times New Roman"/>
        </w:rPr>
        <w:t xml:space="preserve">n the case of the UK, </w:t>
      </w:r>
      <w:r w:rsidR="00BF7867">
        <w:rPr>
          <w:rFonts w:cs="Times New Roman"/>
        </w:rPr>
        <w:t>this short moratorium is not automatic, but available through a petition from the interested party</w:t>
      </w:r>
      <w:r w:rsidR="00CB71AA">
        <w:rPr>
          <w:rFonts w:cs="Times New Roman"/>
        </w:rPr>
        <w:t>. Although the initial period is quite short (20 days)</w:t>
      </w:r>
      <w:r w:rsidR="00BF7867">
        <w:rPr>
          <w:rFonts w:cs="Times New Roman"/>
        </w:rPr>
        <w:t>,</w:t>
      </w:r>
      <w:r w:rsidR="00CB71AA">
        <w:rPr>
          <w:rFonts w:cs="Times New Roman"/>
        </w:rPr>
        <w:t xml:space="preserve"> it can be extended to up to one year with </w:t>
      </w:r>
      <w:r w:rsidR="00BF7867">
        <w:rPr>
          <w:rFonts w:cs="Times New Roman"/>
        </w:rPr>
        <w:t xml:space="preserve">the </w:t>
      </w:r>
      <w:r w:rsidR="00CB71AA">
        <w:rPr>
          <w:rFonts w:cs="Times New Roman"/>
        </w:rPr>
        <w:t>creditor</w:t>
      </w:r>
      <w:r w:rsidR="00BF7867">
        <w:rPr>
          <w:rFonts w:cs="Times New Roman"/>
        </w:rPr>
        <w:t>s’</w:t>
      </w:r>
      <w:r w:rsidR="00CB71AA">
        <w:rPr>
          <w:rFonts w:cs="Times New Roman"/>
        </w:rPr>
        <w:t xml:space="preserve"> consent.</w:t>
      </w:r>
      <w:r w:rsidR="001433B0">
        <w:rPr>
          <w:rFonts w:cs="Times New Roman"/>
        </w:rPr>
        <w:t xml:space="preserve"> </w:t>
      </w:r>
      <w:r w:rsidR="00BF7867">
        <w:rPr>
          <w:rFonts w:cs="Times New Roman"/>
        </w:rPr>
        <w:t>The use</w:t>
      </w:r>
      <w:r w:rsidR="001433B0">
        <w:rPr>
          <w:rFonts w:cs="Times New Roman"/>
        </w:rPr>
        <w:t xml:space="preserve"> of </w:t>
      </w:r>
      <w:r w:rsidR="00BF7867">
        <w:rPr>
          <w:rFonts w:cs="Times New Roman"/>
        </w:rPr>
        <w:t xml:space="preserve">automatic </w:t>
      </w:r>
      <w:r w:rsidR="00CB71AA">
        <w:rPr>
          <w:rFonts w:cs="Times New Roman"/>
        </w:rPr>
        <w:t xml:space="preserve">stays </w:t>
      </w:r>
      <w:r w:rsidR="00BF7867">
        <w:rPr>
          <w:rFonts w:cs="Times New Roman"/>
        </w:rPr>
        <w:t xml:space="preserve">of individual enforcement procedures </w:t>
      </w:r>
      <w:r w:rsidR="00CB71AA">
        <w:rPr>
          <w:rFonts w:cs="Times New Roman"/>
        </w:rPr>
        <w:t xml:space="preserve">at earlier stages of a company’s distress </w:t>
      </w:r>
      <w:r w:rsidR="00BF7867">
        <w:rPr>
          <w:rFonts w:cs="Times New Roman"/>
        </w:rPr>
        <w:t xml:space="preserve">has been criticised </w:t>
      </w:r>
      <w:r w:rsidR="00CB71AA">
        <w:rPr>
          <w:rFonts w:cs="Times New Roman"/>
        </w:rPr>
        <w:t xml:space="preserve">due </w:t>
      </w:r>
      <w:r w:rsidR="00BF7867">
        <w:rPr>
          <w:rFonts w:cs="Times New Roman"/>
        </w:rPr>
        <w:t>to its risks of strategic use from unscrupulous debtors</w:t>
      </w:r>
      <w:r w:rsidR="009C73CC">
        <w:rPr>
          <w:rFonts w:cs="Times New Roman"/>
        </w:rPr>
        <w:t>. In order to address both debtor and creditor concerns</w:t>
      </w:r>
      <w:r w:rsidR="001433B0">
        <w:rPr>
          <w:rFonts w:cs="Times New Roman"/>
        </w:rPr>
        <w:t>, the PRD provides for a generous set of options under Article 6, though they are limited in time to four months</w:t>
      </w:r>
      <w:r w:rsidR="009C73CC">
        <w:rPr>
          <w:rFonts w:cs="Times New Roman"/>
        </w:rPr>
        <w:t>,</w:t>
      </w:r>
      <w:r w:rsidR="001433B0">
        <w:rPr>
          <w:rFonts w:cs="Times New Roman"/>
        </w:rPr>
        <w:t xml:space="preserve"> with an extension of up to one year only. </w:t>
      </w:r>
      <w:r w:rsidRPr="00AA2F39">
        <w:rPr>
          <w:rFonts w:cs="Times New Roman"/>
        </w:rPr>
        <w:t xml:space="preserve">It has yet to be </w:t>
      </w:r>
      <w:r w:rsidRPr="00AA2F39">
        <w:rPr>
          <w:rFonts w:cs="Times New Roman"/>
        </w:rPr>
        <w:lastRenderedPageBreak/>
        <w:t>seen as to whether effective safeguards will be established to overcome these risks</w:t>
      </w:r>
      <w:r w:rsidR="001433B0">
        <w:rPr>
          <w:rFonts w:cs="Times New Roman"/>
        </w:rPr>
        <w:t xml:space="preserve"> or if, indeed, these risks will lead to the abus</w:t>
      </w:r>
      <w:r w:rsidR="009C73CC">
        <w:rPr>
          <w:rFonts w:cs="Times New Roman"/>
        </w:rPr>
        <w:t>ive use of these mechanisms</w:t>
      </w:r>
      <w:r w:rsidR="001433B0">
        <w:rPr>
          <w:rFonts w:cs="Times New Roman"/>
        </w:rPr>
        <w:t>.</w:t>
      </w:r>
      <w:r w:rsidRPr="00AA2F39">
        <w:rPr>
          <w:rFonts w:cs="Times New Roman"/>
        </w:rPr>
        <w:t xml:space="preserve"> </w:t>
      </w:r>
      <w:r w:rsidR="00C52A7F">
        <w:rPr>
          <w:rFonts w:cs="Times New Roman"/>
        </w:rPr>
        <w:t xml:space="preserve">The availability of a limited and potentially selective stay only upon the debtor’s application instead of an automatic stay, however, can also be a strength of the procedure for the debtor who wants to restructure its financial obligations without </w:t>
      </w:r>
      <w:r w:rsidR="008A7AC1">
        <w:rPr>
          <w:rFonts w:cs="Times New Roman"/>
        </w:rPr>
        <w:t xml:space="preserve">creating </w:t>
      </w:r>
      <w:r w:rsidR="00C52A7F">
        <w:rPr>
          <w:rFonts w:cs="Times New Roman"/>
        </w:rPr>
        <w:t xml:space="preserve">distraction </w:t>
      </w:r>
      <w:r w:rsidR="008A7AC1">
        <w:rPr>
          <w:rFonts w:cs="Times New Roman"/>
        </w:rPr>
        <w:t>for</w:t>
      </w:r>
      <w:r w:rsidR="00C52A7F">
        <w:rPr>
          <w:rFonts w:cs="Times New Roman"/>
        </w:rPr>
        <w:t xml:space="preserve"> </w:t>
      </w:r>
      <w:r w:rsidR="008A7AC1">
        <w:rPr>
          <w:rFonts w:cs="Times New Roman"/>
        </w:rPr>
        <w:t>the</w:t>
      </w:r>
      <w:r w:rsidR="00C52A7F">
        <w:rPr>
          <w:rFonts w:cs="Times New Roman"/>
        </w:rPr>
        <w:t xml:space="preserve"> operative business.</w:t>
      </w:r>
    </w:p>
    <w:p w14:paraId="0110291F" w14:textId="27626DA8" w:rsidR="00CB71AA" w:rsidRDefault="1AFC58FF" w:rsidP="008314FE">
      <w:pPr>
        <w:spacing w:before="120" w:after="120"/>
        <w:jc w:val="both"/>
        <w:rPr>
          <w:rFonts w:cs="Times New Roman"/>
        </w:rPr>
      </w:pPr>
      <w:r w:rsidRPr="1AFC58FF">
        <w:rPr>
          <w:rFonts w:cs="Times New Roman"/>
        </w:rPr>
        <w:t>It should be noted that</w:t>
      </w:r>
      <w:r w:rsidR="008468CD">
        <w:rPr>
          <w:rFonts w:cs="Times New Roman"/>
        </w:rPr>
        <w:t>,</w:t>
      </w:r>
      <w:r w:rsidRPr="1AFC58FF">
        <w:rPr>
          <w:rFonts w:cs="Times New Roman"/>
        </w:rPr>
        <w:t xml:space="preserve"> although Denmark has not introduced a pre-insolvency procedure at the time of writing, it has introduced a number of incentives for debtors to use the restructuring options that are available. The new fast-track procedure provides for a speedier option and allows the debtor to replace the formal voting meeting and court confirmation with the decision by the court appointed insolvency practitioner, reducing some of the formalities and associated costs.</w:t>
      </w:r>
      <w:r w:rsidR="002D292A">
        <w:rPr>
          <w:rFonts w:cs="Times New Roman"/>
        </w:rPr>
        <w:t xml:space="preserve"> </w:t>
      </w:r>
      <w:r w:rsidRPr="1AFC58FF">
        <w:rPr>
          <w:rFonts w:cs="Times New Roman"/>
        </w:rPr>
        <w:t xml:space="preserve">Finally, the rules on automatic conversion from restructuring to liquidation were amended to incentivise the use of restructuring by providing a controlled time out for the debtor to attempt a rescue without risking automatic conversion. Thus, even though it has not yet introduced its implementing legislation, Denmark is clearly following the trend toward incentivising the use of restructuring over liquidation where possible. </w:t>
      </w:r>
    </w:p>
    <w:p w14:paraId="0098DA26" w14:textId="1790B213" w:rsidR="00130CA4" w:rsidRDefault="00130CA4" w:rsidP="00130CA4">
      <w:pPr>
        <w:spacing w:before="120" w:after="120"/>
        <w:jc w:val="both"/>
        <w:rPr>
          <w:rFonts w:cs="Times New Roman"/>
          <w:i/>
        </w:rPr>
      </w:pPr>
      <w:r>
        <w:rPr>
          <w:rFonts w:cs="Times New Roman"/>
          <w:i/>
        </w:rPr>
        <w:t>2.</w:t>
      </w:r>
      <w:r w:rsidR="001533CA">
        <w:rPr>
          <w:rFonts w:cs="Times New Roman"/>
          <w:i/>
        </w:rPr>
        <w:t>3</w:t>
      </w:r>
      <w:r>
        <w:rPr>
          <w:rFonts w:cs="Times New Roman"/>
          <w:i/>
        </w:rPr>
        <w:t xml:space="preserve"> </w:t>
      </w:r>
      <w:r w:rsidRPr="00130CA4">
        <w:rPr>
          <w:rFonts w:cs="Times New Roman"/>
          <w:i/>
        </w:rPr>
        <w:t>Cramming Down Dissenting Creditors by a Majority Vote</w:t>
      </w:r>
    </w:p>
    <w:p w14:paraId="5D921417" w14:textId="1C37ECF2" w:rsidR="00E14BE7" w:rsidRDefault="00FF218B" w:rsidP="00FF218B">
      <w:pPr>
        <w:spacing w:before="120" w:after="120"/>
        <w:jc w:val="both"/>
        <w:rPr>
          <w:rFonts w:cs="Times New Roman"/>
        </w:rPr>
      </w:pPr>
      <w:r w:rsidRPr="00AA2F39">
        <w:rPr>
          <w:rFonts w:cs="Times New Roman"/>
        </w:rPr>
        <w:t xml:space="preserve">The </w:t>
      </w:r>
      <w:r>
        <w:rPr>
          <w:rFonts w:cs="Times New Roman"/>
        </w:rPr>
        <w:t>PRD includes majority voting within classes</w:t>
      </w:r>
      <w:r w:rsidRPr="00AA2F39">
        <w:rPr>
          <w:rStyle w:val="FootnoteReference"/>
          <w:rFonts w:cs="Times New Roman"/>
        </w:rPr>
        <w:footnoteReference w:id="41"/>
      </w:r>
      <w:r>
        <w:rPr>
          <w:rFonts w:cs="Times New Roman"/>
        </w:rPr>
        <w:t xml:space="preserve"> along with the potential to include a cross-class cram down to bind dissenting classes of creditors</w:t>
      </w:r>
      <w:r w:rsidRPr="00AA2F39">
        <w:rPr>
          <w:rFonts w:cs="Times New Roman"/>
        </w:rPr>
        <w:t>.</w:t>
      </w:r>
      <w:r w:rsidRPr="00AA2F39">
        <w:rPr>
          <w:rStyle w:val="FootnoteReference"/>
          <w:rFonts w:cs="Times New Roman"/>
        </w:rPr>
        <w:footnoteReference w:id="42"/>
      </w:r>
      <w:r w:rsidR="002D292A">
        <w:rPr>
          <w:rFonts w:cs="Times New Roman"/>
        </w:rPr>
        <w:t xml:space="preserve"> </w:t>
      </w:r>
      <w:r>
        <w:rPr>
          <w:rFonts w:cs="Times New Roman"/>
        </w:rPr>
        <w:t>Majority voting to approve a plan is fundamental in a case where there are a variety of stakeholder with diverse interests</w:t>
      </w:r>
      <w:r w:rsidR="00E14BE7">
        <w:rPr>
          <w:rFonts w:cs="Times New Roman"/>
        </w:rPr>
        <w:t xml:space="preserve"> to avoid the potential for hold-outs</w:t>
      </w:r>
      <w:r>
        <w:rPr>
          <w:rFonts w:cs="Times New Roman"/>
        </w:rPr>
        <w:t xml:space="preserve">. </w:t>
      </w:r>
      <w:r w:rsidRPr="00AA2F39">
        <w:rPr>
          <w:rFonts w:cs="Times New Roman"/>
        </w:rPr>
        <w:t xml:space="preserve">According to </w:t>
      </w:r>
      <w:r w:rsidR="00E14BE7">
        <w:rPr>
          <w:rFonts w:cs="Times New Roman"/>
        </w:rPr>
        <w:t>Article 11 of the</w:t>
      </w:r>
      <w:r w:rsidRPr="00AA2F39">
        <w:rPr>
          <w:rFonts w:cs="Times New Roman"/>
        </w:rPr>
        <w:t xml:space="preserve"> </w:t>
      </w:r>
      <w:r>
        <w:rPr>
          <w:rFonts w:cs="Times New Roman"/>
        </w:rPr>
        <w:t>PRD</w:t>
      </w:r>
      <w:r w:rsidRPr="00AA2F39">
        <w:rPr>
          <w:rFonts w:cs="Times New Roman"/>
        </w:rPr>
        <w:t xml:space="preserve">, </w:t>
      </w:r>
      <w:r w:rsidR="00E14BE7">
        <w:rPr>
          <w:rFonts w:cs="Times New Roman"/>
        </w:rPr>
        <w:t xml:space="preserve">a cross class cram down is available against dissenting classes as long as there is an </w:t>
      </w:r>
      <w:r w:rsidRPr="00AA2F39">
        <w:rPr>
          <w:rFonts w:cs="Times New Roman"/>
        </w:rPr>
        <w:t>affirmative vote of one creditor class ‘in-the-money’ and affected by the plan</w:t>
      </w:r>
      <w:r w:rsidR="00E14BE7">
        <w:rPr>
          <w:rFonts w:cs="Times New Roman"/>
        </w:rPr>
        <w:t xml:space="preserve">. </w:t>
      </w:r>
      <w:r w:rsidR="003C6E46">
        <w:rPr>
          <w:rFonts w:cs="Times New Roman"/>
        </w:rPr>
        <w:t xml:space="preserve">Furthermore, it is required that </w:t>
      </w:r>
      <w:r w:rsidR="00820E53">
        <w:rPr>
          <w:rFonts w:cs="Times New Roman"/>
        </w:rPr>
        <w:t xml:space="preserve">a </w:t>
      </w:r>
      <w:r w:rsidR="00E14BE7">
        <w:rPr>
          <w:rFonts w:cs="Times New Roman"/>
        </w:rPr>
        <w:t xml:space="preserve">dissenting class </w:t>
      </w:r>
      <w:r w:rsidR="00820E53">
        <w:rPr>
          <w:rFonts w:cs="Times New Roman"/>
        </w:rPr>
        <w:t xml:space="preserve">receives equal payment to equal-ranking classes and a </w:t>
      </w:r>
      <w:r w:rsidR="003C6E46">
        <w:rPr>
          <w:rFonts w:cs="Times New Roman"/>
        </w:rPr>
        <w:t>higher satisfaction quota than</w:t>
      </w:r>
      <w:r w:rsidR="00E14BE7">
        <w:rPr>
          <w:rFonts w:cs="Times New Roman"/>
        </w:rPr>
        <w:t xml:space="preserve"> more junior class</w:t>
      </w:r>
      <w:r w:rsidR="003C6E46">
        <w:rPr>
          <w:rFonts w:cs="Times New Roman"/>
        </w:rPr>
        <w:t>es</w:t>
      </w:r>
      <w:r w:rsidR="00E14BE7">
        <w:rPr>
          <w:rFonts w:cs="Times New Roman"/>
        </w:rPr>
        <w:t>, introducing a species of relative priority</w:t>
      </w:r>
      <w:r w:rsidR="00820E53">
        <w:rPr>
          <w:rFonts w:cs="Times New Roman"/>
        </w:rPr>
        <w:t>.</w:t>
      </w:r>
      <w:r w:rsidR="00820E53">
        <w:rPr>
          <w:rStyle w:val="FootnoteReference"/>
          <w:rFonts w:cs="Times New Roman"/>
        </w:rPr>
        <w:footnoteReference w:id="43"/>
      </w:r>
      <w:r w:rsidR="00E14BE7">
        <w:rPr>
          <w:rFonts w:cs="Times New Roman"/>
        </w:rPr>
        <w:t xml:space="preserve"> </w:t>
      </w:r>
      <w:r w:rsidR="00820E53">
        <w:rPr>
          <w:rFonts w:cs="Times New Roman"/>
        </w:rPr>
        <w:t xml:space="preserve">The Member States can </w:t>
      </w:r>
      <w:r w:rsidR="00DB5570">
        <w:rPr>
          <w:rFonts w:cs="Times New Roman"/>
        </w:rPr>
        <w:t>derogate</w:t>
      </w:r>
      <w:r w:rsidR="00820E53">
        <w:rPr>
          <w:rFonts w:cs="Times New Roman"/>
        </w:rPr>
        <w:t xml:space="preserve"> from this default rule and require compliance with the well-known absolute priority principle instead.</w:t>
      </w:r>
      <w:r w:rsidR="00EE02A1">
        <w:rPr>
          <w:rStyle w:val="FootnoteReference"/>
          <w:rFonts w:cs="Times New Roman"/>
        </w:rPr>
        <w:footnoteReference w:id="44"/>
      </w:r>
    </w:p>
    <w:p w14:paraId="3227F150" w14:textId="20817BCE" w:rsidR="00AF652F" w:rsidRPr="00AF652F" w:rsidRDefault="00EE02A1" w:rsidP="00735076">
      <w:pPr>
        <w:spacing w:before="120" w:after="120"/>
        <w:jc w:val="both"/>
        <w:rPr>
          <w:rFonts w:cs="Times New Roman"/>
        </w:rPr>
      </w:pPr>
      <w:r>
        <w:rPr>
          <w:rFonts w:cs="Times New Roman"/>
        </w:rPr>
        <w:t xml:space="preserve">The approach to the cross-class cramdown has undergone some fairly significant changes in alignment with the PRD. </w:t>
      </w:r>
      <w:r w:rsidR="0092669B">
        <w:rPr>
          <w:rFonts w:cs="Times New Roman"/>
        </w:rPr>
        <w:t>T</w:t>
      </w:r>
      <w:r>
        <w:rPr>
          <w:rFonts w:cs="Times New Roman"/>
        </w:rPr>
        <w:t xml:space="preserve">he Netherlands </w:t>
      </w:r>
      <w:r w:rsidR="00DB5570">
        <w:rPr>
          <w:rFonts w:cs="Times New Roman"/>
        </w:rPr>
        <w:t xml:space="preserve">now provides for a </w:t>
      </w:r>
      <w:r>
        <w:rPr>
          <w:rFonts w:cs="Times New Roman"/>
        </w:rPr>
        <w:t>cross-class cramdown against dissenting creditors along with the application of a relaxed absolute priority rule</w:t>
      </w:r>
      <w:r w:rsidR="00DB5570">
        <w:rPr>
          <w:rFonts w:cs="Times New Roman"/>
        </w:rPr>
        <w:t xml:space="preserve"> it the WHOA</w:t>
      </w:r>
      <w:r>
        <w:rPr>
          <w:rFonts w:cs="Times New Roman"/>
        </w:rPr>
        <w:t>.</w:t>
      </w:r>
      <w:r>
        <w:rPr>
          <w:rStyle w:val="FootnoteReference"/>
          <w:rFonts w:cs="Times New Roman"/>
        </w:rPr>
        <w:footnoteReference w:id="45"/>
      </w:r>
      <w:r>
        <w:rPr>
          <w:rFonts w:cs="Times New Roman"/>
        </w:rPr>
        <w:t xml:space="preserve"> Similarly, the German </w:t>
      </w:r>
      <w:proofErr w:type="spellStart"/>
      <w:r>
        <w:rPr>
          <w:rFonts w:cs="Times New Roman"/>
        </w:rPr>
        <w:t>StaRUG</w:t>
      </w:r>
      <w:proofErr w:type="spellEnd"/>
      <w:r>
        <w:rPr>
          <w:rFonts w:cs="Times New Roman"/>
        </w:rPr>
        <w:t xml:space="preserve"> also allows for a cross-class cramdown</w:t>
      </w:r>
      <w:r w:rsidR="00DB5570">
        <w:rPr>
          <w:rFonts w:cs="Times New Roman"/>
        </w:rPr>
        <w:t xml:space="preserve">, which </w:t>
      </w:r>
      <w:r w:rsidR="00C6154F">
        <w:rPr>
          <w:rFonts w:cs="Times New Roman"/>
        </w:rPr>
        <w:t>is equally available</w:t>
      </w:r>
      <w:r w:rsidR="005A25F6">
        <w:rPr>
          <w:rFonts w:cs="Times New Roman"/>
        </w:rPr>
        <w:t xml:space="preserve"> in the insolvency plan procedure</w:t>
      </w:r>
      <w:r>
        <w:rPr>
          <w:rFonts w:cs="Times New Roman"/>
        </w:rPr>
        <w:t xml:space="preserve">, though it </w:t>
      </w:r>
      <w:r w:rsidR="005A25F6">
        <w:rPr>
          <w:rFonts w:cs="Times New Roman"/>
        </w:rPr>
        <w:t xml:space="preserve">generally </w:t>
      </w:r>
      <w:r>
        <w:rPr>
          <w:rFonts w:cs="Times New Roman"/>
        </w:rPr>
        <w:t>remains conditional upon the application of absolute priority</w:t>
      </w:r>
      <w:r w:rsidR="00DB5570">
        <w:rPr>
          <w:rFonts w:cs="Times New Roman"/>
        </w:rPr>
        <w:t xml:space="preserve"> with some l</w:t>
      </w:r>
      <w:r w:rsidR="005A25F6">
        <w:rPr>
          <w:rFonts w:cs="Times New Roman"/>
        </w:rPr>
        <w:t xml:space="preserve">imited </w:t>
      </w:r>
      <w:r w:rsidR="00C6154F">
        <w:rPr>
          <w:rFonts w:cs="Times New Roman"/>
        </w:rPr>
        <w:t xml:space="preserve">and </w:t>
      </w:r>
      <w:r w:rsidR="005A25F6">
        <w:rPr>
          <w:rFonts w:cs="Times New Roman"/>
        </w:rPr>
        <w:t>well-justified</w:t>
      </w:r>
      <w:r w:rsidR="00DB5570">
        <w:rPr>
          <w:rFonts w:cs="Times New Roman"/>
        </w:rPr>
        <w:t xml:space="preserve"> deviations</w:t>
      </w:r>
      <w:r w:rsidR="005A25F6">
        <w:rPr>
          <w:rFonts w:cs="Times New Roman"/>
        </w:rPr>
        <w:t>.</w:t>
      </w:r>
      <w:r w:rsidR="00DB5570">
        <w:rPr>
          <w:rFonts w:cs="Times New Roman"/>
        </w:rPr>
        <w:t xml:space="preserve"> </w:t>
      </w:r>
      <w:r w:rsidR="00AF652F">
        <w:rPr>
          <w:rFonts w:cs="Times New Roman"/>
        </w:rPr>
        <w:t>In France, Ordinance n</w:t>
      </w:r>
      <w:r w:rsidR="00FB5DBF">
        <w:rPr>
          <w:rFonts w:cs="Times New Roman"/>
        </w:rPr>
        <w:t>o.</w:t>
      </w:r>
      <w:r w:rsidR="00AF652F">
        <w:rPr>
          <w:rFonts w:cs="Times New Roman"/>
        </w:rPr>
        <w:t xml:space="preserve"> 2021-1193 introduces classes of creditors</w:t>
      </w:r>
      <w:r w:rsidR="00DB5570">
        <w:rPr>
          <w:rFonts w:cs="Times New Roman"/>
        </w:rPr>
        <w:t xml:space="preserve"> to vote on the </w:t>
      </w:r>
      <w:proofErr w:type="spellStart"/>
      <w:r w:rsidR="00DB5570">
        <w:rPr>
          <w:rFonts w:cs="Times New Roman"/>
          <w:i/>
          <w:iCs/>
        </w:rPr>
        <w:t>sauvegarde</w:t>
      </w:r>
      <w:proofErr w:type="spellEnd"/>
      <w:r w:rsidR="00DB5570">
        <w:rPr>
          <w:rFonts w:cs="Times New Roman"/>
        </w:rPr>
        <w:t xml:space="preserve"> plan</w:t>
      </w:r>
      <w:r w:rsidR="00AF652F">
        <w:rPr>
          <w:rFonts w:cs="Times New Roman"/>
        </w:rPr>
        <w:t xml:space="preserve"> in such a way that their composition now aligns with the PRD.</w:t>
      </w:r>
      <w:r w:rsidR="00067806">
        <w:rPr>
          <w:rFonts w:cs="Times New Roman"/>
        </w:rPr>
        <w:t xml:space="preserve"> In addition, the Ordinance introduces the possibility of a cross-class cramdown mechanism</w:t>
      </w:r>
      <w:r w:rsidR="00DB5570">
        <w:rPr>
          <w:rFonts w:cs="Times New Roman"/>
        </w:rPr>
        <w:t xml:space="preserve"> in Article L626-32,</w:t>
      </w:r>
      <w:r w:rsidR="00067806">
        <w:rPr>
          <w:rFonts w:cs="Times New Roman"/>
        </w:rPr>
        <w:t xml:space="preserve"> </w:t>
      </w:r>
      <w:r w:rsidR="00DB5570">
        <w:rPr>
          <w:rFonts w:cs="Times New Roman"/>
        </w:rPr>
        <w:t xml:space="preserve">a </w:t>
      </w:r>
      <w:r w:rsidR="00067806">
        <w:rPr>
          <w:rFonts w:cs="Times New Roman"/>
        </w:rPr>
        <w:t xml:space="preserve">novelty </w:t>
      </w:r>
      <w:r w:rsidR="00DB5570">
        <w:rPr>
          <w:rFonts w:cs="Times New Roman"/>
        </w:rPr>
        <w:t>for</w:t>
      </w:r>
      <w:r w:rsidR="00067806">
        <w:rPr>
          <w:rFonts w:cs="Times New Roman"/>
        </w:rPr>
        <w:t xml:space="preserve"> the French regime, which, despite its wide-ranging options for restructuring, ha</w:t>
      </w:r>
      <w:r w:rsidR="002C0D38">
        <w:rPr>
          <w:rFonts w:cs="Times New Roman"/>
        </w:rPr>
        <w:t>d</w:t>
      </w:r>
      <w:r w:rsidR="00067806">
        <w:rPr>
          <w:rFonts w:cs="Times New Roman"/>
        </w:rPr>
        <w:t xml:space="preserve"> not included this possibility before.</w:t>
      </w:r>
      <w:r w:rsidR="00DB5570">
        <w:rPr>
          <w:rFonts w:cs="Times New Roman"/>
        </w:rPr>
        <w:t xml:space="preserve"> The French cross-class cramdown is, however, predicated on the application of </w:t>
      </w:r>
      <w:r w:rsidR="00AB0C25">
        <w:rPr>
          <w:rFonts w:cs="Times New Roman"/>
        </w:rPr>
        <w:t>an absolute</w:t>
      </w:r>
      <w:r w:rsidR="002C0D38">
        <w:rPr>
          <w:rFonts w:cs="Times New Roman"/>
        </w:rPr>
        <w:t>,</w:t>
      </w:r>
      <w:r w:rsidR="00AB0C25">
        <w:rPr>
          <w:rFonts w:cs="Times New Roman"/>
        </w:rPr>
        <w:t xml:space="preserve"> rather than relative</w:t>
      </w:r>
      <w:r w:rsidR="002C0D38">
        <w:rPr>
          <w:rFonts w:cs="Times New Roman"/>
        </w:rPr>
        <w:t>,</w:t>
      </w:r>
      <w:r w:rsidR="00AB0C25">
        <w:rPr>
          <w:rFonts w:cs="Times New Roman"/>
        </w:rPr>
        <w:t xml:space="preserve"> priority rule, though this is counterbalanced by some discretion of the court to consider the specific situation of the creditors.</w:t>
      </w:r>
      <w:r w:rsidR="002D292A">
        <w:rPr>
          <w:rFonts w:cs="Times New Roman"/>
        </w:rPr>
        <w:t xml:space="preserve"> </w:t>
      </w:r>
    </w:p>
    <w:p w14:paraId="5A2A3A7D" w14:textId="7BC0CCE7" w:rsidR="00AB0C25" w:rsidRPr="008E0200" w:rsidRDefault="00FF218B" w:rsidP="00FF218B">
      <w:pPr>
        <w:spacing w:before="120" w:after="120"/>
        <w:jc w:val="both"/>
        <w:rPr>
          <w:rFonts w:cs="Times New Roman"/>
        </w:rPr>
      </w:pPr>
      <w:r w:rsidRPr="00AA2F39">
        <w:rPr>
          <w:rFonts w:cs="Times New Roman"/>
        </w:rPr>
        <w:t>Out of the five countries evaluated</w:t>
      </w:r>
      <w:r w:rsidR="00AF652F">
        <w:rPr>
          <w:rFonts w:cs="Times New Roman"/>
        </w:rPr>
        <w:t xml:space="preserve"> in the previous article,</w:t>
      </w:r>
      <w:r w:rsidRPr="00AA2F39">
        <w:rPr>
          <w:rFonts w:cs="Times New Roman"/>
        </w:rPr>
        <w:t xml:space="preserve"> the UK provide</w:t>
      </w:r>
      <w:r w:rsidR="00AF652F">
        <w:rPr>
          <w:rFonts w:cs="Times New Roman"/>
        </w:rPr>
        <w:t>d</w:t>
      </w:r>
      <w:r w:rsidRPr="00AA2F39">
        <w:rPr>
          <w:rFonts w:cs="Times New Roman"/>
        </w:rPr>
        <w:t xml:space="preserve"> for the earliest restructuring option to bind (secured and unsecured) creditors of a (still solvent) debtor with the Scheme of Arrangement.</w:t>
      </w:r>
      <w:r w:rsidR="0031444A">
        <w:rPr>
          <w:rFonts w:cs="Times New Roman"/>
        </w:rPr>
        <w:t xml:space="preserve"> The new </w:t>
      </w:r>
      <w:r w:rsidR="00D24F1F">
        <w:rPr>
          <w:rFonts w:cs="Times New Roman"/>
        </w:rPr>
        <w:t xml:space="preserve">restructuring plan </w:t>
      </w:r>
      <w:r w:rsidR="00194F74">
        <w:rPr>
          <w:rFonts w:cs="Times New Roman"/>
        </w:rPr>
        <w:t>under Part 26A</w:t>
      </w:r>
      <w:r w:rsidR="0031444A">
        <w:rPr>
          <w:rFonts w:cs="Times New Roman"/>
        </w:rPr>
        <w:t xml:space="preserve">, however, backtracks the threshold to a likelihood of insolvency, which arguably turns it into </w:t>
      </w:r>
      <w:r w:rsidR="00C6154F">
        <w:rPr>
          <w:rFonts w:cs="Times New Roman"/>
        </w:rPr>
        <w:t xml:space="preserve">a procedure that is only available in </w:t>
      </w:r>
      <w:r w:rsidR="0031444A">
        <w:rPr>
          <w:rFonts w:cs="Times New Roman"/>
        </w:rPr>
        <w:t>a pre-insolvency</w:t>
      </w:r>
      <w:r w:rsidR="00C6154F">
        <w:rPr>
          <w:rFonts w:cs="Times New Roman"/>
        </w:rPr>
        <w:t xml:space="preserve"> situation, </w:t>
      </w:r>
      <w:r w:rsidR="0031444A">
        <w:rPr>
          <w:rFonts w:cs="Times New Roman"/>
        </w:rPr>
        <w:t>unlike its big brother which can ostensibly be used at any time by a company.</w:t>
      </w:r>
      <w:r w:rsidR="002D292A">
        <w:rPr>
          <w:rFonts w:cs="Times New Roman"/>
        </w:rPr>
        <w:t xml:space="preserve"> </w:t>
      </w:r>
      <w:r w:rsidR="0031444A">
        <w:rPr>
          <w:rFonts w:cs="Times New Roman"/>
        </w:rPr>
        <w:t xml:space="preserve">The new </w:t>
      </w:r>
      <w:r w:rsidR="00D24F1F">
        <w:rPr>
          <w:rFonts w:cs="Times New Roman"/>
        </w:rPr>
        <w:t xml:space="preserve">restructuring plan </w:t>
      </w:r>
      <w:r w:rsidR="0031444A">
        <w:rPr>
          <w:rFonts w:cs="Times New Roman"/>
        </w:rPr>
        <w:t xml:space="preserve">does, however, rectify a major missing </w:t>
      </w:r>
      <w:r w:rsidR="0031444A">
        <w:rPr>
          <w:rFonts w:cs="Times New Roman"/>
        </w:rPr>
        <w:lastRenderedPageBreak/>
        <w:t>piece to the Part 26 Scheme</w:t>
      </w:r>
      <w:r w:rsidR="00A25FAD">
        <w:rPr>
          <w:rFonts w:cs="Times New Roman"/>
        </w:rPr>
        <w:t xml:space="preserve">, providing </w:t>
      </w:r>
      <w:r w:rsidR="0031444A">
        <w:rPr>
          <w:rFonts w:cs="Times New Roman"/>
        </w:rPr>
        <w:t>for a cross</w:t>
      </w:r>
      <w:r w:rsidR="00A25FAD">
        <w:rPr>
          <w:rFonts w:cs="Times New Roman"/>
        </w:rPr>
        <w:t>-</w:t>
      </w:r>
      <w:r w:rsidR="0031444A">
        <w:rPr>
          <w:rFonts w:cs="Times New Roman"/>
        </w:rPr>
        <w:t>class cramdown to bind dissenting classes of creditors, much like the other new restructuring procedures in the Netherlands, Germany, and France, although the requisite majority is set</w:t>
      </w:r>
      <w:r w:rsidR="003623CC">
        <w:rPr>
          <w:rFonts w:cs="Times New Roman"/>
        </w:rPr>
        <w:t xml:space="preserve"> highest</w:t>
      </w:r>
      <w:r w:rsidR="0031444A">
        <w:rPr>
          <w:rFonts w:cs="Times New Roman"/>
        </w:rPr>
        <w:t xml:space="preserve"> at 75% in the case of the UK</w:t>
      </w:r>
      <w:r w:rsidR="00194F74">
        <w:rPr>
          <w:rFonts w:cs="Times New Roman"/>
        </w:rPr>
        <w:t xml:space="preserve"> and Germany</w:t>
      </w:r>
      <w:r w:rsidR="000D4D40">
        <w:rPr>
          <w:rFonts w:cs="Times New Roman"/>
        </w:rPr>
        <w:t xml:space="preserve"> (both without no headcount majority)</w:t>
      </w:r>
      <w:r w:rsidR="0031444A">
        <w:rPr>
          <w:rFonts w:cs="Times New Roman"/>
        </w:rPr>
        <w:t xml:space="preserve"> </w:t>
      </w:r>
    </w:p>
    <w:p w14:paraId="250C399A" w14:textId="36CBC797" w:rsidR="00735076" w:rsidRPr="00130CA4" w:rsidRDefault="1AFC58FF" w:rsidP="1AFC58FF">
      <w:pPr>
        <w:spacing w:before="120" w:after="120"/>
        <w:jc w:val="both"/>
        <w:rPr>
          <w:rFonts w:cs="Times New Roman"/>
          <w:i/>
          <w:iCs/>
        </w:rPr>
      </w:pPr>
      <w:r w:rsidRPr="1AFC58FF">
        <w:rPr>
          <w:rFonts w:cs="Times New Roman"/>
        </w:rPr>
        <w:t xml:space="preserve">In Denmark, generally only unsecured creditors can be bound to a plan while fully secured creditors may not be affected by a plan and still enforce their claim once the proceeding is complete. </w:t>
      </w:r>
      <w:r w:rsidR="00C6154F">
        <w:rPr>
          <w:rFonts w:cs="Times New Roman"/>
        </w:rPr>
        <w:t>At the time of writing, t</w:t>
      </w:r>
      <w:r w:rsidRPr="1AFC58FF">
        <w:rPr>
          <w:rFonts w:cs="Times New Roman"/>
        </w:rPr>
        <w:t xml:space="preserve">his </w:t>
      </w:r>
      <w:r w:rsidR="00C6154F">
        <w:rPr>
          <w:rFonts w:cs="Times New Roman"/>
        </w:rPr>
        <w:t>remains the same</w:t>
      </w:r>
      <w:r w:rsidRPr="1AFC58FF">
        <w:rPr>
          <w:rFonts w:cs="Times New Roman"/>
        </w:rPr>
        <w:t xml:space="preserve">, despite the recent amendments to the Danish restructuring procedure. Considering the high level of collateralization in Denmark a key element for successful restructuring is still missing, at least </w:t>
      </w:r>
      <w:r w:rsidR="00A25FAD">
        <w:rPr>
          <w:rFonts w:cs="Times New Roman"/>
        </w:rPr>
        <w:t>when</w:t>
      </w:r>
      <w:r w:rsidRPr="1AFC58FF">
        <w:rPr>
          <w:rFonts w:cs="Times New Roman"/>
        </w:rPr>
        <w:t xml:space="preserve"> the debtor is confronted with a dispersed credit structure. </w:t>
      </w:r>
      <w:r w:rsidR="00C6154F">
        <w:rPr>
          <w:rFonts w:cs="Times New Roman"/>
        </w:rPr>
        <w:t>At the time of writing,</w:t>
      </w:r>
      <w:r w:rsidRPr="1AFC58FF">
        <w:rPr>
          <w:rFonts w:cs="Times New Roman"/>
        </w:rPr>
        <w:t xml:space="preserve"> it is being considered how and if significant changes to the Danish regulation on </w:t>
      </w:r>
      <w:r w:rsidR="00C6154F">
        <w:rPr>
          <w:rFonts w:cs="Times New Roman"/>
        </w:rPr>
        <w:t>f</w:t>
      </w:r>
      <w:r w:rsidRPr="1AFC58FF">
        <w:rPr>
          <w:rFonts w:cs="Times New Roman"/>
        </w:rPr>
        <w:t xml:space="preserve">loating </w:t>
      </w:r>
      <w:r w:rsidR="00C6154F">
        <w:rPr>
          <w:rFonts w:cs="Times New Roman"/>
        </w:rPr>
        <w:t>c</w:t>
      </w:r>
      <w:r w:rsidRPr="1AFC58FF">
        <w:rPr>
          <w:rFonts w:cs="Times New Roman"/>
        </w:rPr>
        <w:t>harges should be made</w:t>
      </w:r>
      <w:r w:rsidR="00B16189">
        <w:rPr>
          <w:rFonts w:cs="Times New Roman"/>
        </w:rPr>
        <w:t xml:space="preserve"> and whether</w:t>
      </w:r>
      <w:r w:rsidRPr="1AFC58FF">
        <w:rPr>
          <w:rFonts w:cs="Times New Roman"/>
        </w:rPr>
        <w:t xml:space="preserve"> amendments regarding the effect of the debtor’s insolvency should also be considered to incentivize and promote </w:t>
      </w:r>
      <w:r w:rsidR="00B16189">
        <w:rPr>
          <w:rFonts w:cs="Times New Roman"/>
        </w:rPr>
        <w:t xml:space="preserve">business </w:t>
      </w:r>
      <w:r w:rsidRPr="1AFC58FF">
        <w:rPr>
          <w:rFonts w:cs="Times New Roman"/>
        </w:rPr>
        <w:t>rescue, but it is</w:t>
      </w:r>
      <w:r w:rsidR="00B16189">
        <w:rPr>
          <w:rFonts w:cs="Times New Roman"/>
        </w:rPr>
        <w:t xml:space="preserve"> yet</w:t>
      </w:r>
      <w:r w:rsidRPr="1AFC58FF">
        <w:rPr>
          <w:rFonts w:cs="Times New Roman"/>
        </w:rPr>
        <w:t xml:space="preserve"> to be seen how this </w:t>
      </w:r>
      <w:r w:rsidR="00C6154F">
        <w:rPr>
          <w:rFonts w:cs="Times New Roman"/>
        </w:rPr>
        <w:t>incentive</w:t>
      </w:r>
      <w:r w:rsidRPr="1AFC58FF">
        <w:rPr>
          <w:rFonts w:cs="Times New Roman"/>
        </w:rPr>
        <w:t xml:space="preserve"> will be </w:t>
      </w:r>
      <w:r w:rsidR="00B16189">
        <w:rPr>
          <w:rFonts w:cs="Times New Roman"/>
        </w:rPr>
        <w:t>introduced</w:t>
      </w:r>
      <w:r w:rsidRPr="1AFC58FF">
        <w:rPr>
          <w:rFonts w:cs="Times New Roman"/>
        </w:rPr>
        <w:t>.</w:t>
      </w:r>
      <w:r w:rsidR="002D292A">
        <w:rPr>
          <w:rFonts w:cs="Times New Roman"/>
        </w:rPr>
        <w:t xml:space="preserve"> </w:t>
      </w:r>
      <w:r w:rsidRPr="1AFC58FF">
        <w:rPr>
          <w:rFonts w:cs="Times New Roman"/>
        </w:rPr>
        <w:t xml:space="preserve"> </w:t>
      </w:r>
    </w:p>
    <w:p w14:paraId="2F44AACE" w14:textId="50F6D3EF" w:rsidR="00130CA4" w:rsidRDefault="00130CA4" w:rsidP="00F04954">
      <w:pPr>
        <w:spacing w:before="120" w:after="120"/>
        <w:jc w:val="both"/>
        <w:rPr>
          <w:rFonts w:cs="Times New Roman"/>
          <w:i/>
        </w:rPr>
      </w:pPr>
      <w:r>
        <w:rPr>
          <w:rFonts w:cs="Times New Roman"/>
          <w:i/>
        </w:rPr>
        <w:t xml:space="preserve">2.4 </w:t>
      </w:r>
      <w:r w:rsidRPr="00130CA4">
        <w:rPr>
          <w:rFonts w:cs="Times New Roman"/>
          <w:i/>
        </w:rPr>
        <w:t xml:space="preserve">The </w:t>
      </w:r>
      <w:r w:rsidR="00241497">
        <w:rPr>
          <w:rFonts w:cs="Times New Roman"/>
          <w:i/>
        </w:rPr>
        <w:t>‘</w:t>
      </w:r>
      <w:r w:rsidRPr="00130CA4">
        <w:rPr>
          <w:rFonts w:cs="Times New Roman"/>
          <w:i/>
        </w:rPr>
        <w:t>Rescue</w:t>
      </w:r>
      <w:r w:rsidR="00241497">
        <w:rPr>
          <w:rFonts w:cs="Times New Roman"/>
          <w:i/>
        </w:rPr>
        <w:t>’</w:t>
      </w:r>
      <w:r w:rsidRPr="00130CA4">
        <w:rPr>
          <w:rFonts w:cs="Times New Roman"/>
          <w:i/>
        </w:rPr>
        <w:t xml:space="preserve"> or </w:t>
      </w:r>
      <w:r w:rsidR="00241497">
        <w:rPr>
          <w:rFonts w:cs="Times New Roman"/>
          <w:i/>
        </w:rPr>
        <w:t>‘</w:t>
      </w:r>
      <w:r w:rsidRPr="00130CA4">
        <w:rPr>
          <w:rFonts w:cs="Times New Roman"/>
          <w:i/>
        </w:rPr>
        <w:t>Restructuring Culture</w:t>
      </w:r>
      <w:r w:rsidR="00241497">
        <w:rPr>
          <w:rFonts w:cs="Times New Roman"/>
          <w:i/>
        </w:rPr>
        <w:t>’</w:t>
      </w:r>
    </w:p>
    <w:p w14:paraId="53DAF83A" w14:textId="008976AD" w:rsidR="00AB0C25" w:rsidRPr="00AA2F39" w:rsidRDefault="00AB0C25" w:rsidP="00AB0C25">
      <w:pPr>
        <w:spacing w:before="120" w:after="120"/>
        <w:jc w:val="both"/>
        <w:rPr>
          <w:rFonts w:cs="Times New Roman"/>
        </w:rPr>
      </w:pPr>
      <w:r w:rsidRPr="00AA2F39">
        <w:rPr>
          <w:rFonts w:cs="Times New Roman"/>
        </w:rPr>
        <w:t>A restructuring-friendly environment</w:t>
      </w:r>
      <w:r w:rsidR="00194F74">
        <w:rPr>
          <w:rFonts w:cs="Times New Roman"/>
        </w:rPr>
        <w:t xml:space="preserve"> in which </w:t>
      </w:r>
      <w:r w:rsidR="0026247F">
        <w:rPr>
          <w:rFonts w:cs="Times New Roman"/>
        </w:rPr>
        <w:t>the entry into a restructuring procedure</w:t>
      </w:r>
      <w:r w:rsidR="00194F74">
        <w:rPr>
          <w:rFonts w:cs="Times New Roman"/>
        </w:rPr>
        <w:t xml:space="preserve"> is not </w:t>
      </w:r>
      <w:r w:rsidR="0026247F">
        <w:rPr>
          <w:rFonts w:cs="Times New Roman"/>
        </w:rPr>
        <w:t xml:space="preserve">perceived </w:t>
      </w:r>
      <w:r w:rsidRPr="00AA2F39">
        <w:rPr>
          <w:rFonts w:cs="Times New Roman"/>
        </w:rPr>
        <w:t xml:space="preserve">as failure but as </w:t>
      </w:r>
      <w:r w:rsidR="00194F74">
        <w:rPr>
          <w:rFonts w:cs="Times New Roman"/>
        </w:rPr>
        <w:t xml:space="preserve">a </w:t>
      </w:r>
      <w:r w:rsidR="0026247F">
        <w:rPr>
          <w:rFonts w:cs="Times New Roman"/>
        </w:rPr>
        <w:t xml:space="preserve">chance for a </w:t>
      </w:r>
      <w:r w:rsidR="00194F74">
        <w:rPr>
          <w:rFonts w:cs="Times New Roman"/>
        </w:rPr>
        <w:t>‘fresh start</w:t>
      </w:r>
      <w:r w:rsidR="0026247F">
        <w:rPr>
          <w:rFonts w:cs="Times New Roman"/>
        </w:rPr>
        <w:t>’</w:t>
      </w:r>
      <w:r w:rsidRPr="00AA2F39">
        <w:rPr>
          <w:rFonts w:cs="Times New Roman"/>
        </w:rPr>
        <w:t xml:space="preserve"> has significant value for </w:t>
      </w:r>
      <w:r w:rsidR="00194F74">
        <w:rPr>
          <w:rFonts w:cs="Times New Roman"/>
        </w:rPr>
        <w:t>a</w:t>
      </w:r>
      <w:r w:rsidRPr="00AA2F39">
        <w:rPr>
          <w:rFonts w:cs="Times New Roman"/>
        </w:rPr>
        <w:t xml:space="preserve"> firm</w:t>
      </w:r>
      <w:r w:rsidR="00194F74">
        <w:rPr>
          <w:rFonts w:cs="Times New Roman"/>
        </w:rPr>
        <w:t xml:space="preserve"> in financial distress</w:t>
      </w:r>
      <w:r w:rsidRPr="00AA2F39">
        <w:rPr>
          <w:rFonts w:cs="Times New Roman"/>
        </w:rPr>
        <w:t xml:space="preserve">. In a restructuring-hostile environment, where the debtor is branded with the stigma of insolvency, the chance is higher that customers, creditors, business partners, and employees will leave the </w:t>
      </w:r>
      <w:r w:rsidR="0026247F">
        <w:rPr>
          <w:rFonts w:cs="Times New Roman"/>
        </w:rPr>
        <w:t>debtor</w:t>
      </w:r>
      <w:r w:rsidRPr="00AA2F39">
        <w:rPr>
          <w:rFonts w:cs="Times New Roman"/>
        </w:rPr>
        <w:t xml:space="preserve"> than in a restructuring-friendly environment. In such a restructuring-hostile environment, the debtor will, thus, try to avoid insolvency as long as possible so as to not incur the (immense) indirect costs. A chilling effect on entrepreneurial activity may also be associated with inflated costs of ‘failure’.</w:t>
      </w:r>
      <w:r w:rsidR="00E00757">
        <w:rPr>
          <w:rFonts w:cs="Times New Roman"/>
        </w:rPr>
        <w:t xml:space="preserve"> </w:t>
      </w:r>
    </w:p>
    <w:p w14:paraId="7AF6E5D6" w14:textId="17AFE67B" w:rsidR="002573C8" w:rsidRDefault="00AB0C25" w:rsidP="00AB0C25">
      <w:pPr>
        <w:spacing w:before="120" w:after="120"/>
        <w:jc w:val="both"/>
        <w:rPr>
          <w:rFonts w:cs="Times New Roman"/>
        </w:rPr>
      </w:pPr>
      <w:r w:rsidRPr="00AA2F39">
        <w:rPr>
          <w:rFonts w:cs="Times New Roman"/>
        </w:rPr>
        <w:t xml:space="preserve">The </w:t>
      </w:r>
      <w:r w:rsidR="00E00757">
        <w:rPr>
          <w:rFonts w:cs="Times New Roman"/>
        </w:rPr>
        <w:t>PRD</w:t>
      </w:r>
      <w:r w:rsidRPr="00AA2F39">
        <w:rPr>
          <w:rFonts w:cs="Times New Roman"/>
        </w:rPr>
        <w:t xml:space="preserve"> clearly sends out a signal </w:t>
      </w:r>
      <w:r w:rsidR="00E00757">
        <w:rPr>
          <w:rFonts w:cs="Times New Roman"/>
        </w:rPr>
        <w:t>to develop a</w:t>
      </w:r>
      <w:r w:rsidRPr="00AA2F39">
        <w:rPr>
          <w:rFonts w:cs="Times New Roman"/>
        </w:rPr>
        <w:t xml:space="preserve"> restructuring-friendly policy in Europe. Traditionally, all five countries have had a rather creditor-friendly insolvency regime, with France having probably the most profound orientation towards </w:t>
      </w:r>
      <w:r w:rsidR="00A25FAD">
        <w:rPr>
          <w:rFonts w:cs="Times New Roman"/>
        </w:rPr>
        <w:t>business</w:t>
      </w:r>
      <w:r w:rsidRPr="00AA2F39">
        <w:rPr>
          <w:rFonts w:cs="Times New Roman"/>
        </w:rPr>
        <w:t xml:space="preserve"> rescue for the sake of</w:t>
      </w:r>
      <w:r w:rsidR="00A25FAD">
        <w:rPr>
          <w:rFonts w:cs="Times New Roman"/>
        </w:rPr>
        <w:t xml:space="preserve"> retaining jobs, a position only strengthened in the new reforms</w:t>
      </w:r>
      <w:r w:rsidRPr="00AA2F39">
        <w:rPr>
          <w:rFonts w:cs="Times New Roman"/>
        </w:rPr>
        <w:t>.</w:t>
      </w:r>
      <w:r w:rsidR="00A25FAD">
        <w:rPr>
          <w:rFonts w:cs="Times New Roman"/>
        </w:rPr>
        <w:t xml:space="preserve"> </w:t>
      </w:r>
      <w:r w:rsidR="00620E08">
        <w:rPr>
          <w:rFonts w:cs="Times New Roman"/>
        </w:rPr>
        <w:t>In contrast, w</w:t>
      </w:r>
      <w:r w:rsidRPr="00AA2F39">
        <w:rPr>
          <w:rFonts w:cs="Times New Roman"/>
        </w:rPr>
        <w:t xml:space="preserve">hile the UK insolvency </w:t>
      </w:r>
      <w:r w:rsidR="00E00757">
        <w:rPr>
          <w:rFonts w:cs="Times New Roman"/>
        </w:rPr>
        <w:t xml:space="preserve">regime </w:t>
      </w:r>
      <w:r w:rsidR="006F576B">
        <w:rPr>
          <w:rFonts w:cs="Times New Roman"/>
        </w:rPr>
        <w:t>tends to</w:t>
      </w:r>
      <w:r w:rsidR="00E00757">
        <w:rPr>
          <w:rFonts w:cs="Times New Roman"/>
        </w:rPr>
        <w:t xml:space="preserve"> </w:t>
      </w:r>
      <w:r w:rsidRPr="00AA2F39">
        <w:rPr>
          <w:rFonts w:cs="Times New Roman"/>
        </w:rPr>
        <w:t xml:space="preserve">set the interest of creditors first, the </w:t>
      </w:r>
      <w:r w:rsidR="00E00757">
        <w:rPr>
          <w:rFonts w:cs="Times New Roman"/>
        </w:rPr>
        <w:t>CVA, pre-pack, and the s</w:t>
      </w:r>
      <w:r w:rsidRPr="00AA2F39">
        <w:rPr>
          <w:rFonts w:cs="Times New Roman"/>
        </w:rPr>
        <w:t xml:space="preserve">cheme of arrangement </w:t>
      </w:r>
      <w:r>
        <w:rPr>
          <w:rFonts w:cs="Times New Roman"/>
        </w:rPr>
        <w:t xml:space="preserve">in particular </w:t>
      </w:r>
      <w:r w:rsidRPr="00AA2F39">
        <w:rPr>
          <w:rFonts w:cs="Times New Roman"/>
        </w:rPr>
        <w:t>ha</w:t>
      </w:r>
      <w:r w:rsidR="00ED2A28">
        <w:rPr>
          <w:rFonts w:cs="Times New Roman"/>
        </w:rPr>
        <w:t>ve</w:t>
      </w:r>
      <w:r w:rsidRPr="00AA2F39">
        <w:rPr>
          <w:rFonts w:cs="Times New Roman"/>
        </w:rPr>
        <w:t xml:space="preserve"> encouraged early (and still solvent) restructurings in the mutual interest of creditors and debtors before the debtor was unable to pay its debt.</w:t>
      </w:r>
      <w:r w:rsidR="00E00757">
        <w:rPr>
          <w:rFonts w:cs="Times New Roman"/>
        </w:rPr>
        <w:t xml:space="preserve"> The new Part 26A </w:t>
      </w:r>
      <w:r w:rsidR="00ED2A28">
        <w:rPr>
          <w:rFonts w:cs="Times New Roman"/>
        </w:rPr>
        <w:t xml:space="preserve">restructuring plan </w:t>
      </w:r>
      <w:r w:rsidR="00E00757">
        <w:rPr>
          <w:rFonts w:cs="Times New Roman"/>
        </w:rPr>
        <w:t xml:space="preserve">has gone a step further </w:t>
      </w:r>
      <w:r w:rsidR="008468CD">
        <w:rPr>
          <w:rFonts w:cs="Times New Roman"/>
        </w:rPr>
        <w:t xml:space="preserve">along </w:t>
      </w:r>
      <w:r w:rsidR="00E00757">
        <w:rPr>
          <w:rFonts w:cs="Times New Roman"/>
        </w:rPr>
        <w:t>this path by introducing more debtor</w:t>
      </w:r>
      <w:r w:rsidR="00ED2A28">
        <w:rPr>
          <w:rFonts w:cs="Times New Roman"/>
        </w:rPr>
        <w:t>-</w:t>
      </w:r>
      <w:r w:rsidR="00E00757">
        <w:rPr>
          <w:rFonts w:cs="Times New Roman"/>
        </w:rPr>
        <w:t>friendly aspects such as the cross-class cramdown</w:t>
      </w:r>
      <w:r w:rsidR="008468CD">
        <w:rPr>
          <w:rFonts w:cs="Times New Roman"/>
        </w:rPr>
        <w:t>,</w:t>
      </w:r>
      <w:r w:rsidR="00E00757">
        <w:rPr>
          <w:rFonts w:cs="Times New Roman"/>
        </w:rPr>
        <w:t xml:space="preserve"> </w:t>
      </w:r>
      <w:r w:rsidR="00ED2A28">
        <w:rPr>
          <w:rFonts w:cs="Times New Roman"/>
        </w:rPr>
        <w:t>which can be used in conjunction with</w:t>
      </w:r>
      <w:r w:rsidR="00E00757">
        <w:rPr>
          <w:rFonts w:cs="Times New Roman"/>
        </w:rPr>
        <w:t xml:space="preserve"> the standalone moratorium </w:t>
      </w:r>
      <w:r w:rsidR="00620E08">
        <w:rPr>
          <w:rFonts w:cs="Times New Roman"/>
        </w:rPr>
        <w:t>provided</w:t>
      </w:r>
      <w:r w:rsidR="00E00757">
        <w:rPr>
          <w:rFonts w:cs="Times New Roman"/>
        </w:rPr>
        <w:t xml:space="preserve"> under the CIGA 2020.</w:t>
      </w:r>
      <w:r w:rsidRPr="00AA2F39">
        <w:rPr>
          <w:rFonts w:cs="Times New Roman"/>
        </w:rPr>
        <w:t xml:space="preserve"> </w:t>
      </w:r>
    </w:p>
    <w:p w14:paraId="337B57A6" w14:textId="04B3626A" w:rsidR="008A2CF8" w:rsidRDefault="002573C8" w:rsidP="008A2CF8">
      <w:pPr>
        <w:spacing w:before="120" w:after="120"/>
        <w:jc w:val="both"/>
        <w:rPr>
          <w:rFonts w:cs="Times New Roman"/>
        </w:rPr>
      </w:pPr>
      <w:r>
        <w:rPr>
          <w:rFonts w:cs="Times New Roman"/>
        </w:rPr>
        <w:t xml:space="preserve">Both Germany and the Netherlands have </w:t>
      </w:r>
      <w:r w:rsidR="00BF2A69">
        <w:rPr>
          <w:rFonts w:cs="Times New Roman"/>
        </w:rPr>
        <w:t xml:space="preserve">since 2019 legislatively </w:t>
      </w:r>
      <w:r>
        <w:rPr>
          <w:rFonts w:cs="Times New Roman"/>
        </w:rPr>
        <w:t xml:space="preserve">embraced the pre-insolvency restructuring policy in their rapid and fulsome new </w:t>
      </w:r>
      <w:proofErr w:type="spellStart"/>
      <w:r>
        <w:rPr>
          <w:rFonts w:cs="Times New Roman"/>
        </w:rPr>
        <w:t>StaRUG</w:t>
      </w:r>
      <w:proofErr w:type="spellEnd"/>
      <w:r w:rsidR="003623CC">
        <w:rPr>
          <w:rFonts w:cs="Times New Roman"/>
        </w:rPr>
        <w:t xml:space="preserve"> and WHOA</w:t>
      </w:r>
      <w:r>
        <w:rPr>
          <w:rFonts w:cs="Times New Roman"/>
        </w:rPr>
        <w:t xml:space="preserve">. </w:t>
      </w:r>
      <w:r w:rsidR="0026247F">
        <w:rPr>
          <w:rFonts w:cs="Times New Roman"/>
        </w:rPr>
        <w:t xml:space="preserve">The Netherlands is </w:t>
      </w:r>
      <w:r w:rsidR="008468CD">
        <w:rPr>
          <w:rFonts w:cs="Times New Roman"/>
        </w:rPr>
        <w:t>a</w:t>
      </w:r>
      <w:r w:rsidR="0026247F">
        <w:rPr>
          <w:rFonts w:cs="Times New Roman"/>
        </w:rPr>
        <w:t xml:space="preserve"> particular</w:t>
      </w:r>
      <w:r w:rsidR="006F576B">
        <w:rPr>
          <w:rFonts w:cs="Times New Roman"/>
        </w:rPr>
        <w:t>ly</w:t>
      </w:r>
      <w:r w:rsidR="0026247F">
        <w:rPr>
          <w:rFonts w:cs="Times New Roman"/>
        </w:rPr>
        <w:t xml:space="preserve"> interesting case as it had not</w:t>
      </w:r>
      <w:r>
        <w:rPr>
          <w:rFonts w:cs="Times New Roman"/>
        </w:rPr>
        <w:t xml:space="preserve"> introduced any significant legislative reforms in this area for several decades, so arguably the time was also ripe for it. </w:t>
      </w:r>
      <w:r w:rsidR="0026247F">
        <w:rPr>
          <w:rFonts w:cs="Times New Roman"/>
        </w:rPr>
        <w:t xml:space="preserve">Practitioners in the Netherlands, however, have been quite creative </w:t>
      </w:r>
      <w:r w:rsidR="008468CD">
        <w:rPr>
          <w:rFonts w:cs="Times New Roman"/>
        </w:rPr>
        <w:t>in</w:t>
      </w:r>
      <w:r w:rsidR="0026247F">
        <w:rPr>
          <w:rFonts w:cs="Times New Roman"/>
        </w:rPr>
        <w:t xml:space="preserve"> work</w:t>
      </w:r>
      <w:r w:rsidR="008468CD">
        <w:rPr>
          <w:rFonts w:cs="Times New Roman"/>
        </w:rPr>
        <w:t>ing</w:t>
      </w:r>
      <w:r w:rsidR="0026247F">
        <w:rPr>
          <w:rFonts w:cs="Times New Roman"/>
        </w:rPr>
        <w:t xml:space="preserve"> around the lack of a comprehensive restructuring procedure and </w:t>
      </w:r>
      <w:r w:rsidR="008468CD">
        <w:rPr>
          <w:rFonts w:cs="Times New Roman"/>
        </w:rPr>
        <w:t xml:space="preserve">have </w:t>
      </w:r>
      <w:r w:rsidR="0026247F">
        <w:rPr>
          <w:rFonts w:cs="Times New Roman"/>
        </w:rPr>
        <w:t>created</w:t>
      </w:r>
      <w:r w:rsidR="00F42DA5">
        <w:rPr>
          <w:rFonts w:cs="Times New Roman"/>
        </w:rPr>
        <w:t xml:space="preserve"> various opportunities for restructuring </w:t>
      </w:r>
      <w:r w:rsidR="008A2CF8">
        <w:rPr>
          <w:rFonts w:cs="Times New Roman"/>
        </w:rPr>
        <w:t>companies in financial distress</w:t>
      </w:r>
      <w:r w:rsidR="006F576B">
        <w:rPr>
          <w:rFonts w:cs="Times New Roman"/>
        </w:rPr>
        <w:t>, such as the use of a Dutch-style pre-pack,</w:t>
      </w:r>
      <w:r w:rsidR="008A2CF8" w:rsidRPr="00B16189">
        <w:rPr>
          <w:rStyle w:val="FootnoteReference"/>
          <w:rFonts w:cs="Times New Roman"/>
        </w:rPr>
        <w:footnoteReference w:id="46"/>
      </w:r>
      <w:r w:rsidR="006F576B">
        <w:rPr>
          <w:rFonts w:cs="Times New Roman"/>
        </w:rPr>
        <w:t xml:space="preserve"> </w:t>
      </w:r>
      <w:proofErr w:type="gramStart"/>
      <w:r w:rsidR="006F576B">
        <w:rPr>
          <w:rFonts w:cs="Times New Roman"/>
        </w:rPr>
        <w:t xml:space="preserve">though </w:t>
      </w:r>
      <w:r w:rsidR="008A2CF8">
        <w:rPr>
          <w:rFonts w:cs="Times New Roman"/>
        </w:rPr>
        <w:t xml:space="preserve"> associated</w:t>
      </w:r>
      <w:proofErr w:type="gramEnd"/>
      <w:r w:rsidR="008A2CF8">
        <w:rPr>
          <w:rFonts w:cs="Times New Roman"/>
        </w:rPr>
        <w:t xml:space="preserve"> uncertainties </w:t>
      </w:r>
      <w:r w:rsidR="006F576B">
        <w:rPr>
          <w:rFonts w:cs="Times New Roman"/>
        </w:rPr>
        <w:t>due to legal challenges limited the effectiveness of the procedure</w:t>
      </w:r>
      <w:r w:rsidR="008A2CF8" w:rsidRPr="00AA2F39">
        <w:rPr>
          <w:rFonts w:cs="Times New Roman"/>
        </w:rPr>
        <w:t>.</w:t>
      </w:r>
      <w:r w:rsidR="008A2CF8">
        <w:rPr>
          <w:rFonts w:cs="Times New Roman"/>
        </w:rPr>
        <w:t xml:space="preserve"> </w:t>
      </w:r>
      <w:r w:rsidR="0026247F">
        <w:rPr>
          <w:rFonts w:cs="Times New Roman"/>
        </w:rPr>
        <w:t xml:space="preserve">Thus, the </w:t>
      </w:r>
      <w:r w:rsidR="008A2CF8">
        <w:rPr>
          <w:rFonts w:cs="Times New Roman"/>
        </w:rPr>
        <w:t xml:space="preserve">WHOA, </w:t>
      </w:r>
      <w:r w:rsidR="00B16189">
        <w:rPr>
          <w:rFonts w:cs="Times New Roman"/>
        </w:rPr>
        <w:t xml:space="preserve">has </w:t>
      </w:r>
      <w:r w:rsidR="0026247F">
        <w:rPr>
          <w:rFonts w:cs="Times New Roman"/>
        </w:rPr>
        <w:t>become a</w:t>
      </w:r>
      <w:r w:rsidR="008A2CF8">
        <w:rPr>
          <w:rFonts w:cs="Times New Roman"/>
        </w:rPr>
        <w:t xml:space="preserve"> valuable </w:t>
      </w:r>
      <w:r w:rsidR="0026247F">
        <w:rPr>
          <w:rFonts w:cs="Times New Roman"/>
        </w:rPr>
        <w:t xml:space="preserve">and as it seems </w:t>
      </w:r>
      <w:r w:rsidR="007A456B">
        <w:rPr>
          <w:rFonts w:cs="Times New Roman"/>
        </w:rPr>
        <w:t xml:space="preserve">a </w:t>
      </w:r>
      <w:r w:rsidR="0026247F">
        <w:rPr>
          <w:rFonts w:cs="Times New Roman"/>
        </w:rPr>
        <w:t xml:space="preserve">quite successful </w:t>
      </w:r>
      <w:r w:rsidR="008A2CF8">
        <w:rPr>
          <w:rFonts w:cs="Times New Roman"/>
        </w:rPr>
        <w:t>addition for corporate restructuring.</w:t>
      </w:r>
      <w:r w:rsidR="008A2CF8">
        <w:rPr>
          <w:rStyle w:val="FootnoteReference"/>
          <w:rFonts w:cs="Times New Roman"/>
        </w:rPr>
        <w:footnoteReference w:id="47"/>
      </w:r>
      <w:r w:rsidR="008A2CF8">
        <w:rPr>
          <w:rFonts w:cs="Times New Roman"/>
        </w:rPr>
        <w:t xml:space="preserve"> Although</w:t>
      </w:r>
      <w:r w:rsidR="006F576B">
        <w:rPr>
          <w:rFonts w:cs="Times New Roman"/>
        </w:rPr>
        <w:t xml:space="preserve"> only</w:t>
      </w:r>
      <w:r w:rsidR="008A2CF8">
        <w:rPr>
          <w:rFonts w:cs="Times New Roman"/>
        </w:rPr>
        <w:t xml:space="preserve"> in force since January 2021, there has been a promising uptake of WHOA cases. </w:t>
      </w:r>
      <w:r w:rsidR="0026247F">
        <w:rPr>
          <w:rFonts w:cs="Times New Roman"/>
        </w:rPr>
        <w:t xml:space="preserve">While the </w:t>
      </w:r>
      <w:proofErr w:type="spellStart"/>
      <w:r w:rsidR="0026247F">
        <w:rPr>
          <w:rFonts w:cs="Times New Roman"/>
        </w:rPr>
        <w:t>StaRUG</w:t>
      </w:r>
      <w:proofErr w:type="spellEnd"/>
      <w:r w:rsidR="0026247F">
        <w:rPr>
          <w:rFonts w:cs="Times New Roman"/>
        </w:rPr>
        <w:t xml:space="preserve"> compares in many aspects to the already established insolvency plan procedure</w:t>
      </w:r>
      <w:r w:rsidR="003C3F44">
        <w:rPr>
          <w:rFonts w:cs="Times New Roman"/>
        </w:rPr>
        <w:t>,</w:t>
      </w:r>
      <w:r w:rsidR="0026247F">
        <w:rPr>
          <w:rFonts w:cs="Times New Roman"/>
        </w:rPr>
        <w:t xml:space="preserve"> it is certainly a</w:t>
      </w:r>
      <w:r w:rsidR="008A2CF8" w:rsidRPr="008A2CF8">
        <w:rPr>
          <w:rFonts w:cs="Times New Roman"/>
        </w:rPr>
        <w:t xml:space="preserve"> very important addition </w:t>
      </w:r>
      <w:r w:rsidR="0026247F">
        <w:rPr>
          <w:rFonts w:cs="Times New Roman"/>
        </w:rPr>
        <w:t>especially</w:t>
      </w:r>
      <w:r w:rsidR="00693377">
        <w:rPr>
          <w:rFonts w:cs="Times New Roman"/>
        </w:rPr>
        <w:t xml:space="preserve"> for</w:t>
      </w:r>
      <w:r w:rsidR="0026247F">
        <w:rPr>
          <w:rFonts w:cs="Times New Roman"/>
        </w:rPr>
        <w:t xml:space="preserve"> </w:t>
      </w:r>
      <w:r w:rsidR="008A2CF8" w:rsidRPr="008A2CF8">
        <w:rPr>
          <w:rFonts w:cs="Times New Roman"/>
        </w:rPr>
        <w:t xml:space="preserve">financial restructurings with </w:t>
      </w:r>
      <w:r w:rsidR="00693377">
        <w:rPr>
          <w:rFonts w:cs="Times New Roman"/>
        </w:rPr>
        <w:lastRenderedPageBreak/>
        <w:t>considerable</w:t>
      </w:r>
      <w:r w:rsidR="0026247F" w:rsidRPr="008A2CF8">
        <w:rPr>
          <w:rFonts w:cs="Times New Roman"/>
        </w:rPr>
        <w:t xml:space="preserve"> </w:t>
      </w:r>
      <w:r w:rsidR="008A2CF8" w:rsidRPr="008A2CF8">
        <w:rPr>
          <w:rFonts w:cs="Times New Roman"/>
        </w:rPr>
        <w:t>flexibility</w:t>
      </w:r>
      <w:r w:rsidR="0026247F">
        <w:rPr>
          <w:rFonts w:cs="Times New Roman"/>
        </w:rPr>
        <w:t xml:space="preserve"> </w:t>
      </w:r>
      <w:r w:rsidR="003C3F44">
        <w:rPr>
          <w:rFonts w:cs="Times New Roman"/>
        </w:rPr>
        <w:t>for a selective procedure as compared to the collective insolvency plan procedure.</w:t>
      </w:r>
      <w:r w:rsidR="0026247F">
        <w:rPr>
          <w:rFonts w:cs="Times New Roman"/>
        </w:rPr>
        <w:t>, e.g., the</w:t>
      </w:r>
      <w:r w:rsidR="002D292A">
        <w:rPr>
          <w:rFonts w:cs="Times New Roman"/>
        </w:rPr>
        <w:t xml:space="preserve"> </w:t>
      </w:r>
      <w:r w:rsidR="008A2CF8" w:rsidRPr="008A2CF8">
        <w:rPr>
          <w:rFonts w:cs="Times New Roman"/>
        </w:rPr>
        <w:t xml:space="preserve">option to exclude certain parties, such as suppliers, from the restructuring </w:t>
      </w:r>
      <w:r w:rsidR="003C3F44">
        <w:rPr>
          <w:rFonts w:cs="Times New Roman"/>
        </w:rPr>
        <w:t>and to ask for a</w:t>
      </w:r>
      <w:r w:rsidR="008A2CF8">
        <w:rPr>
          <w:rFonts w:cs="Times New Roman"/>
        </w:rPr>
        <w:t xml:space="preserve"> </w:t>
      </w:r>
      <w:r w:rsidR="008A2CF8" w:rsidRPr="008A2CF8">
        <w:rPr>
          <w:rFonts w:cs="Times New Roman"/>
        </w:rPr>
        <w:t>stay</w:t>
      </w:r>
      <w:r w:rsidR="002D292A">
        <w:rPr>
          <w:rFonts w:cs="Times New Roman"/>
        </w:rPr>
        <w:t xml:space="preserve"> </w:t>
      </w:r>
      <w:r w:rsidR="003C3F44">
        <w:rPr>
          <w:rFonts w:cs="Times New Roman"/>
        </w:rPr>
        <w:t>only applicable to certain parties, which can be</w:t>
      </w:r>
      <w:r w:rsidR="008A2CF8" w:rsidRPr="008A2CF8">
        <w:rPr>
          <w:rFonts w:cs="Times New Roman"/>
        </w:rPr>
        <w:t xml:space="preserve"> </w:t>
      </w:r>
      <w:r w:rsidR="003C3F44">
        <w:rPr>
          <w:rFonts w:cs="Times New Roman"/>
        </w:rPr>
        <w:t>a valuable option</w:t>
      </w:r>
      <w:r w:rsidR="003C3F44" w:rsidRPr="008A2CF8">
        <w:rPr>
          <w:rFonts w:cs="Times New Roman"/>
        </w:rPr>
        <w:t xml:space="preserve"> </w:t>
      </w:r>
      <w:r w:rsidR="008A2CF8" w:rsidRPr="008A2CF8">
        <w:rPr>
          <w:rFonts w:cs="Times New Roman"/>
        </w:rPr>
        <w:t>to protect the operative business and the debtor’s reputation</w:t>
      </w:r>
      <w:r w:rsidR="008A2CF8">
        <w:rPr>
          <w:rFonts w:cs="Times New Roman"/>
        </w:rPr>
        <w:t>.</w:t>
      </w:r>
    </w:p>
    <w:p w14:paraId="51D4D3CA" w14:textId="0455BD23" w:rsidR="00E905AF" w:rsidRDefault="1AFC58FF" w:rsidP="00AB0C25">
      <w:pPr>
        <w:spacing w:before="120" w:after="120"/>
        <w:jc w:val="both"/>
        <w:rPr>
          <w:rFonts w:cs="Times New Roman"/>
        </w:rPr>
      </w:pPr>
      <w:r w:rsidRPr="1AFC58FF">
        <w:rPr>
          <w:rFonts w:cs="Times New Roman"/>
        </w:rPr>
        <w:t xml:space="preserve">For Denmark, the possibility to restructure a business using insolvency tools such as cram-downs and a moratorium at a time when the debtor is not yet insolvent and possibly even out of court is a very new, and in the light of EU rescue policy, a welcoming thought. Although Denmark has certainly introduced what are being viewed as useful and rescue-friendly amendments, there is as yet no public information about its approach to implementing the PRD. With that said, </w:t>
      </w:r>
      <w:r w:rsidRPr="1AFC58FF">
        <w:rPr>
          <w:rFonts w:eastAsia="Times New Roman" w:cs="Times New Roman"/>
        </w:rPr>
        <w:t xml:space="preserve">the Danish legislator estimates that the amendments provided for during the COVID 19-pandemic to the restructuring framework should result in as many as 500 insolvency restructuring proceedings that prior to the amendments would have been liquidation proceedings. It is, however, worth noting that </w:t>
      </w:r>
      <w:r w:rsidRPr="1AFC58FF">
        <w:rPr>
          <w:rFonts w:cs="Times New Roman"/>
        </w:rPr>
        <w:t>the failure of the success of the legal framework is not only explained by the associated high costs and a bureaucratic and lengthy system, but also in the difficulty of providing adequate financial means to overcome the liquidity problems during the proceeding and obstacles to accessing funds for a compulsory composition. It will be interesting to see how the Danish legislator meets these challenges in its implementation of the PRD.</w:t>
      </w:r>
    </w:p>
    <w:p w14:paraId="3E12015D" w14:textId="390D094C" w:rsidR="005E58BA" w:rsidRPr="005E58BA" w:rsidRDefault="005E58BA" w:rsidP="00F04954">
      <w:pPr>
        <w:spacing w:before="120" w:after="120"/>
        <w:jc w:val="both"/>
        <w:rPr>
          <w:rFonts w:cs="Times New Roman"/>
          <w:b/>
          <w:bCs/>
        </w:rPr>
      </w:pPr>
      <w:r>
        <w:rPr>
          <w:rFonts w:cs="Times New Roman"/>
          <w:b/>
          <w:bCs/>
        </w:rPr>
        <w:t xml:space="preserve">3. </w:t>
      </w:r>
      <w:r w:rsidR="005F1D0E">
        <w:rPr>
          <w:rFonts w:cs="Times New Roman"/>
          <w:b/>
          <w:bCs/>
        </w:rPr>
        <w:t>Comment</w:t>
      </w:r>
    </w:p>
    <w:p w14:paraId="343723D0" w14:textId="27F59162" w:rsidR="00FB5DBF" w:rsidRDefault="00B30157" w:rsidP="00FB5DBF">
      <w:pPr>
        <w:spacing w:before="120" w:after="120"/>
        <w:jc w:val="both"/>
        <w:rPr>
          <w:rFonts w:cs="Times New Roman"/>
        </w:rPr>
      </w:pPr>
      <w:r>
        <w:rPr>
          <w:rFonts w:cs="Times New Roman"/>
        </w:rPr>
        <w:t xml:space="preserve">At the outset of the transposition process, few </w:t>
      </w:r>
      <w:r w:rsidR="002C0D38">
        <w:rPr>
          <w:rFonts w:cs="Times New Roman"/>
        </w:rPr>
        <w:t>could anticipate</w:t>
      </w:r>
      <w:r>
        <w:rPr>
          <w:rFonts w:cs="Times New Roman"/>
        </w:rPr>
        <w:t xml:space="preserve"> what would ensue. The literature and commentary largely welcomed the text</w:t>
      </w:r>
      <w:r w:rsidR="00693377">
        <w:rPr>
          <w:rFonts w:cs="Times New Roman"/>
        </w:rPr>
        <w:t xml:space="preserve"> of the PRD</w:t>
      </w:r>
      <w:r>
        <w:rPr>
          <w:rFonts w:cs="Times New Roman"/>
        </w:rPr>
        <w:t>, looked at its complexities and suggested that careful deliberation was necessary in order to achieve the desired implementation of what can be viewed as the first European Union-wide initiative for the creation of a substantive procedure since the Banking and Insurance Directives.</w:t>
      </w:r>
      <w:r>
        <w:rPr>
          <w:rStyle w:val="FootnoteReference"/>
          <w:rFonts w:cs="Times New Roman"/>
        </w:rPr>
        <w:footnoteReference w:id="48"/>
      </w:r>
      <w:r>
        <w:rPr>
          <w:rFonts w:cs="Times New Roman"/>
        </w:rPr>
        <w:t xml:space="preserve"> Unlike the E</w:t>
      </w:r>
      <w:r w:rsidR="009A4C26">
        <w:rPr>
          <w:rFonts w:cs="Times New Roman"/>
        </w:rPr>
        <w:t>IR Recast</w:t>
      </w:r>
      <w:r>
        <w:rPr>
          <w:rFonts w:cs="Times New Roman"/>
        </w:rPr>
        <w:t>, whose contribution to the field was to regulate</w:t>
      </w:r>
      <w:r w:rsidR="009A4C26">
        <w:rPr>
          <w:rFonts w:cs="Times New Roman"/>
        </w:rPr>
        <w:t xml:space="preserve"> </w:t>
      </w:r>
      <w:r>
        <w:rPr>
          <w:rFonts w:cs="Times New Roman"/>
        </w:rPr>
        <w:t xml:space="preserve">the private international aspects of cross-border procedures, the PRD was always intended to be a fully functioning alternative to contemporary domestic insolvency procedures, although the (deliberate?) use of the </w:t>
      </w:r>
      <w:r w:rsidR="009A4C26">
        <w:rPr>
          <w:rFonts w:cs="Times New Roman"/>
        </w:rPr>
        <w:t>d</w:t>
      </w:r>
      <w:r>
        <w:rPr>
          <w:rFonts w:cs="Times New Roman"/>
        </w:rPr>
        <w:t xml:space="preserve">irective form was designed to see it embedded within domestic law alongside or instead of some of these procedures. This </w:t>
      </w:r>
      <w:r w:rsidR="00241497">
        <w:rPr>
          <w:rFonts w:cs="Times New Roman"/>
        </w:rPr>
        <w:t>‘</w:t>
      </w:r>
      <w:r>
        <w:rPr>
          <w:rFonts w:cs="Times New Roman"/>
        </w:rPr>
        <w:t>Trojan Horse</w:t>
      </w:r>
      <w:r w:rsidR="00241497">
        <w:rPr>
          <w:rFonts w:cs="Times New Roman"/>
        </w:rPr>
        <w:t>’</w:t>
      </w:r>
      <w:r>
        <w:rPr>
          <w:rFonts w:cs="Times New Roman"/>
        </w:rPr>
        <w:t xml:space="preserve"> model would result in a more or less uniform preventive restructuring regime being available in all </w:t>
      </w:r>
      <w:r w:rsidR="007552A2">
        <w:rPr>
          <w:rFonts w:cs="Times New Roman"/>
        </w:rPr>
        <w:t>Member State</w:t>
      </w:r>
      <w:r>
        <w:rPr>
          <w:rFonts w:cs="Times New Roman"/>
        </w:rPr>
        <w:t>s, which, despite the variations it could contain, would enhance the certainty of cross-border investors. A very laudable aim, indeed.</w:t>
      </w:r>
    </w:p>
    <w:p w14:paraId="0EAAE998" w14:textId="485859F9" w:rsidR="002D7DFE" w:rsidRDefault="00FB5DBF" w:rsidP="00FB5DBF">
      <w:pPr>
        <w:spacing w:before="120" w:after="120"/>
        <w:jc w:val="both"/>
        <w:rPr>
          <w:rFonts w:cs="Times New Roman"/>
        </w:rPr>
      </w:pPr>
      <w:r>
        <w:rPr>
          <w:rFonts w:cs="Times New Roman"/>
        </w:rPr>
        <w:t>In the period following the publication of the authors’ last survey of these five jurisdictions</w:t>
      </w:r>
      <w:r w:rsidR="00B30157">
        <w:rPr>
          <w:rFonts w:cs="Times New Roman"/>
        </w:rPr>
        <w:t>, what has resulted has been</w:t>
      </w:r>
      <w:r>
        <w:rPr>
          <w:rFonts w:cs="Times New Roman"/>
        </w:rPr>
        <w:t xml:space="preserve"> </w:t>
      </w:r>
      <w:r w:rsidR="00B30157">
        <w:rPr>
          <w:rFonts w:cs="Times New Roman"/>
        </w:rPr>
        <w:t xml:space="preserve">the </w:t>
      </w:r>
      <w:r>
        <w:rPr>
          <w:rFonts w:cs="Times New Roman"/>
        </w:rPr>
        <w:t xml:space="preserve">many social and economic changes that have impacted the speed with which the implementation has occurred and potentially the form that these reforms have taken. Whereas some have pushed through reforms as quickly as possible (for better or for worse) that certainly touch on some of the policy focus of the PRD, the technical detail of implementation has been delayed until 2022 by </w:t>
      </w:r>
      <w:r w:rsidR="00693377">
        <w:rPr>
          <w:rFonts w:cs="Times New Roman"/>
        </w:rPr>
        <w:t>most EU</w:t>
      </w:r>
      <w:r w:rsidR="003C3F44">
        <w:rPr>
          <w:rFonts w:cs="Times New Roman"/>
        </w:rPr>
        <w:t xml:space="preserve"> </w:t>
      </w:r>
      <w:r>
        <w:rPr>
          <w:rFonts w:cs="Times New Roman"/>
        </w:rPr>
        <w:t>jurisdictions</w:t>
      </w:r>
      <w:r w:rsidR="00693377">
        <w:rPr>
          <w:rFonts w:cs="Times New Roman"/>
        </w:rPr>
        <w:t xml:space="preserve">, apart from the majority of those surveyed in this </w:t>
      </w:r>
      <w:r w:rsidR="001632F5">
        <w:rPr>
          <w:rFonts w:cs="Times New Roman"/>
        </w:rPr>
        <w:t>article</w:t>
      </w:r>
      <w:r>
        <w:rPr>
          <w:rFonts w:cs="Times New Roman"/>
        </w:rPr>
        <w:t>. Where there may have been</w:t>
      </w:r>
      <w:r w:rsidR="001632F5">
        <w:rPr>
          <w:rFonts w:cs="Times New Roman"/>
        </w:rPr>
        <w:t xml:space="preserve"> some</w:t>
      </w:r>
      <w:r>
        <w:rPr>
          <w:rFonts w:cs="Times New Roman"/>
        </w:rPr>
        <w:t xml:space="preserve"> hesitancy to adopt the more flexible options of the PRD for fear of abuse by debtors</w:t>
      </w:r>
      <w:r w:rsidR="001632F5">
        <w:rPr>
          <w:rFonts w:cs="Times New Roman"/>
        </w:rPr>
        <w:t xml:space="preserve"> (though there </w:t>
      </w:r>
      <w:proofErr w:type="gramStart"/>
      <w:r w:rsidR="001632F5">
        <w:rPr>
          <w:rFonts w:cs="Times New Roman"/>
        </w:rPr>
        <w:t>has</w:t>
      </w:r>
      <w:proofErr w:type="gramEnd"/>
      <w:r w:rsidR="001632F5">
        <w:rPr>
          <w:rFonts w:cs="Times New Roman"/>
        </w:rPr>
        <w:t xml:space="preserve"> certainly been some courageous changes in this area) </w:t>
      </w:r>
      <w:r>
        <w:rPr>
          <w:rFonts w:cs="Times New Roman"/>
        </w:rPr>
        <w:t>the dire needs of small and medium enterprises</w:t>
      </w:r>
      <w:r w:rsidR="00492F1A">
        <w:rPr>
          <w:rFonts w:cs="Times New Roman"/>
        </w:rPr>
        <w:t>,</w:t>
      </w:r>
      <w:r>
        <w:rPr>
          <w:rFonts w:cs="Times New Roman"/>
        </w:rPr>
        <w:t xml:space="preserve"> particularly in the wake of the lockdowns enforced as a result of the COVID-19 pandemic</w:t>
      </w:r>
      <w:r w:rsidR="00492F1A">
        <w:rPr>
          <w:rFonts w:cs="Times New Roman"/>
        </w:rPr>
        <w:t>,</w:t>
      </w:r>
      <w:r>
        <w:rPr>
          <w:rFonts w:cs="Times New Roman"/>
        </w:rPr>
        <w:t xml:space="preserve"> have necessitated a broader and, for lack of a better word, more compassionate approach for those who have faced losing everything. It will be interesting to see</w:t>
      </w:r>
      <w:r w:rsidR="00B30157">
        <w:rPr>
          <w:rFonts w:cs="Times New Roman"/>
        </w:rPr>
        <w:t>, in the final phase of transposition,</w:t>
      </w:r>
      <w:r>
        <w:rPr>
          <w:rFonts w:cs="Times New Roman"/>
        </w:rPr>
        <w:t xml:space="preserve"> whether these approaches also find their way into the full implementation strategies or if the more flexible </w:t>
      </w:r>
      <w:r>
        <w:rPr>
          <w:rFonts w:cs="Times New Roman"/>
        </w:rPr>
        <w:lastRenderedPageBreak/>
        <w:t>and debtor friendly safety nets will simply be a temporary anomaly associated with the sudden shock precipitated by the COVID 19 pandemic.</w:t>
      </w:r>
      <w:r w:rsidR="00722B84">
        <w:rPr>
          <w:rStyle w:val="FootnoteReference"/>
          <w:rFonts w:cs="Times New Roman"/>
        </w:rPr>
        <w:footnoteReference w:id="49"/>
      </w:r>
    </w:p>
    <w:p w14:paraId="7817049F" w14:textId="209F2AC9" w:rsidR="00FB5DBF" w:rsidRDefault="002D7DFE" w:rsidP="00FB5DBF">
      <w:pPr>
        <w:spacing w:before="120" w:after="120"/>
        <w:jc w:val="both"/>
        <w:rPr>
          <w:rFonts w:cs="Times New Roman"/>
        </w:rPr>
      </w:pPr>
      <w:r>
        <w:rPr>
          <w:rFonts w:cs="Times New Roman"/>
        </w:rPr>
        <w:t xml:space="preserve">Of note, however, is the possible tension between </w:t>
      </w:r>
      <w:r w:rsidR="008468CD">
        <w:rPr>
          <w:rFonts w:cs="Times New Roman"/>
        </w:rPr>
        <w:t xml:space="preserve">measures responding to the </w:t>
      </w:r>
      <w:r>
        <w:rPr>
          <w:rFonts w:cs="Times New Roman"/>
        </w:rPr>
        <w:t xml:space="preserve">pandemic and those that </w:t>
      </w:r>
      <w:r w:rsidR="008468CD">
        <w:rPr>
          <w:rFonts w:cs="Times New Roman"/>
        </w:rPr>
        <w:t xml:space="preserve">will need to be crafted </w:t>
      </w:r>
      <w:r>
        <w:rPr>
          <w:rFonts w:cs="Times New Roman"/>
        </w:rPr>
        <w:t xml:space="preserve">because of the complexity of the </w:t>
      </w:r>
      <w:r w:rsidR="009A4C26">
        <w:rPr>
          <w:rFonts w:cs="Times New Roman"/>
        </w:rPr>
        <w:t>PRD</w:t>
      </w:r>
      <w:r>
        <w:rPr>
          <w:rFonts w:cs="Times New Roman"/>
        </w:rPr>
        <w:t xml:space="preserve"> text</w:t>
      </w:r>
      <w:r w:rsidR="008468CD">
        <w:rPr>
          <w:rFonts w:cs="Times New Roman"/>
        </w:rPr>
        <w:t>.</w:t>
      </w:r>
      <w:r>
        <w:rPr>
          <w:rFonts w:cs="Times New Roman"/>
        </w:rPr>
        <w:t xml:space="preserve"> </w:t>
      </w:r>
      <w:r w:rsidR="008468CD">
        <w:rPr>
          <w:rFonts w:cs="Times New Roman"/>
        </w:rPr>
        <w:t xml:space="preserve">This </w:t>
      </w:r>
      <w:r>
        <w:rPr>
          <w:rFonts w:cs="Times New Roman"/>
        </w:rPr>
        <w:t>might yet result in policy option</w:t>
      </w:r>
      <w:r w:rsidR="008468CD">
        <w:rPr>
          <w:rFonts w:cs="Times New Roman"/>
        </w:rPr>
        <w:t>s</w:t>
      </w:r>
      <w:r>
        <w:rPr>
          <w:rFonts w:cs="Times New Roman"/>
        </w:rPr>
        <w:t xml:space="preserve"> with </w:t>
      </w:r>
      <w:r w:rsidR="008468CD">
        <w:rPr>
          <w:rFonts w:cs="Times New Roman"/>
        </w:rPr>
        <w:t xml:space="preserve">possible </w:t>
      </w:r>
      <w:r>
        <w:rPr>
          <w:rFonts w:cs="Times New Roman"/>
        </w:rPr>
        <w:t>profound consequences</w:t>
      </w:r>
      <w:r w:rsidR="008468CD">
        <w:rPr>
          <w:rFonts w:cs="Times New Roman"/>
        </w:rPr>
        <w:t xml:space="preserve"> for the uniform implementation of the PRD</w:t>
      </w:r>
      <w:r>
        <w:rPr>
          <w:rFonts w:cs="Times New Roman"/>
        </w:rPr>
        <w:t xml:space="preserve">. </w:t>
      </w:r>
      <w:r w:rsidR="00B30157">
        <w:rPr>
          <w:rFonts w:cs="Times New Roman"/>
        </w:rPr>
        <w:t>Some of the policy choices that are regarded as particularly acute have been addressed by the IMF in a document produced in 2021</w:t>
      </w:r>
      <w:r>
        <w:rPr>
          <w:rFonts w:cs="Times New Roman"/>
        </w:rPr>
        <w:t>,</w:t>
      </w:r>
      <w:r>
        <w:rPr>
          <w:rStyle w:val="FootnoteReference"/>
          <w:rFonts w:cs="Times New Roman"/>
        </w:rPr>
        <w:footnoteReference w:id="50"/>
      </w:r>
      <w:r>
        <w:rPr>
          <w:rFonts w:cs="Times New Roman"/>
        </w:rPr>
        <w:t xml:space="preserve"> which essentially advises a greater regard for the avoidance of divergence in the models chosen, particularly in the area of stays, plan preparation, formation and adoption processes as well as on issues such as new finance and the treatment of equity, so as not to imperil creditors’ rights or produce uncertain outcomes in cross-border cases. In the view of the IMF, there is a great risk if </w:t>
      </w:r>
      <w:r w:rsidR="007552A2">
        <w:rPr>
          <w:rFonts w:cs="Times New Roman"/>
        </w:rPr>
        <w:t>Member State</w:t>
      </w:r>
      <w:r>
        <w:rPr>
          <w:rFonts w:cs="Times New Roman"/>
        </w:rPr>
        <w:t xml:space="preserve">s, </w:t>
      </w:r>
      <w:r w:rsidR="002C0D38">
        <w:rPr>
          <w:rFonts w:cs="Times New Roman"/>
        </w:rPr>
        <w:t>relying</w:t>
      </w:r>
      <w:r>
        <w:rPr>
          <w:rFonts w:cs="Times New Roman"/>
        </w:rPr>
        <w:t xml:space="preserve"> on their </w:t>
      </w:r>
      <w:r w:rsidR="00391EE8">
        <w:rPr>
          <w:rFonts w:cs="Times New Roman"/>
        </w:rPr>
        <w:t>own</w:t>
      </w:r>
      <w:r>
        <w:rPr>
          <w:rFonts w:cs="Times New Roman"/>
        </w:rPr>
        <w:t xml:space="preserve"> domestic policy leanings, choose options that </w:t>
      </w:r>
      <w:r w:rsidR="00391EE8">
        <w:rPr>
          <w:rFonts w:cs="Times New Roman"/>
        </w:rPr>
        <w:t xml:space="preserve">reduce the intended beneficial effect of the harmonisation initiative. Too much choice, it seems, </w:t>
      </w:r>
      <w:r w:rsidR="005F1D0E">
        <w:rPr>
          <w:rFonts w:cs="Times New Roman"/>
        </w:rPr>
        <w:t>could be</w:t>
      </w:r>
      <w:r w:rsidR="00391EE8">
        <w:rPr>
          <w:rFonts w:cs="Times New Roman"/>
        </w:rPr>
        <w:t xml:space="preserve"> a bad thing after all.</w:t>
      </w:r>
    </w:p>
    <w:p w14:paraId="4BB1A377" w14:textId="63344795" w:rsidR="00391EE8" w:rsidRPr="00D813B6" w:rsidRDefault="00391EE8" w:rsidP="00391EE8">
      <w:pPr>
        <w:jc w:val="both"/>
      </w:pPr>
      <w:r>
        <w:rPr>
          <w:rFonts w:cs="Times New Roman"/>
        </w:rPr>
        <w:t xml:space="preserve">It is also of harmonisation that one must speak of in the end, as </w:t>
      </w:r>
      <w:r w:rsidRPr="00D813B6">
        <w:t xml:space="preserve">the European Commission has </w:t>
      </w:r>
      <w:r>
        <w:t xml:space="preserve">launched </w:t>
      </w:r>
      <w:r w:rsidR="005F1D0E">
        <w:t>a new</w:t>
      </w:r>
      <w:r>
        <w:t xml:space="preserve"> process building up to </w:t>
      </w:r>
      <w:r w:rsidRPr="00D813B6">
        <w:t xml:space="preserve">a </w:t>
      </w:r>
      <w:r w:rsidR="005F1D0E">
        <w:t xml:space="preserve">further </w:t>
      </w:r>
      <w:r w:rsidRPr="00D813B6">
        <w:t xml:space="preserve">instrument in the insolvency law field. Building on </w:t>
      </w:r>
      <w:r>
        <w:t xml:space="preserve">the perceived </w:t>
      </w:r>
      <w:r w:rsidRPr="00D813B6">
        <w:t xml:space="preserve">success of the </w:t>
      </w:r>
      <w:r w:rsidR="009A4C26">
        <w:t>EIR Recast</w:t>
      </w:r>
      <w:r w:rsidRPr="00D813B6">
        <w:t xml:space="preserve"> and the </w:t>
      </w:r>
      <w:r>
        <w:t>anticipated success of the PRD</w:t>
      </w:r>
      <w:r w:rsidRPr="00D813B6">
        <w:t xml:space="preserve">, DG Justice has taken the lead in a project </w:t>
      </w:r>
      <w:r>
        <w:t xml:space="preserve">inaugurated in October 2020 </w:t>
      </w:r>
      <w:r w:rsidRPr="00D813B6">
        <w:t>arising from the work of the Experts Group on Restructuring and Insolvency and has identified possible avenues to pursue towards the convergence of insolvency law rules within the EU.</w:t>
      </w:r>
      <w:r>
        <w:t xml:space="preserve"> </w:t>
      </w:r>
      <w:r w:rsidRPr="00D813B6">
        <w:t xml:space="preserve">Areas of interest </w:t>
      </w:r>
      <w:r>
        <w:t xml:space="preserve">announced </w:t>
      </w:r>
      <w:r w:rsidRPr="00D813B6">
        <w:t>for this initiative include the prerequisites for commencement of proceedings</w:t>
      </w:r>
      <w:r w:rsidR="009A4C26">
        <w:t xml:space="preserve">, </w:t>
      </w:r>
      <w:r w:rsidRPr="00D813B6">
        <w:t>including a definition of insolvency; avoidance actions and the effects of claw-back rights; asset-tracing frameworks; directors’ duties in the vicinity of insolvency; the position of secured creditors and the balance between secured creditors and other stakeholders; as well as the issue of court expertise and the training of judges.</w:t>
      </w:r>
      <w:r w:rsidR="00D60539">
        <w:rPr>
          <w:rStyle w:val="FootnoteReference"/>
        </w:rPr>
        <w:footnoteReference w:id="51"/>
      </w:r>
    </w:p>
    <w:p w14:paraId="78D8DCB3" w14:textId="1DDC4B49" w:rsidR="00391EE8" w:rsidRDefault="00391EE8" w:rsidP="00391EE8">
      <w:pPr>
        <w:jc w:val="both"/>
      </w:pPr>
    </w:p>
    <w:p w14:paraId="548B2C85" w14:textId="67AB06FA" w:rsidR="005F1D0E" w:rsidRDefault="00391EE8" w:rsidP="00391EE8">
      <w:pPr>
        <w:jc w:val="both"/>
      </w:pPr>
      <w:r>
        <w:t xml:space="preserve">At time of writing, the Experts’ Group </w:t>
      </w:r>
      <w:r w:rsidR="005F1D0E">
        <w:t xml:space="preserve">(which has been reconstituted for this purpose) </w:t>
      </w:r>
      <w:r>
        <w:t xml:space="preserve">has been working for </w:t>
      </w:r>
      <w:r w:rsidR="005F1D0E">
        <w:t xml:space="preserve">over </w:t>
      </w:r>
      <w:r>
        <w:t xml:space="preserve">six months. Across the totality of their meetings, the work has proceeded on two levels, firstly identifying, among the many topics put forward, those proposals that could command broad support within the group itself. Second, thinking more strategically to the likely adoption process, the experts are conscious of the need to anticipate what measures </w:t>
      </w:r>
      <w:r w:rsidR="007552A2">
        <w:t>Member State</w:t>
      </w:r>
      <w:r>
        <w:t>s would accept as being sufficiently imperative to warrant convergence in the rules across the Single Market. A final consideration shaping the outcomes and product of the deliberations is the form that measures might take, some perhaps more suitable for (or more acceptable in the guise of) a Recommendation, with others perhaps requiring an approach analogous to that for the PRD.</w:t>
      </w:r>
    </w:p>
    <w:p w14:paraId="4C863500" w14:textId="77777777" w:rsidR="005F1D0E" w:rsidRDefault="005F1D0E" w:rsidP="00391EE8">
      <w:pPr>
        <w:jc w:val="both"/>
      </w:pPr>
    </w:p>
    <w:p w14:paraId="2740F26F" w14:textId="78BD721A" w:rsidR="00391EE8" w:rsidRPr="00D813B6" w:rsidRDefault="005F1D0E" w:rsidP="00391EE8">
      <w:pPr>
        <w:jc w:val="both"/>
      </w:pPr>
      <w:r>
        <w:t xml:space="preserve">Although there is acute </w:t>
      </w:r>
      <w:r w:rsidR="00391EE8">
        <w:t>aware</w:t>
      </w:r>
      <w:r>
        <w:t>ness</w:t>
      </w:r>
      <w:r w:rsidR="00391EE8">
        <w:t xml:space="preserve"> of the </w:t>
      </w:r>
      <w:r w:rsidR="00391EE8" w:rsidRPr="009A4F7B">
        <w:t xml:space="preserve">sensitive </w:t>
      </w:r>
      <w:r w:rsidR="00391EE8">
        <w:t xml:space="preserve">nature </w:t>
      </w:r>
      <w:r w:rsidR="00391EE8" w:rsidRPr="009A4F7B">
        <w:t xml:space="preserve">of </w:t>
      </w:r>
      <w:r w:rsidR="00391EE8">
        <w:t xml:space="preserve">restructuring and </w:t>
      </w:r>
      <w:r w:rsidR="00391EE8" w:rsidRPr="009A4F7B">
        <w:t>insolvency law</w:t>
      </w:r>
      <w:r w:rsidR="009A4C26">
        <w:t xml:space="preserve">, </w:t>
      </w:r>
      <w:r w:rsidR="00391EE8">
        <w:t xml:space="preserve">being not just legal tools, but ones with economic and social consequences, and which interface with many other </w:t>
      </w:r>
      <w:r w:rsidR="00391EE8" w:rsidRPr="009A4F7B">
        <w:t>key aspects of domestic law</w:t>
      </w:r>
      <w:r>
        <w:t xml:space="preserve">, </w:t>
      </w:r>
      <w:r w:rsidR="00391EE8">
        <w:t>the push given by the PRD to developments in this field and the need to make progress whilst the topic remains top of the agenda, not least because of concerns about the security and resilience of business and economic activity in a post-pandemic world, mean</w:t>
      </w:r>
      <w:r>
        <w:t>s</w:t>
      </w:r>
      <w:r w:rsidR="00391EE8">
        <w:t xml:space="preserve"> that there is likely to be a text that emerges in 2022, though its adoption may not come for a little while.</w:t>
      </w:r>
      <w:r>
        <w:t xml:space="preserve"> In this context, some concern can be expressed that this text follows too closely on the final stages of PRD transposition and will coincide with the critical time of its coming into use. Further </w:t>
      </w:r>
      <w:r w:rsidR="00241497">
        <w:t>‘</w:t>
      </w:r>
      <w:r>
        <w:t>disruption</w:t>
      </w:r>
      <w:r w:rsidR="00241497">
        <w:t>’</w:t>
      </w:r>
      <w:r>
        <w:t xml:space="preserve"> from another transposition process to domestic law might not be wholly welcome to the </w:t>
      </w:r>
      <w:r w:rsidR="007552A2">
        <w:t>Member State</w:t>
      </w:r>
      <w:r>
        <w:t>s.</w:t>
      </w:r>
    </w:p>
    <w:p w14:paraId="02EC8355" w14:textId="505AA443" w:rsidR="00CC7D85" w:rsidRDefault="005F1D0E" w:rsidP="00F04954">
      <w:pPr>
        <w:spacing w:before="120" w:after="120"/>
        <w:jc w:val="both"/>
        <w:rPr>
          <w:rFonts w:cs="Times New Roman"/>
          <w:b/>
          <w:bCs/>
        </w:rPr>
      </w:pPr>
      <w:r w:rsidRPr="005F1D0E">
        <w:rPr>
          <w:rFonts w:cs="Times New Roman"/>
          <w:b/>
          <w:bCs/>
        </w:rPr>
        <w:lastRenderedPageBreak/>
        <w:t>4. Conclusion</w:t>
      </w:r>
    </w:p>
    <w:p w14:paraId="405C75DB" w14:textId="7CA46BE8" w:rsidR="005F1D0E" w:rsidRDefault="1AFC58FF" w:rsidP="00F04954">
      <w:pPr>
        <w:spacing w:before="120" w:after="120"/>
        <w:jc w:val="both"/>
        <w:rPr>
          <w:rFonts w:cs="Times New Roman"/>
        </w:rPr>
      </w:pPr>
      <w:r w:rsidRPr="1AFC58FF">
        <w:rPr>
          <w:rFonts w:cs="Times New Roman"/>
        </w:rPr>
        <w:t xml:space="preserve">In conclusion, the PRD is a major text, not just as a preventive restructuring framework, but also as part of the emerging and wide-ranging toolkit stakeholders expect of a modern and developed insolvency and restructuring system. While national transposition efforts may embrace different speeds and </w:t>
      </w:r>
      <w:r w:rsidR="00D83E64">
        <w:rPr>
          <w:rFonts w:cs="Times New Roman"/>
        </w:rPr>
        <w:t>will vary</w:t>
      </w:r>
      <w:r w:rsidRPr="1AFC58FF">
        <w:rPr>
          <w:rFonts w:cs="Times New Roman"/>
        </w:rPr>
        <w:t xml:space="preserve"> to suit domestic policy, overall, the initiative can be commended as one that has brought preventive restructuring into the clear light of day, normalising it as part of modern insolvency techniques. The detail of the actual transposition</w:t>
      </w:r>
      <w:r w:rsidR="00541407">
        <w:rPr>
          <w:rFonts w:cs="Times New Roman"/>
        </w:rPr>
        <w:t>s</w:t>
      </w:r>
      <w:r w:rsidRPr="1AFC58FF">
        <w:rPr>
          <w:rFonts w:cs="Times New Roman"/>
        </w:rPr>
        <w:t xml:space="preserve"> that </w:t>
      </w:r>
      <w:r w:rsidR="00541407">
        <w:rPr>
          <w:rFonts w:cs="Times New Roman"/>
        </w:rPr>
        <w:t>have</w:t>
      </w:r>
      <w:r w:rsidRPr="1AFC58FF">
        <w:rPr>
          <w:rFonts w:cs="Times New Roman"/>
        </w:rPr>
        <w:t xml:space="preserve"> been examined here ha</w:t>
      </w:r>
      <w:r w:rsidR="00532DCE">
        <w:rPr>
          <w:rFonts w:cs="Times New Roman"/>
        </w:rPr>
        <w:t>s</w:t>
      </w:r>
      <w:r w:rsidRPr="1AFC58FF">
        <w:rPr>
          <w:rFonts w:cs="Times New Roman"/>
        </w:rPr>
        <w:t xml:space="preserve"> revealed the concerted effort by those Member States that have achieve</w:t>
      </w:r>
      <w:r w:rsidR="002D3D83">
        <w:rPr>
          <w:rFonts w:cs="Times New Roman"/>
        </w:rPr>
        <w:t>d</w:t>
      </w:r>
      <w:r w:rsidRPr="1AFC58FF">
        <w:rPr>
          <w:rFonts w:cs="Times New Roman"/>
        </w:rPr>
        <w:t xml:space="preserve"> transposition early</w:t>
      </w:r>
      <w:r w:rsidR="002D3D83">
        <w:rPr>
          <w:rFonts w:cs="Times New Roman"/>
        </w:rPr>
        <w:t>.</w:t>
      </w:r>
      <w:r w:rsidR="00F50BF2">
        <w:rPr>
          <w:rFonts w:cs="Times New Roman"/>
        </w:rPr>
        <w:t xml:space="preserve"> The proposals implemented as well as the independent UK reforms have </w:t>
      </w:r>
      <w:r w:rsidR="00541407">
        <w:rPr>
          <w:rFonts w:cs="Times New Roman"/>
        </w:rPr>
        <w:t>been fairly</w:t>
      </w:r>
      <w:r w:rsidR="00F50BF2">
        <w:rPr>
          <w:rFonts w:cs="Times New Roman"/>
        </w:rPr>
        <w:t xml:space="preserve"> ambitious</w:t>
      </w:r>
      <w:r w:rsidR="00D83E64">
        <w:rPr>
          <w:rFonts w:cs="Times New Roman"/>
        </w:rPr>
        <w:t>,</w:t>
      </w:r>
      <w:r w:rsidR="00F50BF2">
        <w:rPr>
          <w:rFonts w:cs="Times New Roman"/>
        </w:rPr>
        <w:t xml:space="preserve"> send</w:t>
      </w:r>
      <w:r w:rsidR="00541407">
        <w:rPr>
          <w:rFonts w:cs="Times New Roman"/>
        </w:rPr>
        <w:t>ing</w:t>
      </w:r>
      <w:r w:rsidR="00F50BF2">
        <w:rPr>
          <w:rFonts w:cs="Times New Roman"/>
        </w:rPr>
        <w:t xml:space="preserve"> out a promising signal for a new restructuring culture in Europe. </w:t>
      </w:r>
      <w:r w:rsidR="002D3D83">
        <w:rPr>
          <w:rFonts w:cs="Times New Roman"/>
        </w:rPr>
        <w:t xml:space="preserve">Given the many options offered by the PRD, it is a complex exercise to </w:t>
      </w:r>
      <w:r w:rsidRPr="1AFC58FF">
        <w:rPr>
          <w:rFonts w:cs="Times New Roman"/>
        </w:rPr>
        <w:t xml:space="preserve">place the </w:t>
      </w:r>
      <w:r w:rsidR="00D30D53">
        <w:rPr>
          <w:rFonts w:cs="Times New Roman"/>
        </w:rPr>
        <w:t xml:space="preserve">reforms </w:t>
      </w:r>
      <w:r w:rsidRPr="1AFC58FF">
        <w:rPr>
          <w:rFonts w:cs="Times New Roman"/>
        </w:rPr>
        <w:t xml:space="preserve">into the domestic law </w:t>
      </w:r>
      <w:r w:rsidR="00D83E64">
        <w:rPr>
          <w:rFonts w:cs="Times New Roman"/>
        </w:rPr>
        <w:t xml:space="preserve">carefully </w:t>
      </w:r>
      <w:r w:rsidRPr="1AFC58FF">
        <w:rPr>
          <w:rFonts w:cs="Times New Roman"/>
        </w:rPr>
        <w:t xml:space="preserve">to positively benefit </w:t>
      </w:r>
      <w:r w:rsidR="00532DCE">
        <w:rPr>
          <w:rFonts w:cs="Times New Roman"/>
        </w:rPr>
        <w:t xml:space="preserve">all </w:t>
      </w:r>
      <w:r w:rsidRPr="1AFC58FF">
        <w:rPr>
          <w:rFonts w:cs="Times New Roman"/>
        </w:rPr>
        <w:t xml:space="preserve">stakeholders. This may not be true for all Member States, particularly those electing for the extension, not because of the perceived difficulty of transposition, but because </w:t>
      </w:r>
      <w:r w:rsidR="00D30D53">
        <w:rPr>
          <w:rFonts w:cs="Times New Roman"/>
        </w:rPr>
        <w:t xml:space="preserve">there may be </w:t>
      </w:r>
      <w:r w:rsidRPr="1AFC58FF">
        <w:rPr>
          <w:rFonts w:cs="Times New Roman"/>
        </w:rPr>
        <w:t xml:space="preserve">more fundamental issues </w:t>
      </w:r>
      <w:r w:rsidR="00541407">
        <w:rPr>
          <w:rFonts w:cs="Times New Roman"/>
        </w:rPr>
        <w:t xml:space="preserve">to do </w:t>
      </w:r>
      <w:r w:rsidRPr="1AFC58FF">
        <w:rPr>
          <w:rFonts w:cs="Times New Roman"/>
        </w:rPr>
        <w:t xml:space="preserve">with the robustness of their domestic </w:t>
      </w:r>
      <w:r w:rsidR="00D30D53">
        <w:rPr>
          <w:rFonts w:cs="Times New Roman"/>
        </w:rPr>
        <w:t xml:space="preserve">restructuring and insolvency </w:t>
      </w:r>
      <w:r w:rsidRPr="1AFC58FF">
        <w:rPr>
          <w:rFonts w:cs="Times New Roman"/>
        </w:rPr>
        <w:t>laws and frameworks. Nonetheless, the PRD initiative, which the authors intend to examine again, is certainly one that will enable more creative approaches to the rescue of viable businesses</w:t>
      </w:r>
      <w:r w:rsidR="00103750">
        <w:rPr>
          <w:rFonts w:cs="Times New Roman"/>
        </w:rPr>
        <w:t xml:space="preserve">, which should </w:t>
      </w:r>
      <w:r w:rsidR="00D30D53">
        <w:rPr>
          <w:rFonts w:cs="Times New Roman"/>
        </w:rPr>
        <w:t xml:space="preserve">continue to </w:t>
      </w:r>
      <w:r w:rsidR="00103750">
        <w:rPr>
          <w:rFonts w:cs="Times New Roman"/>
        </w:rPr>
        <w:t xml:space="preserve">promote better </w:t>
      </w:r>
      <w:r w:rsidR="00D30D53">
        <w:rPr>
          <w:rFonts w:cs="Times New Roman"/>
        </w:rPr>
        <w:t xml:space="preserve">preventive </w:t>
      </w:r>
      <w:r w:rsidR="00103750">
        <w:rPr>
          <w:rFonts w:cs="Times New Roman"/>
        </w:rPr>
        <w:t xml:space="preserve">restructuring </w:t>
      </w:r>
      <w:r w:rsidR="00D30D53">
        <w:rPr>
          <w:rFonts w:cs="Times New Roman"/>
        </w:rPr>
        <w:t>regimes in Europe</w:t>
      </w:r>
      <w:r w:rsidRPr="1AFC58FF">
        <w:rPr>
          <w:rFonts w:cs="Times New Roman"/>
        </w:rPr>
        <w:t>. This can only be a good thing!</w:t>
      </w:r>
    </w:p>
    <w:p w14:paraId="1C77D783" w14:textId="46A7B037" w:rsidR="00CA3253" w:rsidRPr="00343552" w:rsidRDefault="00CA3253" w:rsidP="00343552">
      <w:pPr>
        <w:spacing w:before="120" w:after="120"/>
        <w:jc w:val="both"/>
        <w:rPr>
          <w:rFonts w:cs="Times New Roman"/>
          <w:b/>
          <w:color w:val="7030A0"/>
        </w:rPr>
      </w:pPr>
    </w:p>
    <w:sectPr w:rsidR="00CA3253" w:rsidRPr="00343552" w:rsidSect="00B0288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F87A5" w14:textId="77777777" w:rsidR="0060182D" w:rsidRDefault="0060182D" w:rsidP="00E770F8">
      <w:r>
        <w:separator/>
      </w:r>
    </w:p>
  </w:endnote>
  <w:endnote w:type="continuationSeparator" w:id="0">
    <w:p w14:paraId="17BDF11B" w14:textId="77777777" w:rsidR="0060182D" w:rsidRDefault="0060182D" w:rsidP="00E7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B2135" w14:textId="77777777" w:rsidR="0060182D" w:rsidRDefault="0060182D" w:rsidP="00E770F8">
      <w:r>
        <w:separator/>
      </w:r>
    </w:p>
  </w:footnote>
  <w:footnote w:type="continuationSeparator" w:id="0">
    <w:p w14:paraId="515178EE" w14:textId="77777777" w:rsidR="0060182D" w:rsidRDefault="0060182D" w:rsidP="00E770F8">
      <w:r>
        <w:continuationSeparator/>
      </w:r>
    </w:p>
  </w:footnote>
  <w:footnote w:id="1">
    <w:p w14:paraId="5329FF35" w14:textId="6924CD3A" w:rsidR="002276A3" w:rsidRPr="006949C0" w:rsidRDefault="002276A3" w:rsidP="00B71F50">
      <w:pPr>
        <w:pStyle w:val="FootnoteText"/>
        <w:jc w:val="both"/>
        <w:rPr>
          <w:sz w:val="16"/>
          <w:szCs w:val="16"/>
        </w:rPr>
      </w:pPr>
      <w:r w:rsidRPr="006949C0">
        <w:rPr>
          <w:rStyle w:val="FootnoteReference"/>
          <w:sz w:val="16"/>
          <w:szCs w:val="16"/>
        </w:rPr>
        <w:footnoteRef/>
      </w:r>
      <w:r w:rsidRPr="006949C0">
        <w:rPr>
          <w:sz w:val="16"/>
          <w:szCs w:val="16"/>
        </w:rPr>
        <w:t xml:space="preserve"> </w:t>
      </w:r>
      <w:r w:rsidRPr="006949C0">
        <w:rPr>
          <w:rFonts w:cs="Times New Roman"/>
          <w:sz w:val="16"/>
          <w:szCs w:val="16"/>
        </w:rPr>
        <w:t>The law in this article is</w:t>
      </w:r>
      <w:r w:rsidR="00A008DB" w:rsidRPr="006949C0">
        <w:rPr>
          <w:rFonts w:cs="Times New Roman"/>
          <w:sz w:val="16"/>
          <w:szCs w:val="16"/>
        </w:rPr>
        <w:t xml:space="preserve"> </w:t>
      </w:r>
      <w:r w:rsidRPr="006949C0">
        <w:rPr>
          <w:rFonts w:cs="Times New Roman"/>
          <w:sz w:val="16"/>
          <w:szCs w:val="16"/>
        </w:rPr>
        <w:t xml:space="preserve">stated </w:t>
      </w:r>
      <w:r w:rsidR="005422F2" w:rsidRPr="006949C0">
        <w:rPr>
          <w:rFonts w:cs="Times New Roman"/>
          <w:sz w:val="16"/>
          <w:szCs w:val="16"/>
        </w:rPr>
        <w:t xml:space="preserve">as at </w:t>
      </w:r>
      <w:r w:rsidR="003F6F66" w:rsidRPr="006949C0">
        <w:rPr>
          <w:rFonts w:cs="Times New Roman"/>
          <w:sz w:val="16"/>
          <w:szCs w:val="16"/>
        </w:rPr>
        <w:t>30 September 2021</w:t>
      </w:r>
      <w:r w:rsidRPr="006949C0">
        <w:rPr>
          <w:rFonts w:cs="Times New Roman"/>
          <w:sz w:val="16"/>
          <w:szCs w:val="16"/>
        </w:rPr>
        <w:t xml:space="preserve">. </w:t>
      </w:r>
    </w:p>
  </w:footnote>
  <w:footnote w:id="2">
    <w:p w14:paraId="5D0919BB" w14:textId="036C6F29" w:rsidR="005422F2" w:rsidRPr="006949C0" w:rsidRDefault="005422F2" w:rsidP="005422F2">
      <w:pPr>
        <w:pStyle w:val="FootnoteText"/>
        <w:rPr>
          <w:sz w:val="16"/>
          <w:szCs w:val="16"/>
        </w:rPr>
      </w:pPr>
      <w:r w:rsidRPr="006949C0">
        <w:rPr>
          <w:rStyle w:val="FootnoteReference"/>
          <w:sz w:val="16"/>
          <w:szCs w:val="16"/>
        </w:rPr>
        <w:footnoteRef/>
      </w:r>
      <w:r w:rsidRPr="006949C0">
        <w:rPr>
          <w:sz w:val="16"/>
          <w:szCs w:val="16"/>
        </w:rPr>
        <w:t xml:space="preserve"> </w:t>
      </w:r>
      <w:r w:rsidRPr="006949C0">
        <w:rPr>
          <w:rFonts w:cs="Times New Roman"/>
          <w:sz w:val="16"/>
          <w:szCs w:val="16"/>
        </w:rPr>
        <w:t xml:space="preserve">Directive (EU) 2019/1023 of the European Parliament and of the Council of 20 June 2019 on preventive restructuring frameworks, </w:t>
      </w:r>
      <w:r w:rsidRPr="006949C0">
        <w:rPr>
          <w:sz w:val="16"/>
          <w:szCs w:val="16"/>
        </w:rPr>
        <w:t xml:space="preserve">on discharge of debt and disqualifications, and on measures to increase the efficiency of procedures concerning restructuring, insolvency and discharge of debt, and amending Directive (EU) 2017/1132 (Directive on restructuring and insolvency) </w:t>
      </w:r>
      <w:r w:rsidRPr="006949C0">
        <w:rPr>
          <w:i/>
          <w:sz w:val="16"/>
          <w:szCs w:val="16"/>
        </w:rPr>
        <w:t>OJ L 172</w:t>
      </w:r>
      <w:r w:rsidR="0002201D">
        <w:rPr>
          <w:i/>
          <w:sz w:val="16"/>
          <w:szCs w:val="16"/>
        </w:rPr>
        <w:t xml:space="preserve"> </w:t>
      </w:r>
      <w:r w:rsidR="0002201D">
        <w:rPr>
          <w:iCs/>
          <w:sz w:val="16"/>
          <w:szCs w:val="16"/>
        </w:rPr>
        <w:t>(PRD)</w:t>
      </w:r>
      <w:r w:rsidRPr="006949C0">
        <w:rPr>
          <w:i/>
          <w:sz w:val="16"/>
          <w:szCs w:val="16"/>
        </w:rPr>
        <w:t>.</w:t>
      </w:r>
    </w:p>
  </w:footnote>
  <w:footnote w:id="3">
    <w:p w14:paraId="098E50C3" w14:textId="6DB979C7" w:rsidR="005422F2" w:rsidRPr="006949C0" w:rsidRDefault="005422F2" w:rsidP="005422F2">
      <w:pPr>
        <w:autoSpaceDE w:val="0"/>
        <w:autoSpaceDN w:val="0"/>
        <w:adjustRightInd w:val="0"/>
        <w:jc w:val="both"/>
        <w:rPr>
          <w:rFonts w:cs="Times New Roman"/>
          <w:color w:val="FF0000"/>
          <w:sz w:val="16"/>
          <w:szCs w:val="16"/>
        </w:rPr>
      </w:pPr>
      <w:r w:rsidRPr="006949C0">
        <w:rPr>
          <w:rStyle w:val="FootnoteReference"/>
          <w:rFonts w:cs="Times New Roman"/>
          <w:sz w:val="16"/>
          <w:szCs w:val="16"/>
        </w:rPr>
        <w:footnoteRef/>
      </w:r>
      <w:r w:rsidRPr="006949C0">
        <w:rPr>
          <w:rFonts w:cs="Times New Roman"/>
          <w:sz w:val="16"/>
          <w:szCs w:val="16"/>
        </w:rPr>
        <w:t xml:space="preserve"> Commission Communication </w:t>
      </w:r>
      <w:r w:rsidR="008C3942" w:rsidRPr="006949C0">
        <w:rPr>
          <w:rFonts w:cs="Times New Roman"/>
          <w:sz w:val="16"/>
          <w:szCs w:val="16"/>
        </w:rPr>
        <w:t>‘</w:t>
      </w:r>
      <w:r w:rsidRPr="006949C0">
        <w:rPr>
          <w:rFonts w:cs="Times New Roman"/>
          <w:iCs/>
          <w:sz w:val="16"/>
          <w:szCs w:val="16"/>
        </w:rPr>
        <w:t>A New European Approach to Business Failure and Insolvency</w:t>
      </w:r>
      <w:r w:rsidR="008C3942" w:rsidRPr="006949C0">
        <w:rPr>
          <w:rFonts w:cs="Times New Roman"/>
          <w:sz w:val="16"/>
          <w:szCs w:val="16"/>
        </w:rPr>
        <w:t>’</w:t>
      </w:r>
      <w:r w:rsidRPr="006949C0">
        <w:rPr>
          <w:rFonts w:cs="Times New Roman"/>
          <w:iCs/>
          <w:sz w:val="16"/>
          <w:szCs w:val="16"/>
        </w:rPr>
        <w:t xml:space="preserve"> </w:t>
      </w:r>
      <w:r w:rsidRPr="006949C0">
        <w:rPr>
          <w:rFonts w:cs="Times New Roman"/>
          <w:sz w:val="16"/>
          <w:szCs w:val="16"/>
        </w:rPr>
        <w:t xml:space="preserve">COM (2012) 742; </w:t>
      </w:r>
      <w:r w:rsidR="004055AB" w:rsidRPr="006949C0">
        <w:rPr>
          <w:rFonts w:cs="Times New Roman"/>
          <w:sz w:val="16"/>
          <w:szCs w:val="16"/>
        </w:rPr>
        <w:t>Commission Recommendation</w:t>
      </w:r>
      <w:r w:rsidR="008C3942" w:rsidRPr="006949C0">
        <w:rPr>
          <w:rFonts w:cs="Times New Roman"/>
          <w:sz w:val="16"/>
          <w:szCs w:val="16"/>
        </w:rPr>
        <w:t xml:space="preserve"> </w:t>
      </w:r>
      <w:proofErr w:type="gramStart"/>
      <w:r w:rsidR="008C3942" w:rsidRPr="006949C0">
        <w:rPr>
          <w:rFonts w:cs="Times New Roman"/>
          <w:sz w:val="16"/>
          <w:szCs w:val="16"/>
        </w:rPr>
        <w:t>C(</w:t>
      </w:r>
      <w:proofErr w:type="gramEnd"/>
      <w:r w:rsidR="008C3942" w:rsidRPr="006949C0">
        <w:rPr>
          <w:rFonts w:cs="Times New Roman"/>
          <w:sz w:val="16"/>
          <w:szCs w:val="16"/>
        </w:rPr>
        <w:t>2014) 1500 final</w:t>
      </w:r>
      <w:r w:rsidR="004055AB" w:rsidRPr="006949C0">
        <w:rPr>
          <w:rFonts w:cs="Times New Roman"/>
          <w:sz w:val="16"/>
          <w:szCs w:val="16"/>
        </w:rPr>
        <w:t xml:space="preserve"> </w:t>
      </w:r>
      <w:r w:rsidR="008C3942" w:rsidRPr="006949C0">
        <w:rPr>
          <w:rFonts w:cs="Times New Roman"/>
          <w:sz w:val="16"/>
          <w:szCs w:val="16"/>
        </w:rPr>
        <w:t xml:space="preserve">of 12 March 2014 </w:t>
      </w:r>
      <w:r w:rsidR="004055AB" w:rsidRPr="006949C0">
        <w:rPr>
          <w:rFonts w:cs="Times New Roman"/>
          <w:sz w:val="16"/>
          <w:szCs w:val="16"/>
        </w:rPr>
        <w:t>on a new approach to business failure and insolvency</w:t>
      </w:r>
      <w:r w:rsidR="008C3942" w:rsidRPr="006949C0">
        <w:rPr>
          <w:rFonts w:cs="Times New Roman"/>
          <w:sz w:val="16"/>
          <w:szCs w:val="16"/>
        </w:rPr>
        <w:t xml:space="preserve"> </w:t>
      </w:r>
      <w:r w:rsidR="008C3942" w:rsidRPr="006949C0">
        <w:rPr>
          <w:rFonts w:cs="Times New Roman"/>
          <w:i/>
          <w:iCs/>
          <w:sz w:val="16"/>
          <w:szCs w:val="16"/>
        </w:rPr>
        <w:t>OJ 74/65</w:t>
      </w:r>
      <w:r w:rsidR="004055AB" w:rsidRPr="006949C0">
        <w:rPr>
          <w:rFonts w:cs="Times New Roman"/>
          <w:sz w:val="16"/>
          <w:szCs w:val="16"/>
        </w:rPr>
        <w:t>.</w:t>
      </w:r>
      <w:r w:rsidR="000C5BC2" w:rsidRPr="006949C0">
        <w:rPr>
          <w:rFonts w:cs="Times New Roman"/>
          <w:sz w:val="16"/>
          <w:szCs w:val="16"/>
        </w:rPr>
        <w:t xml:space="preserve"> See further: Gert-Jan Boon and Stephan </w:t>
      </w:r>
      <w:proofErr w:type="spellStart"/>
      <w:r w:rsidR="000C5BC2" w:rsidRPr="006949C0">
        <w:rPr>
          <w:rFonts w:cs="Times New Roman"/>
          <w:sz w:val="16"/>
          <w:szCs w:val="16"/>
        </w:rPr>
        <w:t>Madaus</w:t>
      </w:r>
      <w:proofErr w:type="spellEnd"/>
      <w:r w:rsidR="000C5BC2" w:rsidRPr="006949C0">
        <w:rPr>
          <w:rFonts w:cs="Times New Roman"/>
          <w:sz w:val="16"/>
          <w:szCs w:val="16"/>
        </w:rPr>
        <w:t xml:space="preserve">, ‘Toward a European Business Rescue Culture’, in: Jan </w:t>
      </w:r>
      <w:proofErr w:type="spellStart"/>
      <w:r w:rsidR="000C5BC2" w:rsidRPr="006949C0">
        <w:rPr>
          <w:rFonts w:cs="Times New Roman"/>
          <w:sz w:val="16"/>
          <w:szCs w:val="16"/>
        </w:rPr>
        <w:t>Adriaanse</w:t>
      </w:r>
      <w:proofErr w:type="spellEnd"/>
      <w:r w:rsidR="000C5BC2" w:rsidRPr="006949C0">
        <w:rPr>
          <w:rFonts w:cs="Times New Roman"/>
          <w:sz w:val="16"/>
          <w:szCs w:val="16"/>
        </w:rPr>
        <w:t xml:space="preserve"> and Jean-Pierre van der Rest (eds.), </w:t>
      </w:r>
      <w:r w:rsidR="000C5BC2" w:rsidRPr="006949C0">
        <w:rPr>
          <w:rFonts w:cs="Times New Roman"/>
          <w:i/>
          <w:iCs/>
          <w:sz w:val="16"/>
          <w:szCs w:val="16"/>
        </w:rPr>
        <w:t>Turnaround Management and Bankruptcy: A Research Companion (Routledge Advances in Management and Business Studies)</w:t>
      </w:r>
      <w:r w:rsidR="000C5BC2" w:rsidRPr="006949C0">
        <w:rPr>
          <w:rFonts w:cs="Times New Roman"/>
          <w:sz w:val="16"/>
          <w:szCs w:val="16"/>
        </w:rPr>
        <w:t xml:space="preserve"> (Routledge 2017) 238.</w:t>
      </w:r>
    </w:p>
  </w:footnote>
  <w:footnote w:id="4">
    <w:p w14:paraId="254B0776" w14:textId="654D1EAA" w:rsidR="00746720" w:rsidRPr="006949C0" w:rsidRDefault="00746720" w:rsidP="007D6BBE">
      <w:pPr>
        <w:pStyle w:val="FootnoteText"/>
        <w:jc w:val="both"/>
        <w:rPr>
          <w:sz w:val="16"/>
          <w:szCs w:val="16"/>
        </w:rPr>
      </w:pPr>
      <w:r w:rsidRPr="006949C0">
        <w:rPr>
          <w:sz w:val="16"/>
          <w:szCs w:val="16"/>
          <w:vertAlign w:val="superscript"/>
        </w:rPr>
        <w:footnoteRef/>
      </w:r>
      <w:r w:rsidRPr="006949C0">
        <w:rPr>
          <w:sz w:val="16"/>
          <w:szCs w:val="16"/>
        </w:rPr>
        <w:t xml:space="preserve"> </w:t>
      </w:r>
      <w:r w:rsidR="007D6BBE" w:rsidRPr="006949C0">
        <w:rPr>
          <w:sz w:val="16"/>
          <w:szCs w:val="16"/>
        </w:rPr>
        <w:t>Directorate-General Justice &amp; Consumers of the European Commission, ‘Evaluation of the implementation of the Commission Recommendation of 12.3.2014 on a new approach to business failure and insolvency’</w:t>
      </w:r>
      <w:r w:rsidR="00C24D5E" w:rsidRPr="006949C0">
        <w:rPr>
          <w:sz w:val="16"/>
          <w:szCs w:val="16"/>
        </w:rPr>
        <w:t xml:space="preserve"> (</w:t>
      </w:r>
      <w:r w:rsidR="007D6BBE" w:rsidRPr="006949C0">
        <w:rPr>
          <w:sz w:val="16"/>
          <w:szCs w:val="16"/>
        </w:rPr>
        <w:t>30 September 2015</w:t>
      </w:r>
      <w:r w:rsidR="00C24D5E" w:rsidRPr="006949C0">
        <w:rPr>
          <w:sz w:val="16"/>
          <w:szCs w:val="16"/>
        </w:rPr>
        <w:t>)</w:t>
      </w:r>
      <w:r w:rsidR="007D6BBE" w:rsidRPr="006949C0">
        <w:rPr>
          <w:sz w:val="16"/>
          <w:szCs w:val="16"/>
        </w:rPr>
        <w:t>.</w:t>
      </w:r>
    </w:p>
  </w:footnote>
  <w:footnote w:id="5">
    <w:p w14:paraId="64A6EEBB" w14:textId="39CC5F44" w:rsidR="00FB5DBF" w:rsidRPr="006949C0" w:rsidRDefault="00FB5DBF" w:rsidP="00FB5DBF">
      <w:pPr>
        <w:pStyle w:val="FootnoteText"/>
        <w:jc w:val="both"/>
        <w:rPr>
          <w:sz w:val="16"/>
          <w:szCs w:val="16"/>
        </w:rPr>
      </w:pPr>
      <w:r w:rsidRPr="006949C0">
        <w:rPr>
          <w:rStyle w:val="FootnoteReference"/>
          <w:sz w:val="16"/>
          <w:szCs w:val="16"/>
        </w:rPr>
        <w:footnoteRef/>
      </w:r>
      <w:r w:rsidRPr="006949C0">
        <w:rPr>
          <w:sz w:val="16"/>
          <w:szCs w:val="16"/>
        </w:rPr>
        <w:t xml:space="preserve"> The authors ought to disclose that one of their number, Paul J. Omar, was a member of (and remains an observer to) this group.</w:t>
      </w:r>
    </w:p>
  </w:footnote>
  <w:footnote w:id="6">
    <w:p w14:paraId="067A961C" w14:textId="32204817" w:rsidR="00773B7A" w:rsidRPr="006949C0" w:rsidRDefault="00773B7A">
      <w:pPr>
        <w:pStyle w:val="FootnoteText"/>
        <w:rPr>
          <w:sz w:val="16"/>
          <w:szCs w:val="16"/>
        </w:rPr>
      </w:pPr>
      <w:r w:rsidRPr="006949C0">
        <w:rPr>
          <w:rStyle w:val="FootnoteReference"/>
          <w:sz w:val="16"/>
          <w:szCs w:val="16"/>
        </w:rPr>
        <w:footnoteRef/>
      </w:r>
      <w:r w:rsidRPr="006949C0">
        <w:rPr>
          <w:sz w:val="16"/>
          <w:szCs w:val="16"/>
        </w:rPr>
        <w:t xml:space="preserve"> </w:t>
      </w:r>
      <w:r w:rsidR="009151D5" w:rsidRPr="006949C0">
        <w:rPr>
          <w:sz w:val="16"/>
          <w:szCs w:val="16"/>
        </w:rPr>
        <w:t xml:space="preserve">Council Regulation (EU) 2015/848 of the European Parliament and of the Council of 20 May 2015 on insolvency proceedings (recast) [2015] </w:t>
      </w:r>
      <w:r w:rsidR="009151D5" w:rsidRPr="006949C0">
        <w:rPr>
          <w:i/>
          <w:iCs/>
          <w:sz w:val="16"/>
          <w:szCs w:val="16"/>
        </w:rPr>
        <w:t>OJ L 141/19</w:t>
      </w:r>
      <w:r w:rsidR="009151D5" w:rsidRPr="006949C0">
        <w:rPr>
          <w:sz w:val="16"/>
          <w:szCs w:val="16"/>
        </w:rPr>
        <w:t xml:space="preserve"> (EIR Recast).</w:t>
      </w:r>
    </w:p>
  </w:footnote>
  <w:footnote w:id="7">
    <w:p w14:paraId="4368D5CB" w14:textId="46127856" w:rsidR="00ED4D16" w:rsidRPr="006949C0" w:rsidRDefault="00ED4D16">
      <w:pPr>
        <w:pStyle w:val="FootnoteText"/>
        <w:rPr>
          <w:sz w:val="16"/>
          <w:szCs w:val="16"/>
        </w:rPr>
      </w:pPr>
      <w:r w:rsidRPr="006949C0">
        <w:rPr>
          <w:rStyle w:val="FootnoteReference"/>
          <w:sz w:val="16"/>
          <w:szCs w:val="16"/>
        </w:rPr>
        <w:footnoteRef/>
      </w:r>
      <w:r w:rsidRPr="006949C0">
        <w:rPr>
          <w:sz w:val="16"/>
          <w:szCs w:val="16"/>
        </w:rPr>
        <w:t xml:space="preserve"> </w:t>
      </w:r>
      <w:r w:rsidR="00441405" w:rsidRPr="006949C0">
        <w:rPr>
          <w:sz w:val="16"/>
          <w:szCs w:val="16"/>
        </w:rPr>
        <w:t xml:space="preserve">See for example Burkhard Hess, Paul </w:t>
      </w:r>
      <w:proofErr w:type="spellStart"/>
      <w:r w:rsidR="00441405" w:rsidRPr="006949C0">
        <w:rPr>
          <w:sz w:val="16"/>
          <w:szCs w:val="16"/>
        </w:rPr>
        <w:t>Oberhammer</w:t>
      </w:r>
      <w:proofErr w:type="spellEnd"/>
      <w:r w:rsidR="00441405" w:rsidRPr="006949C0">
        <w:rPr>
          <w:sz w:val="16"/>
          <w:szCs w:val="16"/>
        </w:rPr>
        <w:t>, and Thomas Pfeiffer, et al, ‘External Evaluation of Regulation No. 1346/2000/EC on Insolvency Proceedings’ (JUST/2011/JCIV/PR/0049/A4, University of Heidelberg and University of Vienna 2012) and Gerard Mc</w:t>
      </w:r>
      <w:r w:rsidR="007552A2" w:rsidRPr="006949C0">
        <w:rPr>
          <w:sz w:val="16"/>
          <w:szCs w:val="16"/>
        </w:rPr>
        <w:t>C</w:t>
      </w:r>
      <w:r w:rsidR="00441405" w:rsidRPr="006949C0">
        <w:rPr>
          <w:sz w:val="16"/>
          <w:szCs w:val="16"/>
        </w:rPr>
        <w:t xml:space="preserve">ormack, Andrew </w:t>
      </w:r>
      <w:proofErr w:type="spellStart"/>
      <w:r w:rsidR="00441405" w:rsidRPr="006949C0">
        <w:rPr>
          <w:sz w:val="16"/>
          <w:szCs w:val="16"/>
        </w:rPr>
        <w:t>K</w:t>
      </w:r>
      <w:r w:rsidR="007552A2" w:rsidRPr="006949C0">
        <w:rPr>
          <w:sz w:val="16"/>
          <w:szCs w:val="16"/>
        </w:rPr>
        <w:t>e</w:t>
      </w:r>
      <w:r w:rsidR="00441405" w:rsidRPr="006949C0">
        <w:rPr>
          <w:sz w:val="16"/>
          <w:szCs w:val="16"/>
        </w:rPr>
        <w:t>ay</w:t>
      </w:r>
      <w:proofErr w:type="spellEnd"/>
      <w:r w:rsidR="00441405" w:rsidRPr="006949C0">
        <w:rPr>
          <w:sz w:val="16"/>
          <w:szCs w:val="16"/>
        </w:rPr>
        <w:t xml:space="preserve">, and Sarah Brown, </w:t>
      </w:r>
      <w:r w:rsidR="00441405" w:rsidRPr="006949C0">
        <w:rPr>
          <w:i/>
          <w:iCs/>
          <w:sz w:val="16"/>
          <w:szCs w:val="16"/>
        </w:rPr>
        <w:t xml:space="preserve">European Insolvency Law: Reform and Harmonisation </w:t>
      </w:r>
      <w:r w:rsidR="00441405" w:rsidRPr="006949C0">
        <w:rPr>
          <w:sz w:val="16"/>
          <w:szCs w:val="16"/>
        </w:rPr>
        <w:t>(Edward Elgar 2017).</w:t>
      </w:r>
    </w:p>
  </w:footnote>
  <w:footnote w:id="8">
    <w:p w14:paraId="292DCF96" w14:textId="4199F56E" w:rsidR="00754513" w:rsidRPr="006949C0" w:rsidRDefault="00754513">
      <w:pPr>
        <w:pStyle w:val="FootnoteText"/>
        <w:rPr>
          <w:color w:val="FF0000"/>
          <w:sz w:val="16"/>
          <w:szCs w:val="16"/>
        </w:rPr>
      </w:pPr>
      <w:r w:rsidRPr="006949C0">
        <w:rPr>
          <w:rStyle w:val="FootnoteReference"/>
          <w:sz w:val="16"/>
          <w:szCs w:val="16"/>
        </w:rPr>
        <w:footnoteRef/>
      </w:r>
      <w:r w:rsidRPr="006949C0">
        <w:rPr>
          <w:sz w:val="16"/>
          <w:szCs w:val="16"/>
        </w:rPr>
        <w:t xml:space="preserve"> </w:t>
      </w:r>
      <w:r w:rsidR="00441405" w:rsidRPr="006949C0">
        <w:rPr>
          <w:sz w:val="16"/>
          <w:szCs w:val="16"/>
        </w:rPr>
        <w:t xml:space="preserve">Gerard McCormack, </w:t>
      </w:r>
      <w:r w:rsidR="007552A2" w:rsidRPr="006949C0">
        <w:rPr>
          <w:sz w:val="16"/>
          <w:szCs w:val="16"/>
        </w:rPr>
        <w:t>‘The European Restructuring Directive and Stays on Creditor Enforcement Actions’ (2021) 30(S1) International Insolvency Review S67.</w:t>
      </w:r>
    </w:p>
  </w:footnote>
  <w:footnote w:id="9">
    <w:p w14:paraId="2728D7AC" w14:textId="3E3758C1" w:rsidR="00773B7A" w:rsidRPr="006949C0" w:rsidRDefault="00773B7A">
      <w:pPr>
        <w:pStyle w:val="FootnoteText"/>
        <w:rPr>
          <w:sz w:val="16"/>
          <w:szCs w:val="16"/>
        </w:rPr>
      </w:pPr>
      <w:r w:rsidRPr="006949C0">
        <w:rPr>
          <w:rStyle w:val="FootnoteReference"/>
          <w:sz w:val="16"/>
          <w:szCs w:val="16"/>
        </w:rPr>
        <w:footnoteRef/>
      </w:r>
      <w:r w:rsidRPr="006949C0">
        <w:rPr>
          <w:sz w:val="16"/>
          <w:szCs w:val="16"/>
        </w:rPr>
        <w:t xml:space="preserve"> </w:t>
      </w:r>
      <w:r w:rsidR="007552A2" w:rsidRPr="006949C0">
        <w:rPr>
          <w:sz w:val="16"/>
          <w:szCs w:val="16"/>
        </w:rPr>
        <w:t xml:space="preserve">Reinhard Bork, ‘Adopting the Directive: Member States “in Particular Difficulties”’ (2021) 84(Summer) </w:t>
      </w:r>
      <w:proofErr w:type="spellStart"/>
      <w:r w:rsidR="007552A2" w:rsidRPr="006949C0">
        <w:rPr>
          <w:sz w:val="16"/>
          <w:szCs w:val="16"/>
        </w:rPr>
        <w:t>Eurofenix</w:t>
      </w:r>
      <w:proofErr w:type="spellEnd"/>
      <w:r w:rsidR="007552A2" w:rsidRPr="006949C0">
        <w:rPr>
          <w:sz w:val="16"/>
          <w:szCs w:val="16"/>
        </w:rPr>
        <w:t xml:space="preserve"> 18. </w:t>
      </w:r>
    </w:p>
  </w:footnote>
  <w:footnote w:id="10">
    <w:p w14:paraId="1C77F44B" w14:textId="3A23D990" w:rsidR="005E58BA" w:rsidRPr="006949C0" w:rsidRDefault="005E58BA" w:rsidP="009151D5">
      <w:pPr>
        <w:pStyle w:val="FootnoteText"/>
        <w:rPr>
          <w:color w:val="FF0000"/>
          <w:sz w:val="16"/>
          <w:szCs w:val="16"/>
        </w:rPr>
      </w:pPr>
      <w:r w:rsidRPr="006949C0">
        <w:rPr>
          <w:rStyle w:val="FootnoteReference"/>
          <w:sz w:val="16"/>
          <w:szCs w:val="16"/>
        </w:rPr>
        <w:footnoteRef/>
      </w:r>
      <w:r w:rsidRPr="006949C0">
        <w:rPr>
          <w:sz w:val="16"/>
          <w:szCs w:val="16"/>
        </w:rPr>
        <w:t xml:space="preserve"> </w:t>
      </w:r>
      <w:r w:rsidR="005D2EC3" w:rsidRPr="006949C0">
        <w:rPr>
          <w:sz w:val="16"/>
          <w:szCs w:val="16"/>
        </w:rPr>
        <w:t xml:space="preserve">David Ehmke, Jennifer L </w:t>
      </w:r>
      <w:proofErr w:type="spellStart"/>
      <w:r w:rsidR="005D2EC3" w:rsidRPr="006949C0">
        <w:rPr>
          <w:sz w:val="16"/>
          <w:szCs w:val="16"/>
        </w:rPr>
        <w:t>L</w:t>
      </w:r>
      <w:proofErr w:type="spellEnd"/>
      <w:r w:rsidR="005D2EC3" w:rsidRPr="006949C0">
        <w:rPr>
          <w:sz w:val="16"/>
          <w:szCs w:val="16"/>
        </w:rPr>
        <w:t xml:space="preserve"> Gant, Gert-Jan Boon, Line </w:t>
      </w:r>
      <w:proofErr w:type="spellStart"/>
      <w:r w:rsidR="005D2EC3" w:rsidRPr="006949C0">
        <w:rPr>
          <w:sz w:val="16"/>
          <w:szCs w:val="16"/>
        </w:rPr>
        <w:t>Langkjaer</w:t>
      </w:r>
      <w:proofErr w:type="spellEnd"/>
      <w:r w:rsidR="005D2EC3" w:rsidRPr="006949C0">
        <w:rPr>
          <w:sz w:val="16"/>
          <w:szCs w:val="16"/>
        </w:rPr>
        <w:t xml:space="preserve">, and Emilie </w:t>
      </w:r>
      <w:proofErr w:type="spellStart"/>
      <w:r w:rsidR="005D2EC3" w:rsidRPr="006949C0">
        <w:rPr>
          <w:sz w:val="16"/>
          <w:szCs w:val="16"/>
        </w:rPr>
        <w:t>Ghio</w:t>
      </w:r>
      <w:proofErr w:type="spellEnd"/>
      <w:r w:rsidR="005D2EC3" w:rsidRPr="006949C0">
        <w:rPr>
          <w:sz w:val="16"/>
          <w:szCs w:val="16"/>
        </w:rPr>
        <w:t>, ‘The European Preventive Restructuring Framework: A Hole in One?’ (2019) 28(2) International Insolvency Review 184</w:t>
      </w:r>
      <w:r w:rsidR="006F576B">
        <w:rPr>
          <w:sz w:val="16"/>
          <w:szCs w:val="16"/>
        </w:rPr>
        <w:t xml:space="preserve"> (Hole in One)</w:t>
      </w:r>
      <w:r w:rsidR="005D2EC3" w:rsidRPr="006949C0">
        <w:rPr>
          <w:sz w:val="16"/>
          <w:szCs w:val="16"/>
        </w:rPr>
        <w:t>.</w:t>
      </w:r>
      <w:r w:rsidR="00773B7A" w:rsidRPr="006949C0">
        <w:rPr>
          <w:sz w:val="16"/>
          <w:szCs w:val="16"/>
        </w:rPr>
        <w:t xml:space="preserve"> This was preceded/accompanied by a shorter analytical summary in </w:t>
      </w:r>
      <w:proofErr w:type="spellStart"/>
      <w:r w:rsidR="00773B7A" w:rsidRPr="006949C0">
        <w:rPr>
          <w:sz w:val="16"/>
          <w:szCs w:val="16"/>
        </w:rPr>
        <w:t>Eurofenix</w:t>
      </w:r>
      <w:proofErr w:type="spellEnd"/>
      <w:r w:rsidR="00773B7A" w:rsidRPr="006949C0">
        <w:rPr>
          <w:sz w:val="16"/>
          <w:szCs w:val="16"/>
        </w:rPr>
        <w:t xml:space="preserve"> </w:t>
      </w:r>
      <w:r w:rsidR="009151D5" w:rsidRPr="006949C0">
        <w:rPr>
          <w:sz w:val="16"/>
          <w:szCs w:val="16"/>
        </w:rPr>
        <w:t xml:space="preserve">‘10 Years of YANIL: Restructuring across Europe and the EU Directive on Restructuring and Insolvency’ (2019) 76(Summer) </w:t>
      </w:r>
      <w:proofErr w:type="spellStart"/>
      <w:r w:rsidR="009151D5" w:rsidRPr="006949C0">
        <w:rPr>
          <w:sz w:val="16"/>
          <w:szCs w:val="16"/>
        </w:rPr>
        <w:t>Eurofenix</w:t>
      </w:r>
      <w:proofErr w:type="spellEnd"/>
      <w:r w:rsidR="009151D5" w:rsidRPr="006949C0">
        <w:rPr>
          <w:sz w:val="16"/>
          <w:szCs w:val="16"/>
        </w:rPr>
        <w:t xml:space="preserve"> 34</w:t>
      </w:r>
      <w:r w:rsidR="00773B7A" w:rsidRPr="006949C0">
        <w:rPr>
          <w:sz w:val="16"/>
          <w:szCs w:val="16"/>
        </w:rPr>
        <w:t>.</w:t>
      </w:r>
    </w:p>
  </w:footnote>
  <w:footnote w:id="11">
    <w:p w14:paraId="07BB518E" w14:textId="13706A25" w:rsidR="00865E92" w:rsidRPr="006949C0" w:rsidRDefault="00865E92">
      <w:pPr>
        <w:pStyle w:val="FootnoteText"/>
        <w:rPr>
          <w:sz w:val="16"/>
          <w:szCs w:val="16"/>
          <w:lang w:val="de-DE"/>
        </w:rPr>
      </w:pPr>
      <w:r w:rsidRPr="006949C0">
        <w:rPr>
          <w:rStyle w:val="FootnoteReference"/>
          <w:sz w:val="16"/>
          <w:szCs w:val="16"/>
        </w:rPr>
        <w:footnoteRef/>
      </w:r>
      <w:r w:rsidRPr="006949C0">
        <w:rPr>
          <w:sz w:val="16"/>
          <w:szCs w:val="16"/>
          <w:lang w:val="de-DE"/>
        </w:rPr>
        <w:t xml:space="preserve"> </w:t>
      </w:r>
      <w:r w:rsidR="005B4184" w:rsidRPr="006949C0">
        <w:rPr>
          <w:rFonts w:cs="Times New Roman"/>
          <w:i/>
          <w:iCs/>
          <w:sz w:val="16"/>
          <w:szCs w:val="16"/>
          <w:lang w:val="de-DE"/>
        </w:rPr>
        <w:t xml:space="preserve">Wet homologatie onderhands akkoord. </w:t>
      </w:r>
    </w:p>
  </w:footnote>
  <w:footnote w:id="12">
    <w:p w14:paraId="6A2C4E3D" w14:textId="702E4FB1" w:rsidR="00865E92" w:rsidRPr="006949C0" w:rsidRDefault="00865E92">
      <w:pPr>
        <w:pStyle w:val="FootnoteText"/>
        <w:rPr>
          <w:sz w:val="16"/>
          <w:szCs w:val="16"/>
          <w:lang w:val="de-DE"/>
        </w:rPr>
      </w:pPr>
      <w:r w:rsidRPr="006949C0">
        <w:rPr>
          <w:rStyle w:val="FootnoteReference"/>
          <w:sz w:val="16"/>
          <w:szCs w:val="16"/>
        </w:rPr>
        <w:footnoteRef/>
      </w:r>
      <w:r w:rsidRPr="006949C0">
        <w:rPr>
          <w:sz w:val="16"/>
          <w:szCs w:val="16"/>
          <w:lang w:val="de-DE"/>
        </w:rPr>
        <w:t xml:space="preserve"> </w:t>
      </w:r>
      <w:r w:rsidR="005C6436" w:rsidRPr="006949C0">
        <w:rPr>
          <w:i/>
          <w:iCs/>
          <w:sz w:val="16"/>
          <w:szCs w:val="16"/>
          <w:lang w:val="de-DE"/>
        </w:rPr>
        <w:t xml:space="preserve">Gesetz </w:t>
      </w:r>
      <w:r w:rsidR="005C6436" w:rsidRPr="006949C0">
        <w:rPr>
          <w:i/>
          <w:iCs/>
          <w:sz w:val="16"/>
          <w:szCs w:val="16"/>
          <w:lang w:val="de-DE"/>
        </w:rPr>
        <w:t>über den Stabilisierungs</w:t>
      </w:r>
      <w:r w:rsidR="002D292A">
        <w:rPr>
          <w:i/>
          <w:iCs/>
          <w:sz w:val="16"/>
          <w:szCs w:val="16"/>
          <w:lang w:val="de-DE"/>
        </w:rPr>
        <w:t xml:space="preserve"> </w:t>
      </w:r>
      <w:r w:rsidR="005C6436" w:rsidRPr="006949C0">
        <w:rPr>
          <w:i/>
          <w:iCs/>
          <w:sz w:val="16"/>
          <w:szCs w:val="16"/>
          <w:lang w:val="de-DE"/>
        </w:rPr>
        <w:t>und Restrukturierungsrahmen für Unternehmen, Unternehmensstabilisierungs- und –restrukturierungsgesetz – StaRUG</w:t>
      </w:r>
      <w:r w:rsidR="005D2EC3" w:rsidRPr="006949C0">
        <w:rPr>
          <w:sz w:val="16"/>
          <w:szCs w:val="16"/>
          <w:lang w:val="de-DE"/>
        </w:rPr>
        <w:t>.</w:t>
      </w:r>
    </w:p>
  </w:footnote>
  <w:footnote w:id="13">
    <w:p w14:paraId="5B24F3AD" w14:textId="3A7506BC" w:rsidR="00FA3BF7" w:rsidRPr="006949C0" w:rsidRDefault="00FA3BF7">
      <w:pPr>
        <w:pStyle w:val="FootnoteText"/>
        <w:rPr>
          <w:sz w:val="16"/>
          <w:szCs w:val="16"/>
        </w:rPr>
      </w:pPr>
      <w:r w:rsidRPr="006949C0">
        <w:rPr>
          <w:rStyle w:val="FootnoteReference"/>
          <w:sz w:val="16"/>
          <w:szCs w:val="16"/>
        </w:rPr>
        <w:footnoteRef/>
      </w:r>
      <w:r w:rsidRPr="006949C0">
        <w:rPr>
          <w:sz w:val="16"/>
          <w:szCs w:val="16"/>
        </w:rPr>
        <w:t xml:space="preserve"> </w:t>
      </w:r>
      <w:r w:rsidR="00D02CD9" w:rsidRPr="006949C0">
        <w:rPr>
          <w:sz w:val="16"/>
          <w:szCs w:val="16"/>
        </w:rPr>
        <w:t>Ordinance n</w:t>
      </w:r>
      <w:r w:rsidR="00B05F9D" w:rsidRPr="006949C0">
        <w:rPr>
          <w:sz w:val="16"/>
          <w:szCs w:val="16"/>
        </w:rPr>
        <w:t>o</w:t>
      </w:r>
      <w:r w:rsidR="00D02CD9" w:rsidRPr="006949C0">
        <w:rPr>
          <w:sz w:val="16"/>
          <w:szCs w:val="16"/>
        </w:rPr>
        <w:t>.</w:t>
      </w:r>
      <w:r w:rsidR="00B05F9D" w:rsidRPr="006949C0">
        <w:rPr>
          <w:sz w:val="16"/>
          <w:szCs w:val="16"/>
        </w:rPr>
        <w:t xml:space="preserve"> </w:t>
      </w:r>
      <w:r w:rsidR="00D02CD9" w:rsidRPr="006949C0">
        <w:rPr>
          <w:sz w:val="16"/>
          <w:szCs w:val="16"/>
        </w:rPr>
        <w:t xml:space="preserve">2021-1193 </w:t>
      </w:r>
      <w:r w:rsidR="00B05F9D" w:rsidRPr="006949C0">
        <w:rPr>
          <w:sz w:val="16"/>
          <w:szCs w:val="16"/>
        </w:rPr>
        <w:t xml:space="preserve">amending </w:t>
      </w:r>
      <w:r w:rsidR="00D02CD9" w:rsidRPr="006949C0">
        <w:rPr>
          <w:sz w:val="16"/>
          <w:szCs w:val="16"/>
        </w:rPr>
        <w:t>Book VI of the Commercial Code</w:t>
      </w:r>
      <w:r w:rsidR="00541407" w:rsidRPr="006949C0">
        <w:rPr>
          <w:sz w:val="16"/>
          <w:szCs w:val="16"/>
        </w:rPr>
        <w:t xml:space="preserve"> </w:t>
      </w:r>
      <w:r w:rsidR="00D02CD9" w:rsidRPr="006949C0">
        <w:rPr>
          <w:sz w:val="16"/>
          <w:szCs w:val="16"/>
        </w:rPr>
        <w:t>&lt;</w:t>
      </w:r>
      <w:hyperlink r:id="rId1" w:history="1">
        <w:r w:rsidR="00D02CD9" w:rsidRPr="006949C0">
          <w:rPr>
            <w:rStyle w:val="Hyperlink"/>
            <w:sz w:val="16"/>
            <w:szCs w:val="16"/>
          </w:rPr>
          <w:t>https://www.legifrance.gouv.fr/jorf/id/JORFTEXT000044044563</w:t>
        </w:r>
      </w:hyperlink>
      <w:r w:rsidR="00D02CD9" w:rsidRPr="006949C0">
        <w:rPr>
          <w:rStyle w:val="Hyperlink"/>
          <w:sz w:val="16"/>
          <w:szCs w:val="16"/>
        </w:rPr>
        <w:t>&gt;</w:t>
      </w:r>
      <w:r w:rsidR="00541407" w:rsidRPr="006949C0">
        <w:rPr>
          <w:rStyle w:val="Hyperlink"/>
          <w:sz w:val="16"/>
          <w:szCs w:val="16"/>
        </w:rPr>
        <w:t xml:space="preserve"> </w:t>
      </w:r>
      <w:r w:rsidR="00541407" w:rsidRPr="006949C0">
        <w:rPr>
          <w:rStyle w:val="Hyperlink"/>
          <w:color w:val="auto"/>
          <w:sz w:val="16"/>
          <w:szCs w:val="16"/>
          <w:u w:val="none"/>
        </w:rPr>
        <w:t>accessed 3 October 2021</w:t>
      </w:r>
      <w:r w:rsidR="00D02CD9" w:rsidRPr="006949C0">
        <w:rPr>
          <w:rStyle w:val="Hyperlink"/>
          <w:color w:val="auto"/>
          <w:sz w:val="16"/>
          <w:szCs w:val="16"/>
          <w:u w:val="none"/>
        </w:rPr>
        <w:t>.</w:t>
      </w:r>
    </w:p>
  </w:footnote>
  <w:footnote w:id="14">
    <w:p w14:paraId="07AF5782" w14:textId="2380D4A7" w:rsidR="00922A5C" w:rsidRPr="006949C0" w:rsidRDefault="00922A5C" w:rsidP="00922A5C">
      <w:pPr>
        <w:pStyle w:val="FootnoteText"/>
        <w:jc w:val="both"/>
        <w:rPr>
          <w:rFonts w:cs="Times New Roman"/>
          <w:sz w:val="16"/>
          <w:szCs w:val="16"/>
        </w:rPr>
      </w:pPr>
      <w:r w:rsidRPr="006949C0">
        <w:rPr>
          <w:rStyle w:val="FootnoteReference"/>
          <w:rFonts w:cs="Times New Roman"/>
          <w:sz w:val="16"/>
          <w:szCs w:val="16"/>
        </w:rPr>
        <w:footnoteRef/>
      </w:r>
      <w:r w:rsidRPr="006949C0">
        <w:rPr>
          <w:rFonts w:cs="Times New Roman"/>
          <w:sz w:val="16"/>
          <w:szCs w:val="16"/>
        </w:rPr>
        <w:t xml:space="preserve"> </w:t>
      </w:r>
      <w:r w:rsidR="00163238" w:rsidRPr="006949C0">
        <w:rPr>
          <w:rFonts w:cs="Times New Roman"/>
          <w:sz w:val="16"/>
          <w:szCs w:val="16"/>
        </w:rPr>
        <w:t xml:space="preserve">PRD, Art </w:t>
      </w:r>
      <w:r w:rsidR="009D35B5" w:rsidRPr="006949C0">
        <w:rPr>
          <w:rFonts w:cs="Times New Roman"/>
          <w:sz w:val="16"/>
          <w:szCs w:val="16"/>
        </w:rPr>
        <w:t>1(1)(a)</w:t>
      </w:r>
      <w:r w:rsidR="002C05A7" w:rsidRPr="006949C0">
        <w:rPr>
          <w:rFonts w:cs="Times New Roman"/>
          <w:sz w:val="16"/>
          <w:szCs w:val="16"/>
        </w:rPr>
        <w:t>.</w:t>
      </w:r>
    </w:p>
  </w:footnote>
  <w:footnote w:id="15">
    <w:p w14:paraId="7E1C6182" w14:textId="3E20D42B" w:rsidR="008C6092" w:rsidRPr="006949C0" w:rsidRDefault="008C6092">
      <w:pPr>
        <w:pStyle w:val="FootnoteText"/>
        <w:rPr>
          <w:sz w:val="16"/>
          <w:szCs w:val="16"/>
          <w:lang w:val="en-US"/>
        </w:rPr>
      </w:pPr>
      <w:r w:rsidRPr="006949C0">
        <w:rPr>
          <w:rStyle w:val="FootnoteReference"/>
          <w:sz w:val="16"/>
          <w:szCs w:val="16"/>
        </w:rPr>
        <w:footnoteRef/>
      </w:r>
      <w:r w:rsidRPr="006949C0">
        <w:rPr>
          <w:sz w:val="16"/>
          <w:szCs w:val="16"/>
          <w:lang w:val="en-US"/>
        </w:rPr>
        <w:t xml:space="preserve"> PRD, Art 2(2)(b)</w:t>
      </w:r>
      <w:r w:rsidR="002C05A7" w:rsidRPr="006949C0">
        <w:rPr>
          <w:sz w:val="16"/>
          <w:szCs w:val="16"/>
          <w:lang w:val="en-US"/>
        </w:rPr>
        <w:t>.</w:t>
      </w:r>
    </w:p>
  </w:footnote>
  <w:footnote w:id="16">
    <w:p w14:paraId="1ED350DF" w14:textId="30F04BF5" w:rsidR="00045E96" w:rsidRPr="006949C0" w:rsidRDefault="00045E96">
      <w:pPr>
        <w:pStyle w:val="FootnoteText"/>
        <w:rPr>
          <w:sz w:val="16"/>
          <w:szCs w:val="16"/>
        </w:rPr>
      </w:pPr>
      <w:r w:rsidRPr="006949C0">
        <w:rPr>
          <w:rStyle w:val="FootnoteReference"/>
          <w:sz w:val="16"/>
          <w:szCs w:val="16"/>
        </w:rPr>
        <w:footnoteRef/>
      </w:r>
      <w:r w:rsidRPr="006949C0">
        <w:rPr>
          <w:sz w:val="16"/>
          <w:szCs w:val="16"/>
        </w:rPr>
        <w:t xml:space="preserve"> </w:t>
      </w:r>
      <w:r w:rsidR="0002201D">
        <w:rPr>
          <w:sz w:val="16"/>
          <w:szCs w:val="16"/>
        </w:rPr>
        <w:t xml:space="preserve">UK </w:t>
      </w:r>
      <w:r w:rsidRPr="006949C0">
        <w:rPr>
          <w:sz w:val="16"/>
          <w:szCs w:val="16"/>
        </w:rPr>
        <w:t>Companies Act 2006, Part 26A.</w:t>
      </w:r>
    </w:p>
  </w:footnote>
  <w:footnote w:id="17">
    <w:p w14:paraId="1852BBD4" w14:textId="099957DC" w:rsidR="00EE129D" w:rsidRPr="00F97239" w:rsidRDefault="00EE129D">
      <w:pPr>
        <w:pStyle w:val="FootnoteText"/>
        <w:rPr>
          <w:sz w:val="16"/>
          <w:szCs w:val="16"/>
          <w:lang w:val="fr-FR"/>
        </w:rPr>
      </w:pPr>
      <w:r w:rsidRPr="006949C0">
        <w:rPr>
          <w:rStyle w:val="FootnoteReference"/>
          <w:sz w:val="16"/>
          <w:szCs w:val="16"/>
        </w:rPr>
        <w:footnoteRef/>
      </w:r>
      <w:r w:rsidRPr="00F97239">
        <w:rPr>
          <w:sz w:val="16"/>
          <w:szCs w:val="16"/>
          <w:lang w:val="fr-FR"/>
        </w:rPr>
        <w:t xml:space="preserve"> </w:t>
      </w:r>
      <w:r w:rsidR="00316BF4" w:rsidRPr="00F97239">
        <w:rPr>
          <w:sz w:val="16"/>
          <w:szCs w:val="16"/>
          <w:lang w:val="fr-FR"/>
        </w:rPr>
        <w:t xml:space="preserve">DBA </w:t>
      </w:r>
      <w:r w:rsidR="00F436A5" w:rsidRPr="00F97239">
        <w:rPr>
          <w:rFonts w:cs="Times New Roman"/>
          <w:sz w:val="16"/>
          <w:szCs w:val="16"/>
          <w:lang w:val="fr-FR"/>
        </w:rPr>
        <w:t xml:space="preserve">Art 214 et </w:t>
      </w:r>
      <w:proofErr w:type="spellStart"/>
      <w:r w:rsidR="00F436A5" w:rsidRPr="00F97239">
        <w:rPr>
          <w:rFonts w:cs="Times New Roman"/>
          <w:sz w:val="16"/>
          <w:szCs w:val="16"/>
          <w:lang w:val="fr-FR"/>
        </w:rPr>
        <w:t>seq</w:t>
      </w:r>
      <w:proofErr w:type="spellEnd"/>
      <w:r w:rsidR="00F436A5" w:rsidRPr="00F97239">
        <w:rPr>
          <w:rFonts w:cs="Times New Roman"/>
          <w:sz w:val="16"/>
          <w:szCs w:val="16"/>
          <w:lang w:val="fr-FR"/>
        </w:rPr>
        <w:t>.</w:t>
      </w:r>
    </w:p>
  </w:footnote>
  <w:footnote w:id="18">
    <w:p w14:paraId="148E0E1C" w14:textId="0302E66B" w:rsidR="00163238" w:rsidRPr="006949C0" w:rsidRDefault="00163238">
      <w:pPr>
        <w:pStyle w:val="FootnoteText"/>
        <w:rPr>
          <w:sz w:val="16"/>
          <w:szCs w:val="16"/>
        </w:rPr>
      </w:pPr>
      <w:r w:rsidRPr="006949C0">
        <w:rPr>
          <w:rStyle w:val="FootnoteReference"/>
          <w:sz w:val="16"/>
          <w:szCs w:val="16"/>
        </w:rPr>
        <w:footnoteRef/>
      </w:r>
      <w:r w:rsidRPr="006949C0">
        <w:rPr>
          <w:sz w:val="16"/>
          <w:szCs w:val="16"/>
        </w:rPr>
        <w:t xml:space="preserve"> </w:t>
      </w:r>
      <w:r w:rsidRPr="006949C0">
        <w:rPr>
          <w:rFonts w:cs="Times New Roman"/>
          <w:sz w:val="16"/>
          <w:szCs w:val="16"/>
        </w:rPr>
        <w:t>The Dutch corporate restructuring and insolvency regime is primarily laid down in the Dutch Bankruptcy Act (</w:t>
      </w:r>
      <w:proofErr w:type="spellStart"/>
      <w:r w:rsidRPr="006949C0">
        <w:rPr>
          <w:rFonts w:cs="Times New Roman"/>
          <w:i/>
          <w:iCs/>
          <w:sz w:val="16"/>
          <w:szCs w:val="16"/>
        </w:rPr>
        <w:t>faillissementswet</w:t>
      </w:r>
      <w:proofErr w:type="spellEnd"/>
      <w:r w:rsidRPr="006949C0">
        <w:rPr>
          <w:rFonts w:cs="Times New Roman"/>
          <w:sz w:val="16"/>
          <w:szCs w:val="16"/>
        </w:rPr>
        <w:t xml:space="preserve">; </w:t>
      </w:r>
      <w:r w:rsidR="00241497" w:rsidRPr="006949C0">
        <w:rPr>
          <w:rFonts w:cs="Times New Roman"/>
          <w:sz w:val="16"/>
          <w:szCs w:val="16"/>
        </w:rPr>
        <w:t>‘</w:t>
      </w:r>
      <w:r w:rsidRPr="006949C0">
        <w:rPr>
          <w:rFonts w:cs="Times New Roman"/>
          <w:sz w:val="16"/>
          <w:szCs w:val="16"/>
        </w:rPr>
        <w:t>DBA</w:t>
      </w:r>
      <w:r w:rsidR="00241497" w:rsidRPr="006949C0">
        <w:rPr>
          <w:rFonts w:cs="Times New Roman"/>
          <w:sz w:val="16"/>
          <w:szCs w:val="16"/>
        </w:rPr>
        <w:t>’</w:t>
      </w:r>
      <w:r w:rsidRPr="006949C0">
        <w:rPr>
          <w:rFonts w:cs="Times New Roman"/>
          <w:sz w:val="16"/>
          <w:szCs w:val="16"/>
        </w:rPr>
        <w:t>).</w:t>
      </w:r>
    </w:p>
  </w:footnote>
  <w:footnote w:id="19">
    <w:p w14:paraId="3F92BC7D" w14:textId="55E20C3D" w:rsidR="00A4402E" w:rsidRPr="006949C0" w:rsidRDefault="00A4402E" w:rsidP="00A4402E">
      <w:pPr>
        <w:pStyle w:val="FootnoteText"/>
        <w:rPr>
          <w:rFonts w:cs="Times New Roman"/>
          <w:color w:val="0563C1" w:themeColor="hyperlink"/>
          <w:sz w:val="16"/>
          <w:szCs w:val="16"/>
          <w:u w:val="single"/>
          <w:lang w:val="en-US"/>
        </w:rPr>
      </w:pPr>
      <w:r w:rsidRPr="006949C0">
        <w:rPr>
          <w:rStyle w:val="FootnoteReference"/>
          <w:sz w:val="16"/>
          <w:szCs w:val="16"/>
        </w:rPr>
        <w:footnoteRef/>
      </w:r>
      <w:r w:rsidRPr="006949C0">
        <w:rPr>
          <w:sz w:val="16"/>
          <w:szCs w:val="16"/>
        </w:rPr>
        <w:t xml:space="preserve"> </w:t>
      </w:r>
      <w:r w:rsidRPr="006949C0">
        <w:rPr>
          <w:rFonts w:cs="Times New Roman"/>
          <w:sz w:val="16"/>
          <w:szCs w:val="16"/>
        </w:rPr>
        <w:t xml:space="preserve">See Explanatory Memorandum to Draft </w:t>
      </w:r>
      <w:r w:rsidR="00541407" w:rsidRPr="006949C0">
        <w:rPr>
          <w:rFonts w:cs="Times New Roman"/>
          <w:sz w:val="16"/>
          <w:szCs w:val="16"/>
        </w:rPr>
        <w:t>B</w:t>
      </w:r>
      <w:r w:rsidRPr="006949C0">
        <w:rPr>
          <w:rFonts w:cs="Times New Roman"/>
          <w:sz w:val="16"/>
          <w:szCs w:val="16"/>
        </w:rPr>
        <w:t>ill Implementing Act PRD 2019 (</w:t>
      </w:r>
      <w:proofErr w:type="spellStart"/>
      <w:r w:rsidRPr="006949C0">
        <w:rPr>
          <w:rFonts w:cs="Times New Roman"/>
          <w:i/>
          <w:iCs/>
          <w:sz w:val="16"/>
          <w:szCs w:val="16"/>
        </w:rPr>
        <w:t>Memorie</w:t>
      </w:r>
      <w:proofErr w:type="spellEnd"/>
      <w:r w:rsidRPr="006949C0">
        <w:rPr>
          <w:rFonts w:cs="Times New Roman"/>
          <w:i/>
          <w:iCs/>
          <w:sz w:val="16"/>
          <w:szCs w:val="16"/>
        </w:rPr>
        <w:t xml:space="preserve"> van </w:t>
      </w:r>
      <w:proofErr w:type="spellStart"/>
      <w:r w:rsidRPr="006949C0">
        <w:rPr>
          <w:rFonts w:cs="Times New Roman"/>
          <w:i/>
          <w:iCs/>
          <w:sz w:val="16"/>
          <w:szCs w:val="16"/>
        </w:rPr>
        <w:t>Toelichting</w:t>
      </w:r>
      <w:proofErr w:type="spellEnd"/>
      <w:r w:rsidRPr="006949C0">
        <w:rPr>
          <w:rFonts w:cs="Times New Roman"/>
          <w:i/>
          <w:iCs/>
          <w:sz w:val="16"/>
          <w:szCs w:val="16"/>
        </w:rPr>
        <w:t xml:space="preserve"> </w:t>
      </w:r>
      <w:proofErr w:type="spellStart"/>
      <w:r w:rsidRPr="006949C0">
        <w:rPr>
          <w:rFonts w:cs="Times New Roman"/>
          <w:i/>
          <w:iCs/>
          <w:sz w:val="16"/>
          <w:szCs w:val="16"/>
        </w:rPr>
        <w:t>bij</w:t>
      </w:r>
      <w:proofErr w:type="spellEnd"/>
      <w:r w:rsidRPr="006949C0">
        <w:rPr>
          <w:rFonts w:cs="Times New Roman"/>
          <w:i/>
          <w:iCs/>
          <w:sz w:val="16"/>
          <w:szCs w:val="16"/>
        </w:rPr>
        <w:t xml:space="preserve"> het</w:t>
      </w:r>
      <w:r w:rsidRPr="006949C0">
        <w:rPr>
          <w:rFonts w:cs="Times New Roman"/>
          <w:sz w:val="16"/>
          <w:szCs w:val="16"/>
        </w:rPr>
        <w:t xml:space="preserve"> </w:t>
      </w:r>
      <w:proofErr w:type="spellStart"/>
      <w:r w:rsidRPr="006949C0">
        <w:rPr>
          <w:rFonts w:cs="Times New Roman"/>
          <w:i/>
          <w:iCs/>
          <w:sz w:val="16"/>
          <w:szCs w:val="16"/>
        </w:rPr>
        <w:t>Voorontwerp</w:t>
      </w:r>
      <w:proofErr w:type="spellEnd"/>
      <w:r w:rsidRPr="006949C0">
        <w:rPr>
          <w:rFonts w:cs="Times New Roman"/>
          <w:sz w:val="16"/>
          <w:szCs w:val="16"/>
        </w:rPr>
        <w:t xml:space="preserve"> </w:t>
      </w:r>
      <w:proofErr w:type="spellStart"/>
      <w:r w:rsidRPr="006949C0">
        <w:rPr>
          <w:rFonts w:cs="Times New Roman"/>
          <w:i/>
          <w:iCs/>
          <w:sz w:val="16"/>
          <w:szCs w:val="16"/>
        </w:rPr>
        <w:t>Implementatiewet</w:t>
      </w:r>
      <w:proofErr w:type="spellEnd"/>
      <w:r w:rsidRPr="006949C0">
        <w:rPr>
          <w:rFonts w:cs="Times New Roman"/>
          <w:i/>
          <w:iCs/>
          <w:sz w:val="16"/>
          <w:szCs w:val="16"/>
        </w:rPr>
        <w:t xml:space="preserve"> </w:t>
      </w:r>
      <w:proofErr w:type="spellStart"/>
      <w:r w:rsidRPr="006949C0">
        <w:rPr>
          <w:rFonts w:cs="Times New Roman"/>
          <w:i/>
          <w:iCs/>
          <w:sz w:val="16"/>
          <w:szCs w:val="16"/>
        </w:rPr>
        <w:t>richtlijn</w:t>
      </w:r>
      <w:proofErr w:type="spellEnd"/>
      <w:r w:rsidRPr="006949C0">
        <w:rPr>
          <w:rFonts w:cs="Times New Roman"/>
          <w:i/>
          <w:iCs/>
          <w:sz w:val="16"/>
          <w:szCs w:val="16"/>
        </w:rPr>
        <w:t xml:space="preserve"> </w:t>
      </w:r>
      <w:proofErr w:type="spellStart"/>
      <w:r w:rsidRPr="006949C0">
        <w:rPr>
          <w:rFonts w:cs="Times New Roman"/>
          <w:i/>
          <w:iCs/>
          <w:sz w:val="16"/>
          <w:szCs w:val="16"/>
        </w:rPr>
        <w:t>herstructurering</w:t>
      </w:r>
      <w:proofErr w:type="spellEnd"/>
      <w:r w:rsidRPr="006949C0">
        <w:rPr>
          <w:rFonts w:cs="Times New Roman"/>
          <w:i/>
          <w:iCs/>
          <w:sz w:val="16"/>
          <w:szCs w:val="16"/>
        </w:rPr>
        <w:t xml:space="preserve"> </w:t>
      </w:r>
      <w:proofErr w:type="spellStart"/>
      <w:r w:rsidRPr="006949C0">
        <w:rPr>
          <w:rFonts w:cs="Times New Roman"/>
          <w:i/>
          <w:iCs/>
          <w:sz w:val="16"/>
          <w:szCs w:val="16"/>
        </w:rPr>
        <w:t>en</w:t>
      </w:r>
      <w:proofErr w:type="spellEnd"/>
      <w:r w:rsidRPr="006949C0">
        <w:rPr>
          <w:rFonts w:cs="Times New Roman"/>
          <w:i/>
          <w:iCs/>
          <w:sz w:val="16"/>
          <w:szCs w:val="16"/>
        </w:rPr>
        <w:t xml:space="preserve"> </w:t>
      </w:r>
      <w:proofErr w:type="spellStart"/>
      <w:r w:rsidRPr="006949C0">
        <w:rPr>
          <w:rFonts w:cs="Times New Roman"/>
          <w:i/>
          <w:iCs/>
          <w:sz w:val="16"/>
          <w:szCs w:val="16"/>
        </w:rPr>
        <w:t>insolventie</w:t>
      </w:r>
      <w:proofErr w:type="spellEnd"/>
      <w:r w:rsidRPr="006949C0">
        <w:rPr>
          <w:rFonts w:cs="Times New Roman"/>
          <w:sz w:val="16"/>
          <w:szCs w:val="16"/>
        </w:rPr>
        <w:t>), 2 April 2021, 1-2 &lt;</w:t>
      </w:r>
      <w:hyperlink r:id="rId2" w:history="1">
        <w:r w:rsidRPr="006949C0">
          <w:rPr>
            <w:rStyle w:val="Hyperlink"/>
            <w:rFonts w:cs="Times New Roman"/>
            <w:sz w:val="16"/>
            <w:szCs w:val="16"/>
          </w:rPr>
          <w:t>https://internetconsultatie.nl/herstructurering</w:t>
        </w:r>
      </w:hyperlink>
      <w:r w:rsidRPr="006949C0">
        <w:rPr>
          <w:rFonts w:cs="Times New Roman"/>
          <w:sz w:val="16"/>
          <w:szCs w:val="16"/>
        </w:rPr>
        <w:t>&gt;.</w:t>
      </w:r>
    </w:p>
  </w:footnote>
  <w:footnote w:id="20">
    <w:p w14:paraId="2D8DA198" w14:textId="5126461B" w:rsidR="005B4184" w:rsidRPr="006949C0" w:rsidRDefault="005B4184">
      <w:pPr>
        <w:pStyle w:val="FootnoteText"/>
        <w:rPr>
          <w:sz w:val="16"/>
          <w:szCs w:val="16"/>
        </w:rPr>
      </w:pPr>
      <w:r w:rsidRPr="006949C0">
        <w:rPr>
          <w:rStyle w:val="FootnoteReference"/>
          <w:sz w:val="16"/>
          <w:szCs w:val="16"/>
        </w:rPr>
        <w:footnoteRef/>
      </w:r>
      <w:r w:rsidRPr="006949C0">
        <w:rPr>
          <w:sz w:val="16"/>
          <w:szCs w:val="16"/>
        </w:rPr>
        <w:t xml:space="preserve"> </w:t>
      </w:r>
      <w:r w:rsidR="00A4402E" w:rsidRPr="006949C0">
        <w:rPr>
          <w:sz w:val="16"/>
          <w:szCs w:val="16"/>
        </w:rPr>
        <w:t>This changed i</w:t>
      </w:r>
      <w:r w:rsidR="00E07BA9" w:rsidRPr="006949C0">
        <w:rPr>
          <w:sz w:val="16"/>
          <w:szCs w:val="16"/>
        </w:rPr>
        <w:t xml:space="preserve">n April 2021 </w:t>
      </w:r>
      <w:r w:rsidR="00A4402E" w:rsidRPr="006949C0">
        <w:rPr>
          <w:sz w:val="16"/>
          <w:szCs w:val="16"/>
        </w:rPr>
        <w:t xml:space="preserve">when </w:t>
      </w:r>
      <w:r w:rsidR="00E07BA9" w:rsidRPr="006949C0">
        <w:rPr>
          <w:sz w:val="16"/>
          <w:szCs w:val="16"/>
        </w:rPr>
        <w:t>a draft bill was presented to provide limited amendments to further align the WHOA with the PRD</w:t>
      </w:r>
      <w:r w:rsidR="00A4402E" w:rsidRPr="006949C0">
        <w:rPr>
          <w:sz w:val="16"/>
          <w:szCs w:val="16"/>
        </w:rPr>
        <w:t xml:space="preserve">, see </w:t>
      </w:r>
      <w:r w:rsidR="00E07BA9" w:rsidRPr="006949C0">
        <w:rPr>
          <w:rFonts w:cs="Times New Roman"/>
          <w:sz w:val="16"/>
          <w:szCs w:val="16"/>
          <w:lang w:val="en-US"/>
        </w:rPr>
        <w:t xml:space="preserve">Draft </w:t>
      </w:r>
      <w:proofErr w:type="gramStart"/>
      <w:r w:rsidR="00E07BA9" w:rsidRPr="006949C0">
        <w:rPr>
          <w:rFonts w:cs="Times New Roman"/>
          <w:sz w:val="16"/>
          <w:szCs w:val="16"/>
          <w:lang w:val="en-US"/>
        </w:rPr>
        <w:t>bill</w:t>
      </w:r>
      <w:proofErr w:type="gramEnd"/>
      <w:r w:rsidR="00E07BA9" w:rsidRPr="006949C0">
        <w:rPr>
          <w:rFonts w:cs="Times New Roman"/>
          <w:sz w:val="16"/>
          <w:szCs w:val="16"/>
          <w:lang w:val="en-US"/>
        </w:rPr>
        <w:t xml:space="preserve"> Implementing Act PRD 2019 (</w:t>
      </w:r>
      <w:proofErr w:type="spellStart"/>
      <w:r w:rsidR="00E07BA9" w:rsidRPr="006949C0">
        <w:rPr>
          <w:rFonts w:cs="Times New Roman"/>
          <w:i/>
          <w:iCs/>
          <w:sz w:val="16"/>
          <w:szCs w:val="16"/>
          <w:lang w:val="en-US"/>
        </w:rPr>
        <w:t>Voorontwerp</w:t>
      </w:r>
      <w:proofErr w:type="spellEnd"/>
      <w:r w:rsidR="00E07BA9" w:rsidRPr="006949C0">
        <w:rPr>
          <w:rFonts w:cs="Times New Roman"/>
          <w:sz w:val="16"/>
          <w:szCs w:val="16"/>
          <w:lang w:val="en-US"/>
        </w:rPr>
        <w:t xml:space="preserve"> </w:t>
      </w:r>
      <w:proofErr w:type="spellStart"/>
      <w:r w:rsidR="00E07BA9" w:rsidRPr="006949C0">
        <w:rPr>
          <w:rFonts w:cs="Times New Roman"/>
          <w:i/>
          <w:iCs/>
          <w:sz w:val="16"/>
          <w:szCs w:val="16"/>
          <w:lang w:val="en-US"/>
        </w:rPr>
        <w:t>Implementatiewet</w:t>
      </w:r>
      <w:proofErr w:type="spellEnd"/>
      <w:r w:rsidR="00E07BA9" w:rsidRPr="006949C0">
        <w:rPr>
          <w:rFonts w:cs="Times New Roman"/>
          <w:i/>
          <w:iCs/>
          <w:sz w:val="16"/>
          <w:szCs w:val="16"/>
          <w:lang w:val="en-US"/>
        </w:rPr>
        <w:t xml:space="preserve"> </w:t>
      </w:r>
      <w:proofErr w:type="spellStart"/>
      <w:r w:rsidR="00E07BA9" w:rsidRPr="006949C0">
        <w:rPr>
          <w:rFonts w:cs="Times New Roman"/>
          <w:i/>
          <w:iCs/>
          <w:sz w:val="16"/>
          <w:szCs w:val="16"/>
          <w:lang w:val="en-US"/>
        </w:rPr>
        <w:t>richtlijn</w:t>
      </w:r>
      <w:proofErr w:type="spellEnd"/>
      <w:r w:rsidR="00E07BA9" w:rsidRPr="006949C0">
        <w:rPr>
          <w:rFonts w:cs="Times New Roman"/>
          <w:i/>
          <w:iCs/>
          <w:sz w:val="16"/>
          <w:szCs w:val="16"/>
          <w:lang w:val="en-US"/>
        </w:rPr>
        <w:t xml:space="preserve"> </w:t>
      </w:r>
      <w:proofErr w:type="spellStart"/>
      <w:r w:rsidR="00E07BA9" w:rsidRPr="006949C0">
        <w:rPr>
          <w:rFonts w:cs="Times New Roman"/>
          <w:i/>
          <w:iCs/>
          <w:sz w:val="16"/>
          <w:szCs w:val="16"/>
          <w:lang w:val="en-US"/>
        </w:rPr>
        <w:t>herstructurering</w:t>
      </w:r>
      <w:proofErr w:type="spellEnd"/>
      <w:r w:rsidR="00E07BA9" w:rsidRPr="006949C0">
        <w:rPr>
          <w:rFonts w:cs="Times New Roman"/>
          <w:i/>
          <w:iCs/>
          <w:sz w:val="16"/>
          <w:szCs w:val="16"/>
          <w:lang w:val="en-US"/>
        </w:rPr>
        <w:t xml:space="preserve"> </w:t>
      </w:r>
      <w:proofErr w:type="spellStart"/>
      <w:r w:rsidR="00E07BA9" w:rsidRPr="006949C0">
        <w:rPr>
          <w:rFonts w:cs="Times New Roman"/>
          <w:i/>
          <w:iCs/>
          <w:sz w:val="16"/>
          <w:szCs w:val="16"/>
          <w:lang w:val="en-US"/>
        </w:rPr>
        <w:t>en</w:t>
      </w:r>
      <w:proofErr w:type="spellEnd"/>
      <w:r w:rsidR="00E07BA9" w:rsidRPr="006949C0">
        <w:rPr>
          <w:rFonts w:cs="Times New Roman"/>
          <w:i/>
          <w:iCs/>
          <w:sz w:val="16"/>
          <w:szCs w:val="16"/>
          <w:lang w:val="en-US"/>
        </w:rPr>
        <w:t xml:space="preserve"> </w:t>
      </w:r>
      <w:proofErr w:type="spellStart"/>
      <w:r w:rsidR="00E07BA9" w:rsidRPr="006949C0">
        <w:rPr>
          <w:rFonts w:cs="Times New Roman"/>
          <w:i/>
          <w:iCs/>
          <w:sz w:val="16"/>
          <w:szCs w:val="16"/>
          <w:lang w:val="en-US"/>
        </w:rPr>
        <w:t>insolventie</w:t>
      </w:r>
      <w:proofErr w:type="spellEnd"/>
      <w:r w:rsidR="00E07BA9" w:rsidRPr="006949C0">
        <w:rPr>
          <w:rFonts w:cs="Times New Roman"/>
          <w:sz w:val="16"/>
          <w:szCs w:val="16"/>
          <w:lang w:val="en-US"/>
        </w:rPr>
        <w:t>), 2 April 2021</w:t>
      </w:r>
      <w:r w:rsidR="00A4402E" w:rsidRPr="006949C0">
        <w:rPr>
          <w:rFonts w:cs="Times New Roman"/>
          <w:sz w:val="16"/>
          <w:szCs w:val="16"/>
          <w:lang w:val="en-US"/>
        </w:rPr>
        <w:t xml:space="preserve"> </w:t>
      </w:r>
      <w:r w:rsidR="00E07BA9" w:rsidRPr="006949C0">
        <w:rPr>
          <w:rFonts w:cs="Times New Roman"/>
          <w:sz w:val="16"/>
          <w:szCs w:val="16"/>
          <w:lang w:val="en-US"/>
        </w:rPr>
        <w:t>&lt;</w:t>
      </w:r>
      <w:hyperlink r:id="rId3" w:history="1">
        <w:r w:rsidR="00E07BA9" w:rsidRPr="006949C0">
          <w:rPr>
            <w:rStyle w:val="Hyperlink"/>
            <w:rFonts w:cs="Times New Roman"/>
            <w:sz w:val="16"/>
            <w:szCs w:val="16"/>
            <w:lang w:val="en-US"/>
          </w:rPr>
          <w:t>https://internetconsultatie.nl/herstructurering</w:t>
        </w:r>
      </w:hyperlink>
      <w:r w:rsidR="00E07BA9" w:rsidRPr="006949C0">
        <w:rPr>
          <w:rFonts w:cs="Times New Roman"/>
          <w:sz w:val="16"/>
          <w:szCs w:val="16"/>
          <w:lang w:val="en-US"/>
        </w:rPr>
        <w:t>&gt;.</w:t>
      </w:r>
    </w:p>
  </w:footnote>
  <w:footnote w:id="21">
    <w:p w14:paraId="1034330A" w14:textId="52355EAE" w:rsidR="00316BF4" w:rsidRPr="00F97239" w:rsidRDefault="00316BF4">
      <w:pPr>
        <w:pStyle w:val="FootnoteText"/>
        <w:rPr>
          <w:lang w:val="en-US"/>
        </w:rPr>
      </w:pPr>
      <w:r>
        <w:rPr>
          <w:rStyle w:val="FootnoteReference"/>
        </w:rPr>
        <w:footnoteRef/>
      </w:r>
      <w:r>
        <w:t xml:space="preserve"> </w:t>
      </w:r>
      <w:r>
        <w:rPr>
          <w:lang w:val="en-US"/>
        </w:rPr>
        <w:t>DBA Art 3</w:t>
      </w:r>
      <w:r w:rsidR="00E94C4E">
        <w:rPr>
          <w:lang w:val="en-US"/>
        </w:rPr>
        <w:t>69 et seq.</w:t>
      </w:r>
    </w:p>
  </w:footnote>
  <w:footnote w:id="22">
    <w:p w14:paraId="521BBFF7" w14:textId="0D83DA73" w:rsidR="00F56749" w:rsidRPr="006949C0" w:rsidRDefault="00F56749" w:rsidP="00C24D5E">
      <w:pPr>
        <w:pStyle w:val="FootnoteText"/>
        <w:jc w:val="both"/>
        <w:rPr>
          <w:sz w:val="16"/>
          <w:szCs w:val="16"/>
        </w:rPr>
      </w:pPr>
      <w:r w:rsidRPr="006949C0">
        <w:rPr>
          <w:rStyle w:val="FootnoteReference"/>
          <w:sz w:val="16"/>
          <w:szCs w:val="16"/>
        </w:rPr>
        <w:footnoteRef/>
      </w:r>
      <w:r w:rsidRPr="006949C0">
        <w:rPr>
          <w:sz w:val="16"/>
          <w:szCs w:val="16"/>
        </w:rPr>
        <w:t xml:space="preserve"> </w:t>
      </w:r>
      <w:proofErr w:type="spellStart"/>
      <w:r w:rsidR="0002201D">
        <w:rPr>
          <w:sz w:val="16"/>
          <w:szCs w:val="16"/>
        </w:rPr>
        <w:t>InsO</w:t>
      </w:r>
      <w:proofErr w:type="spellEnd"/>
      <w:r w:rsidR="0002201D">
        <w:rPr>
          <w:sz w:val="16"/>
          <w:szCs w:val="16"/>
        </w:rPr>
        <w:t xml:space="preserve"> s</w:t>
      </w:r>
      <w:r w:rsidRPr="006949C0">
        <w:rPr>
          <w:sz w:val="16"/>
          <w:szCs w:val="16"/>
        </w:rPr>
        <w:t xml:space="preserve"> 17</w:t>
      </w:r>
      <w:r w:rsidR="0002201D">
        <w:rPr>
          <w:sz w:val="16"/>
          <w:szCs w:val="16"/>
        </w:rPr>
        <w:t>.</w:t>
      </w:r>
    </w:p>
  </w:footnote>
  <w:footnote w:id="23">
    <w:p w14:paraId="01EA6920" w14:textId="7246A075" w:rsidR="00F56749" w:rsidRPr="006949C0" w:rsidRDefault="00F56749" w:rsidP="00C24D5E">
      <w:pPr>
        <w:pStyle w:val="FootnoteText"/>
        <w:jc w:val="both"/>
        <w:rPr>
          <w:sz w:val="16"/>
          <w:szCs w:val="16"/>
        </w:rPr>
      </w:pPr>
      <w:r w:rsidRPr="006949C0">
        <w:rPr>
          <w:rStyle w:val="FootnoteReference"/>
          <w:sz w:val="16"/>
          <w:szCs w:val="16"/>
        </w:rPr>
        <w:footnoteRef/>
      </w:r>
      <w:r w:rsidRPr="006949C0">
        <w:rPr>
          <w:sz w:val="16"/>
          <w:szCs w:val="16"/>
        </w:rPr>
        <w:t xml:space="preserve"> </w:t>
      </w:r>
      <w:proofErr w:type="spellStart"/>
      <w:r w:rsidR="0002201D">
        <w:rPr>
          <w:sz w:val="16"/>
          <w:szCs w:val="16"/>
        </w:rPr>
        <w:t>InsO</w:t>
      </w:r>
      <w:proofErr w:type="spellEnd"/>
      <w:r w:rsidR="0002201D">
        <w:rPr>
          <w:sz w:val="16"/>
          <w:szCs w:val="16"/>
        </w:rPr>
        <w:t xml:space="preserve"> s 19</w:t>
      </w:r>
      <w:r w:rsidRPr="006949C0">
        <w:rPr>
          <w:sz w:val="16"/>
          <w:szCs w:val="16"/>
        </w:rPr>
        <w:t>.</w:t>
      </w:r>
      <w:r w:rsidR="007D768B" w:rsidRPr="006949C0">
        <w:rPr>
          <w:sz w:val="16"/>
          <w:szCs w:val="16"/>
        </w:rPr>
        <w:t xml:space="preserve"> </w:t>
      </w:r>
    </w:p>
  </w:footnote>
  <w:footnote w:id="24">
    <w:p w14:paraId="6D71C53F" w14:textId="0546C540" w:rsidR="00F56749" w:rsidRPr="006949C0" w:rsidRDefault="00F56749">
      <w:pPr>
        <w:pStyle w:val="FootnoteText"/>
        <w:rPr>
          <w:sz w:val="16"/>
          <w:szCs w:val="16"/>
        </w:rPr>
      </w:pPr>
      <w:r w:rsidRPr="006949C0">
        <w:rPr>
          <w:rStyle w:val="FootnoteReference"/>
          <w:sz w:val="16"/>
          <w:szCs w:val="16"/>
        </w:rPr>
        <w:footnoteRef/>
      </w:r>
      <w:r w:rsidRPr="006949C0">
        <w:rPr>
          <w:sz w:val="16"/>
          <w:szCs w:val="16"/>
        </w:rPr>
        <w:t xml:space="preserve"> </w:t>
      </w:r>
      <w:proofErr w:type="spellStart"/>
      <w:r w:rsidR="0002201D">
        <w:rPr>
          <w:sz w:val="16"/>
          <w:szCs w:val="16"/>
        </w:rPr>
        <w:t>InsO</w:t>
      </w:r>
      <w:proofErr w:type="spellEnd"/>
      <w:r w:rsidR="0002201D">
        <w:rPr>
          <w:sz w:val="16"/>
          <w:szCs w:val="16"/>
        </w:rPr>
        <w:t xml:space="preserve"> s 18</w:t>
      </w:r>
      <w:r w:rsidRPr="006949C0">
        <w:rPr>
          <w:sz w:val="16"/>
          <w:szCs w:val="16"/>
        </w:rPr>
        <w:t>.</w:t>
      </w:r>
    </w:p>
  </w:footnote>
  <w:footnote w:id="25">
    <w:p w14:paraId="300929BD" w14:textId="5D9937B8" w:rsidR="002627C0" w:rsidRPr="006949C0" w:rsidRDefault="002627C0">
      <w:pPr>
        <w:pStyle w:val="FootnoteText"/>
        <w:rPr>
          <w:sz w:val="16"/>
          <w:szCs w:val="16"/>
        </w:rPr>
      </w:pPr>
      <w:r w:rsidRPr="006949C0">
        <w:rPr>
          <w:rStyle w:val="FootnoteReference"/>
          <w:sz w:val="16"/>
          <w:szCs w:val="16"/>
        </w:rPr>
        <w:footnoteRef/>
      </w:r>
      <w:r w:rsidRPr="006949C0">
        <w:rPr>
          <w:sz w:val="16"/>
          <w:szCs w:val="16"/>
        </w:rPr>
        <w:t xml:space="preserve"> </w:t>
      </w:r>
      <w:proofErr w:type="spellStart"/>
      <w:r w:rsidR="0002201D">
        <w:rPr>
          <w:sz w:val="16"/>
          <w:szCs w:val="16"/>
        </w:rPr>
        <w:t>InsO</w:t>
      </w:r>
      <w:proofErr w:type="spellEnd"/>
      <w:r w:rsidR="0002201D">
        <w:rPr>
          <w:sz w:val="16"/>
          <w:szCs w:val="16"/>
        </w:rPr>
        <w:t xml:space="preserve"> s 15b and </w:t>
      </w:r>
      <w:proofErr w:type="spellStart"/>
      <w:r w:rsidR="0002201D">
        <w:rPr>
          <w:sz w:val="16"/>
          <w:szCs w:val="16"/>
        </w:rPr>
        <w:t>StaRUG</w:t>
      </w:r>
      <w:proofErr w:type="spellEnd"/>
      <w:r w:rsidR="0002201D">
        <w:rPr>
          <w:sz w:val="16"/>
          <w:szCs w:val="16"/>
        </w:rPr>
        <w:t xml:space="preserve"> s 33</w:t>
      </w:r>
      <w:r w:rsidR="002C3D25" w:rsidRPr="006949C0">
        <w:rPr>
          <w:sz w:val="16"/>
          <w:szCs w:val="16"/>
        </w:rPr>
        <w:t>.</w:t>
      </w:r>
    </w:p>
  </w:footnote>
  <w:footnote w:id="26">
    <w:p w14:paraId="30BF4D1C" w14:textId="59FB692E" w:rsidR="001F0869" w:rsidRPr="00F97239" w:rsidRDefault="001F0869">
      <w:pPr>
        <w:pStyle w:val="FootnoteText"/>
        <w:rPr>
          <w:sz w:val="16"/>
          <w:szCs w:val="16"/>
          <w:lang w:val="fr-FR"/>
        </w:rPr>
      </w:pPr>
      <w:r w:rsidRPr="006949C0">
        <w:rPr>
          <w:rStyle w:val="FootnoteReference"/>
          <w:sz w:val="16"/>
          <w:szCs w:val="16"/>
        </w:rPr>
        <w:footnoteRef/>
      </w:r>
      <w:r w:rsidRPr="00F97239">
        <w:rPr>
          <w:sz w:val="16"/>
          <w:szCs w:val="16"/>
          <w:lang w:val="fr-FR"/>
        </w:rPr>
        <w:t xml:space="preserve"> Commercial Code Arts L6</w:t>
      </w:r>
      <w:r w:rsidR="00997B2C" w:rsidRPr="00F97239">
        <w:rPr>
          <w:sz w:val="16"/>
          <w:szCs w:val="16"/>
          <w:lang w:val="fr-FR"/>
        </w:rPr>
        <w:t xml:space="preserve">11 et </w:t>
      </w:r>
      <w:proofErr w:type="spellStart"/>
      <w:r w:rsidR="00997B2C" w:rsidRPr="00F97239">
        <w:rPr>
          <w:sz w:val="16"/>
          <w:szCs w:val="16"/>
          <w:lang w:val="fr-FR"/>
        </w:rPr>
        <w:t>seq</w:t>
      </w:r>
      <w:proofErr w:type="spellEnd"/>
      <w:r w:rsidR="00997B2C" w:rsidRPr="00F97239">
        <w:rPr>
          <w:sz w:val="16"/>
          <w:szCs w:val="16"/>
          <w:lang w:val="fr-FR"/>
        </w:rPr>
        <w:t>.</w:t>
      </w:r>
    </w:p>
  </w:footnote>
  <w:footnote w:id="27">
    <w:p w14:paraId="0B17588E" w14:textId="1E495D72" w:rsidR="001F0869" w:rsidRPr="006949C0" w:rsidRDefault="001F0869">
      <w:pPr>
        <w:pStyle w:val="FootnoteText"/>
        <w:rPr>
          <w:sz w:val="16"/>
          <w:szCs w:val="16"/>
        </w:rPr>
      </w:pPr>
      <w:r w:rsidRPr="006949C0">
        <w:rPr>
          <w:rStyle w:val="FootnoteReference"/>
          <w:sz w:val="16"/>
          <w:szCs w:val="16"/>
        </w:rPr>
        <w:footnoteRef/>
      </w:r>
      <w:r w:rsidRPr="006949C0">
        <w:rPr>
          <w:sz w:val="16"/>
          <w:szCs w:val="16"/>
        </w:rPr>
        <w:t xml:space="preserve"> </w:t>
      </w:r>
      <w:r w:rsidR="00997B2C" w:rsidRPr="006949C0">
        <w:rPr>
          <w:sz w:val="16"/>
          <w:szCs w:val="16"/>
        </w:rPr>
        <w:t>Commercial Code, art L620-1.</w:t>
      </w:r>
    </w:p>
  </w:footnote>
  <w:footnote w:id="28">
    <w:p w14:paraId="41F36291" w14:textId="3C8BA8F4" w:rsidR="00735076" w:rsidRPr="006949C0" w:rsidRDefault="00735076" w:rsidP="00735076">
      <w:pPr>
        <w:pStyle w:val="FootnoteText"/>
        <w:jc w:val="both"/>
        <w:rPr>
          <w:sz w:val="16"/>
          <w:szCs w:val="16"/>
        </w:rPr>
      </w:pPr>
      <w:r w:rsidRPr="006949C0">
        <w:rPr>
          <w:rStyle w:val="FootnoteReference"/>
          <w:sz w:val="16"/>
          <w:szCs w:val="16"/>
        </w:rPr>
        <w:footnoteRef/>
      </w:r>
      <w:r w:rsidRPr="006949C0">
        <w:rPr>
          <w:sz w:val="16"/>
          <w:szCs w:val="16"/>
        </w:rPr>
        <w:t xml:space="preserve"> Reinhard </w:t>
      </w:r>
      <w:proofErr w:type="spellStart"/>
      <w:r w:rsidRPr="006949C0">
        <w:rPr>
          <w:sz w:val="16"/>
          <w:szCs w:val="16"/>
        </w:rPr>
        <w:t>Dammann</w:t>
      </w:r>
      <w:proofErr w:type="spellEnd"/>
      <w:r w:rsidRPr="006949C0">
        <w:rPr>
          <w:sz w:val="16"/>
          <w:szCs w:val="16"/>
        </w:rPr>
        <w:t xml:space="preserve">, ‘The Commission Insolvency Proposal and its Impact on Creditors’ Study by the Directorate General for Internal Policies of the Union (European Parliament 2017) &lt;http://www.europarl.europa.eu/RegData/etudes/STUD/2017/583155/IPOL_STU(2017)583155_EN.pdf&gt; last accessed 24 January 2019. </w:t>
      </w:r>
    </w:p>
  </w:footnote>
  <w:footnote w:id="29">
    <w:p w14:paraId="24BCCEE1" w14:textId="3A4E4F89" w:rsidR="00B8370F" w:rsidRPr="006949C0" w:rsidRDefault="00B8370F" w:rsidP="00B8370F">
      <w:pPr>
        <w:pStyle w:val="FootnoteText"/>
        <w:spacing w:line="259" w:lineRule="auto"/>
        <w:rPr>
          <w:sz w:val="16"/>
          <w:szCs w:val="16"/>
        </w:rPr>
      </w:pPr>
      <w:r w:rsidRPr="006949C0">
        <w:rPr>
          <w:sz w:val="16"/>
          <w:szCs w:val="16"/>
          <w:vertAlign w:val="superscript"/>
        </w:rPr>
        <w:footnoteRef/>
      </w:r>
      <w:r w:rsidRPr="006949C0">
        <w:rPr>
          <w:sz w:val="16"/>
          <w:szCs w:val="16"/>
          <w:vertAlign w:val="superscript"/>
        </w:rPr>
        <w:t xml:space="preserve"> </w:t>
      </w:r>
      <w:proofErr w:type="spellStart"/>
      <w:r w:rsidRPr="006949C0">
        <w:rPr>
          <w:sz w:val="16"/>
          <w:szCs w:val="16"/>
        </w:rPr>
        <w:t>Bekendtgørelse</w:t>
      </w:r>
      <w:proofErr w:type="spellEnd"/>
      <w:r w:rsidRPr="006949C0">
        <w:rPr>
          <w:sz w:val="16"/>
          <w:szCs w:val="16"/>
        </w:rPr>
        <w:t xml:space="preserve"> nr 775 </w:t>
      </w:r>
      <w:proofErr w:type="spellStart"/>
      <w:r w:rsidRPr="006949C0">
        <w:rPr>
          <w:sz w:val="16"/>
          <w:szCs w:val="16"/>
        </w:rPr>
        <w:t>af</w:t>
      </w:r>
      <w:proofErr w:type="spellEnd"/>
      <w:r w:rsidRPr="006949C0">
        <w:rPr>
          <w:sz w:val="16"/>
          <w:szCs w:val="16"/>
        </w:rPr>
        <w:t xml:space="preserve"> 3 </w:t>
      </w:r>
      <w:proofErr w:type="spellStart"/>
      <w:r w:rsidRPr="006949C0">
        <w:rPr>
          <w:sz w:val="16"/>
          <w:szCs w:val="16"/>
        </w:rPr>
        <w:t>maj</w:t>
      </w:r>
      <w:proofErr w:type="spellEnd"/>
      <w:r w:rsidRPr="006949C0">
        <w:rPr>
          <w:sz w:val="16"/>
          <w:szCs w:val="16"/>
        </w:rPr>
        <w:t xml:space="preserve"> 2021</w:t>
      </w:r>
      <w:r w:rsidR="0002201D">
        <w:rPr>
          <w:sz w:val="16"/>
          <w:szCs w:val="16"/>
        </w:rPr>
        <w:t>.</w:t>
      </w:r>
    </w:p>
  </w:footnote>
  <w:footnote w:id="30">
    <w:p w14:paraId="5BAEB3A8" w14:textId="694DFE47" w:rsidR="00B8370F" w:rsidRPr="006949C0" w:rsidRDefault="00B8370F">
      <w:pPr>
        <w:pStyle w:val="FootnoteText"/>
        <w:rPr>
          <w:sz w:val="16"/>
          <w:szCs w:val="16"/>
        </w:rPr>
      </w:pPr>
      <w:r w:rsidRPr="006949C0">
        <w:rPr>
          <w:rStyle w:val="FootnoteReference"/>
          <w:sz w:val="16"/>
          <w:szCs w:val="16"/>
        </w:rPr>
        <w:footnoteRef/>
      </w:r>
      <w:r w:rsidRPr="006949C0">
        <w:rPr>
          <w:sz w:val="16"/>
          <w:szCs w:val="16"/>
        </w:rPr>
        <w:t xml:space="preserve"> </w:t>
      </w:r>
      <w:r w:rsidRPr="006949C0">
        <w:rPr>
          <w:rFonts w:eastAsia="Times New Roman" w:cs="Times New Roman"/>
          <w:sz w:val="16"/>
          <w:szCs w:val="16"/>
        </w:rPr>
        <w:t>Earlier attempts to legislative changes had never received sufficient support by major stakeholders and therefore never formally put forward as legislative proposals</w:t>
      </w:r>
      <w:r w:rsidRPr="006949C0">
        <w:rPr>
          <w:rFonts w:cs="Times New Roman"/>
          <w:sz w:val="16"/>
          <w:szCs w:val="16"/>
        </w:rPr>
        <w:t xml:space="preserve"> </w:t>
      </w:r>
      <w:proofErr w:type="spellStart"/>
      <w:r w:rsidRPr="006949C0">
        <w:rPr>
          <w:rFonts w:cs="Times New Roman"/>
          <w:sz w:val="16"/>
          <w:szCs w:val="16"/>
        </w:rPr>
        <w:t>Betænkning</w:t>
      </w:r>
      <w:proofErr w:type="spellEnd"/>
      <w:r w:rsidRPr="006949C0">
        <w:rPr>
          <w:rFonts w:cs="Times New Roman"/>
          <w:sz w:val="16"/>
          <w:szCs w:val="16"/>
        </w:rPr>
        <w:t xml:space="preserve"> nr 1555 om </w:t>
      </w:r>
      <w:proofErr w:type="spellStart"/>
      <w:r w:rsidRPr="006949C0">
        <w:rPr>
          <w:rFonts w:cs="Times New Roman"/>
          <w:sz w:val="16"/>
          <w:szCs w:val="16"/>
        </w:rPr>
        <w:t>Ansattes</w:t>
      </w:r>
      <w:proofErr w:type="spellEnd"/>
      <w:r w:rsidRPr="006949C0">
        <w:rPr>
          <w:rFonts w:cs="Times New Roman"/>
          <w:sz w:val="16"/>
          <w:szCs w:val="16"/>
        </w:rPr>
        <w:t xml:space="preserve"> </w:t>
      </w:r>
      <w:proofErr w:type="spellStart"/>
      <w:r w:rsidRPr="006949C0">
        <w:rPr>
          <w:rFonts w:cs="Times New Roman"/>
          <w:sz w:val="16"/>
          <w:szCs w:val="16"/>
        </w:rPr>
        <w:t>retsstilling</w:t>
      </w:r>
      <w:proofErr w:type="spellEnd"/>
      <w:r w:rsidRPr="006949C0">
        <w:rPr>
          <w:rFonts w:cs="Times New Roman"/>
          <w:sz w:val="16"/>
          <w:szCs w:val="16"/>
        </w:rPr>
        <w:t xml:space="preserve"> under </w:t>
      </w:r>
      <w:proofErr w:type="spellStart"/>
      <w:r w:rsidRPr="006949C0">
        <w:rPr>
          <w:rFonts w:cs="Times New Roman"/>
          <w:sz w:val="16"/>
          <w:szCs w:val="16"/>
        </w:rPr>
        <w:t>insolvensbehandling</w:t>
      </w:r>
      <w:proofErr w:type="spellEnd"/>
      <w:r w:rsidRPr="006949C0">
        <w:rPr>
          <w:rFonts w:cs="Times New Roman"/>
          <w:sz w:val="16"/>
          <w:szCs w:val="16"/>
        </w:rPr>
        <w:t>, 190-200.</w:t>
      </w:r>
    </w:p>
  </w:footnote>
  <w:footnote w:id="31">
    <w:p w14:paraId="1B28E4A9" w14:textId="5D1D1B2F" w:rsidR="006949C0" w:rsidRPr="006949C0" w:rsidRDefault="006949C0">
      <w:pPr>
        <w:pStyle w:val="FootnoteText"/>
        <w:rPr>
          <w:sz w:val="16"/>
          <w:szCs w:val="16"/>
        </w:rPr>
      </w:pPr>
      <w:r w:rsidRPr="006949C0">
        <w:rPr>
          <w:rStyle w:val="FootnoteReference"/>
          <w:sz w:val="16"/>
          <w:szCs w:val="16"/>
        </w:rPr>
        <w:footnoteRef/>
      </w:r>
      <w:r w:rsidRPr="006949C0">
        <w:rPr>
          <w:sz w:val="16"/>
          <w:szCs w:val="16"/>
        </w:rPr>
        <w:t xml:space="preserve"> Provided by the </w:t>
      </w:r>
      <w:r w:rsidRPr="006949C0">
        <w:rPr>
          <w:rFonts w:cs="Times New Roman"/>
          <w:iCs/>
          <w:sz w:val="16"/>
          <w:szCs w:val="16"/>
        </w:rPr>
        <w:t xml:space="preserve">Corporate Insolvency and Governance Act 2020 (CIGA 2020), which </w:t>
      </w:r>
      <w:r w:rsidR="0002201D">
        <w:rPr>
          <w:rFonts w:cs="Times New Roman"/>
          <w:iCs/>
          <w:sz w:val="16"/>
          <w:szCs w:val="16"/>
        </w:rPr>
        <w:t xml:space="preserve">introduced </w:t>
      </w:r>
      <w:r w:rsidRPr="006949C0">
        <w:rPr>
          <w:rFonts w:cs="Times New Roman"/>
          <w:iCs/>
          <w:sz w:val="16"/>
          <w:szCs w:val="16"/>
        </w:rPr>
        <w:t>Part 26A of the Companies Act 2006.</w:t>
      </w:r>
    </w:p>
  </w:footnote>
  <w:footnote w:id="32">
    <w:p w14:paraId="44385F7C" w14:textId="4E557E67" w:rsidR="00DC13DB" w:rsidRPr="006949C0" w:rsidRDefault="00DC13DB">
      <w:pPr>
        <w:pStyle w:val="FootnoteText"/>
        <w:rPr>
          <w:sz w:val="16"/>
          <w:szCs w:val="16"/>
        </w:rPr>
      </w:pPr>
      <w:r w:rsidRPr="006949C0">
        <w:rPr>
          <w:rStyle w:val="FootnoteReference"/>
          <w:sz w:val="16"/>
          <w:szCs w:val="16"/>
        </w:rPr>
        <w:footnoteRef/>
      </w:r>
      <w:r w:rsidRPr="006949C0">
        <w:rPr>
          <w:sz w:val="16"/>
          <w:szCs w:val="16"/>
        </w:rPr>
        <w:t xml:space="preserve"> Companies Act 2006, s 901A.</w:t>
      </w:r>
    </w:p>
  </w:footnote>
  <w:footnote w:id="33">
    <w:p w14:paraId="6FF6C2D6" w14:textId="2B20101D" w:rsidR="00F42DA5" w:rsidRPr="006949C0" w:rsidRDefault="00F42DA5" w:rsidP="00F42DA5">
      <w:pPr>
        <w:pStyle w:val="FootnoteText"/>
        <w:rPr>
          <w:rFonts w:cs="Times New Roman"/>
          <w:sz w:val="16"/>
          <w:szCs w:val="16"/>
        </w:rPr>
      </w:pPr>
      <w:r w:rsidRPr="006949C0">
        <w:rPr>
          <w:rStyle w:val="FootnoteReference"/>
          <w:rFonts w:cs="Times New Roman"/>
          <w:sz w:val="16"/>
          <w:szCs w:val="16"/>
        </w:rPr>
        <w:footnoteRef/>
      </w:r>
      <w:r w:rsidRPr="006949C0">
        <w:rPr>
          <w:rFonts w:cs="Times New Roman"/>
          <w:sz w:val="16"/>
          <w:szCs w:val="16"/>
        </w:rPr>
        <w:t xml:space="preserve"> </w:t>
      </w:r>
      <w:r w:rsidR="009151D5" w:rsidRPr="006949C0">
        <w:rPr>
          <w:rFonts w:cs="Times New Roman"/>
          <w:sz w:val="16"/>
          <w:szCs w:val="16"/>
        </w:rPr>
        <w:t xml:space="preserve">European Union (Future Relationship) Act 2020 c 29 </w:t>
      </w:r>
      <w:r w:rsidRPr="006949C0">
        <w:rPr>
          <w:rFonts w:cs="Times New Roman"/>
          <w:sz w:val="16"/>
          <w:szCs w:val="16"/>
        </w:rPr>
        <w:t>&lt;</w:t>
      </w:r>
      <w:hyperlink r:id="rId4" w:history="1">
        <w:r w:rsidRPr="006949C0">
          <w:rPr>
            <w:rStyle w:val="Hyperlink"/>
            <w:rFonts w:cs="Times New Roman"/>
            <w:sz w:val="16"/>
            <w:szCs w:val="16"/>
          </w:rPr>
          <w:t>https://www.legislation.gov.uk/ukpga/2020/29/enacted/data.htm</w:t>
        </w:r>
      </w:hyperlink>
      <w:r w:rsidRPr="006949C0">
        <w:rPr>
          <w:rFonts w:cs="Times New Roman"/>
          <w:sz w:val="16"/>
          <w:szCs w:val="16"/>
        </w:rPr>
        <w:t>&gt; last accessed 31 August 2021.</w:t>
      </w:r>
    </w:p>
  </w:footnote>
  <w:footnote w:id="34">
    <w:p w14:paraId="689D7C5B" w14:textId="77777777" w:rsidR="00F42DA5" w:rsidRPr="006949C0" w:rsidRDefault="00F42DA5" w:rsidP="00F42DA5">
      <w:pPr>
        <w:pStyle w:val="FootnoteText"/>
        <w:rPr>
          <w:rFonts w:cs="Times New Roman"/>
          <w:sz w:val="16"/>
          <w:szCs w:val="16"/>
        </w:rPr>
      </w:pPr>
      <w:r w:rsidRPr="006949C0">
        <w:rPr>
          <w:rStyle w:val="FootnoteReference"/>
          <w:rFonts w:cs="Times New Roman"/>
          <w:sz w:val="16"/>
          <w:szCs w:val="16"/>
        </w:rPr>
        <w:footnoteRef/>
      </w:r>
      <w:r w:rsidRPr="006949C0">
        <w:rPr>
          <w:rFonts w:cs="Times New Roman"/>
          <w:sz w:val="16"/>
          <w:szCs w:val="16"/>
        </w:rPr>
        <w:t xml:space="preserve"> Regulation (EU) No 1215/2012 of the European Parliament and of the Council of 12 December 2012 on jurisdiction and the recognition and enforcement of judgments in civil and commercial matters [2012] OJ L 351/1.</w:t>
      </w:r>
    </w:p>
  </w:footnote>
  <w:footnote w:id="35">
    <w:p w14:paraId="5433EE7E" w14:textId="2C1697DC" w:rsidR="00F42DA5" w:rsidRPr="006949C0" w:rsidRDefault="00F42DA5" w:rsidP="00F42DA5">
      <w:pPr>
        <w:pStyle w:val="FootnoteText"/>
        <w:rPr>
          <w:rFonts w:cs="Times New Roman"/>
          <w:sz w:val="16"/>
          <w:szCs w:val="16"/>
        </w:rPr>
      </w:pPr>
      <w:r w:rsidRPr="006949C0">
        <w:rPr>
          <w:rStyle w:val="FootnoteReference"/>
          <w:rFonts w:cs="Times New Roman"/>
          <w:sz w:val="16"/>
          <w:szCs w:val="16"/>
        </w:rPr>
        <w:footnoteRef/>
      </w:r>
      <w:r w:rsidRPr="006949C0">
        <w:rPr>
          <w:rFonts w:cs="Times New Roman"/>
          <w:sz w:val="16"/>
          <w:szCs w:val="16"/>
        </w:rPr>
        <w:t xml:space="preserve"> K Stephenson, ‘Addressing Post-Brexit Limitations of Cross-Border Recognition of Restructuring and Insolvency Proceedings in Europe’ (2021) 18(1) Int CR 1, 1.</w:t>
      </w:r>
    </w:p>
  </w:footnote>
  <w:footnote w:id="36">
    <w:p w14:paraId="67514731" w14:textId="77777777" w:rsidR="00F42DA5" w:rsidRPr="006949C0" w:rsidRDefault="00F42DA5" w:rsidP="00F42DA5">
      <w:pPr>
        <w:pStyle w:val="FootnoteText"/>
        <w:rPr>
          <w:rFonts w:cs="Times New Roman"/>
          <w:sz w:val="16"/>
          <w:szCs w:val="16"/>
        </w:rPr>
      </w:pPr>
      <w:r w:rsidRPr="006949C0">
        <w:rPr>
          <w:rStyle w:val="FootnoteReference"/>
          <w:rFonts w:cs="Times New Roman"/>
          <w:sz w:val="16"/>
          <w:szCs w:val="16"/>
        </w:rPr>
        <w:footnoteRef/>
      </w:r>
      <w:r w:rsidRPr="006949C0">
        <w:rPr>
          <w:rFonts w:cs="Times New Roman"/>
          <w:sz w:val="16"/>
          <w:szCs w:val="16"/>
        </w:rPr>
        <w:t xml:space="preserve"> </w:t>
      </w:r>
      <w:r w:rsidRPr="006949C0">
        <w:rPr>
          <w:rFonts w:cs="Times New Roman"/>
          <w:i/>
          <w:iCs/>
          <w:sz w:val="16"/>
          <w:szCs w:val="16"/>
        </w:rPr>
        <w:t>The Insolvency (Amendment) (EU Exit) Regulations 2019</w:t>
      </w:r>
      <w:r w:rsidRPr="006949C0">
        <w:rPr>
          <w:rFonts w:cs="Times New Roman"/>
          <w:sz w:val="16"/>
          <w:szCs w:val="16"/>
        </w:rPr>
        <w:t xml:space="preserve"> and </w:t>
      </w:r>
      <w:r w:rsidRPr="006949C0">
        <w:rPr>
          <w:rFonts w:cs="Times New Roman"/>
          <w:i/>
          <w:iCs/>
          <w:sz w:val="16"/>
          <w:szCs w:val="16"/>
        </w:rPr>
        <w:t>The Insolvency (Amendment) (EU Exit) (No. 2) Regulations 2019</w:t>
      </w:r>
      <w:r w:rsidRPr="006949C0">
        <w:rPr>
          <w:rFonts w:cs="Times New Roman"/>
          <w:sz w:val="16"/>
          <w:szCs w:val="16"/>
        </w:rPr>
        <w:t xml:space="preserve"> (‘Insolvency Brexit Regulations’); further amended by </w:t>
      </w:r>
      <w:r w:rsidRPr="006949C0">
        <w:rPr>
          <w:rFonts w:cs="Times New Roman"/>
          <w:i/>
          <w:iCs/>
          <w:sz w:val="16"/>
          <w:szCs w:val="16"/>
        </w:rPr>
        <w:t>The Insolvency (Amendment) (EU Exit) Regulations 2020</w:t>
      </w:r>
      <w:r w:rsidRPr="006949C0">
        <w:rPr>
          <w:rFonts w:cs="Times New Roman"/>
          <w:sz w:val="16"/>
          <w:szCs w:val="16"/>
        </w:rPr>
        <w:t>.</w:t>
      </w:r>
    </w:p>
  </w:footnote>
  <w:footnote w:id="37">
    <w:p w14:paraId="7E42EB95" w14:textId="3B3D8FD3" w:rsidR="00626FD7" w:rsidRPr="006949C0" w:rsidRDefault="00626FD7" w:rsidP="00626FD7">
      <w:pPr>
        <w:pStyle w:val="FootnoteText"/>
        <w:rPr>
          <w:sz w:val="16"/>
          <w:szCs w:val="16"/>
          <w:lang w:val="en-US"/>
        </w:rPr>
      </w:pPr>
      <w:r w:rsidRPr="006949C0">
        <w:rPr>
          <w:rStyle w:val="FootnoteReference"/>
          <w:sz w:val="16"/>
          <w:szCs w:val="16"/>
        </w:rPr>
        <w:footnoteRef/>
      </w:r>
      <w:r w:rsidRPr="006949C0">
        <w:rPr>
          <w:sz w:val="16"/>
          <w:szCs w:val="16"/>
        </w:rPr>
        <w:t xml:space="preserve"> Compare also European Law Institute (ed Part I), and Bob Wessels, Stephan </w:t>
      </w:r>
      <w:proofErr w:type="spellStart"/>
      <w:r w:rsidRPr="006949C0">
        <w:rPr>
          <w:sz w:val="16"/>
          <w:szCs w:val="16"/>
        </w:rPr>
        <w:t>Madaus</w:t>
      </w:r>
      <w:proofErr w:type="spellEnd"/>
      <w:r w:rsidRPr="006949C0">
        <w:rPr>
          <w:sz w:val="16"/>
          <w:szCs w:val="16"/>
        </w:rPr>
        <w:t xml:space="preserve"> and Gert-Jan Boon (eds Part II), </w:t>
      </w:r>
      <w:r w:rsidRPr="006949C0">
        <w:rPr>
          <w:i/>
          <w:iCs/>
          <w:sz w:val="16"/>
          <w:szCs w:val="16"/>
        </w:rPr>
        <w:t xml:space="preserve">Rescue of Business in Europe </w:t>
      </w:r>
      <w:r w:rsidRPr="006949C0">
        <w:rPr>
          <w:sz w:val="16"/>
          <w:szCs w:val="16"/>
        </w:rPr>
        <w:t xml:space="preserve">(Oxford University Press 2020), </w:t>
      </w:r>
      <w:r w:rsidRPr="0002201D">
        <w:rPr>
          <w:sz w:val="16"/>
          <w:szCs w:val="16"/>
        </w:rPr>
        <w:t>Recommendation 1.21</w:t>
      </w:r>
      <w:r w:rsidR="0002201D">
        <w:rPr>
          <w:sz w:val="16"/>
          <w:szCs w:val="16"/>
        </w:rPr>
        <w:t xml:space="preserve">, </w:t>
      </w:r>
      <w:r w:rsidRPr="0002201D">
        <w:rPr>
          <w:sz w:val="16"/>
          <w:szCs w:val="16"/>
        </w:rPr>
        <w:t>157-159.</w:t>
      </w:r>
    </w:p>
  </w:footnote>
  <w:footnote w:id="38">
    <w:p w14:paraId="6B2CA726" w14:textId="683220FF" w:rsidR="00C46FC4" w:rsidRPr="006949C0" w:rsidRDefault="00C46FC4" w:rsidP="00C46FC4">
      <w:pPr>
        <w:pStyle w:val="FootnoteText"/>
        <w:jc w:val="both"/>
        <w:rPr>
          <w:rFonts w:cs="Times New Roman"/>
          <w:sz w:val="16"/>
          <w:szCs w:val="16"/>
        </w:rPr>
      </w:pPr>
      <w:r w:rsidRPr="006949C0">
        <w:rPr>
          <w:rStyle w:val="FootnoteReference"/>
          <w:rFonts w:cs="Times New Roman"/>
          <w:sz w:val="16"/>
          <w:szCs w:val="16"/>
        </w:rPr>
        <w:footnoteRef/>
      </w:r>
      <w:r w:rsidRPr="006949C0">
        <w:rPr>
          <w:rFonts w:cs="Times New Roman"/>
          <w:sz w:val="16"/>
          <w:szCs w:val="16"/>
        </w:rPr>
        <w:t xml:space="preserve"> </w:t>
      </w:r>
      <w:r w:rsidR="00AB0C25" w:rsidRPr="006949C0">
        <w:rPr>
          <w:rFonts w:cs="Times New Roman"/>
          <w:sz w:val="16"/>
          <w:szCs w:val="16"/>
        </w:rPr>
        <w:t>PRD</w:t>
      </w:r>
      <w:r w:rsidRPr="006949C0">
        <w:rPr>
          <w:rFonts w:cs="Times New Roman"/>
          <w:sz w:val="16"/>
          <w:szCs w:val="16"/>
        </w:rPr>
        <w:t xml:space="preserve">, </w:t>
      </w:r>
      <w:r w:rsidR="00AB0C25" w:rsidRPr="006949C0">
        <w:rPr>
          <w:rFonts w:cs="Times New Roman"/>
          <w:sz w:val="16"/>
          <w:szCs w:val="16"/>
        </w:rPr>
        <w:t>A</w:t>
      </w:r>
      <w:r w:rsidRPr="006949C0">
        <w:rPr>
          <w:rFonts w:cs="Times New Roman"/>
          <w:sz w:val="16"/>
          <w:szCs w:val="16"/>
        </w:rPr>
        <w:t>rt 5.</w:t>
      </w:r>
    </w:p>
  </w:footnote>
  <w:footnote w:id="39">
    <w:p w14:paraId="6398F4B0" w14:textId="2EFE0DAD" w:rsidR="00BF7867" w:rsidRPr="006949C0" w:rsidRDefault="00BF7867">
      <w:pPr>
        <w:pStyle w:val="FootnoteText"/>
        <w:rPr>
          <w:sz w:val="16"/>
          <w:szCs w:val="16"/>
        </w:rPr>
      </w:pPr>
      <w:r w:rsidRPr="006949C0">
        <w:rPr>
          <w:rStyle w:val="FootnoteReference"/>
          <w:sz w:val="16"/>
          <w:szCs w:val="16"/>
        </w:rPr>
        <w:footnoteRef/>
      </w:r>
      <w:r w:rsidRPr="006949C0">
        <w:rPr>
          <w:sz w:val="16"/>
          <w:szCs w:val="16"/>
        </w:rPr>
        <w:t xml:space="preserve"> </w:t>
      </w:r>
      <w:r w:rsidR="00B16189" w:rsidRPr="006949C0">
        <w:rPr>
          <w:sz w:val="16"/>
          <w:szCs w:val="16"/>
        </w:rPr>
        <w:t xml:space="preserve">See discussion of the </w:t>
      </w:r>
      <w:r w:rsidR="006F576B">
        <w:rPr>
          <w:i/>
          <w:iCs/>
          <w:sz w:val="16"/>
          <w:szCs w:val="16"/>
        </w:rPr>
        <w:t>Debenhams</w:t>
      </w:r>
      <w:r w:rsidR="00B16189" w:rsidRPr="006949C0">
        <w:rPr>
          <w:i/>
          <w:iCs/>
          <w:sz w:val="16"/>
          <w:szCs w:val="16"/>
        </w:rPr>
        <w:t xml:space="preserve"> </w:t>
      </w:r>
      <w:r w:rsidR="00B16189" w:rsidRPr="006949C0">
        <w:rPr>
          <w:sz w:val="16"/>
          <w:szCs w:val="16"/>
        </w:rPr>
        <w:t xml:space="preserve">case in </w:t>
      </w:r>
      <w:r w:rsidRPr="006949C0">
        <w:rPr>
          <w:sz w:val="16"/>
          <w:szCs w:val="16"/>
        </w:rPr>
        <w:t>E Vaccari, ‘Corporate Insolvency Reforms in England: Rescuing a “Broken Bench”? A Critical Analysis of Light Touch Administrations and New Restructuring Plans’ (2020) 31(12</w:t>
      </w:r>
      <w:r w:rsidR="0002201D">
        <w:rPr>
          <w:sz w:val="16"/>
          <w:szCs w:val="16"/>
        </w:rPr>
        <w:t>) ICCLR</w:t>
      </w:r>
      <w:r w:rsidRPr="006949C0">
        <w:rPr>
          <w:sz w:val="16"/>
          <w:szCs w:val="16"/>
        </w:rPr>
        <w:t xml:space="preserve"> 645.</w:t>
      </w:r>
    </w:p>
  </w:footnote>
  <w:footnote w:id="40">
    <w:p w14:paraId="5A6F06F4" w14:textId="15085289" w:rsidR="00E55A2E" w:rsidRPr="006949C0" w:rsidRDefault="00E55A2E">
      <w:pPr>
        <w:pStyle w:val="FootnoteText"/>
        <w:rPr>
          <w:sz w:val="16"/>
          <w:szCs w:val="16"/>
        </w:rPr>
      </w:pPr>
      <w:r w:rsidRPr="006949C0">
        <w:rPr>
          <w:rStyle w:val="FootnoteReference"/>
          <w:sz w:val="16"/>
          <w:szCs w:val="16"/>
        </w:rPr>
        <w:footnoteRef/>
      </w:r>
      <w:r w:rsidRPr="006949C0">
        <w:rPr>
          <w:sz w:val="16"/>
          <w:szCs w:val="16"/>
        </w:rPr>
        <w:t xml:space="preserve"> </w:t>
      </w:r>
      <w:r w:rsidR="006F576B">
        <w:rPr>
          <w:sz w:val="16"/>
          <w:szCs w:val="16"/>
        </w:rPr>
        <w:t>DBA Art</w:t>
      </w:r>
      <w:r w:rsidRPr="006949C0">
        <w:rPr>
          <w:rFonts w:cs="Times New Roman"/>
          <w:sz w:val="16"/>
          <w:szCs w:val="16"/>
          <w:lang w:val="en-US"/>
        </w:rPr>
        <w:t xml:space="preserve"> 371(1)</w:t>
      </w:r>
      <w:r w:rsidR="00C178BE" w:rsidRPr="006949C0">
        <w:rPr>
          <w:rFonts w:cs="Times New Roman"/>
          <w:sz w:val="16"/>
          <w:szCs w:val="16"/>
          <w:lang w:val="en-US"/>
        </w:rPr>
        <w:t>.</w:t>
      </w:r>
    </w:p>
  </w:footnote>
  <w:footnote w:id="41">
    <w:p w14:paraId="043D5EC1" w14:textId="0705A9BF" w:rsidR="00FF218B" w:rsidRPr="006949C0" w:rsidRDefault="00FF218B" w:rsidP="00FF218B">
      <w:pPr>
        <w:pStyle w:val="FootnoteText"/>
        <w:jc w:val="both"/>
        <w:rPr>
          <w:rFonts w:cs="Times New Roman"/>
          <w:sz w:val="16"/>
          <w:szCs w:val="16"/>
        </w:rPr>
      </w:pPr>
      <w:r w:rsidRPr="006949C0">
        <w:rPr>
          <w:rStyle w:val="FootnoteReference"/>
          <w:rFonts w:cs="Times New Roman"/>
          <w:sz w:val="16"/>
          <w:szCs w:val="16"/>
        </w:rPr>
        <w:footnoteRef/>
      </w:r>
      <w:r w:rsidRPr="006949C0">
        <w:rPr>
          <w:rFonts w:cs="Times New Roman"/>
          <w:sz w:val="16"/>
          <w:szCs w:val="16"/>
        </w:rPr>
        <w:t xml:space="preserve"> </w:t>
      </w:r>
      <w:r w:rsidR="00EE02A1" w:rsidRPr="006949C0">
        <w:rPr>
          <w:rFonts w:cs="Times New Roman"/>
          <w:sz w:val="16"/>
          <w:szCs w:val="16"/>
        </w:rPr>
        <w:t>PRD, Art</w:t>
      </w:r>
      <w:r w:rsidRPr="006949C0">
        <w:rPr>
          <w:rFonts w:cs="Times New Roman"/>
          <w:sz w:val="16"/>
          <w:szCs w:val="16"/>
        </w:rPr>
        <w:t xml:space="preserve"> 9.</w:t>
      </w:r>
    </w:p>
  </w:footnote>
  <w:footnote w:id="42">
    <w:p w14:paraId="51C37E8F" w14:textId="2CB87A8C" w:rsidR="00FF218B" w:rsidRPr="006949C0" w:rsidRDefault="00FF218B" w:rsidP="00FF218B">
      <w:pPr>
        <w:pStyle w:val="FootnoteText"/>
        <w:jc w:val="both"/>
        <w:rPr>
          <w:rFonts w:cs="Times New Roman"/>
          <w:sz w:val="16"/>
          <w:szCs w:val="16"/>
        </w:rPr>
      </w:pPr>
      <w:r w:rsidRPr="006949C0">
        <w:rPr>
          <w:rStyle w:val="FootnoteReference"/>
          <w:rFonts w:cs="Times New Roman"/>
          <w:sz w:val="16"/>
          <w:szCs w:val="16"/>
        </w:rPr>
        <w:footnoteRef/>
      </w:r>
      <w:r w:rsidRPr="006949C0">
        <w:rPr>
          <w:rFonts w:cs="Times New Roman"/>
          <w:sz w:val="16"/>
          <w:szCs w:val="16"/>
        </w:rPr>
        <w:t xml:space="preserve"> </w:t>
      </w:r>
      <w:r w:rsidR="00EE02A1" w:rsidRPr="006949C0">
        <w:rPr>
          <w:rFonts w:cs="Times New Roman"/>
          <w:sz w:val="16"/>
          <w:szCs w:val="16"/>
        </w:rPr>
        <w:t>PRD, Art</w:t>
      </w:r>
      <w:r w:rsidRPr="006949C0">
        <w:rPr>
          <w:rFonts w:cs="Times New Roman"/>
          <w:sz w:val="16"/>
          <w:szCs w:val="16"/>
        </w:rPr>
        <w:t xml:space="preserve"> 11.</w:t>
      </w:r>
    </w:p>
  </w:footnote>
  <w:footnote w:id="43">
    <w:p w14:paraId="360530DF" w14:textId="768EC9F5" w:rsidR="00820E53" w:rsidRPr="006949C0" w:rsidRDefault="00820E53">
      <w:pPr>
        <w:pStyle w:val="FootnoteText"/>
        <w:rPr>
          <w:sz w:val="16"/>
          <w:szCs w:val="16"/>
        </w:rPr>
      </w:pPr>
      <w:r w:rsidRPr="006949C0">
        <w:rPr>
          <w:rStyle w:val="FootnoteReference"/>
          <w:sz w:val="16"/>
          <w:szCs w:val="16"/>
        </w:rPr>
        <w:footnoteRef/>
      </w:r>
      <w:r w:rsidRPr="006949C0">
        <w:rPr>
          <w:sz w:val="16"/>
          <w:szCs w:val="16"/>
        </w:rPr>
        <w:t xml:space="preserve"> PRD, Art. 11 para 1 lit. c</w:t>
      </w:r>
    </w:p>
  </w:footnote>
  <w:footnote w:id="44">
    <w:p w14:paraId="36E2D8AF" w14:textId="7F3B01BF" w:rsidR="00EE02A1" w:rsidRPr="006949C0" w:rsidRDefault="00EE02A1">
      <w:pPr>
        <w:pStyle w:val="FootnoteText"/>
        <w:rPr>
          <w:sz w:val="16"/>
          <w:szCs w:val="16"/>
        </w:rPr>
      </w:pPr>
      <w:r w:rsidRPr="006949C0">
        <w:rPr>
          <w:rStyle w:val="FootnoteReference"/>
          <w:sz w:val="16"/>
          <w:szCs w:val="16"/>
        </w:rPr>
        <w:footnoteRef/>
      </w:r>
      <w:r w:rsidRPr="006949C0">
        <w:rPr>
          <w:sz w:val="16"/>
          <w:szCs w:val="16"/>
        </w:rPr>
        <w:t xml:space="preserve"> PRD, Art 11(2) (last paragraph). </w:t>
      </w:r>
    </w:p>
  </w:footnote>
  <w:footnote w:id="45">
    <w:p w14:paraId="3D5B551A" w14:textId="6E4CB57A" w:rsidR="00EE02A1" w:rsidRPr="006949C0" w:rsidRDefault="00EE02A1">
      <w:pPr>
        <w:pStyle w:val="FootnoteText"/>
        <w:rPr>
          <w:sz w:val="16"/>
          <w:szCs w:val="16"/>
        </w:rPr>
      </w:pPr>
      <w:r w:rsidRPr="006949C0">
        <w:rPr>
          <w:rStyle w:val="FootnoteReference"/>
          <w:sz w:val="16"/>
          <w:szCs w:val="16"/>
        </w:rPr>
        <w:footnoteRef/>
      </w:r>
      <w:r w:rsidRPr="006949C0">
        <w:rPr>
          <w:sz w:val="16"/>
          <w:szCs w:val="16"/>
        </w:rPr>
        <w:t xml:space="preserve"> </w:t>
      </w:r>
      <w:r w:rsidR="007552A2" w:rsidRPr="006949C0">
        <w:rPr>
          <w:rFonts w:cs="Times New Roman"/>
          <w:sz w:val="16"/>
          <w:szCs w:val="16"/>
          <w:lang w:val="en-US"/>
        </w:rPr>
        <w:t>DBA, Art</w:t>
      </w:r>
      <w:r w:rsidRPr="006949C0">
        <w:rPr>
          <w:rFonts w:cs="Times New Roman"/>
          <w:sz w:val="16"/>
          <w:szCs w:val="16"/>
          <w:lang w:val="en-US"/>
        </w:rPr>
        <w:t xml:space="preserve"> 384(4)</w:t>
      </w:r>
      <w:r w:rsidR="00620E08" w:rsidRPr="006949C0">
        <w:rPr>
          <w:rFonts w:cs="Times New Roman"/>
          <w:sz w:val="16"/>
          <w:szCs w:val="16"/>
          <w:lang w:val="en-US"/>
        </w:rPr>
        <w:t>.</w:t>
      </w:r>
    </w:p>
  </w:footnote>
  <w:footnote w:id="46">
    <w:p w14:paraId="302C001E" w14:textId="5FE2B883" w:rsidR="008A2CF8" w:rsidRPr="006949C0" w:rsidRDefault="008A2CF8">
      <w:pPr>
        <w:pStyle w:val="FootnoteText"/>
        <w:rPr>
          <w:sz w:val="16"/>
          <w:szCs w:val="16"/>
        </w:rPr>
      </w:pPr>
      <w:r w:rsidRPr="006949C0">
        <w:rPr>
          <w:rStyle w:val="FootnoteReference"/>
          <w:sz w:val="16"/>
          <w:szCs w:val="16"/>
        </w:rPr>
        <w:footnoteRef/>
      </w:r>
      <w:r w:rsidRPr="006949C0">
        <w:rPr>
          <w:sz w:val="16"/>
          <w:szCs w:val="16"/>
        </w:rPr>
        <w:t xml:space="preserve"> </w:t>
      </w:r>
      <w:r w:rsidR="006F576B">
        <w:rPr>
          <w:sz w:val="16"/>
          <w:szCs w:val="16"/>
        </w:rPr>
        <w:t xml:space="preserve">Though the pre-pack suffered a setback due to </w:t>
      </w:r>
      <w:r w:rsidRPr="006949C0">
        <w:rPr>
          <w:sz w:val="16"/>
          <w:szCs w:val="16"/>
          <w:lang w:val="en-AU"/>
        </w:rPr>
        <w:t>Case C-126/16</w:t>
      </w:r>
      <w:r w:rsidRPr="006949C0">
        <w:rPr>
          <w:sz w:val="16"/>
          <w:szCs w:val="16"/>
        </w:rPr>
        <w:t xml:space="preserve"> </w:t>
      </w:r>
      <w:r w:rsidRPr="006949C0">
        <w:rPr>
          <w:i/>
          <w:iCs/>
          <w:sz w:val="16"/>
          <w:szCs w:val="16"/>
          <w:lang w:val="en-AU"/>
        </w:rPr>
        <w:t xml:space="preserve">First Steps </w:t>
      </w:r>
      <w:proofErr w:type="spellStart"/>
      <w:r w:rsidRPr="006949C0">
        <w:rPr>
          <w:i/>
          <w:iCs/>
          <w:sz w:val="16"/>
          <w:szCs w:val="16"/>
          <w:lang w:val="en-AU"/>
        </w:rPr>
        <w:t>Federatie</w:t>
      </w:r>
      <w:proofErr w:type="spellEnd"/>
      <w:r w:rsidRPr="006949C0">
        <w:rPr>
          <w:i/>
          <w:iCs/>
          <w:sz w:val="16"/>
          <w:szCs w:val="16"/>
          <w:lang w:val="en-AU"/>
        </w:rPr>
        <w:t xml:space="preserve"> </w:t>
      </w:r>
      <w:proofErr w:type="spellStart"/>
      <w:r w:rsidRPr="006949C0">
        <w:rPr>
          <w:i/>
          <w:iCs/>
          <w:sz w:val="16"/>
          <w:szCs w:val="16"/>
          <w:lang w:val="en-AU"/>
        </w:rPr>
        <w:t>Nederlandse</w:t>
      </w:r>
      <w:proofErr w:type="spellEnd"/>
      <w:r w:rsidRPr="006949C0">
        <w:rPr>
          <w:i/>
          <w:iCs/>
          <w:sz w:val="16"/>
          <w:szCs w:val="16"/>
          <w:lang w:val="en-AU"/>
        </w:rPr>
        <w:t xml:space="preserve"> </w:t>
      </w:r>
      <w:proofErr w:type="spellStart"/>
      <w:r w:rsidRPr="006949C0">
        <w:rPr>
          <w:i/>
          <w:iCs/>
          <w:sz w:val="16"/>
          <w:szCs w:val="16"/>
          <w:lang w:val="en-AU"/>
        </w:rPr>
        <w:t>Vakvereniging</w:t>
      </w:r>
      <w:proofErr w:type="spellEnd"/>
      <w:r w:rsidRPr="006949C0">
        <w:rPr>
          <w:i/>
          <w:iCs/>
          <w:sz w:val="16"/>
          <w:szCs w:val="16"/>
          <w:lang w:val="en-AU"/>
        </w:rPr>
        <w:t xml:space="preserve"> and Others v </w:t>
      </w:r>
      <w:proofErr w:type="spellStart"/>
      <w:r w:rsidRPr="006949C0">
        <w:rPr>
          <w:i/>
          <w:iCs/>
          <w:sz w:val="16"/>
          <w:szCs w:val="16"/>
          <w:lang w:val="en-AU"/>
        </w:rPr>
        <w:t>Smallsteps</w:t>
      </w:r>
      <w:proofErr w:type="spellEnd"/>
      <w:r w:rsidRPr="006949C0">
        <w:rPr>
          <w:i/>
          <w:iCs/>
          <w:sz w:val="16"/>
          <w:szCs w:val="16"/>
          <w:lang w:val="en-AU"/>
        </w:rPr>
        <w:t xml:space="preserve"> BV</w:t>
      </w:r>
      <w:r w:rsidRPr="006949C0">
        <w:rPr>
          <w:sz w:val="16"/>
          <w:szCs w:val="16"/>
          <w:lang w:val="en-AU"/>
        </w:rPr>
        <w:t xml:space="preserve"> </w:t>
      </w:r>
      <w:r w:rsidRPr="006949C0">
        <w:rPr>
          <w:sz w:val="16"/>
          <w:szCs w:val="16"/>
        </w:rPr>
        <w:t>[2017] ECLI:EU:</w:t>
      </w:r>
      <w:proofErr w:type="gramStart"/>
      <w:r w:rsidRPr="006949C0">
        <w:rPr>
          <w:sz w:val="16"/>
          <w:szCs w:val="16"/>
        </w:rPr>
        <w:t>C:2017:489</w:t>
      </w:r>
      <w:proofErr w:type="gramEnd"/>
      <w:r w:rsidR="006F576B">
        <w:rPr>
          <w:sz w:val="16"/>
          <w:szCs w:val="16"/>
        </w:rPr>
        <w:t xml:space="preserve">, which is being revisited in the case of </w:t>
      </w:r>
      <w:proofErr w:type="spellStart"/>
      <w:r w:rsidR="006F576B" w:rsidRPr="006F576B">
        <w:rPr>
          <w:i/>
          <w:iCs/>
          <w:sz w:val="16"/>
          <w:szCs w:val="16"/>
        </w:rPr>
        <w:t>Heiploeg</w:t>
      </w:r>
      <w:proofErr w:type="spellEnd"/>
      <w:r w:rsidR="006F576B" w:rsidRPr="006949C0">
        <w:rPr>
          <w:sz w:val="16"/>
          <w:szCs w:val="16"/>
        </w:rPr>
        <w:t xml:space="preserve"> (Case C-237/20)</w:t>
      </w:r>
    </w:p>
  </w:footnote>
  <w:footnote w:id="47">
    <w:p w14:paraId="7275C0A4" w14:textId="39E048D5" w:rsidR="008A2CF8" w:rsidRPr="006949C0" w:rsidRDefault="008A2CF8" w:rsidP="008A2CF8">
      <w:pPr>
        <w:pStyle w:val="FootnoteText"/>
        <w:rPr>
          <w:rFonts w:cs="Times New Roman"/>
          <w:sz w:val="16"/>
          <w:szCs w:val="16"/>
          <w:lang w:val="en-US"/>
        </w:rPr>
      </w:pPr>
      <w:r w:rsidRPr="006949C0">
        <w:rPr>
          <w:rStyle w:val="FootnoteReference"/>
          <w:rFonts w:cs="Times New Roman"/>
          <w:sz w:val="16"/>
          <w:szCs w:val="16"/>
        </w:rPr>
        <w:footnoteRef/>
      </w:r>
      <w:r w:rsidRPr="006949C0">
        <w:rPr>
          <w:rFonts w:cs="Times New Roman"/>
          <w:sz w:val="16"/>
          <w:szCs w:val="16"/>
        </w:rPr>
        <w:t xml:space="preserve"> </w:t>
      </w:r>
      <w:r w:rsidRPr="006949C0">
        <w:rPr>
          <w:rFonts w:cs="Times New Roman"/>
          <w:sz w:val="16"/>
          <w:szCs w:val="16"/>
          <w:lang w:val="en-US"/>
        </w:rPr>
        <w:t xml:space="preserve">Compare also </w:t>
      </w:r>
      <w:r w:rsidR="006F576B">
        <w:rPr>
          <w:rFonts w:cs="Times New Roman"/>
          <w:sz w:val="16"/>
          <w:szCs w:val="16"/>
          <w:lang w:val="en-US"/>
        </w:rPr>
        <w:t xml:space="preserve">Hole in One </w:t>
      </w:r>
      <w:r w:rsidR="00E905AF" w:rsidRPr="006949C0">
        <w:rPr>
          <w:rFonts w:cs="Times New Roman"/>
          <w:sz w:val="16"/>
          <w:szCs w:val="16"/>
          <w:lang w:val="en-US"/>
        </w:rPr>
        <w:t>and</w:t>
      </w:r>
      <w:r w:rsidRPr="006949C0">
        <w:rPr>
          <w:rFonts w:cs="Times New Roman"/>
          <w:sz w:val="16"/>
          <w:szCs w:val="16"/>
          <w:lang w:val="en-US"/>
        </w:rPr>
        <w:t xml:space="preserve"> J M G J Boon, ‘Mapping Preventive Restructuring Frameworks and the EU Preventive Restructuring Directive for the JCOERE Project, Country Report The Netherlands’, JCOERE Project, May 2020 </w:t>
      </w:r>
      <w:r w:rsidR="00E905AF" w:rsidRPr="006949C0">
        <w:rPr>
          <w:rFonts w:cs="Times New Roman"/>
          <w:sz w:val="16"/>
          <w:szCs w:val="16"/>
          <w:lang w:val="en-US"/>
        </w:rPr>
        <w:t>&lt;</w:t>
      </w:r>
      <w:hyperlink r:id="rId5" w:history="1">
        <w:r w:rsidRPr="006949C0">
          <w:rPr>
            <w:rStyle w:val="Hyperlink"/>
            <w:rFonts w:cs="Times New Roman"/>
            <w:sz w:val="16"/>
            <w:szCs w:val="16"/>
            <w:lang w:val="en-US"/>
          </w:rPr>
          <w:t>https://www.ucc.ie/en/media/projectsandcentres/jcoereproject/bannerimages/TheNetherlands_FINAL_PDF.pdf</w:t>
        </w:r>
      </w:hyperlink>
      <w:r w:rsidR="00E905AF" w:rsidRPr="006949C0">
        <w:rPr>
          <w:rStyle w:val="Hyperlink"/>
          <w:rFonts w:cs="Times New Roman"/>
          <w:sz w:val="16"/>
          <w:szCs w:val="16"/>
          <w:lang w:val="en-US"/>
        </w:rPr>
        <w:t>&gt;</w:t>
      </w:r>
      <w:r w:rsidRPr="006949C0">
        <w:rPr>
          <w:rFonts w:cs="Times New Roman"/>
          <w:sz w:val="16"/>
          <w:szCs w:val="16"/>
          <w:lang w:val="en-US"/>
        </w:rPr>
        <w:t>.</w:t>
      </w:r>
    </w:p>
  </w:footnote>
  <w:footnote w:id="48">
    <w:p w14:paraId="0727AD99" w14:textId="12D72C54" w:rsidR="00B30157" w:rsidRPr="009A4C26" w:rsidRDefault="00B30157">
      <w:pPr>
        <w:pStyle w:val="FootnoteText"/>
        <w:rPr>
          <w:sz w:val="16"/>
          <w:szCs w:val="16"/>
        </w:rPr>
      </w:pPr>
      <w:r w:rsidRPr="006949C0">
        <w:rPr>
          <w:rStyle w:val="FootnoteReference"/>
          <w:sz w:val="16"/>
          <w:szCs w:val="16"/>
        </w:rPr>
        <w:footnoteRef/>
      </w:r>
      <w:r w:rsidRPr="006949C0">
        <w:rPr>
          <w:sz w:val="16"/>
          <w:szCs w:val="16"/>
        </w:rPr>
        <w:t xml:space="preserve"> </w:t>
      </w:r>
      <w:r w:rsidR="00492F1A" w:rsidRPr="006949C0">
        <w:rPr>
          <w:sz w:val="16"/>
          <w:szCs w:val="16"/>
        </w:rPr>
        <w:t xml:space="preserve">Directive 2001/17/EC of the European Parliament and of the Council of 19 March 2001 on the reorganisation and winding-up of insurance undertakings </w:t>
      </w:r>
      <w:r w:rsidR="00492F1A" w:rsidRPr="006949C0">
        <w:rPr>
          <w:i/>
          <w:iCs/>
          <w:sz w:val="16"/>
          <w:szCs w:val="16"/>
        </w:rPr>
        <w:t>OJ 110/28</w:t>
      </w:r>
      <w:r w:rsidR="00492F1A" w:rsidRPr="006949C0">
        <w:rPr>
          <w:sz w:val="16"/>
          <w:szCs w:val="16"/>
        </w:rPr>
        <w:t xml:space="preserve"> as replaced by Directive 2009/138/EC of the European Parliament and of the Council of 25 November 2009 on the taking-up and pursuit of the business of Insurance and Reinsurance (Solvency II) </w:t>
      </w:r>
      <w:r w:rsidR="00492F1A" w:rsidRPr="006949C0">
        <w:rPr>
          <w:i/>
          <w:iCs/>
          <w:sz w:val="16"/>
          <w:szCs w:val="16"/>
        </w:rPr>
        <w:t>OJ 335/1</w:t>
      </w:r>
      <w:r w:rsidR="00492F1A" w:rsidRPr="006949C0">
        <w:rPr>
          <w:sz w:val="16"/>
          <w:szCs w:val="16"/>
        </w:rPr>
        <w:t xml:space="preserve">; </w:t>
      </w:r>
      <w:r w:rsidR="00E45733" w:rsidRPr="006949C0">
        <w:rPr>
          <w:sz w:val="16"/>
          <w:szCs w:val="16"/>
        </w:rPr>
        <w:t xml:space="preserve">Directive 2001/24/EC of the European Parliament and of the Council of 4 April 2001 on the reorganisation and winding up of credit institutions </w:t>
      </w:r>
      <w:r w:rsidR="00E45733" w:rsidRPr="006949C0">
        <w:rPr>
          <w:i/>
          <w:iCs/>
          <w:sz w:val="16"/>
          <w:szCs w:val="16"/>
        </w:rPr>
        <w:t>OJ 125/15</w:t>
      </w:r>
      <w:r w:rsidR="00E45733" w:rsidRPr="006949C0">
        <w:rPr>
          <w:sz w:val="16"/>
          <w:szCs w:val="16"/>
        </w:rPr>
        <w:t>.</w:t>
      </w:r>
    </w:p>
  </w:footnote>
  <w:footnote w:id="49">
    <w:p w14:paraId="5E7CDEF8" w14:textId="214906A2" w:rsidR="00722B84" w:rsidRPr="006949C0" w:rsidRDefault="00722B84">
      <w:pPr>
        <w:pStyle w:val="FootnoteText"/>
        <w:rPr>
          <w:rFonts w:cs="Times New Roman"/>
          <w:sz w:val="16"/>
          <w:szCs w:val="16"/>
          <w:lang w:val="en-US"/>
        </w:rPr>
      </w:pPr>
      <w:r w:rsidRPr="006949C0">
        <w:rPr>
          <w:rStyle w:val="FootnoteReference"/>
          <w:sz w:val="16"/>
          <w:szCs w:val="16"/>
        </w:rPr>
        <w:footnoteRef/>
      </w:r>
      <w:r w:rsidRPr="006949C0">
        <w:rPr>
          <w:sz w:val="16"/>
          <w:szCs w:val="16"/>
        </w:rPr>
        <w:t xml:space="preserve"> See also</w:t>
      </w:r>
      <w:r w:rsidR="006F576B">
        <w:rPr>
          <w:sz w:val="16"/>
          <w:szCs w:val="16"/>
        </w:rPr>
        <w:t xml:space="preserve"> Hole in One 1</w:t>
      </w:r>
      <w:r w:rsidR="00104745" w:rsidRPr="006949C0">
        <w:rPr>
          <w:sz w:val="16"/>
          <w:szCs w:val="16"/>
        </w:rPr>
        <w:t>.</w:t>
      </w:r>
    </w:p>
  </w:footnote>
  <w:footnote w:id="50">
    <w:p w14:paraId="1066D2AB" w14:textId="0656458E" w:rsidR="002D7DFE" w:rsidRPr="006949C0" w:rsidRDefault="002D7DFE">
      <w:pPr>
        <w:pStyle w:val="FootnoteText"/>
        <w:rPr>
          <w:sz w:val="16"/>
          <w:szCs w:val="16"/>
        </w:rPr>
      </w:pPr>
      <w:r w:rsidRPr="006949C0">
        <w:rPr>
          <w:rStyle w:val="FootnoteReference"/>
          <w:sz w:val="16"/>
          <w:szCs w:val="16"/>
        </w:rPr>
        <w:footnoteRef/>
      </w:r>
      <w:r w:rsidRPr="006949C0">
        <w:rPr>
          <w:sz w:val="16"/>
          <w:szCs w:val="16"/>
        </w:rPr>
        <w:t xml:space="preserve"> See José Garrido </w:t>
      </w:r>
      <w:r w:rsidRPr="006949C0">
        <w:rPr>
          <w:i/>
          <w:iCs/>
          <w:sz w:val="16"/>
          <w:szCs w:val="16"/>
        </w:rPr>
        <w:t>et al.</w:t>
      </w:r>
      <w:r w:rsidRPr="006949C0">
        <w:rPr>
          <w:sz w:val="16"/>
          <w:szCs w:val="16"/>
        </w:rPr>
        <w:t xml:space="preserve">, </w:t>
      </w:r>
      <w:r w:rsidR="00241497" w:rsidRPr="006949C0">
        <w:rPr>
          <w:sz w:val="16"/>
          <w:szCs w:val="16"/>
        </w:rPr>
        <w:t>‘</w:t>
      </w:r>
      <w:r w:rsidRPr="006949C0">
        <w:rPr>
          <w:sz w:val="16"/>
          <w:szCs w:val="16"/>
        </w:rPr>
        <w:t>Restructuring and Insolvency in Europe: Policy Options in the Implementation of the EU Directive</w:t>
      </w:r>
      <w:r w:rsidR="00241497" w:rsidRPr="006949C0">
        <w:rPr>
          <w:sz w:val="16"/>
          <w:szCs w:val="16"/>
        </w:rPr>
        <w:t>’</w:t>
      </w:r>
      <w:r w:rsidRPr="006949C0">
        <w:rPr>
          <w:sz w:val="16"/>
          <w:szCs w:val="16"/>
        </w:rPr>
        <w:t xml:space="preserve"> (WP/21/152) (IMF Working Paper, 2021).</w:t>
      </w:r>
    </w:p>
  </w:footnote>
  <w:footnote w:id="51">
    <w:p w14:paraId="3AA2A970" w14:textId="4769E494" w:rsidR="00D60539" w:rsidRPr="006949C0" w:rsidRDefault="00D60539">
      <w:pPr>
        <w:pStyle w:val="FootnoteText"/>
        <w:rPr>
          <w:sz w:val="16"/>
          <w:szCs w:val="16"/>
        </w:rPr>
      </w:pPr>
      <w:r w:rsidRPr="006949C0">
        <w:rPr>
          <w:rStyle w:val="FootnoteReference"/>
          <w:sz w:val="16"/>
          <w:szCs w:val="16"/>
        </w:rPr>
        <w:footnoteRef/>
      </w:r>
      <w:r w:rsidRPr="006949C0">
        <w:rPr>
          <w:sz w:val="16"/>
          <w:szCs w:val="16"/>
        </w:rPr>
        <w:t xml:space="preserve"> European Commission Inception Impact Assessment, ‘Enhancing the convergence of insolvency laws’, </w:t>
      </w:r>
      <w:proofErr w:type="gramStart"/>
      <w:r w:rsidRPr="006949C0">
        <w:rPr>
          <w:sz w:val="16"/>
          <w:szCs w:val="16"/>
        </w:rPr>
        <w:t>Ares(</w:t>
      </w:r>
      <w:proofErr w:type="gramEnd"/>
      <w:r w:rsidRPr="006949C0">
        <w:rPr>
          <w:sz w:val="16"/>
          <w:szCs w:val="16"/>
        </w:rPr>
        <w:t>2020)6591479,</w:t>
      </w:r>
      <w:r w:rsidR="002D292A">
        <w:rPr>
          <w:sz w:val="16"/>
          <w:szCs w:val="16"/>
        </w:rPr>
        <w:t xml:space="preserve"> </w:t>
      </w:r>
      <w:r w:rsidRPr="006949C0">
        <w:rPr>
          <w:sz w:val="16"/>
          <w:szCs w:val="16"/>
        </w:rPr>
        <w:t>11 November 2020, 1ff.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1BB"/>
    <w:multiLevelType w:val="hybridMultilevel"/>
    <w:tmpl w:val="D12E5A26"/>
    <w:lvl w:ilvl="0" w:tplc="320C82C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D97160"/>
    <w:multiLevelType w:val="hybridMultilevel"/>
    <w:tmpl w:val="7A164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93528"/>
    <w:multiLevelType w:val="hybridMultilevel"/>
    <w:tmpl w:val="BBE4C92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3B55A7"/>
    <w:multiLevelType w:val="hybridMultilevel"/>
    <w:tmpl w:val="F2403A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FD01DB9"/>
    <w:multiLevelType w:val="hybridMultilevel"/>
    <w:tmpl w:val="54CA60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C2B0A4A"/>
    <w:multiLevelType w:val="multilevel"/>
    <w:tmpl w:val="E0B2B536"/>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91B652B"/>
    <w:multiLevelType w:val="multilevel"/>
    <w:tmpl w:val="D0D4E076"/>
    <w:lvl w:ilvl="0">
      <w:start w:val="2"/>
      <w:numFmt w:val="decimal"/>
      <w:lvlText w:val="%1."/>
      <w:lvlJc w:val="left"/>
      <w:pPr>
        <w:ind w:left="360" w:hanging="360"/>
      </w:pPr>
      <w:rPr>
        <w:i/>
        <w:strike w:val="0"/>
        <w:dstrike w:val="0"/>
        <w:u w:val="none"/>
        <w:effect w:val="none"/>
      </w:rPr>
    </w:lvl>
    <w:lvl w:ilvl="1">
      <w:start w:val="1"/>
      <w:numFmt w:val="decimal"/>
      <w:lvlText w:val="%1.%2."/>
      <w:lvlJc w:val="left"/>
      <w:pPr>
        <w:ind w:left="360" w:hanging="360"/>
      </w:pPr>
      <w:rPr>
        <w:i/>
        <w:strike w:val="0"/>
        <w:dstrike w:val="0"/>
        <w:u w:val="none"/>
        <w:effect w:val="none"/>
      </w:rPr>
    </w:lvl>
    <w:lvl w:ilvl="2">
      <w:start w:val="1"/>
      <w:numFmt w:val="decimal"/>
      <w:lvlText w:val="%1.%2.%3."/>
      <w:lvlJc w:val="left"/>
      <w:pPr>
        <w:ind w:left="720" w:hanging="720"/>
      </w:pPr>
      <w:rPr>
        <w:i/>
        <w:strike w:val="0"/>
        <w:dstrike w:val="0"/>
        <w:u w:val="none"/>
        <w:effect w:val="none"/>
      </w:rPr>
    </w:lvl>
    <w:lvl w:ilvl="3">
      <w:start w:val="1"/>
      <w:numFmt w:val="decimal"/>
      <w:lvlText w:val="%1.%2.%3.%4."/>
      <w:lvlJc w:val="left"/>
      <w:pPr>
        <w:ind w:left="720" w:hanging="720"/>
      </w:pPr>
      <w:rPr>
        <w:i/>
        <w:strike w:val="0"/>
        <w:dstrike w:val="0"/>
        <w:u w:val="none"/>
        <w:effect w:val="none"/>
      </w:rPr>
    </w:lvl>
    <w:lvl w:ilvl="4">
      <w:start w:val="1"/>
      <w:numFmt w:val="decimal"/>
      <w:lvlText w:val="%1.%2.%3.%4.%5."/>
      <w:lvlJc w:val="left"/>
      <w:pPr>
        <w:ind w:left="1080" w:hanging="1080"/>
      </w:pPr>
      <w:rPr>
        <w:i/>
        <w:strike w:val="0"/>
        <w:dstrike w:val="0"/>
        <w:u w:val="none"/>
        <w:effect w:val="none"/>
      </w:rPr>
    </w:lvl>
    <w:lvl w:ilvl="5">
      <w:start w:val="1"/>
      <w:numFmt w:val="decimal"/>
      <w:lvlText w:val="%1.%2.%3.%4.%5.%6."/>
      <w:lvlJc w:val="left"/>
      <w:pPr>
        <w:ind w:left="1080" w:hanging="1080"/>
      </w:pPr>
      <w:rPr>
        <w:i/>
        <w:strike w:val="0"/>
        <w:dstrike w:val="0"/>
        <w:u w:val="none"/>
        <w:effect w:val="none"/>
      </w:rPr>
    </w:lvl>
    <w:lvl w:ilvl="6">
      <w:start w:val="1"/>
      <w:numFmt w:val="decimal"/>
      <w:lvlText w:val="%1.%2.%3.%4.%5.%6.%7."/>
      <w:lvlJc w:val="left"/>
      <w:pPr>
        <w:ind w:left="1440" w:hanging="1440"/>
      </w:pPr>
      <w:rPr>
        <w:i/>
        <w:strike w:val="0"/>
        <w:dstrike w:val="0"/>
        <w:u w:val="none"/>
        <w:effect w:val="none"/>
      </w:rPr>
    </w:lvl>
    <w:lvl w:ilvl="7">
      <w:start w:val="1"/>
      <w:numFmt w:val="decimal"/>
      <w:lvlText w:val="%1.%2.%3.%4.%5.%6.%7.%8."/>
      <w:lvlJc w:val="left"/>
      <w:pPr>
        <w:ind w:left="1440" w:hanging="1440"/>
      </w:pPr>
      <w:rPr>
        <w:i/>
        <w:strike w:val="0"/>
        <w:dstrike w:val="0"/>
        <w:u w:val="none"/>
        <w:effect w:val="none"/>
      </w:rPr>
    </w:lvl>
    <w:lvl w:ilvl="8">
      <w:start w:val="1"/>
      <w:numFmt w:val="decimal"/>
      <w:lvlText w:val="%1.%2.%3.%4.%5.%6.%7.%8.%9."/>
      <w:lvlJc w:val="left"/>
      <w:pPr>
        <w:ind w:left="1800" w:hanging="1800"/>
      </w:pPr>
      <w:rPr>
        <w:i/>
        <w:strike w:val="0"/>
        <w:dstrike w:val="0"/>
        <w:u w:val="none"/>
        <w:effect w:val="none"/>
      </w:rPr>
    </w:lvl>
  </w:abstractNum>
  <w:abstractNum w:abstractNumId="7" w15:restartNumberingAfterBreak="0">
    <w:nsid w:val="6DF17DFF"/>
    <w:multiLevelType w:val="hybridMultilevel"/>
    <w:tmpl w:val="B69898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24165EE"/>
    <w:multiLevelType w:val="hybridMultilevel"/>
    <w:tmpl w:val="7EC60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253"/>
    <w:rsid w:val="00001C3A"/>
    <w:rsid w:val="00002EF8"/>
    <w:rsid w:val="0000615D"/>
    <w:rsid w:val="00007368"/>
    <w:rsid w:val="00015826"/>
    <w:rsid w:val="00021F45"/>
    <w:rsid w:val="0002201D"/>
    <w:rsid w:val="00022CE5"/>
    <w:rsid w:val="00025230"/>
    <w:rsid w:val="000423EA"/>
    <w:rsid w:val="000425B5"/>
    <w:rsid w:val="00042E38"/>
    <w:rsid w:val="00045E96"/>
    <w:rsid w:val="00050E85"/>
    <w:rsid w:val="00055CD9"/>
    <w:rsid w:val="00063B3B"/>
    <w:rsid w:val="00067806"/>
    <w:rsid w:val="00075331"/>
    <w:rsid w:val="00076314"/>
    <w:rsid w:val="000773AB"/>
    <w:rsid w:val="00085D08"/>
    <w:rsid w:val="0009084C"/>
    <w:rsid w:val="000908DD"/>
    <w:rsid w:val="00093A81"/>
    <w:rsid w:val="00093C6B"/>
    <w:rsid w:val="00095F98"/>
    <w:rsid w:val="000962F0"/>
    <w:rsid w:val="000A0E25"/>
    <w:rsid w:val="000B049D"/>
    <w:rsid w:val="000B6195"/>
    <w:rsid w:val="000C1A34"/>
    <w:rsid w:val="000C5BC2"/>
    <w:rsid w:val="000C6878"/>
    <w:rsid w:val="000D1EEE"/>
    <w:rsid w:val="000D4D40"/>
    <w:rsid w:val="000E334E"/>
    <w:rsid w:val="000E3C60"/>
    <w:rsid w:val="000F0DDD"/>
    <w:rsid w:val="000F76E1"/>
    <w:rsid w:val="001018C1"/>
    <w:rsid w:val="00102F1C"/>
    <w:rsid w:val="00103750"/>
    <w:rsid w:val="00103C38"/>
    <w:rsid w:val="00103D73"/>
    <w:rsid w:val="00104745"/>
    <w:rsid w:val="00105B2E"/>
    <w:rsid w:val="0012319B"/>
    <w:rsid w:val="00130CA4"/>
    <w:rsid w:val="00134B9C"/>
    <w:rsid w:val="00135751"/>
    <w:rsid w:val="00137CE3"/>
    <w:rsid w:val="001433B0"/>
    <w:rsid w:val="00147C43"/>
    <w:rsid w:val="00147DB0"/>
    <w:rsid w:val="001533CA"/>
    <w:rsid w:val="00153D6F"/>
    <w:rsid w:val="00163238"/>
    <w:rsid w:val="001632F5"/>
    <w:rsid w:val="0017026A"/>
    <w:rsid w:val="00173E3C"/>
    <w:rsid w:val="00174ACA"/>
    <w:rsid w:val="00182C4D"/>
    <w:rsid w:val="00183070"/>
    <w:rsid w:val="00184CA1"/>
    <w:rsid w:val="001858A5"/>
    <w:rsid w:val="00194F74"/>
    <w:rsid w:val="001A0B2A"/>
    <w:rsid w:val="001A2E29"/>
    <w:rsid w:val="001A3F8C"/>
    <w:rsid w:val="001B0ADF"/>
    <w:rsid w:val="001B154A"/>
    <w:rsid w:val="001B2252"/>
    <w:rsid w:val="001B25D6"/>
    <w:rsid w:val="001C3F10"/>
    <w:rsid w:val="001E20E3"/>
    <w:rsid w:val="001F0869"/>
    <w:rsid w:val="001F5049"/>
    <w:rsid w:val="00202FD7"/>
    <w:rsid w:val="00207F94"/>
    <w:rsid w:val="00210C0D"/>
    <w:rsid w:val="002123ED"/>
    <w:rsid w:val="0021575D"/>
    <w:rsid w:val="00216113"/>
    <w:rsid w:val="00217AE6"/>
    <w:rsid w:val="00223A58"/>
    <w:rsid w:val="002276A3"/>
    <w:rsid w:val="0023096D"/>
    <w:rsid w:val="00232722"/>
    <w:rsid w:val="00241497"/>
    <w:rsid w:val="00242CE9"/>
    <w:rsid w:val="00244BA5"/>
    <w:rsid w:val="002461ED"/>
    <w:rsid w:val="002531FE"/>
    <w:rsid w:val="002573C8"/>
    <w:rsid w:val="0026247F"/>
    <w:rsid w:val="0026263F"/>
    <w:rsid w:val="002627C0"/>
    <w:rsid w:val="002659F1"/>
    <w:rsid w:val="002767F7"/>
    <w:rsid w:val="00282F60"/>
    <w:rsid w:val="00291BA4"/>
    <w:rsid w:val="00293B1C"/>
    <w:rsid w:val="002A19EF"/>
    <w:rsid w:val="002A1B14"/>
    <w:rsid w:val="002A1E3A"/>
    <w:rsid w:val="002A46B6"/>
    <w:rsid w:val="002B2D7F"/>
    <w:rsid w:val="002C05A7"/>
    <w:rsid w:val="002C0D38"/>
    <w:rsid w:val="002C3D25"/>
    <w:rsid w:val="002C6693"/>
    <w:rsid w:val="002D292A"/>
    <w:rsid w:val="002D3D83"/>
    <w:rsid w:val="002D53AC"/>
    <w:rsid w:val="002D7DFE"/>
    <w:rsid w:val="002E045E"/>
    <w:rsid w:val="002E0DD6"/>
    <w:rsid w:val="002F11F7"/>
    <w:rsid w:val="002F3B46"/>
    <w:rsid w:val="00302A0C"/>
    <w:rsid w:val="00304D2F"/>
    <w:rsid w:val="00306DB5"/>
    <w:rsid w:val="0031444A"/>
    <w:rsid w:val="00316BF4"/>
    <w:rsid w:val="00326100"/>
    <w:rsid w:val="00332639"/>
    <w:rsid w:val="003373F9"/>
    <w:rsid w:val="00342E5C"/>
    <w:rsid w:val="00343552"/>
    <w:rsid w:val="00351534"/>
    <w:rsid w:val="003623CC"/>
    <w:rsid w:val="003637E9"/>
    <w:rsid w:val="00363A66"/>
    <w:rsid w:val="00365244"/>
    <w:rsid w:val="0037760C"/>
    <w:rsid w:val="00377E90"/>
    <w:rsid w:val="00391EE8"/>
    <w:rsid w:val="00393F99"/>
    <w:rsid w:val="003A2984"/>
    <w:rsid w:val="003B5A00"/>
    <w:rsid w:val="003B71B5"/>
    <w:rsid w:val="003C3F44"/>
    <w:rsid w:val="003C6E46"/>
    <w:rsid w:val="003D0B9C"/>
    <w:rsid w:val="003E29C1"/>
    <w:rsid w:val="003E33D8"/>
    <w:rsid w:val="003F2333"/>
    <w:rsid w:val="003F6676"/>
    <w:rsid w:val="003F6F66"/>
    <w:rsid w:val="003F7259"/>
    <w:rsid w:val="0040180B"/>
    <w:rsid w:val="0040239D"/>
    <w:rsid w:val="004055AB"/>
    <w:rsid w:val="00410899"/>
    <w:rsid w:val="00411BD6"/>
    <w:rsid w:val="00441405"/>
    <w:rsid w:val="0044204F"/>
    <w:rsid w:val="004451A5"/>
    <w:rsid w:val="0046415F"/>
    <w:rsid w:val="004754C1"/>
    <w:rsid w:val="0048040A"/>
    <w:rsid w:val="00492F1A"/>
    <w:rsid w:val="00492F72"/>
    <w:rsid w:val="00493220"/>
    <w:rsid w:val="004A1509"/>
    <w:rsid w:val="004A20FF"/>
    <w:rsid w:val="004B16E1"/>
    <w:rsid w:val="004B2F35"/>
    <w:rsid w:val="004B50F7"/>
    <w:rsid w:val="004B5252"/>
    <w:rsid w:val="004B687B"/>
    <w:rsid w:val="004C30E9"/>
    <w:rsid w:val="004D29B3"/>
    <w:rsid w:val="004D4A7F"/>
    <w:rsid w:val="004F03EC"/>
    <w:rsid w:val="00500D93"/>
    <w:rsid w:val="00501CDA"/>
    <w:rsid w:val="00511BCB"/>
    <w:rsid w:val="0051425E"/>
    <w:rsid w:val="0052374B"/>
    <w:rsid w:val="00531DEA"/>
    <w:rsid w:val="00532DCE"/>
    <w:rsid w:val="00540D2E"/>
    <w:rsid w:val="00541407"/>
    <w:rsid w:val="00541B4E"/>
    <w:rsid w:val="005422F2"/>
    <w:rsid w:val="00546A6E"/>
    <w:rsid w:val="00554979"/>
    <w:rsid w:val="00556848"/>
    <w:rsid w:val="0056209E"/>
    <w:rsid w:val="00582B48"/>
    <w:rsid w:val="00583D19"/>
    <w:rsid w:val="005A0973"/>
    <w:rsid w:val="005A25F6"/>
    <w:rsid w:val="005A5EE1"/>
    <w:rsid w:val="005A6462"/>
    <w:rsid w:val="005B05A3"/>
    <w:rsid w:val="005B4184"/>
    <w:rsid w:val="005B5C62"/>
    <w:rsid w:val="005C05E4"/>
    <w:rsid w:val="005C0CBE"/>
    <w:rsid w:val="005C5B89"/>
    <w:rsid w:val="005C6436"/>
    <w:rsid w:val="005D2EC3"/>
    <w:rsid w:val="005D6533"/>
    <w:rsid w:val="005E3C35"/>
    <w:rsid w:val="005E58BA"/>
    <w:rsid w:val="005F1D0E"/>
    <w:rsid w:val="005F39D9"/>
    <w:rsid w:val="005F7188"/>
    <w:rsid w:val="0060182D"/>
    <w:rsid w:val="00604279"/>
    <w:rsid w:val="00615617"/>
    <w:rsid w:val="00620E08"/>
    <w:rsid w:val="00623617"/>
    <w:rsid w:val="00626FD7"/>
    <w:rsid w:val="00634B63"/>
    <w:rsid w:val="00645193"/>
    <w:rsid w:val="00663E70"/>
    <w:rsid w:val="00674E2E"/>
    <w:rsid w:val="00681DF1"/>
    <w:rsid w:val="00693377"/>
    <w:rsid w:val="006949C0"/>
    <w:rsid w:val="00696EA8"/>
    <w:rsid w:val="006A5BF0"/>
    <w:rsid w:val="006B0436"/>
    <w:rsid w:val="006B76F8"/>
    <w:rsid w:val="006C3C8A"/>
    <w:rsid w:val="006C42EE"/>
    <w:rsid w:val="006D3AED"/>
    <w:rsid w:val="006D5BC0"/>
    <w:rsid w:val="006D6502"/>
    <w:rsid w:val="006D742A"/>
    <w:rsid w:val="006E0E5C"/>
    <w:rsid w:val="006E1043"/>
    <w:rsid w:val="006E468D"/>
    <w:rsid w:val="006E6B19"/>
    <w:rsid w:val="006E7B24"/>
    <w:rsid w:val="006F576B"/>
    <w:rsid w:val="00700A2F"/>
    <w:rsid w:val="00711488"/>
    <w:rsid w:val="0071501A"/>
    <w:rsid w:val="007166BB"/>
    <w:rsid w:val="00722B84"/>
    <w:rsid w:val="00733B5F"/>
    <w:rsid w:val="00734095"/>
    <w:rsid w:val="00735076"/>
    <w:rsid w:val="00736082"/>
    <w:rsid w:val="00736EE8"/>
    <w:rsid w:val="00741698"/>
    <w:rsid w:val="0074556E"/>
    <w:rsid w:val="00746720"/>
    <w:rsid w:val="00746ED8"/>
    <w:rsid w:val="007524C2"/>
    <w:rsid w:val="00752FB2"/>
    <w:rsid w:val="0075319F"/>
    <w:rsid w:val="007543A9"/>
    <w:rsid w:val="00754513"/>
    <w:rsid w:val="00755237"/>
    <w:rsid w:val="007552A2"/>
    <w:rsid w:val="00757B6A"/>
    <w:rsid w:val="00773B7A"/>
    <w:rsid w:val="007743D7"/>
    <w:rsid w:val="007804A5"/>
    <w:rsid w:val="00780786"/>
    <w:rsid w:val="00790AE1"/>
    <w:rsid w:val="007A456B"/>
    <w:rsid w:val="007B253F"/>
    <w:rsid w:val="007C219F"/>
    <w:rsid w:val="007C67F4"/>
    <w:rsid w:val="007D695E"/>
    <w:rsid w:val="007D6BBE"/>
    <w:rsid w:val="007D768B"/>
    <w:rsid w:val="007E0AEE"/>
    <w:rsid w:val="007E2DE0"/>
    <w:rsid w:val="007E6392"/>
    <w:rsid w:val="007F0E6E"/>
    <w:rsid w:val="007F2AB4"/>
    <w:rsid w:val="007F403E"/>
    <w:rsid w:val="007F7527"/>
    <w:rsid w:val="008032FB"/>
    <w:rsid w:val="00806F8C"/>
    <w:rsid w:val="00807E05"/>
    <w:rsid w:val="00820E53"/>
    <w:rsid w:val="00820E9D"/>
    <w:rsid w:val="008263C6"/>
    <w:rsid w:val="008314FE"/>
    <w:rsid w:val="00837ED0"/>
    <w:rsid w:val="00841004"/>
    <w:rsid w:val="00844B88"/>
    <w:rsid w:val="008468CD"/>
    <w:rsid w:val="00854508"/>
    <w:rsid w:val="008563C0"/>
    <w:rsid w:val="00865E92"/>
    <w:rsid w:val="008716FA"/>
    <w:rsid w:val="008752B3"/>
    <w:rsid w:val="008823CA"/>
    <w:rsid w:val="008845F7"/>
    <w:rsid w:val="00892EC3"/>
    <w:rsid w:val="008A2CF8"/>
    <w:rsid w:val="008A7AC1"/>
    <w:rsid w:val="008B521A"/>
    <w:rsid w:val="008B5D18"/>
    <w:rsid w:val="008B62AE"/>
    <w:rsid w:val="008B763A"/>
    <w:rsid w:val="008C13AD"/>
    <w:rsid w:val="008C182A"/>
    <w:rsid w:val="008C3942"/>
    <w:rsid w:val="008C6092"/>
    <w:rsid w:val="008D42CD"/>
    <w:rsid w:val="008E0200"/>
    <w:rsid w:val="008E5EDE"/>
    <w:rsid w:val="008F20EE"/>
    <w:rsid w:val="008F2FE7"/>
    <w:rsid w:val="0090484C"/>
    <w:rsid w:val="00910614"/>
    <w:rsid w:val="009136E6"/>
    <w:rsid w:val="009151D5"/>
    <w:rsid w:val="00922A5C"/>
    <w:rsid w:val="009232A3"/>
    <w:rsid w:val="0092669B"/>
    <w:rsid w:val="00931793"/>
    <w:rsid w:val="00932584"/>
    <w:rsid w:val="00934C83"/>
    <w:rsid w:val="00937163"/>
    <w:rsid w:val="009454C4"/>
    <w:rsid w:val="00946D3E"/>
    <w:rsid w:val="0095295B"/>
    <w:rsid w:val="0095587A"/>
    <w:rsid w:val="00961B37"/>
    <w:rsid w:val="0097429B"/>
    <w:rsid w:val="00975EB9"/>
    <w:rsid w:val="00975F01"/>
    <w:rsid w:val="009875FA"/>
    <w:rsid w:val="00987754"/>
    <w:rsid w:val="009902D0"/>
    <w:rsid w:val="009906A5"/>
    <w:rsid w:val="00997B2C"/>
    <w:rsid w:val="009A4C26"/>
    <w:rsid w:val="009B185B"/>
    <w:rsid w:val="009C3E6D"/>
    <w:rsid w:val="009C40B4"/>
    <w:rsid w:val="009C49A3"/>
    <w:rsid w:val="009C5B5E"/>
    <w:rsid w:val="009C73CC"/>
    <w:rsid w:val="009C7530"/>
    <w:rsid w:val="009D35B5"/>
    <w:rsid w:val="009D4A98"/>
    <w:rsid w:val="009D541C"/>
    <w:rsid w:val="009D71F0"/>
    <w:rsid w:val="009E08F6"/>
    <w:rsid w:val="009E0B48"/>
    <w:rsid w:val="00A008DB"/>
    <w:rsid w:val="00A03998"/>
    <w:rsid w:val="00A06C5E"/>
    <w:rsid w:val="00A137DD"/>
    <w:rsid w:val="00A14678"/>
    <w:rsid w:val="00A25FAD"/>
    <w:rsid w:val="00A26A40"/>
    <w:rsid w:val="00A27CB6"/>
    <w:rsid w:val="00A30B66"/>
    <w:rsid w:val="00A310A6"/>
    <w:rsid w:val="00A3493E"/>
    <w:rsid w:val="00A37160"/>
    <w:rsid w:val="00A41779"/>
    <w:rsid w:val="00A4402E"/>
    <w:rsid w:val="00A525BE"/>
    <w:rsid w:val="00A54FD3"/>
    <w:rsid w:val="00A601B5"/>
    <w:rsid w:val="00A63C98"/>
    <w:rsid w:val="00A6424B"/>
    <w:rsid w:val="00A66860"/>
    <w:rsid w:val="00A71FA8"/>
    <w:rsid w:val="00A7769B"/>
    <w:rsid w:val="00A8372F"/>
    <w:rsid w:val="00A83982"/>
    <w:rsid w:val="00A84923"/>
    <w:rsid w:val="00A86CD0"/>
    <w:rsid w:val="00A9269A"/>
    <w:rsid w:val="00A96655"/>
    <w:rsid w:val="00AA219C"/>
    <w:rsid w:val="00AA2F39"/>
    <w:rsid w:val="00AA476F"/>
    <w:rsid w:val="00AA5360"/>
    <w:rsid w:val="00AA73FB"/>
    <w:rsid w:val="00AB0C25"/>
    <w:rsid w:val="00AB5C0F"/>
    <w:rsid w:val="00AC2C56"/>
    <w:rsid w:val="00AC5675"/>
    <w:rsid w:val="00AD0A93"/>
    <w:rsid w:val="00AD5224"/>
    <w:rsid w:val="00AE02D8"/>
    <w:rsid w:val="00AF2F2C"/>
    <w:rsid w:val="00AF652F"/>
    <w:rsid w:val="00B0104E"/>
    <w:rsid w:val="00B0279D"/>
    <w:rsid w:val="00B02889"/>
    <w:rsid w:val="00B03E18"/>
    <w:rsid w:val="00B04DAE"/>
    <w:rsid w:val="00B05F9D"/>
    <w:rsid w:val="00B13ABE"/>
    <w:rsid w:val="00B16189"/>
    <w:rsid w:val="00B179F3"/>
    <w:rsid w:val="00B262BA"/>
    <w:rsid w:val="00B30157"/>
    <w:rsid w:val="00B31D3B"/>
    <w:rsid w:val="00B428BD"/>
    <w:rsid w:val="00B47AB0"/>
    <w:rsid w:val="00B5371D"/>
    <w:rsid w:val="00B561A2"/>
    <w:rsid w:val="00B56716"/>
    <w:rsid w:val="00B63ECA"/>
    <w:rsid w:val="00B6733C"/>
    <w:rsid w:val="00B71786"/>
    <w:rsid w:val="00B71A41"/>
    <w:rsid w:val="00B71C18"/>
    <w:rsid w:val="00B71F50"/>
    <w:rsid w:val="00B72578"/>
    <w:rsid w:val="00B746A1"/>
    <w:rsid w:val="00B8370F"/>
    <w:rsid w:val="00B9439C"/>
    <w:rsid w:val="00B96978"/>
    <w:rsid w:val="00B96AF6"/>
    <w:rsid w:val="00BA5507"/>
    <w:rsid w:val="00BB6AB6"/>
    <w:rsid w:val="00BB742D"/>
    <w:rsid w:val="00BC296E"/>
    <w:rsid w:val="00BD1F3B"/>
    <w:rsid w:val="00BD5688"/>
    <w:rsid w:val="00BD57C1"/>
    <w:rsid w:val="00BE1F9E"/>
    <w:rsid w:val="00BE5CBA"/>
    <w:rsid w:val="00BF2A69"/>
    <w:rsid w:val="00BF7867"/>
    <w:rsid w:val="00C11E45"/>
    <w:rsid w:val="00C178BE"/>
    <w:rsid w:val="00C17D3B"/>
    <w:rsid w:val="00C24D5E"/>
    <w:rsid w:val="00C3166A"/>
    <w:rsid w:val="00C40BE3"/>
    <w:rsid w:val="00C41CF4"/>
    <w:rsid w:val="00C46FC4"/>
    <w:rsid w:val="00C50579"/>
    <w:rsid w:val="00C50763"/>
    <w:rsid w:val="00C5076F"/>
    <w:rsid w:val="00C513FA"/>
    <w:rsid w:val="00C52A7F"/>
    <w:rsid w:val="00C557DE"/>
    <w:rsid w:val="00C6154F"/>
    <w:rsid w:val="00C6306C"/>
    <w:rsid w:val="00C76724"/>
    <w:rsid w:val="00C80B03"/>
    <w:rsid w:val="00C82A8F"/>
    <w:rsid w:val="00C87CCB"/>
    <w:rsid w:val="00C9333E"/>
    <w:rsid w:val="00C93B77"/>
    <w:rsid w:val="00C94354"/>
    <w:rsid w:val="00C9739F"/>
    <w:rsid w:val="00CA3253"/>
    <w:rsid w:val="00CB374F"/>
    <w:rsid w:val="00CB71AA"/>
    <w:rsid w:val="00CC0638"/>
    <w:rsid w:val="00CC1958"/>
    <w:rsid w:val="00CC2DB7"/>
    <w:rsid w:val="00CC4823"/>
    <w:rsid w:val="00CC6E1A"/>
    <w:rsid w:val="00CC7D85"/>
    <w:rsid w:val="00CD0140"/>
    <w:rsid w:val="00CD690D"/>
    <w:rsid w:val="00CE596C"/>
    <w:rsid w:val="00CE787C"/>
    <w:rsid w:val="00D00118"/>
    <w:rsid w:val="00D02CD9"/>
    <w:rsid w:val="00D03C77"/>
    <w:rsid w:val="00D055B5"/>
    <w:rsid w:val="00D101C7"/>
    <w:rsid w:val="00D10A82"/>
    <w:rsid w:val="00D15311"/>
    <w:rsid w:val="00D22521"/>
    <w:rsid w:val="00D24F1F"/>
    <w:rsid w:val="00D259CA"/>
    <w:rsid w:val="00D30D53"/>
    <w:rsid w:val="00D30FF1"/>
    <w:rsid w:val="00D3194C"/>
    <w:rsid w:val="00D35BA7"/>
    <w:rsid w:val="00D45975"/>
    <w:rsid w:val="00D50C64"/>
    <w:rsid w:val="00D524D6"/>
    <w:rsid w:val="00D53A07"/>
    <w:rsid w:val="00D53E93"/>
    <w:rsid w:val="00D60539"/>
    <w:rsid w:val="00D66664"/>
    <w:rsid w:val="00D775A0"/>
    <w:rsid w:val="00D83E64"/>
    <w:rsid w:val="00D87384"/>
    <w:rsid w:val="00D90146"/>
    <w:rsid w:val="00D903FA"/>
    <w:rsid w:val="00D9287D"/>
    <w:rsid w:val="00DB50FD"/>
    <w:rsid w:val="00DB5570"/>
    <w:rsid w:val="00DC13DB"/>
    <w:rsid w:val="00DD2AE0"/>
    <w:rsid w:val="00DE7DC0"/>
    <w:rsid w:val="00DF7033"/>
    <w:rsid w:val="00E00757"/>
    <w:rsid w:val="00E07BA9"/>
    <w:rsid w:val="00E14BE7"/>
    <w:rsid w:val="00E30D1F"/>
    <w:rsid w:val="00E36B9F"/>
    <w:rsid w:val="00E4165A"/>
    <w:rsid w:val="00E425AC"/>
    <w:rsid w:val="00E45733"/>
    <w:rsid w:val="00E45DD7"/>
    <w:rsid w:val="00E51BA9"/>
    <w:rsid w:val="00E55A2E"/>
    <w:rsid w:val="00E63CCD"/>
    <w:rsid w:val="00E70753"/>
    <w:rsid w:val="00E717DB"/>
    <w:rsid w:val="00E74DB7"/>
    <w:rsid w:val="00E770F8"/>
    <w:rsid w:val="00E8314B"/>
    <w:rsid w:val="00E905AF"/>
    <w:rsid w:val="00E90933"/>
    <w:rsid w:val="00E93D47"/>
    <w:rsid w:val="00E94C4E"/>
    <w:rsid w:val="00E95AA3"/>
    <w:rsid w:val="00E96D39"/>
    <w:rsid w:val="00EA1201"/>
    <w:rsid w:val="00EA316D"/>
    <w:rsid w:val="00EA5531"/>
    <w:rsid w:val="00EB6073"/>
    <w:rsid w:val="00EC74FC"/>
    <w:rsid w:val="00ED222C"/>
    <w:rsid w:val="00ED2A28"/>
    <w:rsid w:val="00ED4D16"/>
    <w:rsid w:val="00ED6F5A"/>
    <w:rsid w:val="00ED7DCD"/>
    <w:rsid w:val="00ED7E05"/>
    <w:rsid w:val="00EE02A1"/>
    <w:rsid w:val="00EE129D"/>
    <w:rsid w:val="00EE7D04"/>
    <w:rsid w:val="00F04954"/>
    <w:rsid w:val="00F063FB"/>
    <w:rsid w:val="00F10FA5"/>
    <w:rsid w:val="00F12C2A"/>
    <w:rsid w:val="00F143B4"/>
    <w:rsid w:val="00F41D2B"/>
    <w:rsid w:val="00F42C7A"/>
    <w:rsid w:val="00F42DA5"/>
    <w:rsid w:val="00F436A5"/>
    <w:rsid w:val="00F4688F"/>
    <w:rsid w:val="00F50BF2"/>
    <w:rsid w:val="00F51BAA"/>
    <w:rsid w:val="00F52F85"/>
    <w:rsid w:val="00F56749"/>
    <w:rsid w:val="00F577CE"/>
    <w:rsid w:val="00F636CB"/>
    <w:rsid w:val="00F64B4D"/>
    <w:rsid w:val="00F71769"/>
    <w:rsid w:val="00F72F2E"/>
    <w:rsid w:val="00F86CDD"/>
    <w:rsid w:val="00F875CC"/>
    <w:rsid w:val="00F908F7"/>
    <w:rsid w:val="00F91CE5"/>
    <w:rsid w:val="00F93189"/>
    <w:rsid w:val="00F964CB"/>
    <w:rsid w:val="00F97239"/>
    <w:rsid w:val="00FA1FC7"/>
    <w:rsid w:val="00FA2272"/>
    <w:rsid w:val="00FA3BF7"/>
    <w:rsid w:val="00FB5DBF"/>
    <w:rsid w:val="00FB75A2"/>
    <w:rsid w:val="00FC6036"/>
    <w:rsid w:val="00FE38CE"/>
    <w:rsid w:val="00FF218B"/>
    <w:rsid w:val="00FF3834"/>
    <w:rsid w:val="00FF4098"/>
    <w:rsid w:val="00FF54CD"/>
    <w:rsid w:val="02B1A70B"/>
    <w:rsid w:val="1AFC58FF"/>
    <w:rsid w:val="2683FA85"/>
    <w:rsid w:val="35B6F04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05BC5F"/>
  <w14:defaultImageDpi w14:val="32767"/>
  <w15:docId w15:val="{2BB4024A-6AF8-499D-876A-EE3B7318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92EC3"/>
    <w:pPr>
      <w:keepNext/>
      <w:keepLines/>
      <w:numPr>
        <w:numId w:val="2"/>
      </w:numPr>
      <w:spacing w:before="240" w:line="360" w:lineRule="auto"/>
      <w:ind w:left="360" w:hanging="36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semiHidden/>
    <w:unhideWhenUsed/>
    <w:qFormat/>
    <w:rsid w:val="004B687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EC3"/>
    <w:rPr>
      <w:rFonts w:ascii="Times New Roman" w:eastAsiaTheme="majorEastAsia" w:hAnsi="Times New Roman" w:cstheme="majorBidi"/>
      <w:b/>
      <w:color w:val="000000" w:themeColor="text1"/>
      <w:szCs w:val="32"/>
    </w:rPr>
  </w:style>
  <w:style w:type="character" w:styleId="CommentReference">
    <w:name w:val="annotation reference"/>
    <w:basedOn w:val="DefaultParagraphFont"/>
    <w:uiPriority w:val="99"/>
    <w:semiHidden/>
    <w:unhideWhenUsed/>
    <w:rsid w:val="00AA476F"/>
    <w:rPr>
      <w:sz w:val="16"/>
      <w:szCs w:val="16"/>
    </w:rPr>
  </w:style>
  <w:style w:type="paragraph" w:styleId="CommentText">
    <w:name w:val="annotation text"/>
    <w:basedOn w:val="Normal"/>
    <w:link w:val="CommentTextChar"/>
    <w:uiPriority w:val="99"/>
    <w:unhideWhenUsed/>
    <w:rsid w:val="00AA476F"/>
    <w:rPr>
      <w:sz w:val="20"/>
      <w:szCs w:val="20"/>
    </w:rPr>
  </w:style>
  <w:style w:type="character" w:customStyle="1" w:styleId="CommentTextChar">
    <w:name w:val="Comment Text Char"/>
    <w:basedOn w:val="DefaultParagraphFont"/>
    <w:link w:val="CommentText"/>
    <w:uiPriority w:val="99"/>
    <w:rsid w:val="00AA476F"/>
    <w:rPr>
      <w:sz w:val="20"/>
      <w:szCs w:val="20"/>
    </w:rPr>
  </w:style>
  <w:style w:type="paragraph" w:styleId="CommentSubject">
    <w:name w:val="annotation subject"/>
    <w:basedOn w:val="CommentText"/>
    <w:next w:val="CommentText"/>
    <w:link w:val="CommentSubjectChar"/>
    <w:uiPriority w:val="99"/>
    <w:semiHidden/>
    <w:unhideWhenUsed/>
    <w:rsid w:val="00AA476F"/>
    <w:rPr>
      <w:b/>
      <w:bCs/>
    </w:rPr>
  </w:style>
  <w:style w:type="character" w:customStyle="1" w:styleId="CommentSubjectChar">
    <w:name w:val="Comment Subject Char"/>
    <w:basedOn w:val="CommentTextChar"/>
    <w:link w:val="CommentSubject"/>
    <w:uiPriority w:val="99"/>
    <w:semiHidden/>
    <w:rsid w:val="00AA476F"/>
    <w:rPr>
      <w:b/>
      <w:bCs/>
      <w:sz w:val="20"/>
      <w:szCs w:val="20"/>
    </w:rPr>
  </w:style>
  <w:style w:type="paragraph" w:styleId="BalloonText">
    <w:name w:val="Balloon Text"/>
    <w:basedOn w:val="Normal"/>
    <w:link w:val="BalloonTextChar"/>
    <w:uiPriority w:val="99"/>
    <w:semiHidden/>
    <w:unhideWhenUsed/>
    <w:rsid w:val="00AA476F"/>
    <w:rPr>
      <w:rFonts w:ascii="Tahoma" w:hAnsi="Tahoma" w:cs="Tahoma"/>
      <w:sz w:val="16"/>
      <w:szCs w:val="16"/>
    </w:rPr>
  </w:style>
  <w:style w:type="character" w:customStyle="1" w:styleId="BalloonTextChar">
    <w:name w:val="Balloon Text Char"/>
    <w:basedOn w:val="DefaultParagraphFont"/>
    <w:link w:val="BalloonText"/>
    <w:uiPriority w:val="99"/>
    <w:semiHidden/>
    <w:rsid w:val="00AA476F"/>
    <w:rPr>
      <w:rFonts w:ascii="Tahoma" w:hAnsi="Tahoma" w:cs="Tahoma"/>
      <w:sz w:val="16"/>
      <w:szCs w:val="16"/>
    </w:rPr>
  </w:style>
  <w:style w:type="paragraph" w:styleId="ListParagraph">
    <w:name w:val="List Paragraph"/>
    <w:basedOn w:val="Normal"/>
    <w:uiPriority w:val="34"/>
    <w:qFormat/>
    <w:rsid w:val="0044204F"/>
    <w:pPr>
      <w:ind w:left="720"/>
      <w:contextualSpacing/>
    </w:pPr>
  </w:style>
  <w:style w:type="paragraph" w:styleId="FootnoteText">
    <w:name w:val="footnote text"/>
    <w:aliases w:val="Carattere,Carattere Carattere Carattere Carattere,Testo nota a piè di pagina Carattere Carattere,Testo nota a piè di pagina Carattere Carattere Carattere Carattere,Testo nota a piè di pagina Carattere1 Carattere Carattere"/>
    <w:basedOn w:val="Normal"/>
    <w:link w:val="FootnoteTextChar"/>
    <w:uiPriority w:val="99"/>
    <w:unhideWhenUsed/>
    <w:qFormat/>
    <w:rsid w:val="00E770F8"/>
    <w:rPr>
      <w:sz w:val="20"/>
      <w:szCs w:val="20"/>
    </w:rPr>
  </w:style>
  <w:style w:type="character" w:customStyle="1" w:styleId="FootnoteTextChar">
    <w:name w:val="Footnote Text Char"/>
    <w:aliases w:val="Carattere Char,Carattere Carattere Carattere Carattere Char,Testo nota a piè di pagina Carattere Carattere Char,Testo nota a piè di pagina Carattere Carattere Carattere Carattere Char"/>
    <w:basedOn w:val="DefaultParagraphFont"/>
    <w:link w:val="FootnoteText"/>
    <w:uiPriority w:val="99"/>
    <w:rsid w:val="00E770F8"/>
    <w:rPr>
      <w:sz w:val="20"/>
      <w:szCs w:val="20"/>
    </w:rPr>
  </w:style>
  <w:style w:type="character" w:styleId="FootnoteReference">
    <w:name w:val="footnote reference"/>
    <w:aliases w:val="Ref,de nota al pie,fr,Footnote Refernece,BVI fnr, BVI fnr,callout,16 Point,Superscript 6 Point,Footnote Reference Superscript,-E Fußnotenzeichen,number,SUPERS,EN Footnote Reference,-E Fuﬂnotenzeichen,-E Fuûnotenzeichen,Footnote number"/>
    <w:basedOn w:val="DefaultParagraphFont"/>
    <w:unhideWhenUsed/>
    <w:qFormat/>
    <w:rsid w:val="00E770F8"/>
    <w:rPr>
      <w:vertAlign w:val="superscript"/>
    </w:rPr>
  </w:style>
  <w:style w:type="paragraph" w:customStyle="1" w:styleId="p1">
    <w:name w:val="p1"/>
    <w:basedOn w:val="Normal"/>
    <w:rsid w:val="006E6B19"/>
    <w:rPr>
      <w:rFonts w:ascii="Helvetica" w:hAnsi="Helvetica" w:cs="Times New Roman"/>
      <w:sz w:val="14"/>
      <w:szCs w:val="14"/>
      <w:lang w:eastAsia="de-DE"/>
    </w:rPr>
  </w:style>
  <w:style w:type="paragraph" w:styleId="BodyText2">
    <w:name w:val="Body Text 2"/>
    <w:basedOn w:val="Normal"/>
    <w:link w:val="BodyText2Char"/>
    <w:semiHidden/>
    <w:rsid w:val="006E6B19"/>
    <w:rPr>
      <w:rFonts w:ascii="Palatino Linotype" w:eastAsia="Times New Roman" w:hAnsi="Palatino Linotype" w:cs="Times New Roman"/>
      <w:color w:val="FF0000"/>
      <w:lang w:val="nl-NL" w:eastAsia="nl-NL"/>
    </w:rPr>
  </w:style>
  <w:style w:type="character" w:customStyle="1" w:styleId="BodyText2Char">
    <w:name w:val="Body Text 2 Char"/>
    <w:basedOn w:val="DefaultParagraphFont"/>
    <w:link w:val="BodyText2"/>
    <w:semiHidden/>
    <w:rsid w:val="006E6B19"/>
    <w:rPr>
      <w:rFonts w:ascii="Palatino Linotype" w:eastAsia="Times New Roman" w:hAnsi="Palatino Linotype" w:cs="Times New Roman"/>
      <w:color w:val="FF0000"/>
      <w:lang w:val="nl-NL" w:eastAsia="nl-NL"/>
    </w:rPr>
  </w:style>
  <w:style w:type="character" w:styleId="Hyperlink">
    <w:name w:val="Hyperlink"/>
    <w:basedOn w:val="DefaultParagraphFont"/>
    <w:uiPriority w:val="99"/>
    <w:unhideWhenUsed/>
    <w:rsid w:val="006E6B19"/>
    <w:rPr>
      <w:color w:val="0563C1" w:themeColor="hyperlink"/>
      <w:u w:val="single"/>
    </w:rPr>
  </w:style>
  <w:style w:type="paragraph" w:customStyle="1" w:styleId="m-819842850958709886gmail-msocommenttext">
    <w:name w:val="m_-819842850958709886gmail-msocommenttext"/>
    <w:basedOn w:val="Normal"/>
    <w:rsid w:val="009875FA"/>
    <w:pPr>
      <w:spacing w:before="100" w:beforeAutospacing="1" w:after="100" w:afterAutospacing="1"/>
    </w:pPr>
    <w:rPr>
      <w:rFonts w:eastAsia="Times New Roman" w:cs="Times New Roman"/>
      <w:lang w:eastAsia="en-GB"/>
    </w:rPr>
  </w:style>
  <w:style w:type="character" w:styleId="FollowedHyperlink">
    <w:name w:val="FollowedHyperlink"/>
    <w:basedOn w:val="DefaultParagraphFont"/>
    <w:uiPriority w:val="99"/>
    <w:semiHidden/>
    <w:unhideWhenUsed/>
    <w:rsid w:val="008B5D18"/>
    <w:rPr>
      <w:color w:val="954F72" w:themeColor="followedHyperlink"/>
      <w:u w:val="single"/>
    </w:rPr>
  </w:style>
  <w:style w:type="character" w:customStyle="1" w:styleId="wknlnoota">
    <w:name w:val="wknl_noot_a"/>
    <w:basedOn w:val="DefaultParagraphFont"/>
    <w:rsid w:val="003E33D8"/>
  </w:style>
  <w:style w:type="character" w:customStyle="1" w:styleId="bold">
    <w:name w:val="bold"/>
    <w:basedOn w:val="DefaultParagraphFont"/>
    <w:rsid w:val="00975EB9"/>
  </w:style>
  <w:style w:type="character" w:customStyle="1" w:styleId="Heading2Char">
    <w:name w:val="Heading 2 Char"/>
    <w:basedOn w:val="DefaultParagraphFont"/>
    <w:link w:val="Heading2"/>
    <w:uiPriority w:val="9"/>
    <w:semiHidden/>
    <w:rsid w:val="004B687B"/>
    <w:rPr>
      <w:rFonts w:asciiTheme="majorHAnsi" w:eastAsiaTheme="majorEastAsia" w:hAnsiTheme="majorHAnsi" w:cstheme="majorBidi"/>
      <w:color w:val="2F5496" w:themeColor="accent1" w:themeShade="BF"/>
      <w:sz w:val="26"/>
      <w:szCs w:val="26"/>
      <w:lang w:val="en-GB"/>
    </w:rPr>
  </w:style>
  <w:style w:type="character" w:customStyle="1" w:styleId="UnresolvedMention1">
    <w:name w:val="Unresolved Mention1"/>
    <w:basedOn w:val="DefaultParagraphFont"/>
    <w:uiPriority w:val="99"/>
    <w:semiHidden/>
    <w:unhideWhenUsed/>
    <w:rsid w:val="004B687B"/>
    <w:rPr>
      <w:color w:val="605E5C"/>
      <w:shd w:val="clear" w:color="auto" w:fill="E1DFDD"/>
    </w:rPr>
  </w:style>
  <w:style w:type="character" w:customStyle="1" w:styleId="UnresolvedMention2">
    <w:name w:val="Unresolved Mention2"/>
    <w:basedOn w:val="DefaultParagraphFont"/>
    <w:uiPriority w:val="99"/>
    <w:rsid w:val="009E0B48"/>
    <w:rPr>
      <w:color w:val="605E5C"/>
      <w:shd w:val="clear" w:color="auto" w:fill="E1DFDD"/>
    </w:rPr>
  </w:style>
  <w:style w:type="paragraph" w:styleId="Header">
    <w:name w:val="header"/>
    <w:basedOn w:val="Normal"/>
    <w:link w:val="HeaderChar"/>
    <w:uiPriority w:val="99"/>
    <w:unhideWhenUsed/>
    <w:rsid w:val="00D53E93"/>
    <w:pPr>
      <w:tabs>
        <w:tab w:val="center" w:pos="4536"/>
        <w:tab w:val="right" w:pos="9072"/>
      </w:tabs>
    </w:pPr>
  </w:style>
  <w:style w:type="character" w:customStyle="1" w:styleId="HeaderChar">
    <w:name w:val="Header Char"/>
    <w:basedOn w:val="DefaultParagraphFont"/>
    <w:link w:val="Header"/>
    <w:uiPriority w:val="99"/>
    <w:rsid w:val="00D53E93"/>
    <w:rPr>
      <w:lang w:val="en-GB"/>
    </w:rPr>
  </w:style>
  <w:style w:type="paragraph" w:styleId="Footer">
    <w:name w:val="footer"/>
    <w:basedOn w:val="Normal"/>
    <w:link w:val="FooterChar"/>
    <w:uiPriority w:val="99"/>
    <w:unhideWhenUsed/>
    <w:rsid w:val="00D53E93"/>
    <w:pPr>
      <w:tabs>
        <w:tab w:val="center" w:pos="4536"/>
        <w:tab w:val="right" w:pos="9072"/>
      </w:tabs>
    </w:pPr>
  </w:style>
  <w:style w:type="character" w:customStyle="1" w:styleId="FooterChar">
    <w:name w:val="Footer Char"/>
    <w:basedOn w:val="DefaultParagraphFont"/>
    <w:link w:val="Footer"/>
    <w:uiPriority w:val="99"/>
    <w:rsid w:val="00D53E93"/>
    <w:rPr>
      <w:lang w:val="en-GB"/>
    </w:rPr>
  </w:style>
  <w:style w:type="character" w:customStyle="1" w:styleId="UnresolvedMention3">
    <w:name w:val="Unresolved Mention3"/>
    <w:basedOn w:val="DefaultParagraphFont"/>
    <w:uiPriority w:val="99"/>
    <w:semiHidden/>
    <w:unhideWhenUsed/>
    <w:rsid w:val="00752FB2"/>
    <w:rPr>
      <w:color w:val="605E5C"/>
      <w:shd w:val="clear" w:color="auto" w:fill="E1DFDD"/>
    </w:rPr>
  </w:style>
  <w:style w:type="character" w:customStyle="1" w:styleId="UnresolvedMention4">
    <w:name w:val="Unresolved Mention4"/>
    <w:basedOn w:val="DefaultParagraphFont"/>
    <w:uiPriority w:val="99"/>
    <w:semiHidden/>
    <w:unhideWhenUsed/>
    <w:rsid w:val="00D524D6"/>
    <w:rPr>
      <w:color w:val="605E5C"/>
      <w:shd w:val="clear" w:color="auto" w:fill="E1DFDD"/>
    </w:rPr>
  </w:style>
  <w:style w:type="character" w:styleId="UnresolvedMention">
    <w:name w:val="Unresolved Mention"/>
    <w:basedOn w:val="DefaultParagraphFont"/>
    <w:uiPriority w:val="99"/>
    <w:semiHidden/>
    <w:unhideWhenUsed/>
    <w:rsid w:val="00D60539"/>
    <w:rPr>
      <w:color w:val="605E5C"/>
      <w:shd w:val="clear" w:color="auto" w:fill="E1DFDD"/>
    </w:rPr>
  </w:style>
  <w:style w:type="paragraph" w:styleId="Revision">
    <w:name w:val="Revision"/>
    <w:hidden/>
    <w:uiPriority w:val="99"/>
    <w:semiHidden/>
    <w:rsid w:val="00F577C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248">
      <w:bodyDiv w:val="1"/>
      <w:marLeft w:val="0"/>
      <w:marRight w:val="0"/>
      <w:marTop w:val="0"/>
      <w:marBottom w:val="0"/>
      <w:divBdr>
        <w:top w:val="none" w:sz="0" w:space="0" w:color="auto"/>
        <w:left w:val="none" w:sz="0" w:space="0" w:color="auto"/>
        <w:bottom w:val="none" w:sz="0" w:space="0" w:color="auto"/>
        <w:right w:val="none" w:sz="0" w:space="0" w:color="auto"/>
      </w:divBdr>
    </w:div>
    <w:div w:id="610280801">
      <w:bodyDiv w:val="1"/>
      <w:marLeft w:val="0"/>
      <w:marRight w:val="0"/>
      <w:marTop w:val="0"/>
      <w:marBottom w:val="0"/>
      <w:divBdr>
        <w:top w:val="none" w:sz="0" w:space="0" w:color="auto"/>
        <w:left w:val="none" w:sz="0" w:space="0" w:color="auto"/>
        <w:bottom w:val="none" w:sz="0" w:space="0" w:color="auto"/>
        <w:right w:val="none" w:sz="0" w:space="0" w:color="auto"/>
      </w:divBdr>
      <w:divsChild>
        <w:div w:id="826634004">
          <w:marLeft w:val="0"/>
          <w:marRight w:val="0"/>
          <w:marTop w:val="0"/>
          <w:marBottom w:val="0"/>
          <w:divBdr>
            <w:top w:val="none" w:sz="0" w:space="0" w:color="auto"/>
            <w:left w:val="none" w:sz="0" w:space="0" w:color="auto"/>
            <w:bottom w:val="none" w:sz="0" w:space="0" w:color="auto"/>
            <w:right w:val="none" w:sz="0" w:space="0" w:color="auto"/>
          </w:divBdr>
        </w:div>
        <w:div w:id="2086298533">
          <w:marLeft w:val="0"/>
          <w:marRight w:val="0"/>
          <w:marTop w:val="0"/>
          <w:marBottom w:val="0"/>
          <w:divBdr>
            <w:top w:val="none" w:sz="0" w:space="0" w:color="auto"/>
            <w:left w:val="none" w:sz="0" w:space="0" w:color="auto"/>
            <w:bottom w:val="none" w:sz="0" w:space="0" w:color="auto"/>
            <w:right w:val="none" w:sz="0" w:space="0" w:color="auto"/>
          </w:divBdr>
        </w:div>
        <w:div w:id="1601180446">
          <w:marLeft w:val="0"/>
          <w:marRight w:val="0"/>
          <w:marTop w:val="0"/>
          <w:marBottom w:val="0"/>
          <w:divBdr>
            <w:top w:val="none" w:sz="0" w:space="0" w:color="auto"/>
            <w:left w:val="none" w:sz="0" w:space="0" w:color="auto"/>
            <w:bottom w:val="none" w:sz="0" w:space="0" w:color="auto"/>
            <w:right w:val="none" w:sz="0" w:space="0" w:color="auto"/>
          </w:divBdr>
        </w:div>
        <w:div w:id="1752503322">
          <w:marLeft w:val="0"/>
          <w:marRight w:val="0"/>
          <w:marTop w:val="0"/>
          <w:marBottom w:val="0"/>
          <w:divBdr>
            <w:top w:val="none" w:sz="0" w:space="0" w:color="auto"/>
            <w:left w:val="none" w:sz="0" w:space="0" w:color="auto"/>
            <w:bottom w:val="none" w:sz="0" w:space="0" w:color="auto"/>
            <w:right w:val="none" w:sz="0" w:space="0" w:color="auto"/>
          </w:divBdr>
        </w:div>
        <w:div w:id="685331458">
          <w:marLeft w:val="0"/>
          <w:marRight w:val="0"/>
          <w:marTop w:val="0"/>
          <w:marBottom w:val="0"/>
          <w:divBdr>
            <w:top w:val="none" w:sz="0" w:space="0" w:color="auto"/>
            <w:left w:val="none" w:sz="0" w:space="0" w:color="auto"/>
            <w:bottom w:val="none" w:sz="0" w:space="0" w:color="auto"/>
            <w:right w:val="none" w:sz="0" w:space="0" w:color="auto"/>
          </w:divBdr>
        </w:div>
        <w:div w:id="2112166765">
          <w:marLeft w:val="0"/>
          <w:marRight w:val="0"/>
          <w:marTop w:val="0"/>
          <w:marBottom w:val="0"/>
          <w:divBdr>
            <w:top w:val="none" w:sz="0" w:space="0" w:color="auto"/>
            <w:left w:val="none" w:sz="0" w:space="0" w:color="auto"/>
            <w:bottom w:val="none" w:sz="0" w:space="0" w:color="auto"/>
            <w:right w:val="none" w:sz="0" w:space="0" w:color="auto"/>
          </w:divBdr>
        </w:div>
      </w:divsChild>
    </w:div>
    <w:div w:id="788164531">
      <w:bodyDiv w:val="1"/>
      <w:marLeft w:val="0"/>
      <w:marRight w:val="0"/>
      <w:marTop w:val="0"/>
      <w:marBottom w:val="0"/>
      <w:divBdr>
        <w:top w:val="none" w:sz="0" w:space="0" w:color="auto"/>
        <w:left w:val="none" w:sz="0" w:space="0" w:color="auto"/>
        <w:bottom w:val="none" w:sz="0" w:space="0" w:color="auto"/>
        <w:right w:val="none" w:sz="0" w:space="0" w:color="auto"/>
      </w:divBdr>
    </w:div>
    <w:div w:id="1042484218">
      <w:bodyDiv w:val="1"/>
      <w:marLeft w:val="0"/>
      <w:marRight w:val="0"/>
      <w:marTop w:val="0"/>
      <w:marBottom w:val="0"/>
      <w:divBdr>
        <w:top w:val="none" w:sz="0" w:space="0" w:color="auto"/>
        <w:left w:val="none" w:sz="0" w:space="0" w:color="auto"/>
        <w:bottom w:val="none" w:sz="0" w:space="0" w:color="auto"/>
        <w:right w:val="none" w:sz="0" w:space="0" w:color="auto"/>
      </w:divBdr>
    </w:div>
    <w:div w:id="1058087229">
      <w:bodyDiv w:val="1"/>
      <w:marLeft w:val="0"/>
      <w:marRight w:val="0"/>
      <w:marTop w:val="0"/>
      <w:marBottom w:val="0"/>
      <w:divBdr>
        <w:top w:val="none" w:sz="0" w:space="0" w:color="auto"/>
        <w:left w:val="none" w:sz="0" w:space="0" w:color="auto"/>
        <w:bottom w:val="none" w:sz="0" w:space="0" w:color="auto"/>
        <w:right w:val="none" w:sz="0" w:space="0" w:color="auto"/>
      </w:divBdr>
    </w:div>
    <w:div w:id="1144202158">
      <w:bodyDiv w:val="1"/>
      <w:marLeft w:val="0"/>
      <w:marRight w:val="0"/>
      <w:marTop w:val="0"/>
      <w:marBottom w:val="0"/>
      <w:divBdr>
        <w:top w:val="none" w:sz="0" w:space="0" w:color="auto"/>
        <w:left w:val="none" w:sz="0" w:space="0" w:color="auto"/>
        <w:bottom w:val="none" w:sz="0" w:space="0" w:color="auto"/>
        <w:right w:val="none" w:sz="0" w:space="0" w:color="auto"/>
      </w:divBdr>
    </w:div>
    <w:div w:id="1153368971">
      <w:bodyDiv w:val="1"/>
      <w:marLeft w:val="0"/>
      <w:marRight w:val="0"/>
      <w:marTop w:val="0"/>
      <w:marBottom w:val="0"/>
      <w:divBdr>
        <w:top w:val="none" w:sz="0" w:space="0" w:color="auto"/>
        <w:left w:val="none" w:sz="0" w:space="0" w:color="auto"/>
        <w:bottom w:val="none" w:sz="0" w:space="0" w:color="auto"/>
        <w:right w:val="none" w:sz="0" w:space="0" w:color="auto"/>
      </w:divBdr>
    </w:div>
    <w:div w:id="1622423112">
      <w:bodyDiv w:val="1"/>
      <w:marLeft w:val="0"/>
      <w:marRight w:val="0"/>
      <w:marTop w:val="0"/>
      <w:marBottom w:val="0"/>
      <w:divBdr>
        <w:top w:val="none" w:sz="0" w:space="0" w:color="auto"/>
        <w:left w:val="none" w:sz="0" w:space="0" w:color="auto"/>
        <w:bottom w:val="none" w:sz="0" w:space="0" w:color="auto"/>
        <w:right w:val="none" w:sz="0" w:space="0" w:color="auto"/>
      </w:divBdr>
      <w:divsChild>
        <w:div w:id="282346549">
          <w:marLeft w:val="0"/>
          <w:marRight w:val="0"/>
          <w:marTop w:val="0"/>
          <w:marBottom w:val="0"/>
          <w:divBdr>
            <w:top w:val="none" w:sz="0" w:space="0" w:color="auto"/>
            <w:left w:val="none" w:sz="0" w:space="0" w:color="auto"/>
            <w:bottom w:val="none" w:sz="0" w:space="0" w:color="auto"/>
            <w:right w:val="none" w:sz="0" w:space="0" w:color="auto"/>
          </w:divBdr>
        </w:div>
      </w:divsChild>
    </w:div>
    <w:div w:id="1623271281">
      <w:bodyDiv w:val="1"/>
      <w:marLeft w:val="0"/>
      <w:marRight w:val="0"/>
      <w:marTop w:val="0"/>
      <w:marBottom w:val="0"/>
      <w:divBdr>
        <w:top w:val="none" w:sz="0" w:space="0" w:color="auto"/>
        <w:left w:val="none" w:sz="0" w:space="0" w:color="auto"/>
        <w:bottom w:val="none" w:sz="0" w:space="0" w:color="auto"/>
        <w:right w:val="none" w:sz="0" w:space="0" w:color="auto"/>
      </w:divBdr>
    </w:div>
    <w:div w:id="1728071455">
      <w:bodyDiv w:val="1"/>
      <w:marLeft w:val="0"/>
      <w:marRight w:val="0"/>
      <w:marTop w:val="0"/>
      <w:marBottom w:val="0"/>
      <w:divBdr>
        <w:top w:val="none" w:sz="0" w:space="0" w:color="auto"/>
        <w:left w:val="none" w:sz="0" w:space="0" w:color="auto"/>
        <w:bottom w:val="none" w:sz="0" w:space="0" w:color="auto"/>
        <w:right w:val="none" w:sz="0" w:space="0" w:color="auto"/>
      </w:divBdr>
    </w:div>
    <w:div w:id="2053536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internetconsultatie.nl/herstructurering" TargetMode="External"/><Relationship Id="rId2" Type="http://schemas.openxmlformats.org/officeDocument/2006/relationships/hyperlink" Target="https://internetconsultatie.nl/herstructurering" TargetMode="External"/><Relationship Id="rId1" Type="http://schemas.openxmlformats.org/officeDocument/2006/relationships/hyperlink" Target="https://www.legifrance.gouv.fr/jorf/id/JORFTEXT000044044563" TargetMode="External"/><Relationship Id="rId5" Type="http://schemas.openxmlformats.org/officeDocument/2006/relationships/hyperlink" Target="https://www.ucc.ie/en/media/projectsandcentres/jcoereproject/bannerimages/TheNetherlands_FINAL_PDF.pdf" TargetMode="External"/><Relationship Id="rId4" Type="http://schemas.openxmlformats.org/officeDocument/2006/relationships/hyperlink" Target="https://www.legislation.gov.uk/ukpga/2020/29/enacted/data.ht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BA96165C0DCA48ABDDF61C05FA201A" ma:contentTypeVersion="14" ma:contentTypeDescription="Create a new document." ma:contentTypeScope="" ma:versionID="755d034fb7e5cddf0afaf1b5cc220f9b">
  <xsd:schema xmlns:xsd="http://www.w3.org/2001/XMLSchema" xmlns:xs="http://www.w3.org/2001/XMLSchema" xmlns:p="http://schemas.microsoft.com/office/2006/metadata/properties" xmlns:ns3="35599bf6-c6ef-4ddc-a5df-0fa5d6a4f8ba" xmlns:ns4="9efe052c-152d-4722-b411-ae6510a09442" targetNamespace="http://schemas.microsoft.com/office/2006/metadata/properties" ma:root="true" ma:fieldsID="f9405ee7c6b14a97959e3aaca077b32f" ns3:_="" ns4:_="">
    <xsd:import namespace="35599bf6-c6ef-4ddc-a5df-0fa5d6a4f8ba"/>
    <xsd:import namespace="9efe052c-152d-4722-b411-ae6510a094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99bf6-c6ef-4ddc-a5df-0fa5d6a4f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fe052c-152d-4722-b411-ae6510a094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1DF9C1-1B8D-4A03-8103-EF898A356D98}">
  <ds:schemaRefs>
    <ds:schemaRef ds:uri="http://schemas.openxmlformats.org/officeDocument/2006/bibliography"/>
  </ds:schemaRefs>
</ds:datastoreItem>
</file>

<file path=customXml/itemProps2.xml><?xml version="1.0" encoding="utf-8"?>
<ds:datastoreItem xmlns:ds="http://schemas.openxmlformats.org/officeDocument/2006/customXml" ds:itemID="{CA0F5F15-0246-4CE2-86A8-A0C0CB02E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99bf6-c6ef-4ddc-a5df-0fa5d6a4f8ba"/>
    <ds:schemaRef ds:uri="9efe052c-152d-4722-b411-ae6510a09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5CCB49-3B73-4632-9957-1A6701FCB685}">
  <ds:schemaRefs>
    <ds:schemaRef ds:uri="http://schemas.microsoft.com/sharepoint/v3/contenttype/forms"/>
  </ds:schemaRefs>
</ds:datastoreItem>
</file>

<file path=customXml/itemProps4.xml><?xml version="1.0" encoding="utf-8"?>
<ds:datastoreItem xmlns:ds="http://schemas.openxmlformats.org/officeDocument/2006/customXml" ds:itemID="{0EE534C7-FCC8-4B93-9793-2E1266252859}">
  <ds:schemaRefs>
    <ds:schemaRef ds:uri="35599bf6-c6ef-4ddc-a5df-0fa5d6a4f8ba"/>
    <ds:schemaRef ds:uri="http://schemas.microsoft.com/office/2006/metadata/properties"/>
    <ds:schemaRef ds:uri="http://schemas.microsoft.com/office/2006/documentManagement/types"/>
    <ds:schemaRef ds:uri="http://purl.org/dc/dcmitype/"/>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9efe052c-152d-4722-b411-ae6510a0944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5665</Words>
  <Characters>32296</Characters>
  <Application>Microsoft Office Word</Application>
  <DocSecurity>0</DocSecurity>
  <Lines>269</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Eugenio Vaccari</dc:creator>
  <cp:lastModifiedBy>Eugenio Vaccari</cp:lastModifiedBy>
  <cp:revision>2</cp:revision>
  <dcterms:created xsi:type="dcterms:W3CDTF">2021-10-04T05:03:00Z</dcterms:created>
  <dcterms:modified xsi:type="dcterms:W3CDTF">2021-10-04T05:03:00Z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http://www.zotero.org/styles/insolvency-law-journal</vt:lpwstr>
  </property>
  <property fmtid="{D5CDD505-2E9C-101B-9397-08002B2CF9AE}" pid="11" name="Mendeley Recent Style Name 4_1">
    <vt:lpwstr>Insolvency Law Journal</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http://www.zotero.org/styles/oscola</vt:lpwstr>
  </property>
  <property fmtid="{D5CDD505-2E9C-101B-9397-08002B2CF9AE}" pid="19" name="Mendeley Recent Style Name 8_1">
    <vt:lpwstr>OSCOLA (Oxford University Standard for Citation of Legal Authorities)</vt:lpwstr>
  </property>
  <property fmtid="{D5CDD505-2E9C-101B-9397-08002B2CF9AE}" pid="20" name="Mendeley Recent Style Id 9_1">
    <vt:lpwstr>http://www.zotero.org/styles/oscola-no-ibid</vt:lpwstr>
  </property>
  <property fmtid="{D5CDD505-2E9C-101B-9397-08002B2CF9AE}" pid="21" name="Mendeley Recent Style Name 9_1">
    <vt:lpwstr>OSCOLA (Oxford University Standard for Citation of Legal Authorities) (no Ibid.)</vt:lpwstr>
  </property>
  <property fmtid="{D5CDD505-2E9C-101B-9397-08002B2CF9AE}" pid="22" name="ContentTypeId">
    <vt:lpwstr>0x01010073BA96165C0DCA48ABDDF61C05FA201A</vt:lpwstr>
  </property>
</Properties>
</file>