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F4FAF" w14:textId="19A5C685" w:rsidR="008E4581" w:rsidRDefault="008E4581" w:rsidP="00A3124B">
      <w:pPr>
        <w:spacing w:line="360" w:lineRule="auto"/>
        <w:ind w:firstLine="0"/>
        <w:rPr>
          <w:lang w:val="en-US"/>
        </w:rPr>
      </w:pPr>
      <w:bookmarkStart w:id="0" w:name="_GoBack"/>
      <w:bookmarkEnd w:id="0"/>
    </w:p>
    <w:p w14:paraId="29C97FC4" w14:textId="12932624" w:rsidR="008E4581" w:rsidRDefault="008E4581" w:rsidP="008E4581">
      <w:pPr>
        <w:spacing w:line="240" w:lineRule="auto"/>
        <w:ind w:firstLine="0"/>
        <w:jc w:val="center"/>
        <w:rPr>
          <w:b/>
          <w:bCs/>
          <w:lang w:val="en-US"/>
        </w:rPr>
      </w:pPr>
      <w:r>
        <w:rPr>
          <w:b/>
          <w:bCs/>
          <w:sz w:val="28"/>
          <w:szCs w:val="28"/>
          <w:lang w:val="en-US"/>
        </w:rPr>
        <w:t xml:space="preserve">Towards a solution to the </w:t>
      </w:r>
      <w:r w:rsidRPr="00751004">
        <w:rPr>
          <w:b/>
          <w:bCs/>
          <w:sz w:val="28"/>
          <w:szCs w:val="28"/>
          <w:lang w:val="en-US"/>
        </w:rPr>
        <w:t>variety in accounting</w:t>
      </w:r>
      <w:r>
        <w:rPr>
          <w:b/>
          <w:bCs/>
          <w:sz w:val="28"/>
          <w:szCs w:val="28"/>
          <w:lang w:val="en-US"/>
        </w:rPr>
        <w:t xml:space="preserve"> practices of </w:t>
      </w:r>
      <w:r w:rsidRPr="00751004">
        <w:rPr>
          <w:b/>
          <w:bCs/>
          <w:sz w:val="28"/>
          <w:szCs w:val="28"/>
          <w:lang w:val="en-US"/>
        </w:rPr>
        <w:t>extractive firms</w:t>
      </w:r>
      <w:r>
        <w:rPr>
          <w:b/>
          <w:bCs/>
          <w:sz w:val="28"/>
          <w:szCs w:val="28"/>
          <w:lang w:val="en-US"/>
        </w:rPr>
        <w:t xml:space="preserve"> under IFRS</w:t>
      </w:r>
    </w:p>
    <w:p w14:paraId="6B1F45E6" w14:textId="77777777" w:rsidR="00337D48" w:rsidRDefault="00337D48" w:rsidP="007D4D01">
      <w:pPr>
        <w:ind w:firstLine="0"/>
        <w:jc w:val="center"/>
        <w:rPr>
          <w:lang w:val="en-US"/>
        </w:rPr>
      </w:pPr>
    </w:p>
    <w:p w14:paraId="149F130E" w14:textId="2730D630" w:rsidR="00940120" w:rsidRDefault="00940120" w:rsidP="001A0E2B">
      <w:pPr>
        <w:ind w:firstLine="0"/>
        <w:rPr>
          <w:b/>
          <w:bCs/>
          <w:lang w:val="en-US"/>
        </w:rPr>
      </w:pPr>
      <w:r w:rsidRPr="00FC703C">
        <w:rPr>
          <w:b/>
          <w:bCs/>
          <w:lang w:val="en-US"/>
        </w:rPr>
        <w:t>A</w:t>
      </w:r>
      <w:r w:rsidR="00B62C73">
        <w:rPr>
          <w:b/>
          <w:bCs/>
          <w:lang w:val="en-US"/>
        </w:rPr>
        <w:t>BSTRACT</w:t>
      </w:r>
    </w:p>
    <w:p w14:paraId="049246DE" w14:textId="72E69CE5" w:rsidR="001A0E2B" w:rsidRDefault="00DF2548" w:rsidP="001A0E2B">
      <w:pPr>
        <w:ind w:firstLine="0"/>
        <w:rPr>
          <w:bCs/>
          <w:lang w:val="en-US"/>
        </w:rPr>
      </w:pPr>
      <w:r w:rsidRPr="00DF2548">
        <w:rPr>
          <w:bCs/>
          <w:lang w:val="en-US"/>
        </w:rPr>
        <w:t>Accounting</w:t>
      </w:r>
      <w:r>
        <w:rPr>
          <w:bCs/>
          <w:lang w:val="en-US"/>
        </w:rPr>
        <w:t xml:space="preserve"> for </w:t>
      </w:r>
      <w:r w:rsidR="00BB61D9">
        <w:rPr>
          <w:bCs/>
          <w:lang w:val="en-US"/>
        </w:rPr>
        <w:t>exploration and evaluation (E&amp;E)</w:t>
      </w:r>
      <w:r>
        <w:rPr>
          <w:bCs/>
          <w:lang w:val="en-US"/>
        </w:rPr>
        <w:t xml:space="preserve"> costs is </w:t>
      </w:r>
      <w:r w:rsidR="00B22144">
        <w:rPr>
          <w:bCs/>
          <w:lang w:val="en-US"/>
        </w:rPr>
        <w:t xml:space="preserve">one of </w:t>
      </w:r>
      <w:r>
        <w:rPr>
          <w:bCs/>
          <w:lang w:val="en-US"/>
        </w:rPr>
        <w:t xml:space="preserve">the last major </w:t>
      </w:r>
      <w:r w:rsidR="00723131">
        <w:rPr>
          <w:bCs/>
          <w:lang w:val="en-US"/>
        </w:rPr>
        <w:t>issue</w:t>
      </w:r>
      <w:r w:rsidR="00B22144">
        <w:rPr>
          <w:bCs/>
          <w:lang w:val="en-US"/>
        </w:rPr>
        <w:t>s</w:t>
      </w:r>
      <w:r w:rsidR="00723131">
        <w:rPr>
          <w:bCs/>
          <w:lang w:val="en-US"/>
        </w:rPr>
        <w:t xml:space="preserve"> to remain</w:t>
      </w:r>
      <w:r>
        <w:rPr>
          <w:bCs/>
          <w:lang w:val="en-US"/>
        </w:rPr>
        <w:t xml:space="preserve"> largely unregulated by IFRS</w:t>
      </w:r>
      <w:r w:rsidR="00F409B2">
        <w:rPr>
          <w:bCs/>
          <w:lang w:val="en-US"/>
        </w:rPr>
        <w:t xml:space="preserve">, even though </w:t>
      </w:r>
      <w:r w:rsidR="006744B3">
        <w:rPr>
          <w:bCs/>
          <w:lang w:val="en-US"/>
        </w:rPr>
        <w:t xml:space="preserve">extractive firms are an important part of several big stock markets. Under </w:t>
      </w:r>
      <w:r w:rsidR="006B6B74">
        <w:rPr>
          <w:bCs/>
          <w:lang w:val="en-US"/>
        </w:rPr>
        <w:t>a</w:t>
      </w:r>
      <w:r w:rsidR="006744B3">
        <w:rPr>
          <w:bCs/>
          <w:lang w:val="en-US"/>
        </w:rPr>
        <w:t xml:space="preserve"> temporary permissive standard (IFRS 6)</w:t>
      </w:r>
      <w:r w:rsidR="006B6B74">
        <w:rPr>
          <w:bCs/>
          <w:lang w:val="en-US"/>
        </w:rPr>
        <w:t>,</w:t>
      </w:r>
      <w:r w:rsidR="006744B3">
        <w:rPr>
          <w:bCs/>
          <w:lang w:val="en-US"/>
        </w:rPr>
        <w:t xml:space="preserve"> </w:t>
      </w:r>
      <w:r w:rsidR="006B6B74">
        <w:rPr>
          <w:bCs/>
          <w:lang w:val="en-US"/>
        </w:rPr>
        <w:t xml:space="preserve">which has been </w:t>
      </w:r>
      <w:r w:rsidR="006744B3">
        <w:rPr>
          <w:bCs/>
          <w:lang w:val="en-US"/>
        </w:rPr>
        <w:t xml:space="preserve">in place since 2004, firms use a wide range of accounting policies for </w:t>
      </w:r>
      <w:r w:rsidR="00BB61D9">
        <w:rPr>
          <w:bCs/>
          <w:lang w:val="en-US"/>
        </w:rPr>
        <w:t>E&amp;E</w:t>
      </w:r>
      <w:r w:rsidR="006744B3">
        <w:rPr>
          <w:bCs/>
          <w:lang w:val="en-US"/>
        </w:rPr>
        <w:t xml:space="preserve"> costs, thus undermining comparability. We review the IFRS annual reports of a large number of </w:t>
      </w:r>
      <w:r w:rsidR="00723131">
        <w:rPr>
          <w:bCs/>
          <w:lang w:val="en-US"/>
        </w:rPr>
        <w:t xml:space="preserve">firms, looking for </w:t>
      </w:r>
      <w:r w:rsidR="006744B3">
        <w:rPr>
          <w:bCs/>
          <w:lang w:val="en-US"/>
        </w:rPr>
        <w:t xml:space="preserve">different policies. We identify </w:t>
      </w:r>
      <w:r w:rsidR="008305EF">
        <w:rPr>
          <w:bCs/>
          <w:lang w:val="en-US"/>
        </w:rPr>
        <w:t>many</w:t>
      </w:r>
      <w:r w:rsidR="006744B3">
        <w:rPr>
          <w:bCs/>
          <w:lang w:val="en-US"/>
        </w:rPr>
        <w:t xml:space="preserve"> distinguishable methods of accounting</w:t>
      </w:r>
      <w:r w:rsidR="00723131">
        <w:rPr>
          <w:bCs/>
          <w:lang w:val="en-US"/>
        </w:rPr>
        <w:t xml:space="preserve">. </w:t>
      </w:r>
      <w:r w:rsidR="000703B7">
        <w:rPr>
          <w:lang w:val="en-US"/>
        </w:rPr>
        <w:t xml:space="preserve">Along with this, we discover that disclosures are </w:t>
      </w:r>
      <w:r w:rsidR="00500400">
        <w:rPr>
          <w:lang w:val="en-US"/>
        </w:rPr>
        <w:t xml:space="preserve">often </w:t>
      </w:r>
      <w:r w:rsidR="000703B7">
        <w:rPr>
          <w:lang w:val="en-US"/>
        </w:rPr>
        <w:t xml:space="preserve">confusing, partly because of the lack of definitions in IFRS 6. </w:t>
      </w:r>
      <w:r w:rsidR="00723131">
        <w:rPr>
          <w:bCs/>
          <w:lang w:val="en-US"/>
        </w:rPr>
        <w:t xml:space="preserve">To aid insight into this complexity, we prepare a classification of these methods and give </w:t>
      </w:r>
      <w:r w:rsidR="008305EF">
        <w:rPr>
          <w:bCs/>
          <w:lang w:val="en-US"/>
        </w:rPr>
        <w:t xml:space="preserve">real </w:t>
      </w:r>
      <w:r w:rsidR="00723131">
        <w:rPr>
          <w:bCs/>
          <w:lang w:val="en-US"/>
        </w:rPr>
        <w:t xml:space="preserve">examples of each. We then assess the methods in the context of IFRS 6 and other relevant parts of IFRS. We find that nearly all the </w:t>
      </w:r>
      <w:proofErr w:type="gramStart"/>
      <w:r w:rsidR="00723131">
        <w:rPr>
          <w:bCs/>
          <w:lang w:val="en-US"/>
        </w:rPr>
        <w:t>methods</w:t>
      </w:r>
      <w:proofErr w:type="gramEnd"/>
      <w:r w:rsidR="00723131">
        <w:rPr>
          <w:bCs/>
          <w:lang w:val="en-US"/>
        </w:rPr>
        <w:t xml:space="preserve"> comply with IFRS. This leads us to a proposal for narrowing the variety of practice by withdrawing IFRS 6, and putting </w:t>
      </w:r>
      <w:r w:rsidR="00BB61D9">
        <w:rPr>
          <w:bCs/>
          <w:lang w:val="en-US"/>
        </w:rPr>
        <w:t>E&amp;E</w:t>
      </w:r>
      <w:r w:rsidR="00723131">
        <w:rPr>
          <w:bCs/>
          <w:lang w:val="en-US"/>
        </w:rPr>
        <w:t xml:space="preserve"> costs within the scope of IAS 38 (</w:t>
      </w:r>
      <w:r w:rsidR="00723131" w:rsidRPr="002B534A">
        <w:rPr>
          <w:bCs/>
          <w:i/>
          <w:lang w:val="en-US"/>
        </w:rPr>
        <w:t>Intangible Assets</w:t>
      </w:r>
      <w:r w:rsidR="00723131">
        <w:rPr>
          <w:bCs/>
          <w:lang w:val="en-US"/>
        </w:rPr>
        <w:t xml:space="preserve">). As part of this, IAS 38 </w:t>
      </w:r>
      <w:r w:rsidR="00CE5B64">
        <w:rPr>
          <w:bCs/>
          <w:lang w:val="en-US"/>
        </w:rPr>
        <w:t>c</w:t>
      </w:r>
      <w:r w:rsidR="00723131">
        <w:rPr>
          <w:bCs/>
          <w:lang w:val="en-US"/>
        </w:rPr>
        <w:t>ould be further revised to exten</w:t>
      </w:r>
      <w:r w:rsidR="00916243">
        <w:rPr>
          <w:bCs/>
          <w:lang w:val="en-US"/>
        </w:rPr>
        <w:t>d</w:t>
      </w:r>
      <w:r w:rsidR="00723131">
        <w:rPr>
          <w:bCs/>
          <w:lang w:val="en-US"/>
        </w:rPr>
        <w:t xml:space="preserve"> the scope of </w:t>
      </w:r>
      <w:proofErr w:type="spellStart"/>
      <w:r w:rsidR="0079238C">
        <w:rPr>
          <w:bCs/>
          <w:lang w:val="en-US"/>
        </w:rPr>
        <w:t>capitali</w:t>
      </w:r>
      <w:r w:rsidR="000A1B3F">
        <w:rPr>
          <w:bCs/>
          <w:lang w:val="en-US"/>
        </w:rPr>
        <w:t>s</w:t>
      </w:r>
      <w:r w:rsidR="00723131">
        <w:rPr>
          <w:bCs/>
          <w:lang w:val="en-US"/>
        </w:rPr>
        <w:t>ation</w:t>
      </w:r>
      <w:proofErr w:type="spellEnd"/>
      <w:r w:rsidR="00723131">
        <w:rPr>
          <w:bCs/>
          <w:lang w:val="en-US"/>
        </w:rPr>
        <w:t xml:space="preserve"> of other development costs, </w:t>
      </w:r>
      <w:r w:rsidR="006B6B74">
        <w:rPr>
          <w:bCs/>
          <w:lang w:val="en-US"/>
        </w:rPr>
        <w:t xml:space="preserve">thereby </w:t>
      </w:r>
      <w:r w:rsidR="00723131">
        <w:rPr>
          <w:bCs/>
          <w:lang w:val="en-US"/>
        </w:rPr>
        <w:t xml:space="preserve">addressing </w:t>
      </w:r>
      <w:r w:rsidR="006B6B74">
        <w:rPr>
          <w:bCs/>
          <w:lang w:val="en-US"/>
        </w:rPr>
        <w:t xml:space="preserve">one of the </w:t>
      </w:r>
      <w:r w:rsidR="00723131">
        <w:rPr>
          <w:bCs/>
          <w:lang w:val="en-US"/>
        </w:rPr>
        <w:t xml:space="preserve">criticisms </w:t>
      </w:r>
      <w:r w:rsidR="006B6B74">
        <w:rPr>
          <w:bCs/>
          <w:lang w:val="en-US"/>
        </w:rPr>
        <w:t xml:space="preserve">of current reporting practice </w:t>
      </w:r>
      <w:r w:rsidR="00723131">
        <w:rPr>
          <w:bCs/>
          <w:lang w:val="en-US"/>
        </w:rPr>
        <w:t xml:space="preserve">and bringing </w:t>
      </w:r>
      <w:r w:rsidR="006B6B74">
        <w:rPr>
          <w:bCs/>
          <w:lang w:val="en-US"/>
        </w:rPr>
        <w:t>IAS 38</w:t>
      </w:r>
      <w:r w:rsidR="00723131">
        <w:rPr>
          <w:bCs/>
          <w:lang w:val="en-US"/>
        </w:rPr>
        <w:t xml:space="preserve"> </w:t>
      </w:r>
      <w:r w:rsidR="006B6B74">
        <w:rPr>
          <w:bCs/>
          <w:lang w:val="en-US"/>
        </w:rPr>
        <w:t xml:space="preserve">more </w:t>
      </w:r>
      <w:r w:rsidR="00723131">
        <w:rPr>
          <w:bCs/>
          <w:lang w:val="en-US"/>
        </w:rPr>
        <w:t xml:space="preserve">into line with the latest version of the </w:t>
      </w:r>
      <w:r w:rsidR="00723131" w:rsidRPr="002B534A">
        <w:rPr>
          <w:bCs/>
          <w:i/>
          <w:lang w:val="en-US"/>
        </w:rPr>
        <w:t>Conceptual Framework</w:t>
      </w:r>
      <w:r w:rsidR="00723131">
        <w:rPr>
          <w:bCs/>
          <w:lang w:val="en-US"/>
        </w:rPr>
        <w:t>.</w:t>
      </w:r>
    </w:p>
    <w:p w14:paraId="725D448D" w14:textId="7F1BC4A3" w:rsidR="001C20E5" w:rsidRDefault="001C20E5" w:rsidP="001A0E2B">
      <w:pPr>
        <w:ind w:firstLine="0"/>
        <w:rPr>
          <w:bCs/>
          <w:lang w:val="en-US"/>
        </w:rPr>
      </w:pPr>
    </w:p>
    <w:p w14:paraId="6753A550" w14:textId="01AA1F77" w:rsidR="001C20E5" w:rsidRDefault="001C20E5" w:rsidP="001A0E2B">
      <w:pPr>
        <w:ind w:firstLine="0"/>
        <w:rPr>
          <w:b/>
          <w:bCs/>
          <w:lang w:val="en-US"/>
        </w:rPr>
      </w:pPr>
      <w:r w:rsidRPr="002572EF">
        <w:rPr>
          <w:b/>
          <w:bCs/>
          <w:lang w:val="en-US"/>
        </w:rPr>
        <w:t>Keywords</w:t>
      </w:r>
      <w:r>
        <w:rPr>
          <w:bCs/>
          <w:lang w:val="en-US"/>
        </w:rPr>
        <w:t>: extractive industry accounting; IFRS 6; oil &amp; gas accounting; mining accounting; international accounting policy choice</w:t>
      </w:r>
      <w:r w:rsidR="00B22144">
        <w:rPr>
          <w:bCs/>
          <w:lang w:val="en-US"/>
        </w:rPr>
        <w:t>; intangible assets</w:t>
      </w:r>
    </w:p>
    <w:p w14:paraId="6C2241C1" w14:textId="322AEF79" w:rsidR="00EB7F22" w:rsidRDefault="00EB7F22" w:rsidP="007D4D01">
      <w:pPr>
        <w:pageBreakBefore/>
        <w:spacing w:line="240" w:lineRule="auto"/>
        <w:ind w:firstLine="0"/>
        <w:jc w:val="center"/>
        <w:rPr>
          <w:b/>
          <w:bCs/>
          <w:sz w:val="28"/>
          <w:szCs w:val="28"/>
          <w:lang w:val="en-US"/>
        </w:rPr>
      </w:pPr>
      <w:r>
        <w:rPr>
          <w:b/>
          <w:bCs/>
          <w:sz w:val="28"/>
          <w:szCs w:val="28"/>
          <w:lang w:val="en-US"/>
        </w:rPr>
        <w:lastRenderedPageBreak/>
        <w:t xml:space="preserve">Towards a solution to the </w:t>
      </w:r>
      <w:r w:rsidRPr="00751004">
        <w:rPr>
          <w:b/>
          <w:bCs/>
          <w:sz w:val="28"/>
          <w:szCs w:val="28"/>
          <w:lang w:val="en-US"/>
        </w:rPr>
        <w:t>variety in accounting</w:t>
      </w:r>
      <w:r>
        <w:rPr>
          <w:b/>
          <w:bCs/>
          <w:sz w:val="28"/>
          <w:szCs w:val="28"/>
          <w:lang w:val="en-US"/>
        </w:rPr>
        <w:t xml:space="preserve"> practices of </w:t>
      </w:r>
      <w:r w:rsidRPr="00751004">
        <w:rPr>
          <w:b/>
          <w:bCs/>
          <w:sz w:val="28"/>
          <w:szCs w:val="28"/>
          <w:lang w:val="en-US"/>
        </w:rPr>
        <w:t>extractive firms</w:t>
      </w:r>
      <w:r>
        <w:rPr>
          <w:b/>
          <w:bCs/>
          <w:sz w:val="28"/>
          <w:szCs w:val="28"/>
          <w:lang w:val="en-US"/>
        </w:rPr>
        <w:t xml:space="preserve"> under IFRS</w:t>
      </w:r>
    </w:p>
    <w:p w14:paraId="20A5D413" w14:textId="77777777" w:rsidR="00EB7F22" w:rsidRPr="001A0E2B" w:rsidRDefault="00EB7F22" w:rsidP="00516EF5">
      <w:pPr>
        <w:spacing w:line="240" w:lineRule="auto"/>
        <w:ind w:firstLine="0"/>
        <w:rPr>
          <w:b/>
          <w:bCs/>
          <w:lang w:val="en-US"/>
        </w:rPr>
      </w:pPr>
    </w:p>
    <w:p w14:paraId="6E6C1D45" w14:textId="7D45B86E" w:rsidR="00797EFE" w:rsidRDefault="0073737A" w:rsidP="00FC703C">
      <w:pPr>
        <w:pStyle w:val="Heading1"/>
        <w:rPr>
          <w:lang w:val="en-US"/>
        </w:rPr>
      </w:pPr>
      <w:r w:rsidRPr="00442F2D">
        <w:rPr>
          <w:lang w:val="en-US"/>
        </w:rPr>
        <w:t>1</w:t>
      </w:r>
      <w:r w:rsidR="00940120">
        <w:rPr>
          <w:lang w:val="en-US"/>
        </w:rPr>
        <w:t xml:space="preserve">. </w:t>
      </w:r>
      <w:r w:rsidR="00A827F6">
        <w:rPr>
          <w:lang w:val="en-US"/>
        </w:rPr>
        <w:t xml:space="preserve">Introduction </w:t>
      </w:r>
      <w:r w:rsidRPr="00442F2D">
        <w:rPr>
          <w:lang w:val="en-US"/>
        </w:rPr>
        <w:tab/>
      </w:r>
    </w:p>
    <w:p w14:paraId="469C1659" w14:textId="67783459" w:rsidR="000B6038" w:rsidRDefault="000B6038" w:rsidP="00940120">
      <w:pPr>
        <w:rPr>
          <w:lang w:val="en-US"/>
        </w:rPr>
      </w:pPr>
      <w:r>
        <w:rPr>
          <w:lang w:val="en-US"/>
        </w:rPr>
        <w:t xml:space="preserve">Under </w:t>
      </w:r>
      <w:r w:rsidR="00114C40" w:rsidRPr="00E007C3">
        <w:t xml:space="preserve">International Financial Reporting Standards </w:t>
      </w:r>
      <w:r w:rsidR="00114C40">
        <w:t>(</w:t>
      </w:r>
      <w:r>
        <w:rPr>
          <w:lang w:val="en-US"/>
        </w:rPr>
        <w:t>IFRS</w:t>
      </w:r>
      <w:r w:rsidR="00114C40">
        <w:rPr>
          <w:lang w:val="en-US"/>
        </w:rPr>
        <w:t>)</w:t>
      </w:r>
      <w:r>
        <w:rPr>
          <w:lang w:val="en-US"/>
        </w:rPr>
        <w:t>, extractive firms are subject to the normal IFRS requirements for most issues, such as buildings, machinery, financial instruments and pension liabilities. However, the key issue of accounting for exploration and evaluation (E&amp;E) costs is covered instead by IFRS 6</w:t>
      </w:r>
      <w:r w:rsidR="000429F5">
        <w:rPr>
          <w:lang w:val="en-US"/>
        </w:rPr>
        <w:t>, which was intended to be temporary when issued in 2004</w:t>
      </w:r>
      <w:r>
        <w:rPr>
          <w:lang w:val="en-US"/>
        </w:rPr>
        <w:t>. While waiting for a standard to replace IFRS 6, extractive firms have a largely free hand in choosing their E&amp;E policies.</w:t>
      </w:r>
    </w:p>
    <w:p w14:paraId="1ED11734" w14:textId="2CF1B30B" w:rsidR="00A827F6" w:rsidRPr="00E007C3" w:rsidRDefault="00A827F6" w:rsidP="00940120">
      <w:r w:rsidRPr="00E007C3">
        <w:t xml:space="preserve">In </w:t>
      </w:r>
      <w:r w:rsidR="009D15A5">
        <w:t xml:space="preserve">the run-up to widespread adoption of </w:t>
      </w:r>
      <w:r w:rsidRPr="00E007C3">
        <w:t>IFRS</w:t>
      </w:r>
      <w:r w:rsidR="009D15A5">
        <w:t xml:space="preserve"> in 2005</w:t>
      </w:r>
      <w:r w:rsidRPr="00E007C3">
        <w:t xml:space="preserve">, </w:t>
      </w:r>
      <w:r w:rsidR="009D15A5">
        <w:t xml:space="preserve">it was necessary for </w:t>
      </w:r>
      <w:r w:rsidRPr="00E007C3">
        <w:t xml:space="preserve">the International Accounting Standards Board (IASB) </w:t>
      </w:r>
      <w:r w:rsidR="009D15A5">
        <w:t xml:space="preserve">to </w:t>
      </w:r>
      <w:r w:rsidRPr="00E007C3">
        <w:t>issue temporary standards</w:t>
      </w:r>
      <w:r w:rsidR="009D15A5">
        <w:t xml:space="preserve"> on t</w:t>
      </w:r>
      <w:r w:rsidR="0001351C">
        <w:t>wo</w:t>
      </w:r>
      <w:r w:rsidR="009D15A5">
        <w:t xml:space="preserve"> topics</w:t>
      </w:r>
      <w:r w:rsidRPr="00E007C3">
        <w:t>: IFRS 4 (</w:t>
      </w:r>
      <w:r w:rsidRPr="00E007C3">
        <w:rPr>
          <w:i/>
        </w:rPr>
        <w:t xml:space="preserve">Insurance </w:t>
      </w:r>
      <w:r w:rsidR="00EE42B7">
        <w:rPr>
          <w:i/>
        </w:rPr>
        <w:t>C</w:t>
      </w:r>
      <w:r w:rsidRPr="00E007C3">
        <w:rPr>
          <w:i/>
        </w:rPr>
        <w:t>ontracts</w:t>
      </w:r>
      <w:r w:rsidRPr="00E007C3">
        <w:t>)</w:t>
      </w:r>
      <w:r w:rsidR="0001351C">
        <w:t xml:space="preserve"> and</w:t>
      </w:r>
      <w:r w:rsidRPr="00E007C3">
        <w:t xml:space="preserve"> IFRS 6 (</w:t>
      </w:r>
      <w:r w:rsidRPr="00E007C3">
        <w:rPr>
          <w:i/>
        </w:rPr>
        <w:t xml:space="preserve">Exploration for and </w:t>
      </w:r>
      <w:r w:rsidR="00EE42B7">
        <w:rPr>
          <w:i/>
        </w:rPr>
        <w:t>E</w:t>
      </w:r>
      <w:r w:rsidRPr="00E007C3">
        <w:rPr>
          <w:i/>
        </w:rPr>
        <w:t xml:space="preserve">valuation of </w:t>
      </w:r>
      <w:r w:rsidR="00EE42B7">
        <w:rPr>
          <w:i/>
        </w:rPr>
        <w:t>M</w:t>
      </w:r>
      <w:r w:rsidRPr="00E007C3">
        <w:rPr>
          <w:i/>
        </w:rPr>
        <w:t xml:space="preserve">ineral </w:t>
      </w:r>
      <w:r w:rsidR="00EE42B7">
        <w:rPr>
          <w:i/>
        </w:rPr>
        <w:t>R</w:t>
      </w:r>
      <w:r w:rsidRPr="00E007C3">
        <w:rPr>
          <w:i/>
        </w:rPr>
        <w:t>esources</w:t>
      </w:r>
      <w:r w:rsidRPr="00E007C3">
        <w:t>). The basic purpose of the</w:t>
      </w:r>
      <w:r>
        <w:t>se</w:t>
      </w:r>
      <w:r w:rsidRPr="00E007C3">
        <w:t xml:space="preserve"> standards was to </w:t>
      </w:r>
      <w:r w:rsidR="009D15A5">
        <w:t xml:space="preserve">provide temporary </w:t>
      </w:r>
      <w:r w:rsidRPr="00E007C3">
        <w:t>exempt</w:t>
      </w:r>
      <w:r w:rsidR="009D15A5">
        <w:t>ion</w:t>
      </w:r>
      <w:r w:rsidRPr="00E007C3">
        <w:t xml:space="preserve"> from the requirements of </w:t>
      </w:r>
      <w:r w:rsidR="00516CB8">
        <w:t xml:space="preserve">its </w:t>
      </w:r>
      <w:r w:rsidRPr="00E007C3">
        <w:t>other</w:t>
      </w:r>
      <w:r w:rsidR="00516CB8">
        <w:t xml:space="preserve"> </w:t>
      </w:r>
      <w:r w:rsidRPr="00E007C3">
        <w:t>standards</w:t>
      </w:r>
      <w:r w:rsidR="00516CB8" w:rsidRPr="00516CB8">
        <w:t xml:space="preserve"> </w:t>
      </w:r>
      <w:r w:rsidR="00516CB8">
        <w:t xml:space="preserve">(which might </w:t>
      </w:r>
      <w:r w:rsidR="00CE5B64">
        <w:t xml:space="preserve">otherwise have required </w:t>
      </w:r>
      <w:r w:rsidR="00516CB8">
        <w:t>change</w:t>
      </w:r>
      <w:r w:rsidR="00CE5B64">
        <w:t>s to</w:t>
      </w:r>
      <w:r w:rsidR="00516CB8">
        <w:t xml:space="preserve"> established practices) while the IASB </w:t>
      </w:r>
      <w:r w:rsidR="00516CB8" w:rsidRPr="00E007C3">
        <w:t>considered long-term solutions</w:t>
      </w:r>
      <w:r w:rsidRPr="00E007C3">
        <w:t>.</w:t>
      </w:r>
      <w:r w:rsidR="009D15A5">
        <w:t xml:space="preserve"> A similar effect was achieved for another topic (business combinations under common control</w:t>
      </w:r>
      <w:r w:rsidR="00F018C9">
        <w:t>, BCUCC</w:t>
      </w:r>
      <w:r w:rsidR="009D15A5">
        <w:t>) by leaving it outside of the scope of the relevant standard: IFRS 3 (</w:t>
      </w:r>
      <w:r w:rsidR="009D15A5" w:rsidRPr="005B5914">
        <w:rPr>
          <w:i/>
        </w:rPr>
        <w:t>Business Combinations</w:t>
      </w:r>
      <w:r w:rsidR="009D15A5">
        <w:t>).</w:t>
      </w:r>
      <w:r w:rsidR="0001351C" w:rsidRPr="0001351C">
        <w:t xml:space="preserve"> </w:t>
      </w:r>
      <w:r w:rsidR="00516CB8">
        <w:t xml:space="preserve">Later, after more countries adopted IFRS, a further topic was treated in a similar way: </w:t>
      </w:r>
      <w:r w:rsidR="0001351C" w:rsidRPr="00E007C3">
        <w:t>IFRS 14 (</w:t>
      </w:r>
      <w:r w:rsidR="0001351C" w:rsidRPr="00E007C3">
        <w:rPr>
          <w:i/>
        </w:rPr>
        <w:t xml:space="preserve">Regulatory </w:t>
      </w:r>
      <w:r w:rsidR="0001351C">
        <w:rPr>
          <w:i/>
        </w:rPr>
        <w:t>D</w:t>
      </w:r>
      <w:r w:rsidR="0001351C" w:rsidRPr="00E007C3">
        <w:rPr>
          <w:i/>
        </w:rPr>
        <w:t xml:space="preserve">eferral </w:t>
      </w:r>
      <w:r w:rsidR="0001351C">
        <w:rPr>
          <w:i/>
        </w:rPr>
        <w:t>A</w:t>
      </w:r>
      <w:r w:rsidR="0001351C" w:rsidRPr="00E007C3">
        <w:rPr>
          <w:i/>
        </w:rPr>
        <w:t>ccounts</w:t>
      </w:r>
      <w:r w:rsidR="0001351C" w:rsidRPr="00E007C3">
        <w:t>)</w:t>
      </w:r>
      <w:r w:rsidR="00516CB8">
        <w:t>.</w:t>
      </w:r>
    </w:p>
    <w:p w14:paraId="5673FA69" w14:textId="7499F874" w:rsidR="00A827F6" w:rsidRPr="000051DF" w:rsidRDefault="00A827F6" w:rsidP="00940120">
      <w:pPr>
        <w:rPr>
          <w:lang w:val="en-US"/>
        </w:rPr>
      </w:pPr>
      <w:r w:rsidRPr="00E007C3">
        <w:rPr>
          <w:lang w:val="en-US"/>
        </w:rPr>
        <w:t>In the case of IFRS 4, the solution is IFRS 17 (</w:t>
      </w:r>
      <w:r w:rsidR="001A0E2B">
        <w:rPr>
          <w:lang w:val="en-US"/>
        </w:rPr>
        <w:t>issued in 2017</w:t>
      </w:r>
      <w:r w:rsidRPr="00E007C3">
        <w:rPr>
          <w:lang w:val="en-US"/>
        </w:rPr>
        <w:t xml:space="preserve">). </w:t>
      </w:r>
      <w:r w:rsidR="008305EF">
        <w:rPr>
          <w:lang w:val="en-US"/>
        </w:rPr>
        <w:t xml:space="preserve">In the case of </w:t>
      </w:r>
      <w:r w:rsidRPr="00E007C3">
        <w:rPr>
          <w:lang w:val="en-US"/>
        </w:rPr>
        <w:t>IFRS 14</w:t>
      </w:r>
      <w:r w:rsidR="008305EF">
        <w:rPr>
          <w:lang w:val="en-US"/>
        </w:rPr>
        <w:t xml:space="preserve">, </w:t>
      </w:r>
      <w:r w:rsidR="00516CB8">
        <w:rPr>
          <w:lang w:val="en-US"/>
        </w:rPr>
        <w:t xml:space="preserve">an </w:t>
      </w:r>
      <w:r w:rsidRPr="00E007C3">
        <w:rPr>
          <w:lang w:val="en-US"/>
        </w:rPr>
        <w:t>Exposure Draft</w:t>
      </w:r>
      <w:r w:rsidR="00516CB8">
        <w:rPr>
          <w:lang w:val="en-US"/>
        </w:rPr>
        <w:t xml:space="preserve"> on replacing it was issued in 2021</w:t>
      </w:r>
      <w:r w:rsidRPr="00E007C3">
        <w:rPr>
          <w:lang w:val="en-US"/>
        </w:rPr>
        <w:t>.</w:t>
      </w:r>
      <w:r w:rsidR="00516CB8">
        <w:rPr>
          <w:rStyle w:val="FootnoteReference"/>
          <w:lang w:val="en-US"/>
        </w:rPr>
        <w:footnoteReference w:id="1"/>
      </w:r>
      <w:r w:rsidRPr="00E007C3">
        <w:rPr>
          <w:lang w:val="en-US"/>
        </w:rPr>
        <w:t xml:space="preserve"> </w:t>
      </w:r>
      <w:r w:rsidR="00C27373">
        <w:rPr>
          <w:lang w:val="en-US"/>
        </w:rPr>
        <w:t>On</w:t>
      </w:r>
      <w:r w:rsidR="00F018C9">
        <w:rPr>
          <w:lang w:val="en-US"/>
        </w:rPr>
        <w:t xml:space="preserve"> BCUCC, </w:t>
      </w:r>
      <w:r w:rsidR="00C27373">
        <w:rPr>
          <w:lang w:val="en-US"/>
        </w:rPr>
        <w:t>a Discussion Paper was issued in 2020.</w:t>
      </w:r>
      <w:r w:rsidR="00C27373">
        <w:rPr>
          <w:rStyle w:val="FootnoteReference"/>
          <w:lang w:val="en-US"/>
        </w:rPr>
        <w:footnoteReference w:id="2"/>
      </w:r>
      <w:r w:rsidR="00C27373">
        <w:rPr>
          <w:lang w:val="en-US"/>
        </w:rPr>
        <w:t xml:space="preserve"> </w:t>
      </w:r>
      <w:r w:rsidRPr="00E007C3">
        <w:rPr>
          <w:lang w:val="en-US"/>
        </w:rPr>
        <w:t>By contrast</w:t>
      </w:r>
      <w:r>
        <w:rPr>
          <w:lang w:val="en-US"/>
        </w:rPr>
        <w:t xml:space="preserve">, although a Discussion Paper </w:t>
      </w:r>
      <w:r w:rsidR="00C27373">
        <w:rPr>
          <w:lang w:val="en-US"/>
        </w:rPr>
        <w:t xml:space="preserve">about replacing IFRS 6 </w:t>
      </w:r>
      <w:r w:rsidR="00BB61D9">
        <w:rPr>
          <w:lang w:val="en-US"/>
        </w:rPr>
        <w:t xml:space="preserve">on </w:t>
      </w:r>
      <w:r w:rsidR="00BB61D9">
        <w:rPr>
          <w:bCs/>
          <w:lang w:val="en-US"/>
        </w:rPr>
        <w:t xml:space="preserve">E&amp;E costs </w:t>
      </w:r>
      <w:r w:rsidR="002D0083">
        <w:rPr>
          <w:lang w:val="en-US"/>
        </w:rPr>
        <w:t>was issued in 2010 (Brady et al.</w:t>
      </w:r>
      <w:r>
        <w:rPr>
          <w:lang w:val="en-US"/>
        </w:rPr>
        <w:t xml:space="preserve"> 2010)</w:t>
      </w:r>
      <w:r w:rsidR="00C27373">
        <w:rPr>
          <w:lang w:val="en-US"/>
        </w:rPr>
        <w:t>, this was not pursued</w:t>
      </w:r>
      <w:r w:rsidRPr="00A2372D">
        <w:rPr>
          <w:lang w:val="en-US"/>
        </w:rPr>
        <w:t>.</w:t>
      </w:r>
      <w:r w:rsidRPr="00E007C3">
        <w:rPr>
          <w:lang w:val="en-US"/>
        </w:rPr>
        <w:t xml:space="preserve"> </w:t>
      </w:r>
      <w:r w:rsidRPr="000051DF">
        <w:rPr>
          <w:lang w:val="en-US"/>
        </w:rPr>
        <w:t xml:space="preserve">Furthermore, </w:t>
      </w:r>
      <w:r w:rsidR="000A1B3F">
        <w:rPr>
          <w:lang w:val="en-US"/>
        </w:rPr>
        <w:t xml:space="preserve">the extractive sector is </w:t>
      </w:r>
      <w:r w:rsidR="00C27373">
        <w:rPr>
          <w:lang w:val="en-US"/>
        </w:rPr>
        <w:t xml:space="preserve">of great </w:t>
      </w:r>
      <w:r w:rsidR="000A1B3F">
        <w:rPr>
          <w:lang w:val="en-US"/>
        </w:rPr>
        <w:t>importan</w:t>
      </w:r>
      <w:r w:rsidR="00C27373">
        <w:rPr>
          <w:lang w:val="en-US"/>
        </w:rPr>
        <w:t>ce</w:t>
      </w:r>
      <w:r w:rsidR="000A1B3F">
        <w:rPr>
          <w:lang w:val="en-US"/>
        </w:rPr>
        <w:t xml:space="preserve"> in several cou</w:t>
      </w:r>
      <w:r w:rsidR="00635636">
        <w:rPr>
          <w:lang w:val="en-US"/>
        </w:rPr>
        <w:t>n</w:t>
      </w:r>
      <w:r w:rsidR="000A1B3F">
        <w:rPr>
          <w:lang w:val="en-US"/>
        </w:rPr>
        <w:t>tries</w:t>
      </w:r>
      <w:r w:rsidRPr="000051DF">
        <w:rPr>
          <w:lang w:val="en-US"/>
        </w:rPr>
        <w:t xml:space="preserve">. For example, extractive firms make up 49% of Canadian, 40% of </w:t>
      </w:r>
      <w:r w:rsidRPr="000051DF">
        <w:rPr>
          <w:lang w:val="en-US"/>
        </w:rPr>
        <w:lastRenderedPageBreak/>
        <w:t>Australian</w:t>
      </w:r>
      <w:r w:rsidR="00F41755">
        <w:rPr>
          <w:lang w:val="en-US"/>
        </w:rPr>
        <w:t>,</w:t>
      </w:r>
      <w:r w:rsidRPr="000051DF">
        <w:rPr>
          <w:lang w:val="en-US"/>
        </w:rPr>
        <w:t xml:space="preserve"> and 10% of UK listed </w:t>
      </w:r>
      <w:r>
        <w:rPr>
          <w:lang w:val="en-US"/>
        </w:rPr>
        <w:t>firms</w:t>
      </w:r>
      <w:r w:rsidRPr="000051DF">
        <w:rPr>
          <w:lang w:val="en-US"/>
        </w:rPr>
        <w:t>.</w:t>
      </w:r>
      <w:r>
        <w:rPr>
          <w:rStyle w:val="FootnoteReference"/>
          <w:rFonts w:cstheme="minorHAnsi"/>
          <w:sz w:val="24"/>
          <w:szCs w:val="24"/>
          <w:lang w:val="en-US"/>
        </w:rPr>
        <w:footnoteReference w:id="3"/>
      </w:r>
      <w:r w:rsidR="00C27373">
        <w:rPr>
          <w:lang w:val="en-US"/>
        </w:rPr>
        <w:t xml:space="preserve"> Thus, the </w:t>
      </w:r>
      <w:r w:rsidR="00BB61D9">
        <w:rPr>
          <w:lang w:val="en-US"/>
        </w:rPr>
        <w:t>treatment of E&amp;E</w:t>
      </w:r>
      <w:r w:rsidR="00C27373">
        <w:rPr>
          <w:lang w:val="en-US"/>
        </w:rPr>
        <w:t xml:space="preserve"> costs could be seen as the most important outstanding issue on which no formal consultations are in progress.</w:t>
      </w:r>
    </w:p>
    <w:p w14:paraId="548C7B0A" w14:textId="31DA3EE0" w:rsidR="00240C66" w:rsidRDefault="00240C66" w:rsidP="00D919E7">
      <w:pPr>
        <w:rPr>
          <w:lang w:val="en-US"/>
        </w:rPr>
      </w:pPr>
      <w:r>
        <w:rPr>
          <w:lang w:val="en-US"/>
        </w:rPr>
        <w:t>As with accounting for intangibles, the central</w:t>
      </w:r>
      <w:r w:rsidR="00DD2772">
        <w:rPr>
          <w:lang w:val="en-US"/>
        </w:rPr>
        <w:t xml:space="preserve"> matter is how much E&amp;E cost to </w:t>
      </w:r>
      <w:proofErr w:type="spellStart"/>
      <w:r w:rsidR="00DD2772">
        <w:rPr>
          <w:lang w:val="en-US"/>
        </w:rPr>
        <w:t>capitali</w:t>
      </w:r>
      <w:r w:rsidR="000A1B3F">
        <w:rPr>
          <w:lang w:val="en-US"/>
        </w:rPr>
        <w:t>s</w:t>
      </w:r>
      <w:r w:rsidR="00DD2772">
        <w:rPr>
          <w:lang w:val="en-US"/>
        </w:rPr>
        <w:t>e</w:t>
      </w:r>
      <w:proofErr w:type="spellEnd"/>
      <w:r w:rsidR="00DD2772">
        <w:rPr>
          <w:lang w:val="en-US"/>
        </w:rPr>
        <w:t xml:space="preserve">. </w:t>
      </w:r>
      <w:r w:rsidR="00D919E7">
        <w:rPr>
          <w:lang w:val="en-US"/>
        </w:rPr>
        <w:t xml:space="preserve">As for some research and development (R&amp;D) projects, the risks </w:t>
      </w:r>
      <w:r w:rsidR="00764D47">
        <w:rPr>
          <w:lang w:val="en-US"/>
        </w:rPr>
        <w:t xml:space="preserve">of E&amp;E projects </w:t>
      </w:r>
      <w:r w:rsidR="00D919E7">
        <w:rPr>
          <w:lang w:val="en-US"/>
        </w:rPr>
        <w:t xml:space="preserve">are large, the time-scale before appraisal long, and the potential rewards much greater than the costs. </w:t>
      </w:r>
      <w:r w:rsidR="00DD2772">
        <w:rPr>
          <w:lang w:val="en-US"/>
        </w:rPr>
        <w:t xml:space="preserve">At one extreme, firms could expense everything, on the grounds of </w:t>
      </w:r>
      <w:r w:rsidR="00CE5B64">
        <w:rPr>
          <w:lang w:val="en-US"/>
        </w:rPr>
        <w:t xml:space="preserve">the </w:t>
      </w:r>
      <w:r w:rsidR="00DD2772">
        <w:rPr>
          <w:lang w:val="en-US"/>
        </w:rPr>
        <w:t xml:space="preserve">uncertainty of future cash inflows. At the other extreme, firms could </w:t>
      </w:r>
      <w:proofErr w:type="spellStart"/>
      <w:r w:rsidR="00DD2772">
        <w:rPr>
          <w:lang w:val="en-US"/>
        </w:rPr>
        <w:t>capitali</w:t>
      </w:r>
      <w:r w:rsidR="000A1B3F">
        <w:rPr>
          <w:lang w:val="en-US"/>
        </w:rPr>
        <w:t>s</w:t>
      </w:r>
      <w:r w:rsidR="00DD2772">
        <w:rPr>
          <w:lang w:val="en-US"/>
        </w:rPr>
        <w:t>e</w:t>
      </w:r>
      <w:proofErr w:type="spellEnd"/>
      <w:r w:rsidR="00DD2772">
        <w:rPr>
          <w:lang w:val="en-US"/>
        </w:rPr>
        <w:t xml:space="preserve"> (or hold in suspense) the </w:t>
      </w:r>
      <w:r w:rsidR="004217CE">
        <w:rPr>
          <w:lang w:val="en-US"/>
        </w:rPr>
        <w:t>‘</w:t>
      </w:r>
      <w:r w:rsidR="00DD2772">
        <w:rPr>
          <w:lang w:val="en-US"/>
        </w:rPr>
        <w:t>full cost</w:t>
      </w:r>
      <w:r w:rsidR="004217CE">
        <w:rPr>
          <w:lang w:val="en-US"/>
        </w:rPr>
        <w:t>’</w:t>
      </w:r>
      <w:r w:rsidR="00DD2772">
        <w:rPr>
          <w:lang w:val="en-US"/>
        </w:rPr>
        <w:t xml:space="preserve"> until </w:t>
      </w:r>
      <w:r w:rsidR="008305EF">
        <w:rPr>
          <w:lang w:val="en-US"/>
        </w:rPr>
        <w:t xml:space="preserve">appraisal </w:t>
      </w:r>
      <w:r w:rsidR="00DD2772">
        <w:rPr>
          <w:lang w:val="en-US"/>
        </w:rPr>
        <w:t xml:space="preserve">evidence </w:t>
      </w:r>
      <w:r w:rsidR="006D7F2B">
        <w:rPr>
          <w:lang w:val="en-US"/>
        </w:rPr>
        <w:t xml:space="preserve">suggests </w:t>
      </w:r>
      <w:r w:rsidR="00DD2772">
        <w:rPr>
          <w:lang w:val="en-US"/>
        </w:rPr>
        <w:t xml:space="preserve">that the costs will not be covered by future cash inflows. In between, there can be many methods of partial </w:t>
      </w:r>
      <w:proofErr w:type="spellStart"/>
      <w:r w:rsidR="00DD2772">
        <w:rPr>
          <w:lang w:val="en-US"/>
        </w:rPr>
        <w:t>capitali</w:t>
      </w:r>
      <w:r w:rsidR="000A1B3F">
        <w:rPr>
          <w:lang w:val="en-US"/>
        </w:rPr>
        <w:t>s</w:t>
      </w:r>
      <w:r w:rsidR="00DD2772">
        <w:rPr>
          <w:lang w:val="en-US"/>
        </w:rPr>
        <w:t>ation</w:t>
      </w:r>
      <w:proofErr w:type="spellEnd"/>
      <w:r w:rsidR="00DD2772">
        <w:rPr>
          <w:lang w:val="en-US"/>
        </w:rPr>
        <w:t xml:space="preserve">. These </w:t>
      </w:r>
      <w:r w:rsidR="00764D47">
        <w:rPr>
          <w:lang w:val="en-US"/>
        </w:rPr>
        <w:t xml:space="preserve">methods </w:t>
      </w:r>
      <w:r w:rsidR="00DD2772">
        <w:rPr>
          <w:lang w:val="en-US"/>
        </w:rPr>
        <w:t xml:space="preserve">can vary in two dimensions: </w:t>
      </w:r>
      <w:r w:rsidR="008305EF">
        <w:rPr>
          <w:lang w:val="en-US"/>
        </w:rPr>
        <w:t xml:space="preserve">which type of costs to </w:t>
      </w:r>
      <w:proofErr w:type="spellStart"/>
      <w:r w:rsidR="008305EF">
        <w:rPr>
          <w:lang w:val="en-US"/>
        </w:rPr>
        <w:t>capitali</w:t>
      </w:r>
      <w:r w:rsidR="000A1B3F">
        <w:rPr>
          <w:lang w:val="en-US"/>
        </w:rPr>
        <w:t>s</w:t>
      </w:r>
      <w:r w:rsidR="008305EF">
        <w:rPr>
          <w:lang w:val="en-US"/>
        </w:rPr>
        <w:t>e</w:t>
      </w:r>
      <w:proofErr w:type="spellEnd"/>
      <w:r w:rsidR="008305EF">
        <w:rPr>
          <w:lang w:val="en-US"/>
        </w:rPr>
        <w:t xml:space="preserve"> (for example, should </w:t>
      </w:r>
      <w:proofErr w:type="spellStart"/>
      <w:r w:rsidR="008305EF">
        <w:rPr>
          <w:lang w:val="en-US"/>
        </w:rPr>
        <w:t>capitali</w:t>
      </w:r>
      <w:r w:rsidR="000A1B3F">
        <w:rPr>
          <w:lang w:val="en-US"/>
        </w:rPr>
        <w:t>s</w:t>
      </w:r>
      <w:r w:rsidR="008305EF">
        <w:rPr>
          <w:lang w:val="en-US"/>
        </w:rPr>
        <w:t>ation</w:t>
      </w:r>
      <w:proofErr w:type="spellEnd"/>
      <w:r w:rsidR="008305EF">
        <w:rPr>
          <w:lang w:val="en-US"/>
        </w:rPr>
        <w:t xml:space="preserve"> only start when a project’s success is assessed as probable, thereby excluding initial exploration costs?)</w:t>
      </w:r>
      <w:r w:rsidR="00A3124B">
        <w:rPr>
          <w:lang w:val="en-US"/>
        </w:rPr>
        <w:t>,</w:t>
      </w:r>
      <w:r w:rsidR="008305EF">
        <w:rPr>
          <w:lang w:val="en-US"/>
        </w:rPr>
        <w:t xml:space="preserve"> and how wide a pool to use for appraising the evidence (for example, a successful </w:t>
      </w:r>
      <w:r w:rsidR="001B022E">
        <w:rPr>
          <w:lang w:val="en-US"/>
        </w:rPr>
        <w:t>effort such as a mine,</w:t>
      </w:r>
      <w:r w:rsidR="008305EF">
        <w:rPr>
          <w:lang w:val="en-US"/>
        </w:rPr>
        <w:t xml:space="preserve"> or a successful country?).</w:t>
      </w:r>
      <w:r w:rsidR="004217CE">
        <w:rPr>
          <w:lang w:val="en-US"/>
        </w:rPr>
        <w:t xml:space="preserve"> T</w:t>
      </w:r>
      <w:r w:rsidR="006729FB">
        <w:rPr>
          <w:lang w:val="en-US"/>
        </w:rPr>
        <w:t>hree</w:t>
      </w:r>
      <w:r w:rsidR="004217CE">
        <w:rPr>
          <w:lang w:val="en-US"/>
        </w:rPr>
        <w:t xml:space="preserve"> </w:t>
      </w:r>
      <w:r w:rsidR="00AC138E">
        <w:rPr>
          <w:lang w:val="en-US"/>
        </w:rPr>
        <w:t>label</w:t>
      </w:r>
      <w:r w:rsidR="00764D47">
        <w:rPr>
          <w:lang w:val="en-US"/>
        </w:rPr>
        <w:t>s</w:t>
      </w:r>
      <w:r w:rsidR="004217CE">
        <w:rPr>
          <w:lang w:val="en-US"/>
        </w:rPr>
        <w:t xml:space="preserve"> commonly referred to by firms </w:t>
      </w:r>
      <w:r w:rsidR="00764D47">
        <w:rPr>
          <w:lang w:val="en-US"/>
        </w:rPr>
        <w:t xml:space="preserve">to identify the treatment of E&amp;E costs </w:t>
      </w:r>
      <w:r w:rsidR="004217CE">
        <w:rPr>
          <w:lang w:val="en-US"/>
        </w:rPr>
        <w:t>are</w:t>
      </w:r>
      <w:r w:rsidR="006729FB">
        <w:rPr>
          <w:lang w:val="en-US"/>
        </w:rPr>
        <w:t xml:space="preserve"> ‘full cost’,</w:t>
      </w:r>
      <w:r w:rsidR="004217CE">
        <w:rPr>
          <w:lang w:val="en-US"/>
        </w:rPr>
        <w:t xml:space="preserve"> ‘successful efforts’ and </w:t>
      </w:r>
      <w:r w:rsidR="002252E0">
        <w:rPr>
          <w:lang w:val="en-US"/>
        </w:rPr>
        <w:t>‘area of interest’</w:t>
      </w:r>
      <w:r w:rsidR="00AF770F">
        <w:rPr>
          <w:lang w:val="en-US"/>
        </w:rPr>
        <w:t xml:space="preserve">. However, IFRS 6 does </w:t>
      </w:r>
      <w:r w:rsidR="00406499">
        <w:rPr>
          <w:lang w:val="en-US"/>
        </w:rPr>
        <w:t xml:space="preserve">not use or </w:t>
      </w:r>
      <w:r w:rsidR="00AF770F">
        <w:rPr>
          <w:lang w:val="en-US"/>
        </w:rPr>
        <w:t xml:space="preserve">define any </w:t>
      </w:r>
      <w:r w:rsidR="00A3124B">
        <w:rPr>
          <w:lang w:val="en-US"/>
        </w:rPr>
        <w:t xml:space="preserve">of these </w:t>
      </w:r>
      <w:r w:rsidR="00AF770F">
        <w:rPr>
          <w:lang w:val="en-US"/>
        </w:rPr>
        <w:t>term</w:t>
      </w:r>
      <w:r w:rsidR="00A3124B">
        <w:rPr>
          <w:lang w:val="en-US"/>
        </w:rPr>
        <w:t>s</w:t>
      </w:r>
      <w:r w:rsidR="00AF770F">
        <w:rPr>
          <w:lang w:val="en-US"/>
        </w:rPr>
        <w:t xml:space="preserve"> or </w:t>
      </w:r>
      <w:r w:rsidR="00A3124B">
        <w:rPr>
          <w:lang w:val="en-US"/>
        </w:rPr>
        <w:t xml:space="preserve">propose any </w:t>
      </w:r>
      <w:r w:rsidR="00AF770F">
        <w:rPr>
          <w:lang w:val="en-US"/>
        </w:rPr>
        <w:t>method of accounting for E&amp;E costs.</w:t>
      </w:r>
    </w:p>
    <w:p w14:paraId="4C1EDA0D" w14:textId="32530B95" w:rsidR="00BC4200" w:rsidRDefault="00BC4200" w:rsidP="00D919E7">
      <w:pPr>
        <w:rPr>
          <w:lang w:val="en-US"/>
        </w:rPr>
      </w:pPr>
      <w:r>
        <w:rPr>
          <w:lang w:val="en-US"/>
        </w:rPr>
        <w:t xml:space="preserve">The </w:t>
      </w:r>
      <w:r w:rsidR="00CE5B64">
        <w:rPr>
          <w:lang w:val="en-US"/>
        </w:rPr>
        <w:t>size of</w:t>
      </w:r>
      <w:r>
        <w:rPr>
          <w:lang w:val="en-US"/>
        </w:rPr>
        <w:t xml:space="preserve"> E&amp;E costs </w:t>
      </w:r>
      <w:r w:rsidR="00CE5B64">
        <w:rPr>
          <w:lang w:val="en-US"/>
        </w:rPr>
        <w:t>is</w:t>
      </w:r>
      <w:r>
        <w:rPr>
          <w:lang w:val="en-US"/>
        </w:rPr>
        <w:t xml:space="preserve"> significant in both absolute and relative terms. For example, BP</w:t>
      </w:r>
      <w:r w:rsidR="00AC4C77">
        <w:rPr>
          <w:lang w:val="en-US"/>
        </w:rPr>
        <w:t>’s</w:t>
      </w:r>
      <w:r>
        <w:rPr>
          <w:lang w:val="en-US"/>
        </w:rPr>
        <w:t xml:space="preserve"> </w:t>
      </w:r>
      <w:r w:rsidR="00AC4C77">
        <w:rPr>
          <w:lang w:val="en-US"/>
        </w:rPr>
        <w:t>201</w:t>
      </w:r>
      <w:r w:rsidR="006C4B9A">
        <w:rPr>
          <w:lang w:val="en-US"/>
        </w:rPr>
        <w:t>9</w:t>
      </w:r>
      <w:r w:rsidR="00AC4C77">
        <w:rPr>
          <w:lang w:val="en-US"/>
        </w:rPr>
        <w:t xml:space="preserve"> financial statements show</w:t>
      </w:r>
      <w:r>
        <w:rPr>
          <w:lang w:val="en-US"/>
        </w:rPr>
        <w:t xml:space="preserve"> </w:t>
      </w:r>
      <w:proofErr w:type="spellStart"/>
      <w:r w:rsidR="001813D8">
        <w:rPr>
          <w:lang w:val="en-US"/>
        </w:rPr>
        <w:t>capitali</w:t>
      </w:r>
      <w:r w:rsidR="000A1B3F">
        <w:rPr>
          <w:lang w:val="en-US"/>
        </w:rPr>
        <w:t>s</w:t>
      </w:r>
      <w:r w:rsidR="001813D8">
        <w:rPr>
          <w:lang w:val="en-US"/>
        </w:rPr>
        <w:t>ed</w:t>
      </w:r>
      <w:proofErr w:type="spellEnd"/>
      <w:r w:rsidR="001813D8">
        <w:rPr>
          <w:lang w:val="en-US"/>
        </w:rPr>
        <w:t xml:space="preserve"> </w:t>
      </w:r>
      <w:r>
        <w:rPr>
          <w:lang w:val="en-US"/>
        </w:rPr>
        <w:t xml:space="preserve">E&amp;E </w:t>
      </w:r>
      <w:r w:rsidR="001813D8">
        <w:rPr>
          <w:lang w:val="en-US"/>
        </w:rPr>
        <w:t>costs</w:t>
      </w:r>
      <w:r>
        <w:rPr>
          <w:lang w:val="en-US"/>
        </w:rPr>
        <w:t xml:space="preserve"> of </w:t>
      </w:r>
      <w:r w:rsidR="007674E4">
        <w:rPr>
          <w:lang w:val="en-US"/>
        </w:rPr>
        <w:t>US$</w:t>
      </w:r>
      <w:r w:rsidR="00C240A3" w:rsidRPr="00C240A3">
        <w:rPr>
          <w:lang w:val="en-US"/>
        </w:rPr>
        <w:t>1</w:t>
      </w:r>
      <w:r w:rsidR="006C4B9A">
        <w:rPr>
          <w:lang w:val="en-US"/>
        </w:rPr>
        <w:t>4,091</w:t>
      </w:r>
      <w:r>
        <w:rPr>
          <w:lang w:val="en-US"/>
        </w:rPr>
        <w:t xml:space="preserve"> million, which represent </w:t>
      </w:r>
      <w:r w:rsidR="006C4B9A">
        <w:rPr>
          <w:lang w:val="en-US"/>
        </w:rPr>
        <w:t>4.8</w:t>
      </w:r>
      <w:r w:rsidR="00C240A3">
        <w:rPr>
          <w:lang w:val="en-US"/>
        </w:rPr>
        <w:t>%</w:t>
      </w:r>
      <w:r>
        <w:rPr>
          <w:lang w:val="en-US"/>
        </w:rPr>
        <w:t xml:space="preserve"> of total assets. </w:t>
      </w:r>
      <w:r w:rsidR="006477BE">
        <w:rPr>
          <w:lang w:val="en-US"/>
        </w:rPr>
        <w:t>The firm</w:t>
      </w:r>
      <w:r>
        <w:rPr>
          <w:lang w:val="en-US"/>
        </w:rPr>
        <w:t xml:space="preserve"> </w:t>
      </w:r>
      <w:proofErr w:type="spellStart"/>
      <w:r>
        <w:rPr>
          <w:lang w:val="en-US"/>
        </w:rPr>
        <w:t>capitali</w:t>
      </w:r>
      <w:r w:rsidR="000A1B3F">
        <w:rPr>
          <w:lang w:val="en-US"/>
        </w:rPr>
        <w:t>s</w:t>
      </w:r>
      <w:r>
        <w:rPr>
          <w:lang w:val="en-US"/>
        </w:rPr>
        <w:t>ed</w:t>
      </w:r>
      <w:proofErr w:type="spellEnd"/>
      <w:r>
        <w:rPr>
          <w:lang w:val="en-US"/>
        </w:rPr>
        <w:t xml:space="preserve"> </w:t>
      </w:r>
      <w:r w:rsidR="007674E4">
        <w:rPr>
          <w:lang w:val="en-US"/>
        </w:rPr>
        <w:t>US</w:t>
      </w:r>
      <w:r w:rsidR="0069669D">
        <w:rPr>
          <w:lang w:val="en-US"/>
        </w:rPr>
        <w:t>$</w:t>
      </w:r>
      <w:r w:rsidR="006C4B9A">
        <w:rPr>
          <w:lang w:val="en-US"/>
        </w:rPr>
        <w:t>1,268</w:t>
      </w:r>
      <w:r>
        <w:rPr>
          <w:lang w:val="en-US"/>
        </w:rPr>
        <w:t xml:space="preserve"> </w:t>
      </w:r>
      <w:r w:rsidR="0069669D">
        <w:rPr>
          <w:lang w:val="en-US"/>
        </w:rPr>
        <w:t>million during the year</w:t>
      </w:r>
      <w:r w:rsidR="009841F6">
        <w:rPr>
          <w:lang w:val="en-US"/>
        </w:rPr>
        <w:t xml:space="preserve">, which represents </w:t>
      </w:r>
      <w:r w:rsidR="006C4B9A">
        <w:rPr>
          <w:lang w:val="en-US"/>
        </w:rPr>
        <w:t>79.2</w:t>
      </w:r>
      <w:r w:rsidR="009841F6">
        <w:rPr>
          <w:lang w:val="en-US"/>
        </w:rPr>
        <w:t>% of its total E&amp;E expenditure</w:t>
      </w:r>
      <w:r w:rsidR="00AC4C77">
        <w:rPr>
          <w:lang w:val="en-US"/>
        </w:rPr>
        <w:t xml:space="preserve"> during the year</w:t>
      </w:r>
      <w:r>
        <w:rPr>
          <w:lang w:val="en-US"/>
        </w:rPr>
        <w:t>.</w:t>
      </w:r>
      <w:r w:rsidR="006477BE">
        <w:rPr>
          <w:rStyle w:val="FootnoteReference"/>
          <w:lang w:val="en-US"/>
        </w:rPr>
        <w:footnoteReference w:id="4"/>
      </w:r>
      <w:r>
        <w:rPr>
          <w:lang w:val="en-US"/>
        </w:rPr>
        <w:t xml:space="preserve"> </w:t>
      </w:r>
      <w:r w:rsidR="002A0A52">
        <w:rPr>
          <w:lang w:val="en-US"/>
        </w:rPr>
        <w:t xml:space="preserve">BP is </w:t>
      </w:r>
      <w:r w:rsidR="00F3782F">
        <w:rPr>
          <w:lang w:val="en-US"/>
        </w:rPr>
        <w:t>one of the largest</w:t>
      </w:r>
      <w:r w:rsidR="002A0A52">
        <w:rPr>
          <w:lang w:val="en-US"/>
        </w:rPr>
        <w:t xml:space="preserve"> integrated oil </w:t>
      </w:r>
      <w:r w:rsidR="00771A9F">
        <w:rPr>
          <w:lang w:val="en-US"/>
        </w:rPr>
        <w:t>&amp;</w:t>
      </w:r>
      <w:r w:rsidR="002A0A52">
        <w:rPr>
          <w:lang w:val="en-US"/>
        </w:rPr>
        <w:t xml:space="preserve"> gas firm</w:t>
      </w:r>
      <w:r w:rsidR="00F3782F">
        <w:rPr>
          <w:lang w:val="en-US"/>
        </w:rPr>
        <w:t>s and</w:t>
      </w:r>
      <w:r w:rsidR="002A0A52">
        <w:rPr>
          <w:lang w:val="en-US"/>
        </w:rPr>
        <w:t xml:space="preserve"> E&amp;E activities are just </w:t>
      </w:r>
      <w:r w:rsidR="00F3782F">
        <w:rPr>
          <w:lang w:val="en-US"/>
        </w:rPr>
        <w:t xml:space="preserve">one </w:t>
      </w:r>
      <w:r w:rsidR="002A0A52">
        <w:rPr>
          <w:lang w:val="en-US"/>
        </w:rPr>
        <w:t xml:space="preserve">part of their business. </w:t>
      </w:r>
      <w:r w:rsidR="004217CE">
        <w:rPr>
          <w:lang w:val="en-US"/>
        </w:rPr>
        <w:t xml:space="preserve">In contrast, </w:t>
      </w:r>
      <w:r w:rsidR="00A3124B">
        <w:rPr>
          <w:lang w:val="en-US"/>
        </w:rPr>
        <w:t xml:space="preserve">E&amp;E activities dominate the balance sheet of </w:t>
      </w:r>
      <w:r w:rsidR="00C240A3">
        <w:rPr>
          <w:lang w:val="en-US"/>
        </w:rPr>
        <w:t xml:space="preserve">Strike Energy </w:t>
      </w:r>
      <w:r w:rsidR="00A3124B">
        <w:rPr>
          <w:lang w:val="en-US"/>
        </w:rPr>
        <w:t>(</w:t>
      </w:r>
      <w:r w:rsidR="00C240A3">
        <w:rPr>
          <w:lang w:val="en-US"/>
        </w:rPr>
        <w:t xml:space="preserve">an Australian oil </w:t>
      </w:r>
      <w:r w:rsidR="00771A9F">
        <w:rPr>
          <w:lang w:val="en-US"/>
        </w:rPr>
        <w:t>&amp;</w:t>
      </w:r>
      <w:r w:rsidR="00C240A3">
        <w:rPr>
          <w:lang w:val="en-US"/>
        </w:rPr>
        <w:t xml:space="preserve"> gas exploration </w:t>
      </w:r>
      <w:r w:rsidR="004217CE">
        <w:rPr>
          <w:lang w:val="en-US"/>
        </w:rPr>
        <w:t>firm</w:t>
      </w:r>
      <w:r w:rsidR="00A3124B">
        <w:rPr>
          <w:lang w:val="en-US"/>
        </w:rPr>
        <w:t>)</w:t>
      </w:r>
      <w:r w:rsidR="004217CE">
        <w:rPr>
          <w:lang w:val="en-US"/>
        </w:rPr>
        <w:t>:</w:t>
      </w:r>
      <w:r w:rsidR="006477BE">
        <w:rPr>
          <w:lang w:val="en-US"/>
        </w:rPr>
        <w:t xml:space="preserve"> </w:t>
      </w:r>
      <w:proofErr w:type="gramStart"/>
      <w:r w:rsidR="00A3124B">
        <w:rPr>
          <w:lang w:val="en-US"/>
        </w:rPr>
        <w:t>its</w:t>
      </w:r>
      <w:proofErr w:type="gramEnd"/>
      <w:r w:rsidR="004217CE">
        <w:rPr>
          <w:lang w:val="en-US"/>
        </w:rPr>
        <w:t xml:space="preserve"> </w:t>
      </w:r>
      <w:r w:rsidR="007674E4">
        <w:rPr>
          <w:lang w:val="en-US"/>
        </w:rPr>
        <w:t>A$</w:t>
      </w:r>
      <w:r w:rsidR="00C17CBC">
        <w:rPr>
          <w:lang w:val="en-US"/>
        </w:rPr>
        <w:t>114</w:t>
      </w:r>
      <w:r w:rsidR="007674E4">
        <w:rPr>
          <w:lang w:val="en-US"/>
        </w:rPr>
        <w:t xml:space="preserve"> million</w:t>
      </w:r>
      <w:r w:rsidR="001813D8">
        <w:rPr>
          <w:lang w:val="en-US"/>
        </w:rPr>
        <w:t xml:space="preserve"> </w:t>
      </w:r>
      <w:r w:rsidR="00A3124B">
        <w:rPr>
          <w:lang w:val="en-US"/>
        </w:rPr>
        <w:t xml:space="preserve">of </w:t>
      </w:r>
      <w:proofErr w:type="spellStart"/>
      <w:r w:rsidR="001813D8">
        <w:rPr>
          <w:lang w:val="en-US"/>
        </w:rPr>
        <w:t>capitali</w:t>
      </w:r>
      <w:r w:rsidR="000A1B3F">
        <w:rPr>
          <w:lang w:val="en-US"/>
        </w:rPr>
        <w:t>s</w:t>
      </w:r>
      <w:r w:rsidR="001813D8">
        <w:rPr>
          <w:lang w:val="en-US"/>
        </w:rPr>
        <w:t>ed</w:t>
      </w:r>
      <w:proofErr w:type="spellEnd"/>
      <w:r w:rsidR="007674E4">
        <w:rPr>
          <w:lang w:val="en-US"/>
        </w:rPr>
        <w:t xml:space="preserve"> </w:t>
      </w:r>
      <w:r w:rsidR="00C240A3">
        <w:rPr>
          <w:lang w:val="en-US"/>
        </w:rPr>
        <w:t xml:space="preserve">E&amp;E </w:t>
      </w:r>
      <w:r w:rsidR="001813D8">
        <w:rPr>
          <w:lang w:val="en-US"/>
        </w:rPr>
        <w:t>costs</w:t>
      </w:r>
      <w:r w:rsidR="007674E4">
        <w:rPr>
          <w:lang w:val="en-US"/>
        </w:rPr>
        <w:t xml:space="preserve"> in </w:t>
      </w:r>
      <w:r w:rsidR="007674E4">
        <w:rPr>
          <w:lang w:val="en-US"/>
        </w:rPr>
        <w:lastRenderedPageBreak/>
        <w:t>201</w:t>
      </w:r>
      <w:r w:rsidR="00C17CBC">
        <w:rPr>
          <w:lang w:val="en-US"/>
        </w:rPr>
        <w:t>8</w:t>
      </w:r>
      <w:r w:rsidR="007674E4">
        <w:rPr>
          <w:lang w:val="en-US"/>
        </w:rPr>
        <w:t>/</w:t>
      </w:r>
      <w:r w:rsidR="00C17CBC">
        <w:rPr>
          <w:lang w:val="en-US"/>
        </w:rPr>
        <w:t>19</w:t>
      </w:r>
      <w:r w:rsidR="007674E4">
        <w:rPr>
          <w:lang w:val="en-US"/>
        </w:rPr>
        <w:t xml:space="preserve"> </w:t>
      </w:r>
      <w:r w:rsidR="00C240A3">
        <w:rPr>
          <w:lang w:val="en-US"/>
        </w:rPr>
        <w:t>comprise</w:t>
      </w:r>
      <w:r w:rsidR="00C17CBC">
        <w:rPr>
          <w:lang w:val="en-US"/>
        </w:rPr>
        <w:t>d</w:t>
      </w:r>
      <w:r w:rsidR="00C240A3">
        <w:rPr>
          <w:lang w:val="en-US"/>
        </w:rPr>
        <w:t xml:space="preserve"> </w:t>
      </w:r>
      <w:r w:rsidR="006C4B9A">
        <w:rPr>
          <w:lang w:val="en-US"/>
        </w:rPr>
        <w:t>89.5</w:t>
      </w:r>
      <w:r w:rsidR="00C240A3">
        <w:rPr>
          <w:lang w:val="en-US"/>
        </w:rPr>
        <w:t>% of total assets.</w:t>
      </w:r>
      <w:r w:rsidR="00AC4C77">
        <w:rPr>
          <w:rStyle w:val="FootnoteReference"/>
          <w:lang w:val="en-US"/>
        </w:rPr>
        <w:footnoteReference w:id="5"/>
      </w:r>
      <w:r w:rsidR="00D45B9A">
        <w:rPr>
          <w:lang w:val="en-US"/>
        </w:rPr>
        <w:t xml:space="preserve"> </w:t>
      </w:r>
      <w:r w:rsidR="000B13C4">
        <w:rPr>
          <w:lang w:val="en-US"/>
        </w:rPr>
        <w:t xml:space="preserve">Additionally, impairments of </w:t>
      </w:r>
      <w:proofErr w:type="spellStart"/>
      <w:r w:rsidR="000B13C4">
        <w:rPr>
          <w:lang w:val="en-US"/>
        </w:rPr>
        <w:t>capitalised</w:t>
      </w:r>
      <w:proofErr w:type="spellEnd"/>
      <w:r w:rsidR="000B13C4">
        <w:rPr>
          <w:lang w:val="en-US"/>
        </w:rPr>
        <w:t xml:space="preserve"> E&amp;E costs can significantly affect the income statement: du</w:t>
      </w:r>
      <w:r w:rsidR="00D45B9A">
        <w:rPr>
          <w:lang w:val="en-US"/>
        </w:rPr>
        <w:t xml:space="preserve">ring 2020, </w:t>
      </w:r>
      <w:r w:rsidR="000B13C4">
        <w:rPr>
          <w:lang w:val="en-US"/>
        </w:rPr>
        <w:t xml:space="preserve">BP and Strike Energy </w:t>
      </w:r>
      <w:proofErr w:type="spellStart"/>
      <w:r w:rsidR="00D45B9A">
        <w:rPr>
          <w:lang w:val="en-US"/>
        </w:rPr>
        <w:t>recognised</w:t>
      </w:r>
      <w:proofErr w:type="spellEnd"/>
      <w:r w:rsidR="00D45B9A">
        <w:rPr>
          <w:lang w:val="en-US"/>
        </w:rPr>
        <w:t xml:space="preserve"> </w:t>
      </w:r>
      <w:r w:rsidR="000B13C4">
        <w:rPr>
          <w:lang w:val="en-US"/>
        </w:rPr>
        <w:t xml:space="preserve">impairments of </w:t>
      </w:r>
      <w:r w:rsidR="00D45B9A">
        <w:rPr>
          <w:lang w:val="en-US"/>
        </w:rPr>
        <w:t>US$</w:t>
      </w:r>
      <w:r w:rsidR="00D45B9A" w:rsidRPr="00D45B9A">
        <w:rPr>
          <w:lang w:val="en-US"/>
        </w:rPr>
        <w:t>9,920</w:t>
      </w:r>
      <w:r w:rsidR="00B03408">
        <w:rPr>
          <w:lang w:val="en-US"/>
        </w:rPr>
        <w:t xml:space="preserve"> million</w:t>
      </w:r>
      <w:r w:rsidR="000B13C4">
        <w:rPr>
          <w:lang w:val="en-US"/>
        </w:rPr>
        <w:t xml:space="preserve"> </w:t>
      </w:r>
      <w:r w:rsidR="00D45B9A">
        <w:rPr>
          <w:lang w:val="en-US"/>
        </w:rPr>
        <w:t xml:space="preserve">and </w:t>
      </w:r>
      <w:proofErr w:type="gramStart"/>
      <w:r w:rsidR="00D45B9A">
        <w:rPr>
          <w:lang w:val="en-US"/>
        </w:rPr>
        <w:t>A$</w:t>
      </w:r>
      <w:proofErr w:type="gramEnd"/>
      <w:r w:rsidR="00D45B9A" w:rsidRPr="00D45B9A">
        <w:rPr>
          <w:lang w:val="en-US"/>
        </w:rPr>
        <w:t>91</w:t>
      </w:r>
      <w:r w:rsidR="000B13C4">
        <w:rPr>
          <w:lang w:val="en-US"/>
        </w:rPr>
        <w:t xml:space="preserve"> million, respectively</w:t>
      </w:r>
      <w:r w:rsidR="00D45B9A">
        <w:rPr>
          <w:lang w:val="en-US"/>
        </w:rPr>
        <w:t>.</w:t>
      </w:r>
      <w:r w:rsidR="00D45B9A">
        <w:rPr>
          <w:rStyle w:val="FootnoteReference"/>
          <w:lang w:val="en-US"/>
        </w:rPr>
        <w:footnoteReference w:id="6"/>
      </w:r>
    </w:p>
    <w:p w14:paraId="3A5A63CA" w14:textId="7370716A" w:rsidR="00A827F6" w:rsidRDefault="00877444" w:rsidP="00240C66">
      <w:pPr>
        <w:rPr>
          <w:lang w:val="en-US"/>
        </w:rPr>
      </w:pPr>
      <w:r>
        <w:rPr>
          <w:lang w:val="en-US"/>
        </w:rPr>
        <w:t>The IASB was expecting</w:t>
      </w:r>
      <w:r>
        <w:rPr>
          <w:rStyle w:val="FootnoteReference"/>
          <w:lang w:val="en-US"/>
        </w:rPr>
        <w:footnoteReference w:id="7"/>
      </w:r>
      <w:r>
        <w:rPr>
          <w:lang w:val="en-US"/>
        </w:rPr>
        <w:t xml:space="preserve"> that many entities would continue to use their pre-IFRS policies for E&amp;E costs</w:t>
      </w:r>
      <w:r w:rsidR="00D32652">
        <w:rPr>
          <w:lang w:val="en-US"/>
        </w:rPr>
        <w:t>. The policies</w:t>
      </w:r>
      <w:r>
        <w:rPr>
          <w:lang w:val="en-US"/>
        </w:rPr>
        <w:t xml:space="preserve"> would be based on national requirements or custom </w:t>
      </w:r>
      <w:r w:rsidR="00901E2A">
        <w:rPr>
          <w:lang w:val="en-US"/>
        </w:rPr>
        <w:t>and influenced by managements’ various incentives</w:t>
      </w:r>
      <w:r>
        <w:rPr>
          <w:lang w:val="en-US"/>
        </w:rPr>
        <w:t xml:space="preserve"> </w:t>
      </w:r>
      <w:r w:rsidR="00662BE7">
        <w:rPr>
          <w:lang w:val="en-US"/>
        </w:rPr>
        <w:t>(Ball, 201</w:t>
      </w:r>
      <w:r w:rsidR="00901E2A">
        <w:rPr>
          <w:lang w:val="en-US"/>
        </w:rPr>
        <w:t xml:space="preserve">6). </w:t>
      </w:r>
      <w:r w:rsidR="00D32652">
        <w:rPr>
          <w:lang w:val="en-US"/>
        </w:rPr>
        <w:t>Thus, much of any</w:t>
      </w:r>
      <w:r w:rsidR="00901E2A">
        <w:rPr>
          <w:lang w:val="en-US"/>
        </w:rPr>
        <w:t xml:space="preserve"> international variety of practices under IFRS 6 would likely not be driven by underlying economic differences. </w:t>
      </w:r>
      <w:r w:rsidR="00AF770F">
        <w:rPr>
          <w:lang w:val="en-US"/>
        </w:rPr>
        <w:t>Given that the numbers related to E&amp;E are significant, t</w:t>
      </w:r>
      <w:r w:rsidR="00DC6059">
        <w:rPr>
          <w:lang w:val="en-US"/>
        </w:rPr>
        <w:t>h</w:t>
      </w:r>
      <w:r w:rsidR="00240C66">
        <w:rPr>
          <w:lang w:val="en-US"/>
        </w:rPr>
        <w:t>e</w:t>
      </w:r>
      <w:r w:rsidR="00DC6059">
        <w:rPr>
          <w:lang w:val="en-US"/>
        </w:rPr>
        <w:t xml:space="preserve"> variety of practice</w:t>
      </w:r>
      <w:r w:rsidR="00240C66">
        <w:rPr>
          <w:lang w:val="en-US"/>
        </w:rPr>
        <w:t xml:space="preserve">s </w:t>
      </w:r>
      <w:r w:rsidR="00DC6059">
        <w:rPr>
          <w:lang w:val="en-US"/>
        </w:rPr>
        <w:t xml:space="preserve">strikes at </w:t>
      </w:r>
      <w:r w:rsidR="0098748B">
        <w:rPr>
          <w:lang w:val="en-US"/>
        </w:rPr>
        <w:t xml:space="preserve">one of </w:t>
      </w:r>
      <w:r w:rsidR="0079238C">
        <w:rPr>
          <w:lang w:val="en-US"/>
        </w:rPr>
        <w:t xml:space="preserve">the </w:t>
      </w:r>
      <w:r w:rsidR="00DC6059">
        <w:rPr>
          <w:lang w:val="en-US"/>
        </w:rPr>
        <w:t xml:space="preserve">core </w:t>
      </w:r>
      <w:r w:rsidR="0098748B">
        <w:rPr>
          <w:lang w:val="en-US"/>
        </w:rPr>
        <w:t xml:space="preserve">purposes </w:t>
      </w:r>
      <w:r w:rsidR="00DC6059">
        <w:rPr>
          <w:lang w:val="en-US"/>
        </w:rPr>
        <w:t>of IFRS</w:t>
      </w:r>
      <w:r w:rsidR="0098748B">
        <w:rPr>
          <w:lang w:val="en-US"/>
        </w:rPr>
        <w:t>:</w:t>
      </w:r>
      <w:r w:rsidR="00DC6059">
        <w:rPr>
          <w:lang w:val="en-US"/>
        </w:rPr>
        <w:t xml:space="preserve"> to reduce variety in order to improve comparability.</w:t>
      </w:r>
      <w:r w:rsidR="00DC6059">
        <w:rPr>
          <w:rStyle w:val="FootnoteReference"/>
          <w:rFonts w:eastAsia="Calibri" w:cstheme="minorHAnsi"/>
          <w:sz w:val="24"/>
          <w:szCs w:val="24"/>
          <w:lang w:val="en-US"/>
        </w:rPr>
        <w:footnoteReference w:id="8"/>
      </w:r>
      <w:r w:rsidR="00240C66">
        <w:rPr>
          <w:lang w:val="en-US"/>
        </w:rPr>
        <w:t xml:space="preserve"> </w:t>
      </w:r>
      <w:r w:rsidR="00A827F6" w:rsidRPr="00A2372D">
        <w:rPr>
          <w:lang w:val="en-US"/>
        </w:rPr>
        <w:t xml:space="preserve">The IASB </w:t>
      </w:r>
      <w:r w:rsidR="00A827F6">
        <w:rPr>
          <w:lang w:val="en-US"/>
        </w:rPr>
        <w:t>added</w:t>
      </w:r>
      <w:r w:rsidR="00A827F6" w:rsidRPr="00A2372D">
        <w:rPr>
          <w:lang w:val="en-US"/>
        </w:rPr>
        <w:t xml:space="preserve"> extractive i</w:t>
      </w:r>
      <w:r w:rsidR="00A827F6">
        <w:rPr>
          <w:lang w:val="en-US"/>
        </w:rPr>
        <w:t>ndustries as</w:t>
      </w:r>
      <w:r w:rsidR="00A827F6" w:rsidRPr="00A2372D">
        <w:rPr>
          <w:lang w:val="en-US"/>
        </w:rPr>
        <w:t xml:space="preserve"> one of four topics in its </w:t>
      </w:r>
      <w:r w:rsidR="00A827F6" w:rsidRPr="00963336">
        <w:rPr>
          <w:rFonts w:ascii="Calibri" w:hAnsi="Calibri"/>
          <w:lang w:val="en-US"/>
        </w:rPr>
        <w:t>‘research pipeline’</w:t>
      </w:r>
      <w:r w:rsidR="00A827F6">
        <w:rPr>
          <w:rFonts w:ascii="Calibri" w:hAnsi="Calibri"/>
          <w:lang w:val="en-US"/>
        </w:rPr>
        <w:t>,</w:t>
      </w:r>
      <w:r w:rsidR="00A827F6" w:rsidRPr="00963336">
        <w:rPr>
          <w:rFonts w:ascii="Calibri" w:hAnsi="Calibri"/>
          <w:lang w:val="en-US"/>
        </w:rPr>
        <w:t xml:space="preserve"> </w:t>
      </w:r>
      <w:r w:rsidR="00A827F6" w:rsidRPr="00A2372D">
        <w:rPr>
          <w:lang w:val="en-US"/>
        </w:rPr>
        <w:t>hop</w:t>
      </w:r>
      <w:r w:rsidR="00A827F6">
        <w:rPr>
          <w:lang w:val="en-US"/>
        </w:rPr>
        <w:t>ing</w:t>
      </w:r>
      <w:r w:rsidR="00A827F6" w:rsidRPr="00A2372D">
        <w:rPr>
          <w:lang w:val="en-US"/>
        </w:rPr>
        <w:t xml:space="preserve"> to start work before 2021 (IASB 2016, p.31). </w:t>
      </w:r>
      <w:r w:rsidR="00A827F6">
        <w:rPr>
          <w:lang w:val="en-US"/>
        </w:rPr>
        <w:t xml:space="preserve">In 2018, the topic was activated as part of the IASB’s formal research </w:t>
      </w:r>
      <w:proofErr w:type="spellStart"/>
      <w:r w:rsidR="00A827F6">
        <w:rPr>
          <w:lang w:val="en-US"/>
        </w:rPr>
        <w:t>program</w:t>
      </w:r>
      <w:r w:rsidR="00D50179">
        <w:rPr>
          <w:lang w:val="en-US"/>
        </w:rPr>
        <w:t>me</w:t>
      </w:r>
      <w:proofErr w:type="spellEnd"/>
      <w:r w:rsidR="00A827F6">
        <w:rPr>
          <w:lang w:val="en-US"/>
        </w:rPr>
        <w:t>. This paper is designed to contribute to the debate on policy making on this major accounting topic.</w:t>
      </w:r>
    </w:p>
    <w:p w14:paraId="4C4F1D51" w14:textId="04ABA417" w:rsidR="0015054F" w:rsidRDefault="0015054F" w:rsidP="00940120">
      <w:pPr>
        <w:rPr>
          <w:lang w:val="en-US"/>
        </w:rPr>
      </w:pPr>
      <w:r>
        <w:rPr>
          <w:lang w:val="en-US"/>
        </w:rPr>
        <w:t>One approach to</w:t>
      </w:r>
      <w:r w:rsidR="008728E6">
        <w:rPr>
          <w:lang w:val="en-US"/>
        </w:rPr>
        <w:t xml:space="preserve"> replacing IFRS 6 would be merely to abolish it, and let E&amp;E costs fall under IAS 16 (</w:t>
      </w:r>
      <w:r w:rsidR="008728E6" w:rsidRPr="009F456A">
        <w:rPr>
          <w:i/>
          <w:lang w:val="en-US"/>
        </w:rPr>
        <w:t>Property, Plant and Equipment</w:t>
      </w:r>
      <w:r w:rsidR="008728E6">
        <w:rPr>
          <w:lang w:val="en-US"/>
        </w:rPr>
        <w:t>) or IAS 38 (</w:t>
      </w:r>
      <w:r w:rsidR="008728E6" w:rsidRPr="009F456A">
        <w:rPr>
          <w:i/>
          <w:lang w:val="en-US"/>
        </w:rPr>
        <w:t>Intangible Assets</w:t>
      </w:r>
      <w:r w:rsidR="008728E6">
        <w:rPr>
          <w:lang w:val="en-US"/>
        </w:rPr>
        <w:t xml:space="preserve">). However, IAS 38 has itself been </w:t>
      </w:r>
      <w:proofErr w:type="spellStart"/>
      <w:r w:rsidR="008728E6">
        <w:rPr>
          <w:lang w:val="en-US"/>
        </w:rPr>
        <w:t>critici</w:t>
      </w:r>
      <w:r w:rsidR="000A1B3F">
        <w:rPr>
          <w:lang w:val="en-US"/>
        </w:rPr>
        <w:t>s</w:t>
      </w:r>
      <w:r w:rsidR="008728E6">
        <w:rPr>
          <w:lang w:val="en-US"/>
        </w:rPr>
        <w:t>ed</w:t>
      </w:r>
      <w:proofErr w:type="spellEnd"/>
      <w:r w:rsidR="008728E6">
        <w:rPr>
          <w:lang w:val="en-US"/>
        </w:rPr>
        <w:t xml:space="preserve"> for over-restricting the </w:t>
      </w:r>
      <w:proofErr w:type="spellStart"/>
      <w:r w:rsidR="008728E6">
        <w:rPr>
          <w:lang w:val="en-US"/>
        </w:rPr>
        <w:t>capitali</w:t>
      </w:r>
      <w:r w:rsidR="000A1B3F">
        <w:rPr>
          <w:lang w:val="en-US"/>
        </w:rPr>
        <w:t>s</w:t>
      </w:r>
      <w:r w:rsidR="008728E6">
        <w:rPr>
          <w:lang w:val="en-US"/>
        </w:rPr>
        <w:t>ation</w:t>
      </w:r>
      <w:proofErr w:type="spellEnd"/>
      <w:r w:rsidR="008728E6">
        <w:rPr>
          <w:lang w:val="en-US"/>
        </w:rPr>
        <w:t xml:space="preserve"> of intangibles, such that balance sheets have become increasingly irrelevant by failing to record important assets</w:t>
      </w:r>
      <w:r w:rsidR="00FC703C">
        <w:rPr>
          <w:lang w:val="en-US"/>
        </w:rPr>
        <w:t xml:space="preserve"> (e.g. </w:t>
      </w:r>
      <w:r w:rsidR="009F19E5">
        <w:rPr>
          <w:lang w:val="en-US"/>
        </w:rPr>
        <w:t xml:space="preserve">Amir and </w:t>
      </w:r>
      <w:r w:rsidR="00FC703C">
        <w:rPr>
          <w:lang w:val="en-US"/>
        </w:rPr>
        <w:t>Lev,</w:t>
      </w:r>
      <w:r w:rsidR="009F19E5">
        <w:rPr>
          <w:lang w:val="en-US"/>
        </w:rPr>
        <w:t xml:space="preserve"> 1996)</w:t>
      </w:r>
      <w:r w:rsidR="008728E6">
        <w:rPr>
          <w:lang w:val="en-US"/>
        </w:rPr>
        <w:t xml:space="preserve">. We see a possibility of </w:t>
      </w:r>
      <w:r w:rsidR="009F19E5">
        <w:rPr>
          <w:lang w:val="en-US"/>
        </w:rPr>
        <w:t>ameliorat</w:t>
      </w:r>
      <w:r w:rsidR="008728E6">
        <w:rPr>
          <w:lang w:val="en-US"/>
        </w:rPr>
        <w:t>ing this while addressing the replacement for IFRS 6.</w:t>
      </w:r>
    </w:p>
    <w:p w14:paraId="2BB9CA4B" w14:textId="3BBBEE70" w:rsidR="00756BE2" w:rsidRDefault="00500400" w:rsidP="00940120">
      <w:pPr>
        <w:rPr>
          <w:lang w:val="en-US"/>
        </w:rPr>
      </w:pPr>
      <w:r>
        <w:rPr>
          <w:lang w:val="en-US"/>
        </w:rPr>
        <w:t xml:space="preserve">Section 2 </w:t>
      </w:r>
      <w:r w:rsidR="00B22B1D">
        <w:rPr>
          <w:lang w:val="en-US"/>
        </w:rPr>
        <w:t>brief</w:t>
      </w:r>
      <w:r>
        <w:rPr>
          <w:lang w:val="en-US"/>
        </w:rPr>
        <w:t>ly</w:t>
      </w:r>
      <w:r w:rsidR="00B22B1D">
        <w:rPr>
          <w:lang w:val="en-US"/>
        </w:rPr>
        <w:t xml:space="preserve"> examin</w:t>
      </w:r>
      <w:r>
        <w:rPr>
          <w:lang w:val="en-US"/>
        </w:rPr>
        <w:t>es</w:t>
      </w:r>
      <w:r w:rsidR="00B22B1D">
        <w:rPr>
          <w:lang w:val="en-US"/>
        </w:rPr>
        <w:t xml:space="preserve"> the relevant literature</w:t>
      </w:r>
      <w:r w:rsidR="003501DD">
        <w:rPr>
          <w:lang w:val="en-US"/>
        </w:rPr>
        <w:t>, both regulatory and academic</w:t>
      </w:r>
      <w:r>
        <w:rPr>
          <w:lang w:val="en-US"/>
        </w:rPr>
        <w:t>. In Section 3,</w:t>
      </w:r>
      <w:r w:rsidR="00B22B1D">
        <w:rPr>
          <w:lang w:val="en-US"/>
        </w:rPr>
        <w:t xml:space="preserve"> we outline the wide range of accounting policies </w:t>
      </w:r>
      <w:r w:rsidR="0015054F">
        <w:rPr>
          <w:lang w:val="en-US"/>
        </w:rPr>
        <w:t xml:space="preserve">that could be </w:t>
      </w:r>
      <w:r w:rsidR="00B22B1D">
        <w:rPr>
          <w:lang w:val="en-US"/>
        </w:rPr>
        <w:t>used by extractive firms for E&amp;E costs. To help wi</w:t>
      </w:r>
      <w:r w:rsidR="0015054F">
        <w:rPr>
          <w:lang w:val="en-US"/>
        </w:rPr>
        <w:t xml:space="preserve">th this, we </w:t>
      </w:r>
      <w:r w:rsidR="009F19E5">
        <w:rPr>
          <w:lang w:val="en-US"/>
        </w:rPr>
        <w:t>review</w:t>
      </w:r>
      <w:r w:rsidR="0015054F">
        <w:rPr>
          <w:lang w:val="en-US"/>
        </w:rPr>
        <w:t xml:space="preserve"> the policies disclosed</w:t>
      </w:r>
      <w:r w:rsidR="00B22B1D">
        <w:rPr>
          <w:lang w:val="en-US"/>
        </w:rPr>
        <w:t xml:space="preserve"> by</w:t>
      </w:r>
      <w:r w:rsidR="0015054F">
        <w:rPr>
          <w:lang w:val="en-US"/>
        </w:rPr>
        <w:t xml:space="preserve"> firms</w:t>
      </w:r>
      <w:r w:rsidR="00FC703C">
        <w:rPr>
          <w:lang w:val="en-US"/>
        </w:rPr>
        <w:t xml:space="preserve"> u</w:t>
      </w:r>
      <w:r w:rsidR="00795B70">
        <w:rPr>
          <w:lang w:val="en-US"/>
        </w:rPr>
        <w:t>sing</w:t>
      </w:r>
      <w:r w:rsidR="00FC703C">
        <w:rPr>
          <w:lang w:val="en-US"/>
        </w:rPr>
        <w:t xml:space="preserve"> IFRS, and then</w:t>
      </w:r>
      <w:r w:rsidR="0015054F">
        <w:rPr>
          <w:lang w:val="en-US"/>
        </w:rPr>
        <w:t xml:space="preserve"> prepare a classification of th</w:t>
      </w:r>
      <w:r w:rsidR="00FC703C">
        <w:rPr>
          <w:lang w:val="en-US"/>
        </w:rPr>
        <w:t>os</w:t>
      </w:r>
      <w:r w:rsidR="0015054F">
        <w:rPr>
          <w:lang w:val="en-US"/>
        </w:rPr>
        <w:t xml:space="preserve">e policies by degrees of conservatism. In Section 4, we </w:t>
      </w:r>
      <w:proofErr w:type="spellStart"/>
      <w:r w:rsidR="0015054F">
        <w:rPr>
          <w:lang w:val="en-US"/>
        </w:rPr>
        <w:t>analy</w:t>
      </w:r>
      <w:r w:rsidR="00D32652">
        <w:rPr>
          <w:lang w:val="en-US"/>
        </w:rPr>
        <w:t>s</w:t>
      </w:r>
      <w:r w:rsidR="0015054F">
        <w:rPr>
          <w:lang w:val="en-US"/>
        </w:rPr>
        <w:t>e</w:t>
      </w:r>
      <w:proofErr w:type="spellEnd"/>
      <w:r w:rsidR="0015054F">
        <w:rPr>
          <w:lang w:val="en-US"/>
        </w:rPr>
        <w:t xml:space="preserve"> these policies to assess whether </w:t>
      </w:r>
      <w:r w:rsidR="0079238C">
        <w:rPr>
          <w:lang w:val="en-US"/>
        </w:rPr>
        <w:t>they</w:t>
      </w:r>
      <w:r w:rsidR="0015054F">
        <w:rPr>
          <w:lang w:val="en-US"/>
        </w:rPr>
        <w:t xml:space="preserve"> all comply with IFRS 6, </w:t>
      </w:r>
      <w:r w:rsidR="006D7F2B">
        <w:rPr>
          <w:lang w:val="en-US"/>
        </w:rPr>
        <w:t>conclud</w:t>
      </w:r>
      <w:r w:rsidR="0015054F">
        <w:rPr>
          <w:lang w:val="en-US"/>
        </w:rPr>
        <w:t xml:space="preserve">ing that most do. </w:t>
      </w:r>
      <w:r w:rsidR="000703B7">
        <w:t xml:space="preserve">Section 5 provides examples of </w:t>
      </w:r>
      <w:r w:rsidR="000703B7">
        <w:lastRenderedPageBreak/>
        <w:t>poor explanations</w:t>
      </w:r>
      <w:r w:rsidR="001D0681">
        <w:t xml:space="preserve"> of policies</w:t>
      </w:r>
      <w:r w:rsidR="000703B7">
        <w:t xml:space="preserve"> by firms. </w:t>
      </w:r>
      <w:r w:rsidR="0015054F">
        <w:rPr>
          <w:lang w:val="en-US"/>
        </w:rPr>
        <w:t xml:space="preserve">Section </w:t>
      </w:r>
      <w:r w:rsidR="000703B7">
        <w:rPr>
          <w:lang w:val="en-US"/>
        </w:rPr>
        <w:t>6</w:t>
      </w:r>
      <w:r w:rsidR="0015054F">
        <w:rPr>
          <w:lang w:val="en-US"/>
        </w:rPr>
        <w:t xml:space="preserve"> proposes a solution</w:t>
      </w:r>
      <w:r w:rsidR="008728E6">
        <w:rPr>
          <w:lang w:val="en-US"/>
        </w:rPr>
        <w:t xml:space="preserve"> for the replacement of IFRS 6 </w:t>
      </w:r>
      <w:r w:rsidR="00227CC6">
        <w:rPr>
          <w:lang w:val="en-US"/>
        </w:rPr>
        <w:t>which</w:t>
      </w:r>
      <w:r w:rsidR="008728E6">
        <w:rPr>
          <w:lang w:val="en-US"/>
        </w:rPr>
        <w:t xml:space="preserve"> simultaneously respond</w:t>
      </w:r>
      <w:r w:rsidR="00227CC6">
        <w:rPr>
          <w:lang w:val="en-US"/>
        </w:rPr>
        <w:t>s</w:t>
      </w:r>
      <w:r w:rsidR="008728E6">
        <w:rPr>
          <w:lang w:val="en-US"/>
        </w:rPr>
        <w:t xml:space="preserve"> to the criticisms of IAS 38. </w:t>
      </w:r>
      <w:r>
        <w:rPr>
          <w:lang w:val="en-US"/>
        </w:rPr>
        <w:t xml:space="preserve">Section 7 concludes. </w:t>
      </w:r>
      <w:r w:rsidR="008728E6">
        <w:rPr>
          <w:lang w:val="en-US"/>
        </w:rPr>
        <w:t xml:space="preserve">Thus, </w:t>
      </w:r>
      <w:r w:rsidR="006D7F2B">
        <w:rPr>
          <w:lang w:val="en-US"/>
        </w:rPr>
        <w:t>this paper</w:t>
      </w:r>
      <w:r w:rsidR="008728E6">
        <w:rPr>
          <w:lang w:val="en-US"/>
        </w:rPr>
        <w:t xml:space="preserve"> </w:t>
      </w:r>
      <w:r w:rsidR="00DC6059">
        <w:rPr>
          <w:lang w:val="en-US"/>
        </w:rPr>
        <w:t>contribute</w:t>
      </w:r>
      <w:r w:rsidR="006D7F2B">
        <w:rPr>
          <w:lang w:val="en-US"/>
        </w:rPr>
        <w:t>s</w:t>
      </w:r>
      <w:r w:rsidR="00DC6059">
        <w:rPr>
          <w:lang w:val="en-US"/>
        </w:rPr>
        <w:t xml:space="preserve"> by adding a way of understanding the gre</w:t>
      </w:r>
      <w:r w:rsidR="00076EC2">
        <w:rPr>
          <w:lang w:val="en-US"/>
        </w:rPr>
        <w:t>a</w:t>
      </w:r>
      <w:r w:rsidR="00DC6059">
        <w:rPr>
          <w:lang w:val="en-US"/>
        </w:rPr>
        <w:t>t vari</w:t>
      </w:r>
      <w:r w:rsidR="00076EC2">
        <w:rPr>
          <w:lang w:val="en-US"/>
        </w:rPr>
        <w:t>e</w:t>
      </w:r>
      <w:r w:rsidR="00DC6059">
        <w:rPr>
          <w:lang w:val="en-US"/>
        </w:rPr>
        <w:t xml:space="preserve">ty of </w:t>
      </w:r>
      <w:r w:rsidR="0079238C">
        <w:rPr>
          <w:lang w:val="en-US"/>
        </w:rPr>
        <w:t>methods</w:t>
      </w:r>
      <w:r w:rsidR="00E05BB4">
        <w:rPr>
          <w:lang w:val="en-US"/>
        </w:rPr>
        <w:t xml:space="preserve"> of </w:t>
      </w:r>
      <w:r w:rsidR="000053C8">
        <w:rPr>
          <w:lang w:val="en-US"/>
        </w:rPr>
        <w:t>accounting for E&amp;E costs</w:t>
      </w:r>
      <w:r w:rsidR="00DC6059">
        <w:rPr>
          <w:lang w:val="en-US"/>
        </w:rPr>
        <w:t xml:space="preserve">, </w:t>
      </w:r>
      <w:r w:rsidR="006D7F2B">
        <w:rPr>
          <w:lang w:val="en-US"/>
        </w:rPr>
        <w:t xml:space="preserve">by </w:t>
      </w:r>
      <w:proofErr w:type="spellStart"/>
      <w:r w:rsidR="006D7F2B">
        <w:rPr>
          <w:lang w:val="en-US"/>
        </w:rPr>
        <w:t>analy</w:t>
      </w:r>
      <w:r w:rsidR="00007736">
        <w:rPr>
          <w:lang w:val="en-US"/>
        </w:rPr>
        <w:t>s</w:t>
      </w:r>
      <w:r w:rsidR="006D7F2B">
        <w:rPr>
          <w:lang w:val="en-US"/>
        </w:rPr>
        <w:t>ing</w:t>
      </w:r>
      <w:proofErr w:type="spellEnd"/>
      <w:r w:rsidR="006D7F2B">
        <w:rPr>
          <w:lang w:val="en-US"/>
        </w:rPr>
        <w:t xml:space="preserve"> the issue as standard-setters might (in the context of the recent </w:t>
      </w:r>
      <w:r w:rsidR="006D7F2B" w:rsidRPr="00A3124B">
        <w:rPr>
          <w:i/>
          <w:iCs/>
          <w:lang w:val="en-US"/>
        </w:rPr>
        <w:t>Conceptual Framework</w:t>
      </w:r>
      <w:r w:rsidR="006D7F2B">
        <w:rPr>
          <w:lang w:val="en-US"/>
        </w:rPr>
        <w:t xml:space="preserve">), </w:t>
      </w:r>
      <w:r w:rsidR="00DC6059">
        <w:rPr>
          <w:lang w:val="en-US"/>
        </w:rPr>
        <w:t>and by proposing how th</w:t>
      </w:r>
      <w:r w:rsidR="006D7F2B">
        <w:rPr>
          <w:lang w:val="en-US"/>
        </w:rPr>
        <w:t>e diversity</w:t>
      </w:r>
      <w:r w:rsidR="00DC6059">
        <w:rPr>
          <w:lang w:val="en-US"/>
        </w:rPr>
        <w:t xml:space="preserve"> can be reduced</w:t>
      </w:r>
      <w:r w:rsidR="00076EC2">
        <w:rPr>
          <w:lang w:val="en-US"/>
        </w:rPr>
        <w:t xml:space="preserve"> in order to promote </w:t>
      </w:r>
      <w:r w:rsidR="000703B7">
        <w:rPr>
          <w:lang w:val="en-US"/>
        </w:rPr>
        <w:t xml:space="preserve">clarity and </w:t>
      </w:r>
      <w:r w:rsidR="00076EC2">
        <w:rPr>
          <w:lang w:val="en-US"/>
        </w:rPr>
        <w:t>comparability.</w:t>
      </w:r>
    </w:p>
    <w:p w14:paraId="19E6288F" w14:textId="6763906D" w:rsidR="007E0061" w:rsidRDefault="007E0061" w:rsidP="00F41755">
      <w:pPr>
        <w:pStyle w:val="Heading1"/>
        <w:rPr>
          <w:lang w:val="en-US"/>
        </w:rPr>
      </w:pPr>
      <w:r>
        <w:rPr>
          <w:lang w:val="en-US"/>
        </w:rPr>
        <w:t>2</w:t>
      </w:r>
      <w:r w:rsidR="00940120">
        <w:rPr>
          <w:lang w:val="en-US"/>
        </w:rPr>
        <w:t xml:space="preserve">. </w:t>
      </w:r>
      <w:r w:rsidRPr="00442F2D">
        <w:rPr>
          <w:lang w:val="en-US"/>
        </w:rPr>
        <w:t>Literature</w:t>
      </w:r>
    </w:p>
    <w:p w14:paraId="1232F8F4" w14:textId="7B4DD034" w:rsidR="00C36E09" w:rsidRDefault="00076EC2">
      <w:pPr>
        <w:rPr>
          <w:lang w:val="en-US"/>
        </w:rPr>
      </w:pPr>
      <w:r w:rsidRPr="000051DF">
        <w:rPr>
          <w:lang w:val="en-US"/>
        </w:rPr>
        <w:t>There i</w:t>
      </w:r>
      <w:r w:rsidR="00D066C9">
        <w:rPr>
          <w:lang w:val="en-US"/>
        </w:rPr>
        <w:t xml:space="preserve">s a </w:t>
      </w:r>
      <w:r w:rsidR="00630246">
        <w:rPr>
          <w:lang w:val="en-US"/>
        </w:rPr>
        <w:t xml:space="preserve">large body </w:t>
      </w:r>
      <w:r w:rsidR="00D066C9">
        <w:rPr>
          <w:lang w:val="en-US"/>
        </w:rPr>
        <w:t xml:space="preserve">of literature related </w:t>
      </w:r>
      <w:r w:rsidR="002A4E24">
        <w:rPr>
          <w:lang w:val="en-US"/>
        </w:rPr>
        <w:t xml:space="preserve">to </w:t>
      </w:r>
      <w:r w:rsidR="006729FB">
        <w:rPr>
          <w:lang w:val="en-US"/>
        </w:rPr>
        <w:t xml:space="preserve">the </w:t>
      </w:r>
      <w:r w:rsidR="00D066C9">
        <w:rPr>
          <w:lang w:val="en-US"/>
        </w:rPr>
        <w:t xml:space="preserve">developments on oil </w:t>
      </w:r>
      <w:r w:rsidR="006D7F2B">
        <w:rPr>
          <w:lang w:val="en-US"/>
        </w:rPr>
        <w:t>&amp;</w:t>
      </w:r>
      <w:r w:rsidR="00D066C9">
        <w:rPr>
          <w:lang w:val="en-US"/>
        </w:rPr>
        <w:t xml:space="preserve"> gas accounting </w:t>
      </w:r>
      <w:r w:rsidR="00227CC6">
        <w:rPr>
          <w:lang w:val="en-US"/>
        </w:rPr>
        <w:t xml:space="preserve">which occurred </w:t>
      </w:r>
      <w:r w:rsidR="00D066C9">
        <w:rPr>
          <w:lang w:val="en-US"/>
        </w:rPr>
        <w:t xml:space="preserve">in </w:t>
      </w:r>
      <w:r w:rsidRPr="000051DF">
        <w:rPr>
          <w:lang w:val="en-US"/>
        </w:rPr>
        <w:t>the USA</w:t>
      </w:r>
      <w:r w:rsidR="00D066C9">
        <w:rPr>
          <w:lang w:val="en-US"/>
        </w:rPr>
        <w:t xml:space="preserve"> in the 1970s </w:t>
      </w:r>
      <w:r>
        <w:rPr>
          <w:lang w:val="en-US"/>
        </w:rPr>
        <w:t xml:space="preserve">(e.g. </w:t>
      </w:r>
      <w:proofErr w:type="spellStart"/>
      <w:r w:rsidR="0085299F">
        <w:rPr>
          <w:lang w:val="en-US"/>
        </w:rPr>
        <w:t>Deakin</w:t>
      </w:r>
      <w:proofErr w:type="spellEnd"/>
      <w:r w:rsidR="0085299F">
        <w:rPr>
          <w:lang w:val="en-US"/>
        </w:rPr>
        <w:t xml:space="preserve"> 1989; </w:t>
      </w:r>
      <w:r>
        <w:rPr>
          <w:lang w:val="en-US"/>
        </w:rPr>
        <w:t xml:space="preserve">Gorton 1991; </w:t>
      </w:r>
      <w:proofErr w:type="spellStart"/>
      <w:r>
        <w:rPr>
          <w:lang w:val="en-US"/>
        </w:rPr>
        <w:t>Zeff</w:t>
      </w:r>
      <w:proofErr w:type="spellEnd"/>
      <w:r>
        <w:rPr>
          <w:lang w:val="en-US"/>
        </w:rPr>
        <w:t xml:space="preserve"> </w:t>
      </w:r>
      <w:r w:rsidR="00E71AEC">
        <w:rPr>
          <w:lang w:val="en-US"/>
        </w:rPr>
        <w:t>2007</w:t>
      </w:r>
      <w:r w:rsidR="00D066C9">
        <w:rPr>
          <w:lang w:val="en-US"/>
        </w:rPr>
        <w:t xml:space="preserve">; </w:t>
      </w:r>
      <w:proofErr w:type="spellStart"/>
      <w:r w:rsidR="00D066C9">
        <w:rPr>
          <w:lang w:val="en-US"/>
        </w:rPr>
        <w:t>Cortese</w:t>
      </w:r>
      <w:proofErr w:type="spellEnd"/>
      <w:r w:rsidR="00D066C9">
        <w:rPr>
          <w:lang w:val="en-US"/>
        </w:rPr>
        <w:t xml:space="preserve"> 2011</w:t>
      </w:r>
      <w:r>
        <w:rPr>
          <w:lang w:val="en-US"/>
        </w:rPr>
        <w:t>)</w:t>
      </w:r>
      <w:r w:rsidRPr="000051DF">
        <w:rPr>
          <w:lang w:val="en-US"/>
        </w:rPr>
        <w:t xml:space="preserve">. </w:t>
      </w:r>
      <w:r w:rsidR="00C36E09">
        <w:rPr>
          <w:lang w:val="en-US"/>
        </w:rPr>
        <w:t xml:space="preserve">The literature examines the politics of standard-setting, including </w:t>
      </w:r>
      <w:r w:rsidR="00A60C3A">
        <w:rPr>
          <w:lang w:val="en-US"/>
        </w:rPr>
        <w:t xml:space="preserve">discussion of </w:t>
      </w:r>
      <w:r w:rsidR="00C36E09">
        <w:rPr>
          <w:lang w:val="en-US"/>
        </w:rPr>
        <w:t>why the original proposal by the FASB (1977) to require the conservative ‘successful efforts’ method was overturned by the Securities and Exchange Commission</w:t>
      </w:r>
      <w:r w:rsidR="006D7F2B">
        <w:rPr>
          <w:lang w:val="en-US"/>
        </w:rPr>
        <w:t xml:space="preserve"> (SEC)</w:t>
      </w:r>
      <w:r w:rsidR="00C36E09">
        <w:rPr>
          <w:lang w:val="en-US"/>
        </w:rPr>
        <w:t>, such that</w:t>
      </w:r>
      <w:r w:rsidR="003253DA">
        <w:rPr>
          <w:lang w:val="en-US"/>
        </w:rPr>
        <w:t xml:space="preserve"> extensive </w:t>
      </w:r>
      <w:proofErr w:type="spellStart"/>
      <w:r w:rsidR="003253DA">
        <w:rPr>
          <w:lang w:val="en-US"/>
        </w:rPr>
        <w:t>capitali</w:t>
      </w:r>
      <w:r w:rsidR="00007736">
        <w:rPr>
          <w:lang w:val="en-US"/>
        </w:rPr>
        <w:t>s</w:t>
      </w:r>
      <w:r w:rsidR="003253DA">
        <w:rPr>
          <w:lang w:val="en-US"/>
        </w:rPr>
        <w:t>ation</w:t>
      </w:r>
      <w:proofErr w:type="spellEnd"/>
      <w:r w:rsidR="003253DA">
        <w:rPr>
          <w:lang w:val="en-US"/>
        </w:rPr>
        <w:t xml:space="preserve"> under</w:t>
      </w:r>
      <w:r w:rsidR="00C36E09">
        <w:rPr>
          <w:lang w:val="en-US"/>
        </w:rPr>
        <w:t xml:space="preserve"> the ‘full cost’ method is </w:t>
      </w:r>
      <w:r w:rsidR="00F41755">
        <w:rPr>
          <w:lang w:val="en-US"/>
        </w:rPr>
        <w:t xml:space="preserve">now </w:t>
      </w:r>
      <w:r w:rsidR="00C36E09">
        <w:rPr>
          <w:lang w:val="en-US"/>
        </w:rPr>
        <w:t>also allowed in the US. These and other methods are outlined</w:t>
      </w:r>
      <w:r w:rsidR="00007736">
        <w:rPr>
          <w:lang w:val="en-US"/>
        </w:rPr>
        <w:t xml:space="preserve"> </w:t>
      </w:r>
      <w:r w:rsidR="00C36E09">
        <w:rPr>
          <w:lang w:val="en-US"/>
        </w:rPr>
        <w:t>in Section 3.</w:t>
      </w:r>
      <w:r w:rsidR="0085299F">
        <w:rPr>
          <w:lang w:val="en-US"/>
        </w:rPr>
        <w:t xml:space="preserve"> The issue was clearly of great importance to oil </w:t>
      </w:r>
      <w:r w:rsidR="00D32652">
        <w:rPr>
          <w:lang w:val="en-US"/>
        </w:rPr>
        <w:t>&amp;</w:t>
      </w:r>
      <w:r w:rsidR="0085299F">
        <w:rPr>
          <w:lang w:val="en-US"/>
        </w:rPr>
        <w:t xml:space="preserve"> gas firms. </w:t>
      </w:r>
      <w:proofErr w:type="spellStart"/>
      <w:r w:rsidR="0085299F">
        <w:rPr>
          <w:lang w:val="en-US"/>
        </w:rPr>
        <w:t>Deakin</w:t>
      </w:r>
      <w:proofErr w:type="spellEnd"/>
      <w:r w:rsidR="0085299F">
        <w:rPr>
          <w:lang w:val="en-US"/>
        </w:rPr>
        <w:t xml:space="preserve"> (1989, p.</w:t>
      </w:r>
      <w:r w:rsidR="00A548E3">
        <w:rPr>
          <w:lang w:val="en-US"/>
        </w:rPr>
        <w:t xml:space="preserve">139) reports that 51 full-cost firms lobbied the FASB in </w:t>
      </w:r>
      <w:proofErr w:type="spellStart"/>
      <w:r w:rsidR="00A548E3">
        <w:rPr>
          <w:lang w:val="en-US"/>
        </w:rPr>
        <w:t>favo</w:t>
      </w:r>
      <w:r w:rsidR="00007736">
        <w:rPr>
          <w:lang w:val="en-US"/>
        </w:rPr>
        <w:t>u</w:t>
      </w:r>
      <w:r w:rsidR="00A548E3">
        <w:rPr>
          <w:lang w:val="en-US"/>
        </w:rPr>
        <w:t>r</w:t>
      </w:r>
      <w:proofErr w:type="spellEnd"/>
      <w:r w:rsidR="00A548E3">
        <w:rPr>
          <w:lang w:val="en-US"/>
        </w:rPr>
        <w:t xml:space="preserve"> of the method, and 50 firms participated in an appeal to the SEC against the FASB.</w:t>
      </w:r>
      <w:r w:rsidR="00D0733E">
        <w:rPr>
          <w:lang w:val="en-US"/>
        </w:rPr>
        <w:t xml:space="preserve"> The three-sided battle of the 1970s between the SEC, the FASB and the firms continued with the SEC proposing </w:t>
      </w:r>
      <w:r w:rsidR="00DC1F47">
        <w:rPr>
          <w:lang w:val="en-US"/>
        </w:rPr>
        <w:t>‘</w:t>
      </w:r>
      <w:r w:rsidR="00D0733E">
        <w:rPr>
          <w:lang w:val="en-US"/>
        </w:rPr>
        <w:t>reserve recognition accounting</w:t>
      </w:r>
      <w:r w:rsidR="00DC1F47">
        <w:rPr>
          <w:lang w:val="en-US"/>
        </w:rPr>
        <w:t>’</w:t>
      </w:r>
      <w:r w:rsidR="00D0733E">
        <w:rPr>
          <w:lang w:val="en-US"/>
        </w:rPr>
        <w:t xml:space="preserve"> whereby proven reserves would be shown at current value, with changes in value included in income</w:t>
      </w:r>
      <w:r w:rsidR="008E5478">
        <w:rPr>
          <w:lang w:val="en-US"/>
        </w:rPr>
        <w:t xml:space="preserve"> (</w:t>
      </w:r>
      <w:proofErr w:type="spellStart"/>
      <w:r w:rsidR="008E5478">
        <w:rPr>
          <w:lang w:val="en-US"/>
        </w:rPr>
        <w:t>Zeff</w:t>
      </w:r>
      <w:proofErr w:type="spellEnd"/>
      <w:r w:rsidR="008E5478">
        <w:rPr>
          <w:lang w:val="en-US"/>
        </w:rPr>
        <w:t xml:space="preserve"> 2007, p.58)</w:t>
      </w:r>
      <w:r w:rsidR="00D0733E">
        <w:rPr>
          <w:lang w:val="en-US"/>
        </w:rPr>
        <w:t xml:space="preserve">. This was </w:t>
      </w:r>
      <w:r w:rsidR="008E5478">
        <w:rPr>
          <w:lang w:val="en-US"/>
        </w:rPr>
        <w:t>opposed by the firms; and the SEC then asked the FASB to develop requirements for note disclosures about</w:t>
      </w:r>
      <w:r w:rsidR="0087794B">
        <w:rPr>
          <w:lang w:val="en-US"/>
        </w:rPr>
        <w:t xml:space="preserve"> the quantity and value of</w:t>
      </w:r>
      <w:r w:rsidR="008E5478">
        <w:rPr>
          <w:lang w:val="en-US"/>
        </w:rPr>
        <w:t xml:space="preserve"> reserves.</w:t>
      </w:r>
      <w:r w:rsidR="008E5478">
        <w:rPr>
          <w:rStyle w:val="FootnoteReference"/>
          <w:lang w:val="en-US"/>
        </w:rPr>
        <w:footnoteReference w:id="9"/>
      </w:r>
    </w:p>
    <w:p w14:paraId="0BE371E6" w14:textId="79DF8F6A" w:rsidR="00D53F39" w:rsidRDefault="00C600E3">
      <w:pPr>
        <w:rPr>
          <w:lang w:val="en-US"/>
        </w:rPr>
      </w:pPr>
      <w:r>
        <w:rPr>
          <w:lang w:val="en-US"/>
        </w:rPr>
        <w:t xml:space="preserve">Luther (1996) studied the development of accounting requirements for the extractive industry in five </w:t>
      </w:r>
      <w:r w:rsidR="00D066C9">
        <w:rPr>
          <w:lang w:val="en-US"/>
        </w:rPr>
        <w:t xml:space="preserve">English-speaking </w:t>
      </w:r>
      <w:r>
        <w:rPr>
          <w:lang w:val="en-US"/>
        </w:rPr>
        <w:t>countries</w:t>
      </w:r>
      <w:r w:rsidR="00D066C9">
        <w:rPr>
          <w:lang w:val="en-US"/>
        </w:rPr>
        <w:t xml:space="preserve">, concluding that </w:t>
      </w:r>
      <w:r w:rsidR="00D53F39">
        <w:rPr>
          <w:lang w:val="en-US"/>
        </w:rPr>
        <w:t xml:space="preserve">regulation was permissive in all cases. </w:t>
      </w:r>
      <w:r w:rsidR="00B93CE3">
        <w:rPr>
          <w:lang w:val="en-US"/>
        </w:rPr>
        <w:t xml:space="preserve">In the UK, a </w:t>
      </w:r>
      <w:r w:rsidR="00B93CE3" w:rsidRPr="00131CED">
        <w:rPr>
          <w:i/>
          <w:lang w:val="en-US"/>
        </w:rPr>
        <w:t>Statement of Recommended Practice</w:t>
      </w:r>
      <w:r w:rsidR="00B93CE3">
        <w:rPr>
          <w:lang w:val="en-US"/>
        </w:rPr>
        <w:t xml:space="preserve"> </w:t>
      </w:r>
      <w:r w:rsidR="005C1DBE">
        <w:rPr>
          <w:lang w:val="en-US"/>
        </w:rPr>
        <w:t>(</w:t>
      </w:r>
      <w:r w:rsidR="008F28AC">
        <w:rPr>
          <w:lang w:val="en-US"/>
        </w:rPr>
        <w:t>SORP</w:t>
      </w:r>
      <w:r w:rsidR="00007736">
        <w:rPr>
          <w:lang w:val="en-US"/>
        </w:rPr>
        <w:t>;</w:t>
      </w:r>
      <w:r w:rsidR="008F28AC">
        <w:rPr>
          <w:lang w:val="en-US"/>
        </w:rPr>
        <w:t xml:space="preserve"> </w:t>
      </w:r>
      <w:r w:rsidR="005C1DBE">
        <w:rPr>
          <w:lang w:val="en-US"/>
        </w:rPr>
        <w:t xml:space="preserve">latest </w:t>
      </w:r>
      <w:r w:rsidR="00D32652">
        <w:rPr>
          <w:lang w:val="en-US"/>
        </w:rPr>
        <w:t>edition</w:t>
      </w:r>
      <w:r w:rsidR="005C1DBE">
        <w:rPr>
          <w:lang w:val="en-US"/>
        </w:rPr>
        <w:t>:</w:t>
      </w:r>
      <w:r w:rsidR="00B93CE3">
        <w:rPr>
          <w:lang w:val="en-US"/>
        </w:rPr>
        <w:t xml:space="preserve"> </w:t>
      </w:r>
      <w:r w:rsidR="005C1DBE">
        <w:rPr>
          <w:lang w:val="en-US"/>
        </w:rPr>
        <w:t xml:space="preserve">OIAC 2001) set out </w:t>
      </w:r>
      <w:r w:rsidR="006729FB">
        <w:rPr>
          <w:lang w:val="en-US"/>
        </w:rPr>
        <w:t xml:space="preserve">versions of </w:t>
      </w:r>
      <w:r w:rsidR="006729FB">
        <w:rPr>
          <w:lang w:val="en-US"/>
        </w:rPr>
        <w:lastRenderedPageBreak/>
        <w:t xml:space="preserve">the </w:t>
      </w:r>
      <w:r w:rsidR="005C1DBE">
        <w:rPr>
          <w:lang w:val="en-US"/>
        </w:rPr>
        <w:t>full cost and successful efforts methods, though slightly differently defined from those under US</w:t>
      </w:r>
      <w:r w:rsidR="009272A1">
        <w:rPr>
          <w:lang w:val="en-US"/>
        </w:rPr>
        <w:t xml:space="preserve"> generally accepted accounting principles (US</w:t>
      </w:r>
      <w:r w:rsidR="005C1DBE">
        <w:rPr>
          <w:lang w:val="en-US"/>
        </w:rPr>
        <w:t xml:space="preserve"> GAAP</w:t>
      </w:r>
      <w:r w:rsidR="009272A1">
        <w:rPr>
          <w:lang w:val="en-US"/>
        </w:rPr>
        <w:t>)</w:t>
      </w:r>
      <w:r w:rsidR="005C1DBE">
        <w:rPr>
          <w:lang w:val="en-US"/>
        </w:rPr>
        <w:t xml:space="preserve">, as will be explained in Section 3. </w:t>
      </w:r>
      <w:r w:rsidR="003253DA">
        <w:rPr>
          <w:lang w:val="en-US"/>
        </w:rPr>
        <w:t>From the 1970s, Australian standards (such as AAS 7 and then AASB 1022)</w:t>
      </w:r>
      <w:r w:rsidR="001043FD">
        <w:rPr>
          <w:rStyle w:val="FootnoteReference"/>
          <w:lang w:val="en-US"/>
        </w:rPr>
        <w:footnoteReference w:id="10"/>
      </w:r>
      <w:r w:rsidR="003253DA">
        <w:rPr>
          <w:lang w:val="en-US"/>
        </w:rPr>
        <w:t xml:space="preserve"> had developed an approach which was intermediate in conservatism between the two US methods, involving ‘areas of interest’</w:t>
      </w:r>
      <w:r w:rsidR="00DE23ED">
        <w:rPr>
          <w:lang w:val="en-US"/>
        </w:rPr>
        <w:t xml:space="preserve"> (see </w:t>
      </w:r>
      <w:r w:rsidR="00061D4B">
        <w:rPr>
          <w:lang w:val="en-US"/>
        </w:rPr>
        <w:t xml:space="preserve">a </w:t>
      </w:r>
      <w:r w:rsidR="00DE23ED">
        <w:rPr>
          <w:lang w:val="en-US"/>
        </w:rPr>
        <w:t xml:space="preserve">definition in Appendix </w:t>
      </w:r>
      <w:r w:rsidR="0017406B">
        <w:rPr>
          <w:lang w:val="en-US"/>
        </w:rPr>
        <w:t>A</w:t>
      </w:r>
      <w:r w:rsidR="00DE23ED">
        <w:rPr>
          <w:lang w:val="en-US"/>
        </w:rPr>
        <w:t>)</w:t>
      </w:r>
      <w:r w:rsidR="003253DA">
        <w:rPr>
          <w:lang w:val="en-US"/>
        </w:rPr>
        <w:t xml:space="preserve">. </w:t>
      </w:r>
      <w:r w:rsidR="00D53F39">
        <w:rPr>
          <w:lang w:val="en-US"/>
        </w:rPr>
        <w:t xml:space="preserve">The </w:t>
      </w:r>
      <w:r w:rsidR="00B93CE3">
        <w:rPr>
          <w:lang w:val="en-US"/>
        </w:rPr>
        <w:t xml:space="preserve">IASB’s </w:t>
      </w:r>
      <w:r w:rsidR="00D53F39">
        <w:rPr>
          <w:lang w:val="en-US"/>
        </w:rPr>
        <w:t xml:space="preserve">standard-setting process leading to the highly permissive IFRS 6 has </w:t>
      </w:r>
      <w:r w:rsidR="00227CC6">
        <w:rPr>
          <w:lang w:val="en-US"/>
        </w:rPr>
        <w:t xml:space="preserve">also </w:t>
      </w:r>
      <w:r w:rsidR="00D53F39">
        <w:rPr>
          <w:lang w:val="en-US"/>
        </w:rPr>
        <w:t xml:space="preserve">been studied (e.g. by </w:t>
      </w:r>
      <w:proofErr w:type="spellStart"/>
      <w:r w:rsidR="00D53F39">
        <w:rPr>
          <w:lang w:val="en-US"/>
        </w:rPr>
        <w:t>Cortese</w:t>
      </w:r>
      <w:proofErr w:type="spellEnd"/>
      <w:r w:rsidR="00D53F39">
        <w:rPr>
          <w:lang w:val="en-US"/>
        </w:rPr>
        <w:t xml:space="preserve"> et al. 2010).</w:t>
      </w:r>
      <w:r w:rsidR="00E12275">
        <w:rPr>
          <w:lang w:val="en-US"/>
        </w:rPr>
        <w:t xml:space="preserve"> Again, the</w:t>
      </w:r>
      <w:r w:rsidR="00FF05E1">
        <w:rPr>
          <w:lang w:val="en-US"/>
        </w:rPr>
        <w:t>re was</w:t>
      </w:r>
      <w:r w:rsidR="00E12275">
        <w:rPr>
          <w:lang w:val="en-US"/>
        </w:rPr>
        <w:t xml:space="preserve"> extensive lobbying</w:t>
      </w:r>
      <w:r w:rsidR="00FF05E1">
        <w:rPr>
          <w:lang w:val="en-US"/>
        </w:rPr>
        <w:t>, which</w:t>
      </w:r>
      <w:r w:rsidR="00E12275">
        <w:rPr>
          <w:lang w:val="en-US"/>
        </w:rPr>
        <w:t xml:space="preserve"> suggests that E&amp;E policy choice is important to extractive firms.</w:t>
      </w:r>
    </w:p>
    <w:p w14:paraId="0A0AD20F" w14:textId="41DD5437" w:rsidR="00DB381C" w:rsidRDefault="00BC03B3" w:rsidP="00DB381C">
      <w:pPr>
        <w:rPr>
          <w:lang w:val="en-US"/>
        </w:rPr>
      </w:pPr>
      <w:r>
        <w:rPr>
          <w:lang w:val="en-US"/>
        </w:rPr>
        <w:t>Further relevant literature from the standard-sett</w:t>
      </w:r>
      <w:r w:rsidR="00C913D0">
        <w:rPr>
          <w:lang w:val="en-US"/>
        </w:rPr>
        <w:t xml:space="preserve">ers includes the two </w:t>
      </w:r>
      <w:r>
        <w:rPr>
          <w:lang w:val="en-US"/>
        </w:rPr>
        <w:t xml:space="preserve">papers which were </w:t>
      </w:r>
      <w:r w:rsidR="00C913D0">
        <w:rPr>
          <w:lang w:val="en-US"/>
        </w:rPr>
        <w:t xml:space="preserve">not </w:t>
      </w:r>
      <w:r>
        <w:rPr>
          <w:lang w:val="en-US"/>
        </w:rPr>
        <w:t xml:space="preserve">taken forward: </w:t>
      </w:r>
      <w:r w:rsidR="00C913D0">
        <w:rPr>
          <w:lang w:val="en-US"/>
        </w:rPr>
        <w:t xml:space="preserve">a </w:t>
      </w:r>
      <w:r w:rsidR="00DC1F47">
        <w:rPr>
          <w:lang w:val="en-US"/>
        </w:rPr>
        <w:t>‘</w:t>
      </w:r>
      <w:r w:rsidR="00C913D0">
        <w:rPr>
          <w:lang w:val="en-US"/>
        </w:rPr>
        <w:t>Summary of Issues</w:t>
      </w:r>
      <w:r w:rsidR="00DC1F47">
        <w:rPr>
          <w:lang w:val="en-US"/>
        </w:rPr>
        <w:t>’</w:t>
      </w:r>
      <w:r w:rsidR="00C913D0">
        <w:rPr>
          <w:lang w:val="en-US"/>
        </w:rPr>
        <w:t xml:space="preserve"> </w:t>
      </w:r>
      <w:r>
        <w:rPr>
          <w:lang w:val="en-US"/>
        </w:rPr>
        <w:t xml:space="preserve">from </w:t>
      </w:r>
      <w:r w:rsidR="000C5849">
        <w:rPr>
          <w:lang w:val="en-US"/>
        </w:rPr>
        <w:t xml:space="preserve">a steering committee of </w:t>
      </w:r>
      <w:r>
        <w:rPr>
          <w:lang w:val="en-US"/>
        </w:rPr>
        <w:t xml:space="preserve">the International Accounting Standards Committee (IASC 2000) and </w:t>
      </w:r>
      <w:r w:rsidR="00C913D0">
        <w:rPr>
          <w:lang w:val="en-US"/>
        </w:rPr>
        <w:t xml:space="preserve">a discussion paper </w:t>
      </w:r>
      <w:r>
        <w:rPr>
          <w:lang w:val="en-US"/>
        </w:rPr>
        <w:t>from the IASB (</w:t>
      </w:r>
      <w:r w:rsidR="00B244C7">
        <w:rPr>
          <w:lang w:val="en-US"/>
        </w:rPr>
        <w:t xml:space="preserve">Brady et al. </w:t>
      </w:r>
      <w:r>
        <w:rPr>
          <w:lang w:val="en-US"/>
        </w:rPr>
        <w:t>2010).</w:t>
      </w:r>
      <w:r w:rsidR="000C5849">
        <w:rPr>
          <w:lang w:val="en-US"/>
        </w:rPr>
        <w:t xml:space="preserve"> The tentative conclusions of IASC (2000</w:t>
      </w:r>
      <w:r w:rsidR="00174752">
        <w:rPr>
          <w:lang w:val="en-US"/>
        </w:rPr>
        <w:t>, pp.5-7</w:t>
      </w:r>
      <w:r w:rsidR="000C5849">
        <w:rPr>
          <w:lang w:val="en-US"/>
        </w:rPr>
        <w:t>) include that: (</w:t>
      </w:r>
      <w:proofErr w:type="spellStart"/>
      <w:r w:rsidR="000C5849">
        <w:rPr>
          <w:lang w:val="en-US"/>
        </w:rPr>
        <w:t>i</w:t>
      </w:r>
      <w:proofErr w:type="spellEnd"/>
      <w:r w:rsidR="000C5849">
        <w:rPr>
          <w:lang w:val="en-US"/>
        </w:rPr>
        <w:t>) a standard on E&amp;E costs should cover both mining and oil &amp; gas, (ii) although disclosures about reserves are important, the balance sheet should be based on historical costs, (iii)</w:t>
      </w:r>
      <w:r w:rsidR="00F72E95" w:rsidRPr="00F72E95">
        <w:rPr>
          <w:lang w:val="en-US"/>
        </w:rPr>
        <w:t xml:space="preserve"> </w:t>
      </w:r>
      <w:r w:rsidR="00F72E95">
        <w:rPr>
          <w:lang w:val="en-US"/>
        </w:rPr>
        <w:t>pre-acquisition costs should be expensed, (iv)</w:t>
      </w:r>
      <w:r w:rsidR="000C5849">
        <w:rPr>
          <w:lang w:val="en-US"/>
        </w:rPr>
        <w:t xml:space="preserve"> a method </w:t>
      </w:r>
      <w:r w:rsidR="00DC1F47">
        <w:rPr>
          <w:lang w:val="en-US"/>
        </w:rPr>
        <w:t>‘</w:t>
      </w:r>
      <w:r w:rsidR="000C5849">
        <w:rPr>
          <w:lang w:val="en-US"/>
        </w:rPr>
        <w:t>more consistent</w:t>
      </w:r>
      <w:r w:rsidR="00DC1F47">
        <w:rPr>
          <w:lang w:val="en-US"/>
        </w:rPr>
        <w:t>’</w:t>
      </w:r>
      <w:r w:rsidR="000C5849">
        <w:rPr>
          <w:lang w:val="en-US"/>
        </w:rPr>
        <w:t xml:space="preserve"> with successful efforts should be adopted</w:t>
      </w:r>
      <w:r w:rsidR="00F72E95">
        <w:rPr>
          <w:lang w:val="en-US"/>
        </w:rPr>
        <w:t>, with accumulation by geological units</w:t>
      </w:r>
      <w:r w:rsidR="000C5849">
        <w:rPr>
          <w:lang w:val="en-US"/>
        </w:rPr>
        <w:t xml:space="preserve">, (v) </w:t>
      </w:r>
      <w:r w:rsidR="00F72E95">
        <w:rPr>
          <w:lang w:val="en-US"/>
        </w:rPr>
        <w:t>E&amp;</w:t>
      </w:r>
      <w:r w:rsidR="00FF05E1">
        <w:rPr>
          <w:lang w:val="en-US"/>
        </w:rPr>
        <w:t xml:space="preserve">E costs should </w:t>
      </w:r>
      <w:r w:rsidR="00F72E95">
        <w:rPr>
          <w:lang w:val="en-US"/>
        </w:rPr>
        <w:t xml:space="preserve">initially </w:t>
      </w:r>
      <w:r w:rsidR="00FF05E1">
        <w:rPr>
          <w:lang w:val="en-US"/>
        </w:rPr>
        <w:t xml:space="preserve">be </w:t>
      </w:r>
      <w:proofErr w:type="spellStart"/>
      <w:r w:rsidR="00F72E95">
        <w:rPr>
          <w:lang w:val="en-US"/>
        </w:rPr>
        <w:t>capitalised</w:t>
      </w:r>
      <w:proofErr w:type="spellEnd"/>
      <w:r w:rsidR="00F72E95">
        <w:rPr>
          <w:lang w:val="en-US"/>
        </w:rPr>
        <w:t xml:space="preserve"> pending</w:t>
      </w:r>
      <w:r w:rsidR="000C5849">
        <w:rPr>
          <w:lang w:val="en-US"/>
        </w:rPr>
        <w:t xml:space="preserve"> </w:t>
      </w:r>
      <w:r w:rsidR="00F72E95">
        <w:rPr>
          <w:lang w:val="en-US"/>
        </w:rPr>
        <w:t>appraisal of discovered reserves,</w:t>
      </w:r>
      <w:r w:rsidR="00DB381C">
        <w:rPr>
          <w:lang w:val="en-US"/>
        </w:rPr>
        <w:t xml:space="preserve"> and</w:t>
      </w:r>
      <w:r w:rsidR="00F72E95">
        <w:rPr>
          <w:lang w:val="en-US"/>
        </w:rPr>
        <w:t xml:space="preserve"> (vi) IAS 36 (</w:t>
      </w:r>
      <w:r w:rsidR="00F72E95" w:rsidRPr="005B5914">
        <w:rPr>
          <w:i/>
          <w:lang w:val="en-US"/>
        </w:rPr>
        <w:t>Impairment of Assets</w:t>
      </w:r>
      <w:r w:rsidR="00F72E95">
        <w:rPr>
          <w:lang w:val="en-US"/>
        </w:rPr>
        <w:t>) should apply except to the costs pending appraisal.</w:t>
      </w:r>
    </w:p>
    <w:p w14:paraId="714074E5" w14:textId="2192365F" w:rsidR="00BC03B3" w:rsidRDefault="00B244C7" w:rsidP="00DB381C">
      <w:pPr>
        <w:rPr>
          <w:lang w:val="en-US"/>
        </w:rPr>
      </w:pPr>
      <w:r>
        <w:rPr>
          <w:lang w:val="en-US"/>
        </w:rPr>
        <w:t>The 2010 discussion paper (DP)</w:t>
      </w:r>
      <w:r w:rsidR="006F0803">
        <w:rPr>
          <w:lang w:val="en-US"/>
        </w:rPr>
        <w:t xml:space="preserve"> agreed with points (</w:t>
      </w:r>
      <w:proofErr w:type="spellStart"/>
      <w:r w:rsidR="006F0803">
        <w:rPr>
          <w:lang w:val="en-US"/>
        </w:rPr>
        <w:t>i</w:t>
      </w:r>
      <w:proofErr w:type="spellEnd"/>
      <w:r w:rsidR="006F0803">
        <w:rPr>
          <w:lang w:val="en-US"/>
        </w:rPr>
        <w:t xml:space="preserve">) to (iii) above. </w:t>
      </w:r>
      <w:r>
        <w:rPr>
          <w:lang w:val="en-US"/>
        </w:rPr>
        <w:t>The DP proposed that</w:t>
      </w:r>
      <w:r w:rsidR="00DB381C">
        <w:rPr>
          <w:lang w:val="en-US"/>
        </w:rPr>
        <w:t xml:space="preserve"> t</w:t>
      </w:r>
      <w:r>
        <w:rPr>
          <w:lang w:val="en-US"/>
        </w:rPr>
        <w:t xml:space="preserve">he recognition of assets </w:t>
      </w:r>
      <w:r w:rsidR="00DB381C">
        <w:rPr>
          <w:lang w:val="en-US"/>
        </w:rPr>
        <w:t xml:space="preserve">should be based on legal rights acquired, but that the costs of information obtained from E&amp;E activities could be </w:t>
      </w:r>
      <w:proofErr w:type="spellStart"/>
      <w:r w:rsidR="00DB381C">
        <w:rPr>
          <w:lang w:val="en-US"/>
        </w:rPr>
        <w:t>recognised</w:t>
      </w:r>
      <w:proofErr w:type="spellEnd"/>
      <w:r w:rsidR="00DB381C">
        <w:rPr>
          <w:lang w:val="en-US"/>
        </w:rPr>
        <w:t xml:space="preserve"> as part of this asset (</w:t>
      </w:r>
      <w:r w:rsidR="007126C8">
        <w:rPr>
          <w:lang w:val="en-US"/>
        </w:rPr>
        <w:t>Brady et al. 2010</w:t>
      </w:r>
      <w:r w:rsidR="008B3ABE">
        <w:rPr>
          <w:lang w:val="en-US"/>
        </w:rPr>
        <w:t>,</w:t>
      </w:r>
      <w:r w:rsidR="007126C8">
        <w:rPr>
          <w:lang w:val="en-US"/>
        </w:rPr>
        <w:t xml:space="preserve"> </w:t>
      </w:r>
      <w:proofErr w:type="spellStart"/>
      <w:r w:rsidR="00DB381C">
        <w:rPr>
          <w:lang w:val="en-US"/>
        </w:rPr>
        <w:t>para.</w:t>
      </w:r>
      <w:r w:rsidR="007126C8">
        <w:rPr>
          <w:lang w:val="en-US"/>
        </w:rPr>
        <w:t>s</w:t>
      </w:r>
      <w:proofErr w:type="spellEnd"/>
      <w:r w:rsidR="00DB381C">
        <w:rPr>
          <w:lang w:val="en-US"/>
        </w:rPr>
        <w:t xml:space="preserve"> 3.3</w:t>
      </w:r>
      <w:r w:rsidR="007126C8">
        <w:rPr>
          <w:lang w:val="en-US"/>
        </w:rPr>
        <w:t>3/34</w:t>
      </w:r>
      <w:r w:rsidR="00DB381C">
        <w:rPr>
          <w:lang w:val="en-US"/>
        </w:rPr>
        <w:t xml:space="preserve">). This would involve more </w:t>
      </w:r>
      <w:proofErr w:type="spellStart"/>
      <w:r w:rsidR="00DB381C">
        <w:rPr>
          <w:lang w:val="en-US"/>
        </w:rPr>
        <w:t>capitalisation</w:t>
      </w:r>
      <w:proofErr w:type="spellEnd"/>
      <w:r w:rsidR="00DB381C">
        <w:rPr>
          <w:lang w:val="en-US"/>
        </w:rPr>
        <w:t xml:space="preserve"> than under the successful efforts method. </w:t>
      </w:r>
      <w:r>
        <w:rPr>
          <w:lang w:val="en-US"/>
        </w:rPr>
        <w:t>The</w:t>
      </w:r>
      <w:r w:rsidR="0056441F">
        <w:rPr>
          <w:lang w:val="en-US"/>
        </w:rPr>
        <w:t xml:space="preserve"> </w:t>
      </w:r>
      <w:r>
        <w:rPr>
          <w:lang w:val="en-US"/>
        </w:rPr>
        <w:t xml:space="preserve">DP </w:t>
      </w:r>
      <w:r w:rsidR="0056441F">
        <w:rPr>
          <w:lang w:val="en-US"/>
        </w:rPr>
        <w:t>then discusse</w:t>
      </w:r>
      <w:r w:rsidR="00A60C3A">
        <w:rPr>
          <w:lang w:val="en-US"/>
        </w:rPr>
        <w:t>d</w:t>
      </w:r>
      <w:r w:rsidR="0056441F">
        <w:rPr>
          <w:lang w:val="en-US"/>
        </w:rPr>
        <w:t xml:space="preserve"> the level of</w:t>
      </w:r>
      <w:r>
        <w:rPr>
          <w:lang w:val="en-US"/>
        </w:rPr>
        <w:t xml:space="preserve"> aggregation at which assets should be</w:t>
      </w:r>
      <w:r w:rsidR="0056441F">
        <w:rPr>
          <w:lang w:val="en-US"/>
        </w:rPr>
        <w:t xml:space="preserve"> </w:t>
      </w:r>
      <w:proofErr w:type="spellStart"/>
      <w:r w:rsidR="0056441F">
        <w:rPr>
          <w:lang w:val="en-US"/>
        </w:rPr>
        <w:t>recognised</w:t>
      </w:r>
      <w:proofErr w:type="spellEnd"/>
      <w:r w:rsidR="0056441F">
        <w:rPr>
          <w:lang w:val="en-US"/>
        </w:rPr>
        <w:t>,</w:t>
      </w:r>
      <w:r w:rsidR="0056441F" w:rsidRPr="0056441F">
        <w:rPr>
          <w:lang w:val="en-US"/>
        </w:rPr>
        <w:t xml:space="preserve"> </w:t>
      </w:r>
      <w:r w:rsidR="0056441F">
        <w:rPr>
          <w:lang w:val="en-US"/>
        </w:rPr>
        <w:t xml:space="preserve">what the </w:t>
      </w:r>
      <w:r w:rsidR="0056441F" w:rsidRPr="00091E8C">
        <w:rPr>
          <w:i/>
          <w:lang w:val="en-US"/>
        </w:rPr>
        <w:t>Conceptual Framework</w:t>
      </w:r>
      <w:r w:rsidR="0056441F">
        <w:rPr>
          <w:lang w:val="en-US"/>
        </w:rPr>
        <w:t xml:space="preserve"> calls the ‘unit of account’.</w:t>
      </w:r>
      <w:r w:rsidR="0056441F">
        <w:rPr>
          <w:rStyle w:val="FootnoteReference"/>
          <w:lang w:val="en-US"/>
        </w:rPr>
        <w:footnoteReference w:id="11"/>
      </w:r>
      <w:r w:rsidR="0056441F">
        <w:rPr>
          <w:lang w:val="en-US"/>
        </w:rPr>
        <w:t xml:space="preserve"> The proposal was that an acquired r</w:t>
      </w:r>
      <w:r w:rsidR="00987542">
        <w:rPr>
          <w:lang w:val="en-US"/>
        </w:rPr>
        <w:t xml:space="preserve">ight (or related set of rights) should be the initial unit of account but that this should later be narrowed to </w:t>
      </w:r>
      <w:r w:rsidR="00FF05E1">
        <w:rPr>
          <w:lang w:val="en-US"/>
        </w:rPr>
        <w:t xml:space="preserve">a separate </w:t>
      </w:r>
      <w:r w:rsidR="00FF05E1">
        <w:rPr>
          <w:lang w:val="en-US"/>
        </w:rPr>
        <w:lastRenderedPageBreak/>
        <w:t xml:space="preserve">exploration </w:t>
      </w:r>
      <w:proofErr w:type="spellStart"/>
      <w:r w:rsidR="00FF05E1">
        <w:rPr>
          <w:lang w:val="en-US"/>
        </w:rPr>
        <w:t>programme</w:t>
      </w:r>
      <w:proofErr w:type="spellEnd"/>
      <w:r w:rsidR="00987542">
        <w:rPr>
          <w:lang w:val="en-US"/>
        </w:rPr>
        <w:t>, resulting in a unit of account which is a single geological structure in a single jurisdiction (para. 3.54).</w:t>
      </w:r>
    </w:p>
    <w:p w14:paraId="00A0E3B6" w14:textId="5F497F18" w:rsidR="00DC5E3A" w:rsidRPr="000051DF" w:rsidRDefault="00C36E09">
      <w:r>
        <w:rPr>
          <w:lang w:val="en-US"/>
        </w:rPr>
        <w:t>B</w:t>
      </w:r>
      <w:r w:rsidR="00076EC2" w:rsidRPr="000051DF">
        <w:rPr>
          <w:lang w:val="en-US"/>
        </w:rPr>
        <w:t xml:space="preserve">ecause of the lack of any </w:t>
      </w:r>
      <w:r w:rsidR="00174752">
        <w:rPr>
          <w:lang w:val="en-US"/>
        </w:rPr>
        <w:t>recent</w:t>
      </w:r>
      <w:r>
        <w:rPr>
          <w:lang w:val="en-US"/>
        </w:rPr>
        <w:t xml:space="preserve"> </w:t>
      </w:r>
      <w:r w:rsidR="00076EC2" w:rsidRPr="000051DF">
        <w:rPr>
          <w:lang w:val="en-US"/>
        </w:rPr>
        <w:t>regulatory change in extractive accounting</w:t>
      </w:r>
      <w:r>
        <w:rPr>
          <w:lang w:val="en-US"/>
        </w:rPr>
        <w:t xml:space="preserve"> in US</w:t>
      </w:r>
      <w:r w:rsidR="00174752">
        <w:rPr>
          <w:lang w:val="en-US"/>
        </w:rPr>
        <w:t xml:space="preserve"> GAAP or</w:t>
      </w:r>
      <w:r>
        <w:rPr>
          <w:lang w:val="en-US"/>
        </w:rPr>
        <w:t xml:space="preserve"> IFRS</w:t>
      </w:r>
      <w:r w:rsidR="00076EC2" w:rsidRPr="000051DF">
        <w:rPr>
          <w:lang w:val="en-US"/>
        </w:rPr>
        <w:t xml:space="preserve">, there has been little recent published </w:t>
      </w:r>
      <w:r w:rsidR="00FF05E1">
        <w:rPr>
          <w:lang w:val="en-US"/>
        </w:rPr>
        <w:t xml:space="preserve">academic </w:t>
      </w:r>
      <w:r w:rsidR="00076EC2" w:rsidRPr="000051DF">
        <w:rPr>
          <w:lang w:val="en-US"/>
        </w:rPr>
        <w:t>research</w:t>
      </w:r>
      <w:r w:rsidR="00076EC2">
        <w:rPr>
          <w:lang w:val="en-US"/>
        </w:rPr>
        <w:t xml:space="preserve"> directly related to E&amp;E policies</w:t>
      </w:r>
      <w:r w:rsidR="00076EC2" w:rsidRPr="000051DF">
        <w:rPr>
          <w:lang w:val="en-US"/>
        </w:rPr>
        <w:t>.</w:t>
      </w:r>
      <w:r w:rsidR="00DC5E3A">
        <w:rPr>
          <w:lang w:val="en-US"/>
        </w:rPr>
        <w:t xml:space="preserve"> </w:t>
      </w:r>
      <w:r w:rsidR="00DC5E3A">
        <w:t xml:space="preserve">At an IASB research conference in </w:t>
      </w:r>
      <w:r w:rsidR="00DC5E3A" w:rsidRPr="000051DF">
        <w:t>2018, a literature revi</w:t>
      </w:r>
      <w:r w:rsidR="004859E9">
        <w:t xml:space="preserve">ew on extractives </w:t>
      </w:r>
      <w:r w:rsidR="00DC5E3A" w:rsidRPr="000051DF">
        <w:t>(</w:t>
      </w:r>
      <w:proofErr w:type="spellStart"/>
      <w:r w:rsidR="004859E9">
        <w:t>Gray</w:t>
      </w:r>
      <w:proofErr w:type="spellEnd"/>
      <w:r w:rsidR="00CD15BB">
        <w:t xml:space="preserve"> et al.</w:t>
      </w:r>
      <w:r w:rsidR="004859E9">
        <w:t xml:space="preserve"> 201</w:t>
      </w:r>
      <w:r w:rsidR="00516EF5">
        <w:t>9</w:t>
      </w:r>
      <w:r w:rsidR="004859E9">
        <w:t xml:space="preserve">) </w:t>
      </w:r>
      <w:r w:rsidR="00DC5E3A">
        <w:t>showed that t</w:t>
      </w:r>
      <w:r>
        <w:t>here has been</w:t>
      </w:r>
      <w:r w:rsidR="00DC5E3A" w:rsidRPr="000051DF">
        <w:t xml:space="preserve"> some literature on sustainability accounting but </w:t>
      </w:r>
      <w:r w:rsidR="004859E9">
        <w:t xml:space="preserve">that </w:t>
      </w:r>
      <w:r w:rsidR="00DC5E3A" w:rsidRPr="000051DF">
        <w:t xml:space="preserve">recent published research on accounting for </w:t>
      </w:r>
      <w:r w:rsidR="0098748B">
        <w:t>E&amp;E</w:t>
      </w:r>
      <w:r w:rsidR="00DC5E3A" w:rsidRPr="000051DF">
        <w:t xml:space="preserve"> costs is rare.</w:t>
      </w:r>
    </w:p>
    <w:p w14:paraId="2C8EC288" w14:textId="1B75EB23" w:rsidR="00DC5E3A" w:rsidRDefault="00DC5E3A" w:rsidP="00801DBD">
      <w:r>
        <w:t>The closest paper</w:t>
      </w:r>
      <w:r w:rsidR="00BA752D">
        <w:t xml:space="preserve">s to our interests are those </w:t>
      </w:r>
      <w:r w:rsidRPr="00A2372D">
        <w:t xml:space="preserve">by </w:t>
      </w:r>
      <w:proofErr w:type="spellStart"/>
      <w:r w:rsidRPr="00A2372D">
        <w:t>Abdo</w:t>
      </w:r>
      <w:proofErr w:type="spellEnd"/>
      <w:r w:rsidRPr="00A2372D">
        <w:t xml:space="preserve"> (2016)</w:t>
      </w:r>
      <w:r w:rsidR="00801DBD" w:rsidRPr="00801DBD">
        <w:t xml:space="preserve"> </w:t>
      </w:r>
      <w:r w:rsidR="00801DBD">
        <w:t>and Power et al. (2017)</w:t>
      </w:r>
      <w:r w:rsidR="00BA752D">
        <w:t xml:space="preserve">. </w:t>
      </w:r>
      <w:proofErr w:type="spellStart"/>
      <w:r w:rsidR="00D53F39">
        <w:t>Abdo</w:t>
      </w:r>
      <w:proofErr w:type="spellEnd"/>
      <w:r w:rsidR="00D53F39">
        <w:t xml:space="preserve"> (p.34</w:t>
      </w:r>
      <w:r w:rsidR="00836D86">
        <w:t>7</w:t>
      </w:r>
      <w:r w:rsidR="00D53F39">
        <w:t>) reports that ‘IFRS 6 allows the use of two alternative accounting methods: the successful efforts</w:t>
      </w:r>
      <w:r w:rsidR="002E4651">
        <w:t xml:space="preserve"> (SE)</w:t>
      </w:r>
      <w:r w:rsidR="00D53F39">
        <w:t xml:space="preserve"> and full costing (FC) methods’. </w:t>
      </w:r>
      <w:r w:rsidR="00E05BB4">
        <w:t>Taken literally, this is not the case because</w:t>
      </w:r>
      <w:r w:rsidR="00D53F39">
        <w:t xml:space="preserve"> IFRS 6 does not mention either method</w:t>
      </w:r>
      <w:r w:rsidR="00E05BB4">
        <w:t>, and it would allow many more than two methods, as we will explain</w:t>
      </w:r>
      <w:r w:rsidR="00D53F39">
        <w:t xml:space="preserve">. </w:t>
      </w:r>
      <w:r w:rsidR="00E05BB4">
        <w:t xml:space="preserve">Perhaps </w:t>
      </w:r>
      <w:proofErr w:type="spellStart"/>
      <w:r w:rsidR="00E05BB4">
        <w:t>Abdo</w:t>
      </w:r>
      <w:proofErr w:type="spellEnd"/>
      <w:r w:rsidR="00E05BB4">
        <w:t xml:space="preserve"> meant that IFRS 6 allows various methods, including the US methods of successful efforts and full cost. However, this is also not the case because </w:t>
      </w:r>
      <w:r w:rsidR="007559A8">
        <w:t xml:space="preserve">(as we will explain) </w:t>
      </w:r>
      <w:r w:rsidR="00E05BB4">
        <w:t xml:space="preserve">the US full cost method is one of the few methods found in practice which does </w:t>
      </w:r>
      <w:r w:rsidR="00E05BB4" w:rsidRPr="005B5914">
        <w:rPr>
          <w:i/>
        </w:rPr>
        <w:t>not</w:t>
      </w:r>
      <w:r w:rsidR="00E05BB4">
        <w:t xml:space="preserve"> comply with IFRS 6.</w:t>
      </w:r>
      <w:r w:rsidR="00801DBD" w:rsidRPr="00801DBD">
        <w:t xml:space="preserve"> </w:t>
      </w:r>
      <w:r w:rsidR="00801DBD">
        <w:t>Power et al. (p.548) report that the IFRS 6 permits ‘firms to continue to use the accounting policy for exploration</w:t>
      </w:r>
      <w:r w:rsidR="00F0435F">
        <w:t xml:space="preserve"> expenditure</w:t>
      </w:r>
      <w:r w:rsidR="00801DBD">
        <w:t xml:space="preserve"> that was in use prior to the implementation of the standard’. While this is true, it is misleading because it implies that there is ‘grandfathering’ of previous policies, whereas IFRS 6 is more permissive than that, and allows choice irrespective of previous policies used before adoption of IFRS. </w:t>
      </w:r>
      <w:r w:rsidR="00737299">
        <w:t>These two papers also provide data on policy choice</w:t>
      </w:r>
      <w:r w:rsidR="004500F3">
        <w:t xml:space="preserve"> under IFRS 6</w:t>
      </w:r>
      <w:r w:rsidR="00801DBD">
        <w:t>, find</w:t>
      </w:r>
      <w:r w:rsidR="00256693">
        <w:t>ing</w:t>
      </w:r>
      <w:r w:rsidR="00801DBD">
        <w:t xml:space="preserve"> that most extractive firms report the use of the successful efforts method.</w:t>
      </w:r>
      <w:r w:rsidR="00256693">
        <w:t xml:space="preserve"> These are not systematic </w:t>
      </w:r>
      <w:r w:rsidR="00256693" w:rsidRPr="00450400">
        <w:t>international</w:t>
      </w:r>
      <w:r w:rsidR="00256693">
        <w:t xml:space="preserve"> surveys</w:t>
      </w:r>
      <w:r w:rsidR="00450400">
        <w:t xml:space="preserve"> but</w:t>
      </w:r>
      <w:r w:rsidR="00256693">
        <w:t xml:space="preserve"> mainly deal with London-listed firms</w:t>
      </w:r>
      <w:r w:rsidR="00450400">
        <w:t>, so t</w:t>
      </w:r>
      <w:r w:rsidR="00256693">
        <w:t xml:space="preserve">hey cannot tell us reliably about any </w:t>
      </w:r>
      <w:r w:rsidR="00256693" w:rsidRPr="00450400">
        <w:t>intern</w:t>
      </w:r>
      <w:r w:rsidR="00FF05E1" w:rsidRPr="00450400">
        <w:t>ational</w:t>
      </w:r>
      <w:r w:rsidR="00FF05E1">
        <w:t xml:space="preserve"> diversity of practice. However, t</w:t>
      </w:r>
      <w:r w:rsidR="00256693">
        <w:t>here is a small amount of</w:t>
      </w:r>
      <w:r w:rsidR="00AB755D">
        <w:t xml:space="preserve"> dated</w:t>
      </w:r>
      <w:r w:rsidR="00256693">
        <w:t xml:space="preserve"> evidence </w:t>
      </w:r>
      <w:r w:rsidR="00AB755D">
        <w:t>of</w:t>
      </w:r>
      <w:r w:rsidR="00256693">
        <w:t xml:space="preserve"> a country pattern in the treatment by mining firms of E&amp;E costs</w:t>
      </w:r>
      <w:r w:rsidR="00BC54D7">
        <w:t xml:space="preserve"> (KPM</w:t>
      </w:r>
      <w:r w:rsidR="00256693">
        <w:t>G 2006, Table 2.4).</w:t>
      </w:r>
    </w:p>
    <w:p w14:paraId="111E1AD8" w14:textId="3658884A" w:rsidR="005F132C" w:rsidRPr="009F456A" w:rsidRDefault="00C600E3">
      <w:r>
        <w:t>Another relevant strand of literature</w:t>
      </w:r>
      <w:r w:rsidR="005F132C">
        <w:t xml:space="preserve"> concerns the limited recognition of intangible assets under IFRS or, even more so, under US GAAP. </w:t>
      </w:r>
      <w:r w:rsidR="00C86F3A">
        <w:t xml:space="preserve">A large amount of literature discusses the importance </w:t>
      </w:r>
      <w:r w:rsidR="00C86F3A">
        <w:lastRenderedPageBreak/>
        <w:t xml:space="preserve">of intangibles and whether it would be useful to include more of them in balance sheets. This is summarised by </w:t>
      </w:r>
      <w:proofErr w:type="spellStart"/>
      <w:r w:rsidR="00C86F3A">
        <w:t>Basu</w:t>
      </w:r>
      <w:proofErr w:type="spellEnd"/>
      <w:r w:rsidR="00C86F3A">
        <w:t xml:space="preserve"> and </w:t>
      </w:r>
      <w:proofErr w:type="spellStart"/>
      <w:r w:rsidR="00C86F3A">
        <w:t>Waymire</w:t>
      </w:r>
      <w:proofErr w:type="spellEnd"/>
      <w:r w:rsidR="00C86F3A">
        <w:t xml:space="preserve"> (2008), Skinner (2008) and Wyatt (2008). </w:t>
      </w:r>
      <w:r w:rsidR="005F132C">
        <w:t xml:space="preserve">For example, Amir and Lev (1996) suggest that conventional accounting </w:t>
      </w:r>
      <w:r w:rsidR="00227CC6">
        <w:t xml:space="preserve">for intangibles </w:t>
      </w:r>
      <w:r w:rsidR="005F132C">
        <w:t>is inadequate, particularly for fast-growing firms in emerging industries.</w:t>
      </w:r>
      <w:r w:rsidR="00FA7920">
        <w:t xml:space="preserve"> </w:t>
      </w:r>
      <w:r w:rsidR="005F132C">
        <w:t>Gelb (2002) finds that firms increase their voluntary disclosures to make up for the lack of reco</w:t>
      </w:r>
      <w:r w:rsidR="00FA7920">
        <w:t>g</w:t>
      </w:r>
      <w:r w:rsidR="005F132C">
        <w:t xml:space="preserve">nition of intangibles in </w:t>
      </w:r>
      <w:r w:rsidR="00227CC6">
        <w:t>balance sheets</w:t>
      </w:r>
      <w:r w:rsidR="005F132C">
        <w:t>.</w:t>
      </w:r>
      <w:r w:rsidR="00FA7920">
        <w:t xml:space="preserve"> </w:t>
      </w:r>
      <w:r w:rsidR="009F19E5">
        <w:t xml:space="preserve">Amir et al. (2003) find that analysts try to compensate for inadequate reporting on intangibles, and succeed to some extent. </w:t>
      </w:r>
      <w:r w:rsidR="00FA7920">
        <w:t>However, Penman (2009) points out that users can gain information on intangibles from the income statement.</w:t>
      </w:r>
    </w:p>
    <w:p w14:paraId="24259104" w14:textId="16E77A54" w:rsidR="0073737A" w:rsidRPr="00442F2D" w:rsidRDefault="007E0061" w:rsidP="00FC703C">
      <w:pPr>
        <w:pStyle w:val="Heading1"/>
        <w:rPr>
          <w:lang w:val="en-US"/>
        </w:rPr>
      </w:pPr>
      <w:r>
        <w:rPr>
          <w:lang w:val="en-US"/>
        </w:rPr>
        <w:t>3</w:t>
      </w:r>
      <w:r w:rsidR="00940120">
        <w:rPr>
          <w:lang w:val="en-US"/>
        </w:rPr>
        <w:t xml:space="preserve">. </w:t>
      </w:r>
      <w:r w:rsidR="002C25F9">
        <w:rPr>
          <w:lang w:val="en-US"/>
        </w:rPr>
        <w:t xml:space="preserve">A classification </w:t>
      </w:r>
      <w:r w:rsidR="00580825">
        <w:rPr>
          <w:lang w:val="en-US"/>
        </w:rPr>
        <w:t xml:space="preserve">of E&amp;E accounting policies by </w:t>
      </w:r>
      <w:r w:rsidR="0073737A" w:rsidRPr="00442F2D">
        <w:rPr>
          <w:lang w:val="en-US"/>
        </w:rPr>
        <w:t>degree of conservatism</w:t>
      </w:r>
    </w:p>
    <w:p w14:paraId="7C8CB4AC" w14:textId="57350D46" w:rsidR="00FF01F6" w:rsidRDefault="005F2165" w:rsidP="00FF01F6">
      <w:pPr>
        <w:rPr>
          <w:lang w:val="en-US"/>
        </w:rPr>
      </w:pPr>
      <w:r>
        <w:rPr>
          <w:lang w:val="en-US"/>
        </w:rPr>
        <w:t xml:space="preserve">From the above, it is clear that there are many potential treatments of E&amp;E costs. </w:t>
      </w:r>
      <w:r w:rsidR="00FF01F6">
        <w:rPr>
          <w:lang w:val="en-US"/>
        </w:rPr>
        <w:t xml:space="preserve">As in any field, it can be useful to prepare a classification of elements. We </w:t>
      </w:r>
      <w:r w:rsidR="00450400">
        <w:rPr>
          <w:lang w:val="en-US"/>
        </w:rPr>
        <w:t xml:space="preserve">began this </w:t>
      </w:r>
      <w:r w:rsidR="00FF01F6">
        <w:rPr>
          <w:lang w:val="en-US"/>
        </w:rPr>
        <w:t xml:space="preserve">by reading </w:t>
      </w:r>
      <w:r w:rsidR="000D208F">
        <w:rPr>
          <w:lang w:val="en-US"/>
        </w:rPr>
        <w:t>the</w:t>
      </w:r>
      <w:r w:rsidR="00FF01F6">
        <w:rPr>
          <w:lang w:val="en-US"/>
        </w:rPr>
        <w:t xml:space="preserve"> accounting policies</w:t>
      </w:r>
      <w:r w:rsidR="000D208F">
        <w:rPr>
          <w:lang w:val="en-US"/>
        </w:rPr>
        <w:t xml:space="preserve"> of a large sample of firms</w:t>
      </w:r>
      <w:r w:rsidR="000D208F">
        <w:t>, observing for each firm the scope of costs deferred and the size of the impairment pool</w:t>
      </w:r>
      <w:r w:rsidR="00FF01F6">
        <w:rPr>
          <w:lang w:val="en-US"/>
        </w:rPr>
        <w:t xml:space="preserve">. </w:t>
      </w:r>
      <w:r w:rsidRPr="00647E85">
        <w:rPr>
          <w:lang w:val="en-US"/>
        </w:rPr>
        <w:t xml:space="preserve">Appendix B </w:t>
      </w:r>
      <w:r>
        <w:rPr>
          <w:lang w:val="en-US"/>
        </w:rPr>
        <w:t>provides</w:t>
      </w:r>
      <w:r w:rsidRPr="00647E85">
        <w:rPr>
          <w:lang w:val="en-US"/>
        </w:rPr>
        <w:t xml:space="preserve"> information on the sample of firms investigated</w:t>
      </w:r>
      <w:r>
        <w:rPr>
          <w:lang w:val="en-US"/>
        </w:rPr>
        <w:t>.</w:t>
      </w:r>
      <w:r w:rsidRPr="00647E85">
        <w:rPr>
          <w:lang w:val="en-US"/>
        </w:rPr>
        <w:t xml:space="preserve"> </w:t>
      </w:r>
      <w:r>
        <w:rPr>
          <w:lang w:val="en-US"/>
        </w:rPr>
        <w:t xml:space="preserve">Table 1 gives examples of each of the policies discussed below, drawn from IFRS annual reports, mostly of 2017/18. These accounting policies remain fairly stable over time. We </w:t>
      </w:r>
      <w:r w:rsidR="00631DAD">
        <w:rPr>
          <w:lang w:val="en-US"/>
        </w:rPr>
        <w:t xml:space="preserve">find no changes when </w:t>
      </w:r>
      <w:r w:rsidR="00BA2090">
        <w:rPr>
          <w:lang w:val="en-US"/>
        </w:rPr>
        <w:t>compar</w:t>
      </w:r>
      <w:r w:rsidR="00631DAD">
        <w:rPr>
          <w:lang w:val="en-US"/>
        </w:rPr>
        <w:t>ing</w:t>
      </w:r>
      <w:r w:rsidR="00BA2090">
        <w:rPr>
          <w:lang w:val="en-US"/>
        </w:rPr>
        <w:t xml:space="preserve"> the 2017/18 policies with those in the</w:t>
      </w:r>
      <w:r w:rsidR="00D927C2">
        <w:rPr>
          <w:lang w:val="en-US"/>
        </w:rPr>
        <w:t xml:space="preserve"> latest</w:t>
      </w:r>
      <w:r w:rsidR="005C7C10">
        <w:rPr>
          <w:rStyle w:val="FootnoteReference"/>
          <w:lang w:val="en-US"/>
        </w:rPr>
        <w:footnoteReference w:id="12"/>
      </w:r>
      <w:r w:rsidR="00D927C2">
        <w:rPr>
          <w:lang w:val="en-US"/>
        </w:rPr>
        <w:t xml:space="preserve"> available annual report</w:t>
      </w:r>
      <w:r w:rsidR="00DC1F47">
        <w:rPr>
          <w:lang w:val="en-US"/>
        </w:rPr>
        <w:t>s</w:t>
      </w:r>
      <w:r w:rsidR="00D927C2">
        <w:rPr>
          <w:lang w:val="en-US"/>
        </w:rPr>
        <w:t xml:space="preserve"> </w:t>
      </w:r>
      <w:r w:rsidR="00631DAD">
        <w:rPr>
          <w:lang w:val="en-US"/>
        </w:rPr>
        <w:t>(mostly the 2020 report</w:t>
      </w:r>
      <w:r w:rsidR="00DC1F47">
        <w:rPr>
          <w:lang w:val="en-US"/>
        </w:rPr>
        <w:t>s</w:t>
      </w:r>
      <w:r w:rsidR="00631DAD">
        <w:rPr>
          <w:lang w:val="en-US"/>
        </w:rPr>
        <w:t>)</w:t>
      </w:r>
      <w:r>
        <w:rPr>
          <w:lang w:val="en-US"/>
        </w:rPr>
        <w:t>.</w:t>
      </w:r>
    </w:p>
    <w:p w14:paraId="222B11C6" w14:textId="22C9A82C" w:rsidR="0073737A" w:rsidRDefault="00FF01F6" w:rsidP="00BF2CB6">
      <w:pPr>
        <w:rPr>
          <w:lang w:val="en-US"/>
        </w:rPr>
      </w:pPr>
      <w:r>
        <w:rPr>
          <w:lang w:val="en-US"/>
        </w:rPr>
        <w:t>One approach to drawing up a classification of t</w:t>
      </w:r>
      <w:r w:rsidR="00FD1ACB">
        <w:rPr>
          <w:lang w:val="en-US"/>
        </w:rPr>
        <w:t>he</w:t>
      </w:r>
      <w:r>
        <w:rPr>
          <w:lang w:val="en-US"/>
        </w:rPr>
        <w:t>se</w:t>
      </w:r>
      <w:r w:rsidR="00FD1ACB">
        <w:rPr>
          <w:lang w:val="en-US"/>
        </w:rPr>
        <w:t xml:space="preserve"> various </w:t>
      </w:r>
      <w:r w:rsidR="00253615">
        <w:rPr>
          <w:lang w:val="en-US"/>
        </w:rPr>
        <w:t>policie</w:t>
      </w:r>
      <w:r w:rsidR="00E90919">
        <w:rPr>
          <w:lang w:val="en-US"/>
        </w:rPr>
        <w:t>s</w:t>
      </w:r>
      <w:r w:rsidR="00681155">
        <w:rPr>
          <w:lang w:val="en-US"/>
        </w:rPr>
        <w:t xml:space="preserve"> </w:t>
      </w:r>
      <w:r w:rsidR="00FD1ACB">
        <w:rPr>
          <w:lang w:val="en-US"/>
        </w:rPr>
        <w:t>f</w:t>
      </w:r>
      <w:r w:rsidR="00681155">
        <w:rPr>
          <w:lang w:val="en-US"/>
        </w:rPr>
        <w:t xml:space="preserve">or E&amp;E </w:t>
      </w:r>
      <w:r w:rsidR="00BF2CB6">
        <w:rPr>
          <w:lang w:val="en-US"/>
        </w:rPr>
        <w:t>cost</w:t>
      </w:r>
      <w:r w:rsidR="00681155">
        <w:rPr>
          <w:lang w:val="en-US"/>
        </w:rPr>
        <w:t xml:space="preserve">s </w:t>
      </w:r>
      <w:r>
        <w:rPr>
          <w:lang w:val="en-US"/>
        </w:rPr>
        <w:t xml:space="preserve">is to rank them by </w:t>
      </w:r>
      <w:r w:rsidR="0073737A">
        <w:rPr>
          <w:lang w:val="en-US"/>
        </w:rPr>
        <w:t>degree of conser</w:t>
      </w:r>
      <w:r w:rsidR="00C459EF">
        <w:rPr>
          <w:lang w:val="en-US"/>
        </w:rPr>
        <w:t>vatism</w:t>
      </w:r>
      <w:r w:rsidR="004C3699">
        <w:rPr>
          <w:lang w:val="en-US"/>
        </w:rPr>
        <w:t>, by which we mean treating costs as expenses more quickly</w:t>
      </w:r>
      <w:r w:rsidR="00C459EF">
        <w:rPr>
          <w:lang w:val="en-US"/>
        </w:rPr>
        <w:t>.</w:t>
      </w:r>
      <w:r w:rsidR="00C86F3A">
        <w:rPr>
          <w:rStyle w:val="FootnoteReference"/>
          <w:lang w:val="en-US"/>
        </w:rPr>
        <w:footnoteReference w:id="13"/>
      </w:r>
      <w:r w:rsidR="00C459EF">
        <w:rPr>
          <w:lang w:val="en-US"/>
        </w:rPr>
        <w:t xml:space="preserve"> </w:t>
      </w:r>
      <w:r w:rsidR="00BF2CB6">
        <w:rPr>
          <w:lang w:val="en-US"/>
        </w:rPr>
        <w:t xml:space="preserve">Appendix A contains an extract from IFRS 6, listing various types of E&amp;E cost. </w:t>
      </w:r>
      <w:r w:rsidR="00D5242E">
        <w:rPr>
          <w:lang w:val="en-US"/>
        </w:rPr>
        <w:t>P</w:t>
      </w:r>
      <w:r w:rsidR="00516EF5">
        <w:rPr>
          <w:lang w:val="en-US"/>
        </w:rPr>
        <w:t>ossible p</w:t>
      </w:r>
      <w:r w:rsidR="00253615">
        <w:rPr>
          <w:lang w:val="en-US"/>
        </w:rPr>
        <w:t>olici</w:t>
      </w:r>
      <w:r w:rsidR="0073737A">
        <w:rPr>
          <w:lang w:val="en-US"/>
        </w:rPr>
        <w:t xml:space="preserve">es vary from full expensing </w:t>
      </w:r>
      <w:r w:rsidR="00D5242E">
        <w:rPr>
          <w:lang w:val="en-US"/>
        </w:rPr>
        <w:t xml:space="preserve">of all E&amp;E costs (even </w:t>
      </w:r>
      <w:r w:rsidR="002741C5">
        <w:rPr>
          <w:lang w:val="en-US"/>
        </w:rPr>
        <w:t xml:space="preserve">of </w:t>
      </w:r>
      <w:r w:rsidR="00D5242E">
        <w:rPr>
          <w:lang w:val="en-US"/>
        </w:rPr>
        <w:t xml:space="preserve">acquisitions) </w:t>
      </w:r>
      <w:r w:rsidR="0073737A">
        <w:rPr>
          <w:lang w:val="en-US"/>
        </w:rPr>
        <w:t xml:space="preserve">to </w:t>
      </w:r>
      <w:r w:rsidR="00E90919">
        <w:rPr>
          <w:lang w:val="en-US"/>
        </w:rPr>
        <w:t xml:space="preserve">initial </w:t>
      </w:r>
      <w:proofErr w:type="spellStart"/>
      <w:r w:rsidR="0073737A">
        <w:rPr>
          <w:lang w:val="en-US"/>
        </w:rPr>
        <w:t>capitali</w:t>
      </w:r>
      <w:r w:rsidR="00AC138E">
        <w:rPr>
          <w:lang w:val="en-US"/>
        </w:rPr>
        <w:t>s</w:t>
      </w:r>
      <w:r w:rsidR="0073737A">
        <w:rPr>
          <w:lang w:val="en-US"/>
        </w:rPr>
        <w:t>ation</w:t>
      </w:r>
      <w:proofErr w:type="spellEnd"/>
      <w:r w:rsidR="0073737A">
        <w:rPr>
          <w:lang w:val="en-US"/>
        </w:rPr>
        <w:t xml:space="preserve"> of all costs</w:t>
      </w:r>
      <w:r w:rsidR="00253615" w:rsidRPr="00253615">
        <w:rPr>
          <w:lang w:val="en-US"/>
        </w:rPr>
        <w:t xml:space="preserve"> </w:t>
      </w:r>
      <w:r w:rsidR="00E90919">
        <w:rPr>
          <w:lang w:val="en-US"/>
        </w:rPr>
        <w:t xml:space="preserve">with later </w:t>
      </w:r>
      <w:r w:rsidR="00253615">
        <w:rPr>
          <w:lang w:val="en-US"/>
        </w:rPr>
        <w:t>impairment</w:t>
      </w:r>
      <w:r w:rsidR="00E90919">
        <w:rPr>
          <w:lang w:val="en-US"/>
        </w:rPr>
        <w:t xml:space="preserve"> testing. </w:t>
      </w:r>
      <w:r w:rsidR="00920E56">
        <w:rPr>
          <w:lang w:val="en-US"/>
        </w:rPr>
        <w:t xml:space="preserve">We are not suggesting that the IASB does, or should, make decisions on the </w:t>
      </w:r>
      <w:r w:rsidR="00920E56">
        <w:rPr>
          <w:lang w:val="en-US"/>
        </w:rPr>
        <w:lastRenderedPageBreak/>
        <w:t>basis of degrees of conservatism. However, we find this a useful way to classify the large number of methods found in practice.</w:t>
      </w:r>
      <w:r w:rsidR="00BF2CB6">
        <w:rPr>
          <w:lang w:val="en-US"/>
        </w:rPr>
        <w:t xml:space="preserve"> </w:t>
      </w:r>
      <w:r w:rsidR="00D4184D">
        <w:rPr>
          <w:lang w:val="en-US"/>
        </w:rPr>
        <w:t xml:space="preserve">Figure 1 </w:t>
      </w:r>
      <w:r w:rsidR="00BF2CB6">
        <w:rPr>
          <w:lang w:val="en-US"/>
        </w:rPr>
        <w:t>shows our</w:t>
      </w:r>
      <w:r w:rsidR="00D4184D">
        <w:rPr>
          <w:lang w:val="en-US"/>
        </w:rPr>
        <w:t xml:space="preserve"> classification</w:t>
      </w:r>
      <w:r w:rsidR="006F740F">
        <w:rPr>
          <w:lang w:val="en-US"/>
        </w:rPr>
        <w:t xml:space="preserve">, based on </w:t>
      </w:r>
      <w:r w:rsidR="00D4184D">
        <w:rPr>
          <w:lang w:val="en-US"/>
        </w:rPr>
        <w:t>the range of costs deferred and the extent of pooling for the assessment of viability. Theoretically, many other combinations of cost-scope and impairment pool could exist,</w:t>
      </w:r>
      <w:r w:rsidR="00847A1A">
        <w:rPr>
          <w:rStyle w:val="FootnoteReference"/>
          <w:lang w:val="en-US"/>
        </w:rPr>
        <w:footnoteReference w:id="14"/>
      </w:r>
      <w:r w:rsidR="00D4184D">
        <w:rPr>
          <w:lang w:val="en-US"/>
        </w:rPr>
        <w:t xml:space="preserve"> but</w:t>
      </w:r>
      <w:r w:rsidR="00227CC6">
        <w:rPr>
          <w:lang w:val="en-US"/>
        </w:rPr>
        <w:t xml:space="preserve"> this set is</w:t>
      </w:r>
      <w:r w:rsidR="00681155">
        <w:rPr>
          <w:lang w:val="en-US"/>
        </w:rPr>
        <w:t xml:space="preserve"> sufficient to show the range of possibilities and to exhaust those </w:t>
      </w:r>
      <w:r w:rsidR="00227CC6">
        <w:rPr>
          <w:lang w:val="en-US"/>
        </w:rPr>
        <w:t xml:space="preserve">policies </w:t>
      </w:r>
      <w:r w:rsidR="00681155">
        <w:rPr>
          <w:lang w:val="en-US"/>
        </w:rPr>
        <w:t>which we found in our review of annual reports</w:t>
      </w:r>
      <w:r w:rsidR="00D4184D">
        <w:rPr>
          <w:lang w:val="en-US"/>
        </w:rPr>
        <w:t>.</w:t>
      </w:r>
    </w:p>
    <w:p w14:paraId="703784BC" w14:textId="15CA5311" w:rsidR="00C34080" w:rsidRDefault="003774B8">
      <w:pPr>
        <w:rPr>
          <w:lang w:val="en-US"/>
        </w:rPr>
      </w:pPr>
      <w:r>
        <w:rPr>
          <w:lang w:val="en-US"/>
        </w:rPr>
        <w:t>Method 1</w:t>
      </w:r>
      <w:r w:rsidR="00F41C76">
        <w:rPr>
          <w:lang w:val="en-US"/>
        </w:rPr>
        <w:t xml:space="preserve"> in Figure 1</w:t>
      </w:r>
      <w:r>
        <w:rPr>
          <w:lang w:val="en-US"/>
        </w:rPr>
        <w:t xml:space="preserve"> </w:t>
      </w:r>
      <w:r w:rsidR="00045A4D">
        <w:rPr>
          <w:lang w:val="en-US"/>
        </w:rPr>
        <w:t>is</w:t>
      </w:r>
      <w:r>
        <w:rPr>
          <w:lang w:val="en-US"/>
        </w:rPr>
        <w:t xml:space="preserve"> the most conservative</w:t>
      </w:r>
      <w:r w:rsidR="00045A4D">
        <w:rPr>
          <w:lang w:val="en-US"/>
        </w:rPr>
        <w:t xml:space="preserve"> as it</w:t>
      </w:r>
      <w:r w:rsidR="001861CC">
        <w:rPr>
          <w:lang w:val="en-US"/>
        </w:rPr>
        <w:t xml:space="preserve"> expens</w:t>
      </w:r>
      <w:r w:rsidR="00045A4D">
        <w:rPr>
          <w:lang w:val="en-US"/>
        </w:rPr>
        <w:t>es</w:t>
      </w:r>
      <w:r w:rsidR="001861CC">
        <w:rPr>
          <w:lang w:val="en-US"/>
        </w:rPr>
        <w:t xml:space="preserve"> all E&amp;</w:t>
      </w:r>
      <w:r w:rsidR="00C34080">
        <w:rPr>
          <w:lang w:val="en-US"/>
        </w:rPr>
        <w:t>E costs</w:t>
      </w:r>
      <w:r w:rsidR="00045A4D">
        <w:rPr>
          <w:lang w:val="en-US"/>
        </w:rPr>
        <w:t>.</w:t>
      </w:r>
      <w:r w:rsidR="006F740F">
        <w:rPr>
          <w:lang w:val="en-US"/>
        </w:rPr>
        <w:t xml:space="preserve"> </w:t>
      </w:r>
      <w:r w:rsidR="0082400F">
        <w:rPr>
          <w:lang w:val="en-US"/>
        </w:rPr>
        <w:t xml:space="preserve">Method </w:t>
      </w:r>
      <w:r w:rsidR="00045A4D">
        <w:rPr>
          <w:lang w:val="en-US"/>
        </w:rPr>
        <w:t>2</w:t>
      </w:r>
      <w:r w:rsidR="006F740F">
        <w:rPr>
          <w:lang w:val="en-US"/>
        </w:rPr>
        <w:t xml:space="preserve"> </w:t>
      </w:r>
      <w:proofErr w:type="spellStart"/>
      <w:r w:rsidR="006F740F">
        <w:rPr>
          <w:lang w:val="en-US"/>
        </w:rPr>
        <w:t>capitali</w:t>
      </w:r>
      <w:r w:rsidR="000A1B3F">
        <w:rPr>
          <w:lang w:val="en-US"/>
        </w:rPr>
        <w:t>s</w:t>
      </w:r>
      <w:r w:rsidR="006F740F">
        <w:rPr>
          <w:lang w:val="en-US"/>
        </w:rPr>
        <w:t>es</w:t>
      </w:r>
      <w:proofErr w:type="spellEnd"/>
      <w:r w:rsidR="006F740F">
        <w:rPr>
          <w:lang w:val="en-US"/>
        </w:rPr>
        <w:t xml:space="preserve"> </w:t>
      </w:r>
      <w:r w:rsidR="0082400F">
        <w:rPr>
          <w:lang w:val="en-US"/>
        </w:rPr>
        <w:t xml:space="preserve">acquisitions </w:t>
      </w:r>
      <w:r w:rsidR="006F740F">
        <w:rPr>
          <w:lang w:val="en-US"/>
        </w:rPr>
        <w:t xml:space="preserve">only, and </w:t>
      </w:r>
      <w:r w:rsidR="0082400F">
        <w:rPr>
          <w:lang w:val="en-US"/>
        </w:rPr>
        <w:t xml:space="preserve">Method </w:t>
      </w:r>
      <w:r w:rsidR="006F740F">
        <w:rPr>
          <w:lang w:val="en-US"/>
        </w:rPr>
        <w:t>3</w:t>
      </w:r>
      <w:r w:rsidR="00371D19">
        <w:rPr>
          <w:lang w:val="en-US"/>
        </w:rPr>
        <w:t xml:space="preserve"> </w:t>
      </w:r>
      <w:proofErr w:type="spellStart"/>
      <w:r w:rsidR="006F740F">
        <w:rPr>
          <w:lang w:val="en-US"/>
        </w:rPr>
        <w:t>capitali</w:t>
      </w:r>
      <w:r w:rsidR="000A1B3F">
        <w:rPr>
          <w:lang w:val="en-US"/>
        </w:rPr>
        <w:t>s</w:t>
      </w:r>
      <w:r w:rsidR="006F740F">
        <w:rPr>
          <w:lang w:val="en-US"/>
        </w:rPr>
        <w:t>es</w:t>
      </w:r>
      <w:proofErr w:type="spellEnd"/>
      <w:r w:rsidR="006F740F">
        <w:rPr>
          <w:lang w:val="en-US"/>
        </w:rPr>
        <w:t xml:space="preserve"> only those </w:t>
      </w:r>
      <w:r w:rsidR="00A65291">
        <w:rPr>
          <w:lang w:val="en-US"/>
        </w:rPr>
        <w:t xml:space="preserve">costs incurred </w:t>
      </w:r>
      <w:r w:rsidR="006F740F">
        <w:rPr>
          <w:lang w:val="en-US"/>
        </w:rPr>
        <w:t xml:space="preserve">after </w:t>
      </w:r>
      <w:r w:rsidR="001861CC">
        <w:rPr>
          <w:lang w:val="en-US"/>
        </w:rPr>
        <w:t xml:space="preserve">production is assessed as viable. </w:t>
      </w:r>
      <w:r w:rsidR="00DD6916">
        <w:rPr>
          <w:lang w:val="en-US"/>
        </w:rPr>
        <w:t xml:space="preserve">The remaining methods all involve </w:t>
      </w:r>
      <w:r w:rsidR="00353F4F">
        <w:rPr>
          <w:lang w:val="en-US"/>
        </w:rPr>
        <w:t>t</w:t>
      </w:r>
      <w:r w:rsidR="002741C5">
        <w:rPr>
          <w:lang w:val="en-US"/>
        </w:rPr>
        <w:t>he</w:t>
      </w:r>
      <w:r w:rsidR="00D1127F">
        <w:rPr>
          <w:lang w:val="en-US"/>
        </w:rPr>
        <w:t xml:space="preserve"> deferral</w:t>
      </w:r>
      <w:r w:rsidR="002741C5">
        <w:rPr>
          <w:lang w:val="en-US"/>
        </w:rPr>
        <w:t xml:space="preserve"> </w:t>
      </w:r>
      <w:r w:rsidR="006F740F">
        <w:rPr>
          <w:lang w:val="en-US"/>
        </w:rPr>
        <w:t xml:space="preserve">of costs but </w:t>
      </w:r>
      <w:r w:rsidR="00045A4D">
        <w:rPr>
          <w:lang w:val="en-US"/>
        </w:rPr>
        <w:t xml:space="preserve">they </w:t>
      </w:r>
      <w:r w:rsidR="008E4122">
        <w:rPr>
          <w:lang w:val="en-US"/>
        </w:rPr>
        <w:t xml:space="preserve">vary </w:t>
      </w:r>
      <w:r w:rsidR="0095386E">
        <w:rPr>
          <w:lang w:val="en-US"/>
        </w:rPr>
        <w:t xml:space="preserve">in the </w:t>
      </w:r>
      <w:r w:rsidR="00C33237">
        <w:rPr>
          <w:lang w:val="en-US"/>
        </w:rPr>
        <w:t>range</w:t>
      </w:r>
      <w:r w:rsidR="0095386E">
        <w:rPr>
          <w:lang w:val="en-US"/>
        </w:rPr>
        <w:t xml:space="preserve"> of costs deferred and </w:t>
      </w:r>
      <w:r w:rsidR="008E4122">
        <w:rPr>
          <w:lang w:val="en-US"/>
        </w:rPr>
        <w:t xml:space="preserve">by the scope of </w:t>
      </w:r>
      <w:r w:rsidR="00305CAE">
        <w:rPr>
          <w:lang w:val="en-US"/>
        </w:rPr>
        <w:t xml:space="preserve">the </w:t>
      </w:r>
      <w:r w:rsidR="008E4122">
        <w:rPr>
          <w:lang w:val="en-US"/>
        </w:rPr>
        <w:t>appraisal</w:t>
      </w:r>
      <w:r w:rsidR="00305CAE">
        <w:rPr>
          <w:lang w:val="en-US"/>
        </w:rPr>
        <w:t xml:space="preserve"> of viability</w:t>
      </w:r>
      <w:r w:rsidR="00F77EC2">
        <w:rPr>
          <w:lang w:val="en-US"/>
        </w:rPr>
        <w:t>,</w:t>
      </w:r>
      <w:r w:rsidR="008E4122">
        <w:rPr>
          <w:lang w:val="en-US"/>
        </w:rPr>
        <w:t xml:space="preserve"> </w:t>
      </w:r>
      <w:r w:rsidR="00A51CDC">
        <w:rPr>
          <w:lang w:val="en-US"/>
        </w:rPr>
        <w:t>the</w:t>
      </w:r>
      <w:r w:rsidR="008E4122">
        <w:rPr>
          <w:lang w:val="en-US"/>
        </w:rPr>
        <w:t xml:space="preserve"> unit of account</w:t>
      </w:r>
      <w:r w:rsidR="00BF0E6D">
        <w:rPr>
          <w:lang w:val="en-US"/>
        </w:rPr>
        <w:t xml:space="preserve"> (see Gray et al. 2019</w:t>
      </w:r>
      <w:r w:rsidR="00B3723F">
        <w:rPr>
          <w:lang w:val="en-US"/>
        </w:rPr>
        <w:t>,</w:t>
      </w:r>
      <w:r w:rsidR="00BF0E6D">
        <w:rPr>
          <w:lang w:val="en-US"/>
        </w:rPr>
        <w:t xml:space="preserve"> pp.50-5</w:t>
      </w:r>
      <w:r w:rsidR="009568DE">
        <w:rPr>
          <w:lang w:val="en-US"/>
        </w:rPr>
        <w:t>2</w:t>
      </w:r>
      <w:r w:rsidR="00BF0E6D">
        <w:rPr>
          <w:lang w:val="en-US"/>
        </w:rPr>
        <w:t>).</w:t>
      </w:r>
      <w:r w:rsidR="00461031" w:rsidRPr="00461031">
        <w:rPr>
          <w:lang w:val="en-US"/>
        </w:rPr>
        <w:t xml:space="preserve"> </w:t>
      </w:r>
      <w:r w:rsidR="00461031">
        <w:rPr>
          <w:lang w:val="en-US"/>
        </w:rPr>
        <w:t xml:space="preserve">In the past, an alternative to deferral had been initially to expense all costs but later to </w:t>
      </w:r>
      <w:proofErr w:type="spellStart"/>
      <w:r w:rsidR="00461031">
        <w:rPr>
          <w:lang w:val="en-US"/>
        </w:rPr>
        <w:t>capitali</w:t>
      </w:r>
      <w:r w:rsidR="000A1B3F">
        <w:rPr>
          <w:lang w:val="en-US"/>
        </w:rPr>
        <w:t>s</w:t>
      </w:r>
      <w:r w:rsidR="00461031">
        <w:rPr>
          <w:lang w:val="en-US"/>
        </w:rPr>
        <w:t>e</w:t>
      </w:r>
      <w:proofErr w:type="spellEnd"/>
      <w:r w:rsidR="00461031">
        <w:rPr>
          <w:lang w:val="en-US"/>
        </w:rPr>
        <w:t xml:space="preserve"> some of the previously expensed costs by restating financial statements (see FASB 1977, para. 115). We did not find such a policy in our survey.</w:t>
      </w:r>
    </w:p>
    <w:p w14:paraId="160A649A" w14:textId="7250DC0E" w:rsidR="00914EB9" w:rsidRDefault="005918B7">
      <w:pPr>
        <w:rPr>
          <w:lang w:val="en-US"/>
        </w:rPr>
      </w:pPr>
      <w:r>
        <w:rPr>
          <w:lang w:val="en-US"/>
        </w:rPr>
        <w:t>Meth</w:t>
      </w:r>
      <w:r w:rsidR="003774B8">
        <w:rPr>
          <w:lang w:val="en-US"/>
        </w:rPr>
        <w:t xml:space="preserve">od </w:t>
      </w:r>
      <w:r w:rsidR="0095386E">
        <w:rPr>
          <w:lang w:val="en-US"/>
        </w:rPr>
        <w:t>4</w:t>
      </w:r>
      <w:r w:rsidR="003774B8">
        <w:rPr>
          <w:lang w:val="en-US"/>
        </w:rPr>
        <w:t xml:space="preserve"> </w:t>
      </w:r>
      <w:r w:rsidR="00DC6ABC">
        <w:rPr>
          <w:lang w:val="en-US"/>
        </w:rPr>
        <w:t>is</w:t>
      </w:r>
      <w:r w:rsidR="00305CAE">
        <w:rPr>
          <w:lang w:val="en-US"/>
        </w:rPr>
        <w:t xml:space="preserve"> the most conservative</w:t>
      </w:r>
      <w:r w:rsidR="00A90432">
        <w:rPr>
          <w:lang w:val="en-US"/>
        </w:rPr>
        <w:t xml:space="preserve"> of the deferral methods</w:t>
      </w:r>
      <w:r w:rsidR="00305CAE">
        <w:rPr>
          <w:lang w:val="en-US"/>
        </w:rPr>
        <w:t>, having</w:t>
      </w:r>
      <w:r w:rsidR="00353F4F">
        <w:rPr>
          <w:lang w:val="en-US"/>
        </w:rPr>
        <w:t xml:space="preserve"> the narrowest </w:t>
      </w:r>
      <w:r w:rsidR="0095386E">
        <w:rPr>
          <w:lang w:val="en-US"/>
        </w:rPr>
        <w:t xml:space="preserve">range of deferred costs and a narrow </w:t>
      </w:r>
      <w:r w:rsidR="00353F4F">
        <w:rPr>
          <w:lang w:val="en-US"/>
        </w:rPr>
        <w:t>scope</w:t>
      </w:r>
      <w:r w:rsidR="0095386E">
        <w:rPr>
          <w:lang w:val="en-US"/>
        </w:rPr>
        <w:t xml:space="preserve"> of appraisal for viability. </w:t>
      </w:r>
      <w:r w:rsidR="003D459C">
        <w:rPr>
          <w:lang w:val="en-US"/>
        </w:rPr>
        <w:t>Th</w:t>
      </w:r>
      <w:r w:rsidR="00DC6ABC">
        <w:rPr>
          <w:lang w:val="en-US"/>
        </w:rPr>
        <w:t>is is the</w:t>
      </w:r>
      <w:r w:rsidR="00DD6916">
        <w:rPr>
          <w:lang w:val="en-US"/>
        </w:rPr>
        <w:t xml:space="preserve"> ‘successful efforts’</w:t>
      </w:r>
      <w:r w:rsidR="00DC6ABC">
        <w:rPr>
          <w:lang w:val="en-US"/>
        </w:rPr>
        <w:t xml:space="preserve"> method in terms of </w:t>
      </w:r>
      <w:r w:rsidR="009B6A14">
        <w:rPr>
          <w:lang w:val="en-US"/>
        </w:rPr>
        <w:t>US GAAP</w:t>
      </w:r>
      <w:r w:rsidR="00DC6ABC">
        <w:rPr>
          <w:lang w:val="en-US"/>
        </w:rPr>
        <w:t>.</w:t>
      </w:r>
      <w:r w:rsidR="009B6A14">
        <w:rPr>
          <w:rStyle w:val="FootnoteReference"/>
          <w:lang w:val="en-US"/>
        </w:rPr>
        <w:footnoteReference w:id="15"/>
      </w:r>
      <w:r w:rsidR="009B6A14">
        <w:rPr>
          <w:lang w:val="en-US"/>
        </w:rPr>
        <w:t xml:space="preserve"> </w:t>
      </w:r>
      <w:r w:rsidR="00DC6ABC">
        <w:rPr>
          <w:lang w:val="en-US"/>
        </w:rPr>
        <w:t xml:space="preserve">Under this method, </w:t>
      </w:r>
      <w:r w:rsidR="0008719C">
        <w:rPr>
          <w:lang w:val="en-US"/>
        </w:rPr>
        <w:t>pre-</w:t>
      </w:r>
      <w:proofErr w:type="spellStart"/>
      <w:r w:rsidR="0008719C">
        <w:rPr>
          <w:lang w:val="en-US"/>
        </w:rPr>
        <w:t>licen</w:t>
      </w:r>
      <w:r w:rsidR="00A21A2A">
        <w:rPr>
          <w:lang w:val="en-US"/>
        </w:rPr>
        <w:t>c</w:t>
      </w:r>
      <w:r w:rsidR="0008719C">
        <w:rPr>
          <w:lang w:val="en-US"/>
        </w:rPr>
        <w:t>e</w:t>
      </w:r>
      <w:proofErr w:type="spellEnd"/>
      <w:r w:rsidR="00F41C76">
        <w:rPr>
          <w:lang w:val="en-US"/>
        </w:rPr>
        <w:t xml:space="preserve"> </w:t>
      </w:r>
      <w:r w:rsidR="0008719C">
        <w:rPr>
          <w:lang w:val="en-US"/>
        </w:rPr>
        <w:t xml:space="preserve">costs and </w:t>
      </w:r>
      <w:r w:rsidR="00225D6E">
        <w:rPr>
          <w:lang w:val="en-US"/>
        </w:rPr>
        <w:t>geological</w:t>
      </w:r>
      <w:r w:rsidR="001726F9">
        <w:rPr>
          <w:lang w:val="en-US"/>
        </w:rPr>
        <w:t xml:space="preserve"> and </w:t>
      </w:r>
      <w:r w:rsidR="00225D6E">
        <w:rPr>
          <w:lang w:val="en-US"/>
        </w:rPr>
        <w:t xml:space="preserve">geophysical </w:t>
      </w:r>
      <w:r w:rsidR="00BA513C">
        <w:rPr>
          <w:lang w:val="en-US"/>
        </w:rPr>
        <w:t xml:space="preserve">(G&amp;G) </w:t>
      </w:r>
      <w:r w:rsidR="009B6A14">
        <w:rPr>
          <w:lang w:val="en-US"/>
        </w:rPr>
        <w:t xml:space="preserve">exploration costs </w:t>
      </w:r>
      <w:r w:rsidR="00DC6ABC">
        <w:rPr>
          <w:lang w:val="en-US"/>
        </w:rPr>
        <w:t>are</w:t>
      </w:r>
      <w:r w:rsidR="009B6A14">
        <w:rPr>
          <w:lang w:val="en-US"/>
        </w:rPr>
        <w:t xml:space="preserve"> expensed, </w:t>
      </w:r>
      <w:r w:rsidR="00DC6ABC">
        <w:rPr>
          <w:lang w:val="en-US"/>
        </w:rPr>
        <w:t xml:space="preserve">but </w:t>
      </w:r>
      <w:r w:rsidR="009B6A14">
        <w:rPr>
          <w:lang w:val="en-US"/>
        </w:rPr>
        <w:t>dr</w:t>
      </w:r>
      <w:r w:rsidR="00A53268">
        <w:rPr>
          <w:lang w:val="en-US"/>
        </w:rPr>
        <w:t xml:space="preserve">illing </w:t>
      </w:r>
      <w:r w:rsidR="001726F9">
        <w:rPr>
          <w:lang w:val="en-US"/>
        </w:rPr>
        <w:t xml:space="preserve">and evaluation </w:t>
      </w:r>
      <w:r w:rsidR="00A53268">
        <w:rPr>
          <w:lang w:val="en-US"/>
        </w:rPr>
        <w:t xml:space="preserve">costs </w:t>
      </w:r>
      <w:r w:rsidR="00F77EC2">
        <w:rPr>
          <w:lang w:val="en-US"/>
        </w:rPr>
        <w:t>are</w:t>
      </w:r>
      <w:r w:rsidR="00A53268">
        <w:rPr>
          <w:lang w:val="en-US"/>
        </w:rPr>
        <w:t xml:space="preserve"> deferr</w:t>
      </w:r>
      <w:r w:rsidR="009B6A14">
        <w:rPr>
          <w:lang w:val="en-US"/>
        </w:rPr>
        <w:t xml:space="preserve">ed, pending determination of </w:t>
      </w:r>
      <w:r w:rsidR="00C74A29">
        <w:rPr>
          <w:lang w:val="en-US"/>
        </w:rPr>
        <w:t>proved reserves</w:t>
      </w:r>
      <w:r w:rsidR="00A53268">
        <w:rPr>
          <w:lang w:val="en-US"/>
        </w:rPr>
        <w:t xml:space="preserve"> and an impairment test </w:t>
      </w:r>
      <w:r w:rsidR="00C74A29">
        <w:rPr>
          <w:lang w:val="en-US"/>
        </w:rPr>
        <w:t>by property or field.</w:t>
      </w:r>
      <w:r w:rsidR="00847A1A">
        <w:rPr>
          <w:rStyle w:val="FootnoteReference"/>
          <w:lang w:val="en-US"/>
        </w:rPr>
        <w:footnoteReference w:id="16"/>
      </w:r>
      <w:r w:rsidR="003D459C">
        <w:rPr>
          <w:lang w:val="en-US"/>
        </w:rPr>
        <w:t xml:space="preserve"> </w:t>
      </w:r>
      <w:r w:rsidR="009555FE">
        <w:rPr>
          <w:lang w:val="en-US"/>
        </w:rPr>
        <w:t>The former</w:t>
      </w:r>
      <w:r w:rsidR="0008719C">
        <w:rPr>
          <w:rStyle w:val="FootnoteReference"/>
          <w:lang w:val="en-US"/>
        </w:rPr>
        <w:footnoteReference w:id="17"/>
      </w:r>
      <w:r w:rsidR="009555FE">
        <w:rPr>
          <w:lang w:val="en-US"/>
        </w:rPr>
        <w:t xml:space="preserve"> UK version of the successful efforts method was </w:t>
      </w:r>
      <w:r w:rsidR="0008719C">
        <w:rPr>
          <w:lang w:val="en-US"/>
        </w:rPr>
        <w:t xml:space="preserve">less conservative, in that it </w:t>
      </w:r>
      <w:r w:rsidR="00450400">
        <w:rPr>
          <w:lang w:val="en-US"/>
        </w:rPr>
        <w:t>expanded the deferral to</w:t>
      </w:r>
      <w:r w:rsidR="0008719C">
        <w:rPr>
          <w:lang w:val="en-US"/>
        </w:rPr>
        <w:t xml:space="preserve"> pre-</w:t>
      </w:r>
      <w:proofErr w:type="spellStart"/>
      <w:r w:rsidR="0008719C">
        <w:rPr>
          <w:lang w:val="en-US"/>
        </w:rPr>
        <w:t>licen</w:t>
      </w:r>
      <w:r w:rsidR="00A21A2A">
        <w:rPr>
          <w:lang w:val="en-US"/>
        </w:rPr>
        <w:t>c</w:t>
      </w:r>
      <w:r w:rsidR="0008719C">
        <w:rPr>
          <w:lang w:val="en-US"/>
        </w:rPr>
        <w:t>e</w:t>
      </w:r>
      <w:proofErr w:type="spellEnd"/>
      <w:r w:rsidR="0008719C">
        <w:rPr>
          <w:lang w:val="en-US"/>
        </w:rPr>
        <w:t xml:space="preserve"> and G&amp;G costs (OIAC 2001, para. 50)</w:t>
      </w:r>
      <w:r w:rsidR="002714B6">
        <w:rPr>
          <w:lang w:val="en-US"/>
        </w:rPr>
        <w:t>, so it does not fit any of our Methods</w:t>
      </w:r>
      <w:r w:rsidR="00F41C76">
        <w:rPr>
          <w:lang w:val="en-US"/>
        </w:rPr>
        <w:t>, and we did not find it in IFRS practice</w:t>
      </w:r>
      <w:r w:rsidR="0008719C">
        <w:rPr>
          <w:lang w:val="en-US"/>
        </w:rPr>
        <w:t xml:space="preserve">. </w:t>
      </w:r>
      <w:r w:rsidR="00887F5C">
        <w:rPr>
          <w:lang w:val="en-US"/>
        </w:rPr>
        <w:t xml:space="preserve">Method 5 </w:t>
      </w:r>
      <w:r w:rsidR="001617F3">
        <w:rPr>
          <w:lang w:val="en-US"/>
        </w:rPr>
        <w:t>uses the</w:t>
      </w:r>
      <w:r w:rsidR="00887F5C">
        <w:rPr>
          <w:lang w:val="en-US"/>
        </w:rPr>
        <w:t xml:space="preserve"> wider impairment pool of a geological area</w:t>
      </w:r>
      <w:r w:rsidR="001726F9">
        <w:rPr>
          <w:lang w:val="en-US"/>
        </w:rPr>
        <w:t>, and thus</w:t>
      </w:r>
      <w:r w:rsidR="001726F9" w:rsidRPr="001726F9">
        <w:rPr>
          <w:lang w:val="en-US"/>
        </w:rPr>
        <w:t xml:space="preserve"> </w:t>
      </w:r>
      <w:r w:rsidR="001726F9">
        <w:rPr>
          <w:lang w:val="en-US"/>
        </w:rPr>
        <w:t>does not fully fit the US definition of ‘successful efforts’</w:t>
      </w:r>
      <w:r w:rsidR="00887F5C">
        <w:rPr>
          <w:lang w:val="en-US"/>
        </w:rPr>
        <w:t>.</w:t>
      </w:r>
    </w:p>
    <w:p w14:paraId="5FA380F4" w14:textId="3A2AD323" w:rsidR="007014BE" w:rsidRPr="00C3452D" w:rsidRDefault="00914EB9" w:rsidP="00FD1ACB">
      <w:pPr>
        <w:rPr>
          <w:lang w:val="en-US"/>
        </w:rPr>
      </w:pPr>
      <w:r>
        <w:rPr>
          <w:lang w:val="en-US"/>
        </w:rPr>
        <w:lastRenderedPageBreak/>
        <w:t xml:space="preserve">Methods </w:t>
      </w:r>
      <w:r w:rsidR="00FA6EE4">
        <w:rPr>
          <w:lang w:val="en-US"/>
        </w:rPr>
        <w:t>6</w:t>
      </w:r>
      <w:r>
        <w:rPr>
          <w:lang w:val="en-US"/>
        </w:rPr>
        <w:t xml:space="preserve"> to </w:t>
      </w:r>
      <w:r w:rsidR="00424901">
        <w:rPr>
          <w:lang w:val="en-US"/>
        </w:rPr>
        <w:t>10</w:t>
      </w:r>
      <w:r>
        <w:rPr>
          <w:lang w:val="en-US"/>
        </w:rPr>
        <w:t xml:space="preserve"> </w:t>
      </w:r>
      <w:r w:rsidR="00FD1ACB">
        <w:rPr>
          <w:lang w:val="en-US"/>
        </w:rPr>
        <w:t xml:space="preserve">of Figure 1 </w:t>
      </w:r>
      <w:r>
        <w:rPr>
          <w:lang w:val="en-US"/>
        </w:rPr>
        <w:t>defer</w:t>
      </w:r>
      <w:r w:rsidR="00424901">
        <w:rPr>
          <w:lang w:val="en-US"/>
        </w:rPr>
        <w:t xml:space="preserve"> </w:t>
      </w:r>
      <w:r>
        <w:rPr>
          <w:lang w:val="en-US"/>
        </w:rPr>
        <w:t>all but pre-</w:t>
      </w:r>
      <w:proofErr w:type="spellStart"/>
      <w:r>
        <w:rPr>
          <w:lang w:val="en-US"/>
        </w:rPr>
        <w:t>licen</w:t>
      </w:r>
      <w:r w:rsidR="00A21A2A">
        <w:rPr>
          <w:lang w:val="en-US"/>
        </w:rPr>
        <w:t>c</w:t>
      </w:r>
      <w:r>
        <w:rPr>
          <w:lang w:val="en-US"/>
        </w:rPr>
        <w:t>e</w:t>
      </w:r>
      <w:proofErr w:type="spellEnd"/>
      <w:r>
        <w:rPr>
          <w:lang w:val="en-US"/>
        </w:rPr>
        <w:t xml:space="preserve"> costs. These m</w:t>
      </w:r>
      <w:r w:rsidR="003D459C">
        <w:rPr>
          <w:lang w:val="en-US"/>
        </w:rPr>
        <w:t>ethods vary by the size of the pool for the testing of impairment</w:t>
      </w:r>
      <w:r w:rsidR="00424901">
        <w:rPr>
          <w:lang w:val="en-US"/>
        </w:rPr>
        <w:t xml:space="preserve">: </w:t>
      </w:r>
      <w:r w:rsidR="003D459C">
        <w:rPr>
          <w:lang w:val="en-US"/>
        </w:rPr>
        <w:t>project</w:t>
      </w:r>
      <w:r w:rsidR="00E52D94">
        <w:rPr>
          <w:lang w:val="en-US"/>
        </w:rPr>
        <w:t xml:space="preserve">, </w:t>
      </w:r>
      <w:r w:rsidR="00AB57CC">
        <w:rPr>
          <w:lang w:val="en-US"/>
        </w:rPr>
        <w:t>‘geological area’</w:t>
      </w:r>
      <w:r w:rsidR="00424901">
        <w:rPr>
          <w:lang w:val="en-US"/>
        </w:rPr>
        <w:t>,</w:t>
      </w:r>
      <w:r w:rsidR="0038475D">
        <w:rPr>
          <w:lang w:val="en-US"/>
        </w:rPr>
        <w:t xml:space="preserve"> country</w:t>
      </w:r>
      <w:r w:rsidR="00424901">
        <w:rPr>
          <w:lang w:val="en-US"/>
        </w:rPr>
        <w:t>,</w:t>
      </w:r>
      <w:r w:rsidR="00AB57CC">
        <w:rPr>
          <w:lang w:val="en-US"/>
        </w:rPr>
        <w:t xml:space="preserve"> segment</w:t>
      </w:r>
      <w:r w:rsidR="00E52D94">
        <w:rPr>
          <w:lang w:val="en-US"/>
        </w:rPr>
        <w:t xml:space="preserve"> or the whole E&amp;E operation.</w:t>
      </w:r>
      <w:r w:rsidR="00FD1ACB">
        <w:rPr>
          <w:lang w:val="en-US"/>
        </w:rPr>
        <w:t xml:space="preserve"> </w:t>
      </w:r>
      <w:r w:rsidR="006F4DCF">
        <w:rPr>
          <w:lang w:val="en-US"/>
        </w:rPr>
        <w:t>T</w:t>
      </w:r>
      <w:r w:rsidR="00D86C24">
        <w:rPr>
          <w:lang w:val="en-US"/>
        </w:rPr>
        <w:t xml:space="preserve">hese </w:t>
      </w:r>
      <w:r w:rsidR="00424901">
        <w:rPr>
          <w:lang w:val="en-US"/>
        </w:rPr>
        <w:t>deferral methods</w:t>
      </w:r>
      <w:r w:rsidR="00D86C24">
        <w:rPr>
          <w:lang w:val="en-US"/>
        </w:rPr>
        <w:t xml:space="preserve"> </w:t>
      </w:r>
      <w:r w:rsidR="009272A1">
        <w:rPr>
          <w:lang w:val="en-US"/>
        </w:rPr>
        <w:t xml:space="preserve">(most commonly Method 7) </w:t>
      </w:r>
      <w:r w:rsidR="00D86C24">
        <w:rPr>
          <w:lang w:val="en-US"/>
        </w:rPr>
        <w:t>are</w:t>
      </w:r>
      <w:r w:rsidR="0056620B">
        <w:rPr>
          <w:lang w:val="en-US"/>
        </w:rPr>
        <w:t xml:space="preserve"> </w:t>
      </w:r>
      <w:r w:rsidR="00D86C24">
        <w:rPr>
          <w:lang w:val="en-US"/>
        </w:rPr>
        <w:t>called ‘area of interest’</w:t>
      </w:r>
      <w:r w:rsidR="0056620B">
        <w:rPr>
          <w:lang w:val="en-US"/>
        </w:rPr>
        <w:t xml:space="preserve"> by</w:t>
      </w:r>
      <w:r w:rsidR="001726F9">
        <w:rPr>
          <w:lang w:val="en-US"/>
        </w:rPr>
        <w:t xml:space="preserve"> some</w:t>
      </w:r>
      <w:r w:rsidR="00D86C24">
        <w:rPr>
          <w:lang w:val="en-US"/>
        </w:rPr>
        <w:t xml:space="preserve"> IFRS firms</w:t>
      </w:r>
      <w:r w:rsidR="009272A1">
        <w:rPr>
          <w:lang w:val="en-US"/>
        </w:rPr>
        <w:t>, particularly Australian firms</w:t>
      </w:r>
      <w:r w:rsidR="00D86C24">
        <w:rPr>
          <w:lang w:val="en-US"/>
        </w:rPr>
        <w:t xml:space="preserve">. </w:t>
      </w:r>
      <w:r w:rsidR="00993A5A">
        <w:rPr>
          <w:lang w:val="en-US"/>
        </w:rPr>
        <w:t>As noted earlier</w:t>
      </w:r>
      <w:r w:rsidR="00D86C24">
        <w:rPr>
          <w:lang w:val="en-US"/>
        </w:rPr>
        <w:t xml:space="preserve">, </w:t>
      </w:r>
      <w:r w:rsidR="00061D4B">
        <w:rPr>
          <w:lang w:val="en-US"/>
        </w:rPr>
        <w:t xml:space="preserve">like ‘successful efforts’ and ‘full cost’, </w:t>
      </w:r>
      <w:r w:rsidR="00D86C24">
        <w:rPr>
          <w:lang w:val="en-US"/>
        </w:rPr>
        <w:t xml:space="preserve">this </w:t>
      </w:r>
      <w:r w:rsidR="00061D4B">
        <w:rPr>
          <w:lang w:val="en-US"/>
        </w:rPr>
        <w:t xml:space="preserve">term </w:t>
      </w:r>
      <w:r w:rsidR="00D86C24">
        <w:rPr>
          <w:lang w:val="en-US"/>
        </w:rPr>
        <w:t xml:space="preserve">is </w:t>
      </w:r>
      <w:r w:rsidR="00061D4B">
        <w:rPr>
          <w:lang w:val="en-US"/>
        </w:rPr>
        <w:t xml:space="preserve">not </w:t>
      </w:r>
      <w:r w:rsidR="00D86C24">
        <w:rPr>
          <w:lang w:val="en-US"/>
        </w:rPr>
        <w:t xml:space="preserve">defined </w:t>
      </w:r>
      <w:r w:rsidR="00061D4B">
        <w:rPr>
          <w:lang w:val="en-US"/>
        </w:rPr>
        <w:t>in IFRS 6</w:t>
      </w:r>
      <w:r w:rsidR="00D86C24">
        <w:rPr>
          <w:lang w:val="en-US"/>
        </w:rPr>
        <w:t>.</w:t>
      </w:r>
      <w:r w:rsidR="007E0061">
        <w:rPr>
          <w:lang w:val="en-US"/>
        </w:rPr>
        <w:t xml:space="preserve"> </w:t>
      </w:r>
      <w:r w:rsidR="00993A5A">
        <w:rPr>
          <w:lang w:val="en-US"/>
        </w:rPr>
        <w:t xml:space="preserve">However, the Australian version of IFRS 6 (i.e. AASB 6) </w:t>
      </w:r>
      <w:r w:rsidR="009272A1">
        <w:rPr>
          <w:lang w:val="en-US"/>
        </w:rPr>
        <w:t xml:space="preserve">imported a similar definition of ‘area of interest’ to that found in pre-IFRS Australian GAAP, related to geological area (see our Appendix A). </w:t>
      </w:r>
      <w:r w:rsidR="00FD1ACB">
        <w:rPr>
          <w:lang w:val="en-US"/>
        </w:rPr>
        <w:t xml:space="preserve">We </w:t>
      </w:r>
      <w:r w:rsidR="001726F9">
        <w:rPr>
          <w:lang w:val="en-US"/>
        </w:rPr>
        <w:t xml:space="preserve">also </w:t>
      </w:r>
      <w:r w:rsidR="006F4DCF">
        <w:rPr>
          <w:lang w:val="en-US"/>
        </w:rPr>
        <w:t xml:space="preserve">found firms which </w:t>
      </w:r>
      <w:r w:rsidR="007014BE" w:rsidRPr="00C3452D">
        <w:rPr>
          <w:lang w:val="en-US"/>
        </w:rPr>
        <w:t>mentioned both successful efforts and area of interest, for example:</w:t>
      </w:r>
    </w:p>
    <w:p w14:paraId="6E7BEBD0" w14:textId="395B9B95" w:rsidR="006F4DCF" w:rsidRDefault="007014BE" w:rsidP="00516EF5">
      <w:pPr>
        <w:spacing w:after="360" w:line="240" w:lineRule="auto"/>
        <w:ind w:left="851" w:firstLine="0"/>
        <w:rPr>
          <w:lang w:val="en-US"/>
        </w:rPr>
      </w:pPr>
      <w:r w:rsidRPr="00C3452D">
        <w:rPr>
          <w:lang w:val="en-US"/>
        </w:rPr>
        <w:t>Exploration and evaluation expenditure in respect of each area of interest is accounted for using the successful efforts method of accounting. (Buru Energy</w:t>
      </w:r>
      <w:r w:rsidR="00852C3F">
        <w:rPr>
          <w:lang w:val="en-US"/>
        </w:rPr>
        <w:t>,</w:t>
      </w:r>
      <w:r w:rsidR="00144C5E">
        <w:rPr>
          <w:lang w:val="en-US"/>
        </w:rPr>
        <w:t xml:space="preserve"> </w:t>
      </w:r>
      <w:r w:rsidR="00852C3F">
        <w:rPr>
          <w:lang w:val="en-US"/>
        </w:rPr>
        <w:t xml:space="preserve">2017 </w:t>
      </w:r>
      <w:r w:rsidR="00144C5E">
        <w:rPr>
          <w:lang w:val="en-US"/>
        </w:rPr>
        <w:t>Annual R</w:t>
      </w:r>
      <w:r w:rsidR="00824FF0">
        <w:rPr>
          <w:lang w:val="en-US"/>
        </w:rPr>
        <w:t>eport</w:t>
      </w:r>
      <w:r w:rsidRPr="00C3452D">
        <w:rPr>
          <w:lang w:val="en-US"/>
        </w:rPr>
        <w:t>, p.</w:t>
      </w:r>
      <w:r w:rsidR="00411C6D">
        <w:rPr>
          <w:lang w:val="en-US"/>
        </w:rPr>
        <w:t>44</w:t>
      </w:r>
      <w:r w:rsidRPr="00C3452D">
        <w:rPr>
          <w:lang w:val="en-US"/>
        </w:rPr>
        <w:t>)</w:t>
      </w:r>
    </w:p>
    <w:p w14:paraId="652A712A" w14:textId="06F0EA69" w:rsidR="007E0061" w:rsidRDefault="00424901">
      <w:pPr>
        <w:rPr>
          <w:lang w:val="en-US"/>
        </w:rPr>
      </w:pPr>
      <w:r>
        <w:rPr>
          <w:lang w:val="en-US"/>
        </w:rPr>
        <w:t>Lastly,</w:t>
      </w:r>
      <w:r w:rsidR="00503FAB">
        <w:rPr>
          <w:lang w:val="en-US"/>
        </w:rPr>
        <w:t xml:space="preserve"> </w:t>
      </w:r>
      <w:r>
        <w:rPr>
          <w:lang w:val="en-US"/>
        </w:rPr>
        <w:t xml:space="preserve">Method 11 uses </w:t>
      </w:r>
      <w:r w:rsidR="005918B7">
        <w:rPr>
          <w:lang w:val="en-US"/>
        </w:rPr>
        <w:t xml:space="preserve">the </w:t>
      </w:r>
      <w:r w:rsidR="00E52D94">
        <w:rPr>
          <w:lang w:val="en-US"/>
        </w:rPr>
        <w:t xml:space="preserve">widest </w:t>
      </w:r>
      <w:r w:rsidR="00951278">
        <w:rPr>
          <w:lang w:val="en-US"/>
        </w:rPr>
        <w:t>range</w:t>
      </w:r>
      <w:r w:rsidR="00503FAB">
        <w:rPr>
          <w:lang w:val="en-US"/>
        </w:rPr>
        <w:t xml:space="preserve"> of </w:t>
      </w:r>
      <w:proofErr w:type="spellStart"/>
      <w:r w:rsidR="00E52D94">
        <w:rPr>
          <w:lang w:val="en-US"/>
        </w:rPr>
        <w:t>capitali</w:t>
      </w:r>
      <w:r w:rsidR="000A1B3F">
        <w:rPr>
          <w:lang w:val="en-US"/>
        </w:rPr>
        <w:t>s</w:t>
      </w:r>
      <w:r w:rsidR="00E52D94">
        <w:rPr>
          <w:lang w:val="en-US"/>
        </w:rPr>
        <w:t>ed</w:t>
      </w:r>
      <w:proofErr w:type="spellEnd"/>
      <w:r w:rsidR="00E52D94">
        <w:rPr>
          <w:lang w:val="en-US"/>
        </w:rPr>
        <w:t xml:space="preserve"> costs and</w:t>
      </w:r>
      <w:r w:rsidR="00503FAB">
        <w:rPr>
          <w:lang w:val="en-US"/>
        </w:rPr>
        <w:t xml:space="preserve"> </w:t>
      </w:r>
      <w:r w:rsidR="006B21F0">
        <w:rPr>
          <w:lang w:val="en-US"/>
        </w:rPr>
        <w:t xml:space="preserve">the widest </w:t>
      </w:r>
      <w:r w:rsidR="005918B7">
        <w:rPr>
          <w:lang w:val="en-US"/>
        </w:rPr>
        <w:t xml:space="preserve">impairment </w:t>
      </w:r>
      <w:r w:rsidR="003774B8">
        <w:rPr>
          <w:lang w:val="en-US"/>
        </w:rPr>
        <w:t>pool</w:t>
      </w:r>
      <w:r>
        <w:rPr>
          <w:lang w:val="en-US"/>
        </w:rPr>
        <w:t>. This is the</w:t>
      </w:r>
      <w:r w:rsidR="005918B7">
        <w:rPr>
          <w:lang w:val="en-US"/>
        </w:rPr>
        <w:t xml:space="preserve"> ‘full cost’</w:t>
      </w:r>
      <w:r>
        <w:rPr>
          <w:lang w:val="en-US"/>
        </w:rPr>
        <w:t xml:space="preserve"> </w:t>
      </w:r>
      <w:r w:rsidR="001726F9">
        <w:rPr>
          <w:lang w:val="en-US"/>
        </w:rPr>
        <w:t xml:space="preserve">method </w:t>
      </w:r>
      <w:r>
        <w:rPr>
          <w:lang w:val="en-US"/>
        </w:rPr>
        <w:t>of</w:t>
      </w:r>
      <w:r w:rsidR="00DE1E00">
        <w:rPr>
          <w:lang w:val="en-US"/>
        </w:rPr>
        <w:t xml:space="preserve"> </w:t>
      </w:r>
      <w:r w:rsidR="000502FA">
        <w:rPr>
          <w:lang w:val="en-US"/>
        </w:rPr>
        <w:t>US</w:t>
      </w:r>
      <w:r w:rsidR="00131172">
        <w:rPr>
          <w:lang w:val="en-US"/>
        </w:rPr>
        <w:t xml:space="preserve"> </w:t>
      </w:r>
      <w:r w:rsidR="000502FA">
        <w:rPr>
          <w:lang w:val="en-US"/>
        </w:rPr>
        <w:t>GAAP</w:t>
      </w:r>
      <w:r w:rsidR="00DE1E00">
        <w:rPr>
          <w:lang w:val="en-US"/>
        </w:rPr>
        <w:t xml:space="preserve">, </w:t>
      </w:r>
      <w:r>
        <w:rPr>
          <w:lang w:val="en-US"/>
        </w:rPr>
        <w:t>as</w:t>
      </w:r>
      <w:r w:rsidR="0036198C">
        <w:rPr>
          <w:lang w:val="en-US"/>
        </w:rPr>
        <w:t xml:space="preserve"> defined by Regulation S-X (</w:t>
      </w:r>
      <w:r w:rsidR="00F639AD">
        <w:rPr>
          <w:lang w:val="en-US"/>
        </w:rPr>
        <w:t xml:space="preserve">Rule </w:t>
      </w:r>
      <w:r w:rsidR="0036198C">
        <w:rPr>
          <w:lang w:val="en-US"/>
        </w:rPr>
        <w:t>4-10)</w:t>
      </w:r>
      <w:r w:rsidR="00503FAB">
        <w:rPr>
          <w:lang w:val="en-US"/>
        </w:rPr>
        <w:t xml:space="preserve">. </w:t>
      </w:r>
      <w:r>
        <w:rPr>
          <w:lang w:val="en-US"/>
        </w:rPr>
        <w:t xml:space="preserve">Under this method, </w:t>
      </w:r>
      <w:r w:rsidR="00503FAB">
        <w:rPr>
          <w:lang w:val="en-US"/>
        </w:rPr>
        <w:t xml:space="preserve">all </w:t>
      </w:r>
      <w:r w:rsidR="0036198C">
        <w:rPr>
          <w:lang w:val="en-US"/>
        </w:rPr>
        <w:t>E&amp;E costs are</w:t>
      </w:r>
      <w:r w:rsidR="00BA29C1">
        <w:rPr>
          <w:lang w:val="en-US"/>
        </w:rPr>
        <w:t xml:space="preserve"> </w:t>
      </w:r>
      <w:proofErr w:type="spellStart"/>
      <w:r w:rsidR="0036198C">
        <w:rPr>
          <w:lang w:val="en-US"/>
        </w:rPr>
        <w:t>capitali</w:t>
      </w:r>
      <w:r w:rsidR="000A1B3F">
        <w:rPr>
          <w:lang w:val="en-US"/>
        </w:rPr>
        <w:t>s</w:t>
      </w:r>
      <w:r w:rsidR="0036198C">
        <w:rPr>
          <w:lang w:val="en-US"/>
        </w:rPr>
        <w:t>ed</w:t>
      </w:r>
      <w:proofErr w:type="spellEnd"/>
      <w:r w:rsidR="0036198C">
        <w:rPr>
          <w:lang w:val="en-US"/>
        </w:rPr>
        <w:t xml:space="preserve">, including </w:t>
      </w:r>
      <w:r w:rsidR="001726F9">
        <w:rPr>
          <w:lang w:val="en-US"/>
        </w:rPr>
        <w:t xml:space="preserve">even </w:t>
      </w:r>
      <w:r w:rsidR="0036198C">
        <w:rPr>
          <w:lang w:val="en-US"/>
        </w:rPr>
        <w:t xml:space="preserve">those incurred before obtaining legal rights. The costs are </w:t>
      </w:r>
      <w:r w:rsidR="00BA29C1">
        <w:rPr>
          <w:lang w:val="en-US"/>
        </w:rPr>
        <w:t xml:space="preserve">accumulated </w:t>
      </w:r>
      <w:r w:rsidR="0036198C">
        <w:rPr>
          <w:lang w:val="en-US"/>
        </w:rPr>
        <w:t>in country-by</w:t>
      </w:r>
      <w:r w:rsidR="00625B6E">
        <w:rPr>
          <w:lang w:val="en-US"/>
        </w:rPr>
        <w:t>-country pools</w:t>
      </w:r>
      <w:r>
        <w:rPr>
          <w:lang w:val="en-US"/>
        </w:rPr>
        <w:t>, and then subjected to an</w:t>
      </w:r>
      <w:r w:rsidR="00625B6E">
        <w:rPr>
          <w:lang w:val="en-US"/>
        </w:rPr>
        <w:t xml:space="preserve"> annual</w:t>
      </w:r>
      <w:r w:rsidR="00503FAB">
        <w:rPr>
          <w:lang w:val="en-US"/>
        </w:rPr>
        <w:t xml:space="preserve"> ‘cost center ceiling test’</w:t>
      </w:r>
      <w:r>
        <w:rPr>
          <w:lang w:val="en-US"/>
        </w:rPr>
        <w:t>.</w:t>
      </w:r>
      <w:r w:rsidR="00E543C8">
        <w:rPr>
          <w:rStyle w:val="FootnoteReference"/>
          <w:lang w:val="en-US"/>
        </w:rPr>
        <w:footnoteReference w:id="18"/>
      </w:r>
      <w:r w:rsidR="000502FA">
        <w:rPr>
          <w:lang w:val="en-US"/>
        </w:rPr>
        <w:t xml:space="preserve"> </w:t>
      </w:r>
      <w:r w:rsidR="00625B6E">
        <w:rPr>
          <w:lang w:val="en-US"/>
        </w:rPr>
        <w:t>This method can the</w:t>
      </w:r>
      <w:r w:rsidR="00D965D2">
        <w:rPr>
          <w:lang w:val="en-US"/>
        </w:rPr>
        <w:t>refore</w:t>
      </w:r>
      <w:r w:rsidR="00625B6E">
        <w:rPr>
          <w:lang w:val="en-US"/>
        </w:rPr>
        <w:t xml:space="preserve"> be seen more as conventional </w:t>
      </w:r>
      <w:proofErr w:type="spellStart"/>
      <w:r w:rsidR="00625B6E">
        <w:rPr>
          <w:lang w:val="en-US"/>
        </w:rPr>
        <w:t>capitali</w:t>
      </w:r>
      <w:r w:rsidR="00AC138E">
        <w:rPr>
          <w:lang w:val="en-US"/>
        </w:rPr>
        <w:t>s</w:t>
      </w:r>
      <w:r w:rsidR="00625B6E">
        <w:rPr>
          <w:lang w:val="en-US"/>
        </w:rPr>
        <w:t>ation</w:t>
      </w:r>
      <w:proofErr w:type="spellEnd"/>
      <w:r w:rsidR="00625B6E">
        <w:rPr>
          <w:lang w:val="en-US"/>
        </w:rPr>
        <w:t xml:space="preserve"> than as </w:t>
      </w:r>
      <w:r w:rsidR="001726F9">
        <w:rPr>
          <w:lang w:val="en-US"/>
        </w:rPr>
        <w:t xml:space="preserve">the </w:t>
      </w:r>
      <w:r w:rsidR="00625B6E">
        <w:rPr>
          <w:lang w:val="en-US"/>
        </w:rPr>
        <w:t>deferral of costs.</w:t>
      </w:r>
      <w:r w:rsidR="0008719C">
        <w:rPr>
          <w:lang w:val="en-US"/>
        </w:rPr>
        <w:t xml:space="preserve"> The UK version of ‘full cost’ allowed more flexibility on </w:t>
      </w:r>
      <w:r w:rsidR="00DF5743">
        <w:rPr>
          <w:lang w:val="en-US"/>
        </w:rPr>
        <w:t>cost</w:t>
      </w:r>
      <w:r w:rsidR="0008719C">
        <w:rPr>
          <w:lang w:val="en-US"/>
        </w:rPr>
        <w:t xml:space="preserve"> pools (OIAC 2001, para. 46).</w:t>
      </w:r>
    </w:p>
    <w:p w14:paraId="35C83FD3" w14:textId="4C6E5103" w:rsidR="00274247" w:rsidRPr="00442F2D" w:rsidRDefault="007B424E" w:rsidP="00FC703C">
      <w:pPr>
        <w:pStyle w:val="Heading1"/>
        <w:rPr>
          <w:lang w:val="en-US"/>
        </w:rPr>
      </w:pPr>
      <w:r w:rsidRPr="00442F2D">
        <w:rPr>
          <w:lang w:val="en-US"/>
        </w:rPr>
        <w:t>4</w:t>
      </w:r>
      <w:r w:rsidR="00556D4E">
        <w:rPr>
          <w:lang w:val="en-US"/>
        </w:rPr>
        <w:t xml:space="preserve">. </w:t>
      </w:r>
      <w:r w:rsidR="00443922">
        <w:rPr>
          <w:lang w:val="en-US"/>
        </w:rPr>
        <w:t>Which methods comply</w:t>
      </w:r>
      <w:r w:rsidR="00DD6916" w:rsidRPr="00442F2D">
        <w:rPr>
          <w:lang w:val="en-US"/>
        </w:rPr>
        <w:t xml:space="preserve"> with IFRS</w:t>
      </w:r>
      <w:r w:rsidR="00443922">
        <w:rPr>
          <w:lang w:val="en-US"/>
        </w:rPr>
        <w:t>?</w:t>
      </w:r>
    </w:p>
    <w:p w14:paraId="153DFFCD" w14:textId="1D0ED09E" w:rsidR="00E90FFF" w:rsidRDefault="00E90FFF" w:rsidP="004C5446">
      <w:pPr>
        <w:rPr>
          <w:lang w:val="en-US"/>
        </w:rPr>
      </w:pPr>
      <w:r>
        <w:rPr>
          <w:lang w:val="en-US"/>
        </w:rPr>
        <w:t xml:space="preserve">Before 2004, no requirements in IFRS specifically applied to E&amp;E </w:t>
      </w:r>
      <w:r w:rsidR="00793650">
        <w:rPr>
          <w:lang w:val="en-US"/>
        </w:rPr>
        <w:t>costs</w:t>
      </w:r>
      <w:r>
        <w:rPr>
          <w:lang w:val="en-US"/>
        </w:rPr>
        <w:t>. With the large-scale adoptions of IFRS in 2005, many firms with E&amp;E would therefore</w:t>
      </w:r>
      <w:r w:rsidR="00643240">
        <w:rPr>
          <w:lang w:val="en-US"/>
        </w:rPr>
        <w:t xml:space="preserve"> have been required by </w:t>
      </w:r>
      <w:r>
        <w:rPr>
          <w:lang w:val="en-US"/>
        </w:rPr>
        <w:t>IAS 8 (</w:t>
      </w:r>
      <w:r>
        <w:rPr>
          <w:i/>
          <w:iCs/>
          <w:lang w:val="en-US"/>
        </w:rPr>
        <w:t>Accounting Policies, Changes in Accounting Estimates and Errors</w:t>
      </w:r>
      <w:r w:rsidR="00643240">
        <w:rPr>
          <w:lang w:val="en-US"/>
        </w:rPr>
        <w:t>, paras. 1</w:t>
      </w:r>
      <w:r w:rsidR="00DE1AA6">
        <w:rPr>
          <w:lang w:val="en-US"/>
        </w:rPr>
        <w:t>1</w:t>
      </w:r>
      <w:r w:rsidR="00643240">
        <w:rPr>
          <w:lang w:val="en-US"/>
        </w:rPr>
        <w:t xml:space="preserve"> and 1</w:t>
      </w:r>
      <w:r w:rsidR="00DE1AA6">
        <w:rPr>
          <w:lang w:val="en-US"/>
        </w:rPr>
        <w:t>2</w:t>
      </w:r>
      <w:r w:rsidR="00643240">
        <w:rPr>
          <w:lang w:val="en-US"/>
        </w:rPr>
        <w:t>)</w:t>
      </w:r>
      <w:r>
        <w:rPr>
          <w:lang w:val="en-US"/>
        </w:rPr>
        <w:t xml:space="preserve"> to develop policies for E&amp;E which </w:t>
      </w:r>
      <w:r w:rsidR="00643240">
        <w:rPr>
          <w:lang w:val="en-US"/>
        </w:rPr>
        <w:t xml:space="preserve">fitted with </w:t>
      </w:r>
      <w:r w:rsidR="00443922">
        <w:rPr>
          <w:lang w:val="en-US"/>
        </w:rPr>
        <w:t xml:space="preserve">the </w:t>
      </w:r>
      <w:r w:rsidR="00643240">
        <w:rPr>
          <w:lang w:val="en-US"/>
        </w:rPr>
        <w:t xml:space="preserve">other </w:t>
      </w:r>
      <w:r w:rsidR="005B7FE4">
        <w:rPr>
          <w:lang w:val="en-US"/>
        </w:rPr>
        <w:t xml:space="preserve">IFRS </w:t>
      </w:r>
      <w:r w:rsidR="00643240">
        <w:rPr>
          <w:lang w:val="en-US"/>
        </w:rPr>
        <w:t>standards</w:t>
      </w:r>
      <w:r w:rsidR="00DE1AA6">
        <w:rPr>
          <w:lang w:val="en-US"/>
        </w:rPr>
        <w:t xml:space="preserve"> and</w:t>
      </w:r>
      <w:r w:rsidR="00DE1AA6" w:rsidRPr="00DE1AA6">
        <w:rPr>
          <w:lang w:val="en-US"/>
        </w:rPr>
        <w:t xml:space="preserve"> </w:t>
      </w:r>
      <w:r w:rsidR="00DE1AA6">
        <w:rPr>
          <w:lang w:val="en-US"/>
        </w:rPr>
        <w:t xml:space="preserve">which were consistent with the </w:t>
      </w:r>
      <w:r w:rsidR="00DE1AA6" w:rsidRPr="00643240">
        <w:rPr>
          <w:i/>
          <w:lang w:val="en-US"/>
        </w:rPr>
        <w:t>Conceptual Framework</w:t>
      </w:r>
      <w:r w:rsidR="00DE1AA6">
        <w:rPr>
          <w:i/>
          <w:lang w:val="en-US"/>
        </w:rPr>
        <w:t xml:space="preserve">’s </w:t>
      </w:r>
      <w:r w:rsidR="00DE1AA6" w:rsidRPr="005B5914">
        <w:rPr>
          <w:lang w:val="en-US"/>
        </w:rPr>
        <w:t>definitions and criteria on recognition and measurement</w:t>
      </w:r>
      <w:r>
        <w:rPr>
          <w:lang w:val="en-US"/>
        </w:rPr>
        <w:t>.</w:t>
      </w:r>
      <w:r w:rsidR="00A51CDC">
        <w:rPr>
          <w:lang w:val="en-US"/>
        </w:rPr>
        <w:t xml:space="preserve"> Therefore, </w:t>
      </w:r>
      <w:r>
        <w:rPr>
          <w:lang w:val="en-US"/>
        </w:rPr>
        <w:t xml:space="preserve">IFRS 6 </w:t>
      </w:r>
      <w:r w:rsidR="00A66CFD">
        <w:rPr>
          <w:lang w:val="en-US"/>
        </w:rPr>
        <w:t xml:space="preserve">was issued in 2004, for periods beginning on or after 1 January 2006 but with early application </w:t>
      </w:r>
      <w:r w:rsidR="00BB43DD">
        <w:rPr>
          <w:lang w:val="en-US"/>
        </w:rPr>
        <w:lastRenderedPageBreak/>
        <w:t>‘</w:t>
      </w:r>
      <w:r w:rsidR="00A66CFD">
        <w:rPr>
          <w:lang w:val="en-US"/>
        </w:rPr>
        <w:t>encouraged</w:t>
      </w:r>
      <w:r w:rsidR="00BB43DD">
        <w:rPr>
          <w:lang w:val="en-US"/>
        </w:rPr>
        <w:t>’</w:t>
      </w:r>
      <w:r w:rsidR="00A66CFD">
        <w:rPr>
          <w:lang w:val="en-US"/>
        </w:rPr>
        <w:t xml:space="preserve"> (</w:t>
      </w:r>
      <w:r w:rsidR="00A51CDC">
        <w:rPr>
          <w:lang w:val="en-US"/>
        </w:rPr>
        <w:t xml:space="preserve">para. 26). Its </w:t>
      </w:r>
      <w:r w:rsidR="00643240">
        <w:rPr>
          <w:lang w:val="en-US"/>
        </w:rPr>
        <w:t xml:space="preserve">main </w:t>
      </w:r>
      <w:r w:rsidR="00A51CDC">
        <w:rPr>
          <w:lang w:val="en-US"/>
        </w:rPr>
        <w:t>purpose</w:t>
      </w:r>
      <w:r w:rsidR="00643240">
        <w:rPr>
          <w:lang w:val="en-US"/>
        </w:rPr>
        <w:t xml:space="preserve"> was </w:t>
      </w:r>
      <w:r w:rsidR="00A66CFD">
        <w:rPr>
          <w:lang w:val="en-US"/>
        </w:rPr>
        <w:t xml:space="preserve">to exempt firms from having to </w:t>
      </w:r>
      <w:r w:rsidR="009272A1">
        <w:rPr>
          <w:lang w:val="en-US"/>
        </w:rPr>
        <w:t>develop policies under</w:t>
      </w:r>
      <w:r w:rsidR="00A66CFD">
        <w:rPr>
          <w:lang w:val="en-US"/>
        </w:rPr>
        <w:t xml:space="preserve"> IAS 8</w:t>
      </w:r>
      <w:r w:rsidR="009272A1">
        <w:rPr>
          <w:lang w:val="en-US"/>
        </w:rPr>
        <w:t>,</w:t>
      </w:r>
      <w:r w:rsidR="00A66CFD">
        <w:rPr>
          <w:lang w:val="en-US"/>
        </w:rPr>
        <w:t xml:space="preserve"> while the IASB </w:t>
      </w:r>
      <w:r w:rsidR="005D5970">
        <w:rPr>
          <w:lang w:val="en-US"/>
        </w:rPr>
        <w:t>worked towards</w:t>
      </w:r>
      <w:r w:rsidR="00A66CFD">
        <w:rPr>
          <w:lang w:val="en-US"/>
        </w:rPr>
        <w:t xml:space="preserve"> a</w:t>
      </w:r>
      <w:r w:rsidR="00A51CDC">
        <w:rPr>
          <w:lang w:val="en-US"/>
        </w:rPr>
        <w:t xml:space="preserve"> full standard on E&amp;E</w:t>
      </w:r>
      <w:r w:rsidR="00A66CFD">
        <w:rPr>
          <w:lang w:val="en-US"/>
        </w:rPr>
        <w:t>.</w:t>
      </w:r>
      <w:r w:rsidR="00917744">
        <w:rPr>
          <w:lang w:val="en-US"/>
        </w:rPr>
        <w:t xml:space="preserve"> The decision to exempt entities from the requirements of IAS 8 was controversial, with four out of 14 members of the IASB dissenting</w:t>
      </w:r>
      <w:r w:rsidR="00987542">
        <w:rPr>
          <w:lang w:val="en-US"/>
        </w:rPr>
        <w:t xml:space="preserve"> and presciently fearing that the </w:t>
      </w:r>
      <w:r w:rsidR="00FC4D01">
        <w:rPr>
          <w:lang w:val="en-US"/>
        </w:rPr>
        <w:t>‘</w:t>
      </w:r>
      <w:r w:rsidR="003501DD">
        <w:rPr>
          <w:lang w:val="en-US"/>
        </w:rPr>
        <w:t xml:space="preserve">temporary </w:t>
      </w:r>
      <w:r w:rsidR="00987542">
        <w:rPr>
          <w:lang w:val="en-US"/>
        </w:rPr>
        <w:t>exemption</w:t>
      </w:r>
      <w:r w:rsidR="00FC4D01">
        <w:rPr>
          <w:lang w:val="en-US"/>
        </w:rPr>
        <w:t>’</w:t>
      </w:r>
      <w:r w:rsidR="003501DD">
        <w:rPr>
          <w:rStyle w:val="FootnoteReference"/>
          <w:lang w:val="en-US"/>
        </w:rPr>
        <w:footnoteReference w:id="19"/>
      </w:r>
      <w:r w:rsidR="00917744">
        <w:rPr>
          <w:lang w:val="en-US"/>
        </w:rPr>
        <w:t xml:space="preserve"> might </w:t>
      </w:r>
      <w:r w:rsidR="00FC4D01">
        <w:rPr>
          <w:lang w:val="en-US"/>
        </w:rPr>
        <w:t>‘</w:t>
      </w:r>
      <w:r w:rsidR="00917744">
        <w:rPr>
          <w:lang w:val="en-US"/>
        </w:rPr>
        <w:t>remain in place for some time</w:t>
      </w:r>
      <w:r w:rsidR="00FC4D01">
        <w:rPr>
          <w:lang w:val="en-US"/>
        </w:rPr>
        <w:t>’</w:t>
      </w:r>
      <w:r w:rsidR="00E038B8">
        <w:rPr>
          <w:lang w:val="en-US"/>
        </w:rPr>
        <w:t>,</w:t>
      </w:r>
      <w:r w:rsidR="00E038B8">
        <w:rPr>
          <w:rStyle w:val="FootnoteReference"/>
          <w:lang w:val="en-US"/>
        </w:rPr>
        <w:footnoteReference w:id="20"/>
      </w:r>
      <w:r w:rsidR="00E038B8">
        <w:rPr>
          <w:lang w:val="en-US"/>
        </w:rPr>
        <w:t xml:space="preserve"> though perhaps not foreseeing decades rather than years.</w:t>
      </w:r>
    </w:p>
    <w:p w14:paraId="780FC060" w14:textId="772BD5B3" w:rsidR="004C5446" w:rsidRPr="004C5446" w:rsidRDefault="003E1153" w:rsidP="002572EF">
      <w:r w:rsidRPr="004C5446">
        <w:rPr>
          <w:lang w:val="en-US"/>
        </w:rPr>
        <w:t>Without IFRS 6’s</w:t>
      </w:r>
      <w:r w:rsidR="00A51CDC" w:rsidRPr="004C5446">
        <w:rPr>
          <w:lang w:val="en-US"/>
        </w:rPr>
        <w:t xml:space="preserve"> exemption, application of IAS 8 would </w:t>
      </w:r>
      <w:r w:rsidR="004C5446">
        <w:rPr>
          <w:lang w:val="en-US"/>
        </w:rPr>
        <w:t xml:space="preserve">imply consideration of IAS 38 </w:t>
      </w:r>
      <w:r w:rsidR="00A66CFD" w:rsidRPr="004C5446">
        <w:rPr>
          <w:lang w:val="en-US"/>
        </w:rPr>
        <w:t>(</w:t>
      </w:r>
      <w:r w:rsidR="004C5446">
        <w:rPr>
          <w:i/>
          <w:iCs/>
          <w:lang w:val="en-US"/>
        </w:rPr>
        <w:t xml:space="preserve">Intangible </w:t>
      </w:r>
      <w:r w:rsidR="00A66CFD" w:rsidRPr="004C5446">
        <w:rPr>
          <w:i/>
          <w:iCs/>
          <w:lang w:val="en-US"/>
        </w:rPr>
        <w:t>Assets</w:t>
      </w:r>
      <w:r w:rsidR="00A66CFD" w:rsidRPr="004C5446">
        <w:rPr>
          <w:lang w:val="en-US"/>
        </w:rPr>
        <w:t>) and particularly its requirements on R&amp;D</w:t>
      </w:r>
      <w:r w:rsidR="002C402C" w:rsidRPr="004C5446">
        <w:rPr>
          <w:lang w:val="en-US"/>
        </w:rPr>
        <w:t xml:space="preserve"> (see Appendix </w:t>
      </w:r>
      <w:r w:rsidR="0017406B">
        <w:rPr>
          <w:lang w:val="en-US"/>
        </w:rPr>
        <w:t>A</w:t>
      </w:r>
      <w:r w:rsidR="002C402C" w:rsidRPr="004C5446">
        <w:rPr>
          <w:lang w:val="en-US"/>
        </w:rPr>
        <w:t>)</w:t>
      </w:r>
      <w:r w:rsidR="00A66CFD" w:rsidRPr="004C5446">
        <w:rPr>
          <w:lang w:val="en-US"/>
        </w:rPr>
        <w:t xml:space="preserve">. The costs </w:t>
      </w:r>
      <w:r w:rsidR="004E33D9" w:rsidRPr="004C5446">
        <w:rPr>
          <w:lang w:val="en-US"/>
        </w:rPr>
        <w:t>of</w:t>
      </w:r>
      <w:r w:rsidR="00A66CFD" w:rsidRPr="004C5446">
        <w:rPr>
          <w:lang w:val="en-US"/>
        </w:rPr>
        <w:t xml:space="preserve"> R&amp;D </w:t>
      </w:r>
      <w:r w:rsidR="005D5970">
        <w:rPr>
          <w:lang w:val="en-US"/>
        </w:rPr>
        <w:t xml:space="preserve">projects </w:t>
      </w:r>
      <w:r w:rsidR="00A66CFD" w:rsidRPr="004C5446">
        <w:rPr>
          <w:lang w:val="en-US"/>
        </w:rPr>
        <w:t>or</w:t>
      </w:r>
      <w:r w:rsidR="004C5446">
        <w:rPr>
          <w:lang w:val="en-US"/>
        </w:rPr>
        <w:t xml:space="preserve"> </w:t>
      </w:r>
      <w:r w:rsidR="005D5970">
        <w:rPr>
          <w:lang w:val="en-US"/>
        </w:rPr>
        <w:t xml:space="preserve">of </w:t>
      </w:r>
      <w:r w:rsidR="00A66CFD" w:rsidRPr="004C5446">
        <w:rPr>
          <w:lang w:val="en-US"/>
        </w:rPr>
        <w:t>E&amp;E projects might be seen to fall i</w:t>
      </w:r>
      <w:r w:rsidR="00741EAC" w:rsidRPr="004C5446">
        <w:rPr>
          <w:lang w:val="en-US"/>
        </w:rPr>
        <w:t>nto four stages, as in Table</w:t>
      </w:r>
      <w:r w:rsidR="00A51CDC" w:rsidRPr="004C5446">
        <w:rPr>
          <w:lang w:val="en-US"/>
        </w:rPr>
        <w:t xml:space="preserve"> </w:t>
      </w:r>
      <w:r w:rsidR="00936A3A">
        <w:rPr>
          <w:lang w:val="en-US"/>
        </w:rPr>
        <w:t>2</w:t>
      </w:r>
      <w:r w:rsidR="00A66CFD" w:rsidRPr="004C5446">
        <w:rPr>
          <w:lang w:val="en-US"/>
        </w:rPr>
        <w:t xml:space="preserve">. </w:t>
      </w:r>
      <w:r w:rsidR="004E33D9" w:rsidRPr="004C5446">
        <w:rPr>
          <w:lang w:val="en-US"/>
        </w:rPr>
        <w:t>There could be debate</w:t>
      </w:r>
      <w:r w:rsidR="004C5446">
        <w:rPr>
          <w:lang w:val="en-US"/>
        </w:rPr>
        <w:t xml:space="preserve"> </w:t>
      </w:r>
      <w:r w:rsidR="004E33D9" w:rsidRPr="004C5446">
        <w:rPr>
          <w:lang w:val="en-US"/>
        </w:rPr>
        <w:t>about the</w:t>
      </w:r>
      <w:r w:rsidR="004C5446">
        <w:rPr>
          <w:i/>
          <w:iCs/>
          <w:lang w:val="en-US"/>
        </w:rPr>
        <w:t xml:space="preserve"> </w:t>
      </w:r>
      <w:r w:rsidR="004E33D9" w:rsidRPr="004C5446">
        <w:rPr>
          <w:lang w:val="en-US"/>
        </w:rPr>
        <w:t>dividing lines. For example, it could be argued that exploratory drilling is a type of research.</w:t>
      </w:r>
      <w:r w:rsidR="004C5446">
        <w:rPr>
          <w:i/>
          <w:iCs/>
          <w:lang w:val="en-US"/>
        </w:rPr>
        <w:t xml:space="preserve"> </w:t>
      </w:r>
      <w:r w:rsidR="004E33D9" w:rsidRPr="004C5446">
        <w:rPr>
          <w:lang w:val="en-US"/>
        </w:rPr>
        <w:t xml:space="preserve">However, in our view, such drilling falls outside of research because it is </w:t>
      </w:r>
      <w:r w:rsidR="004C5446" w:rsidRPr="004C5446">
        <w:rPr>
          <w:lang w:val="en-US"/>
        </w:rPr>
        <w:t>related to hoped-for</w:t>
      </w:r>
      <w:r w:rsidR="004C5446">
        <w:rPr>
          <w:i/>
          <w:iCs/>
          <w:lang w:val="en-US"/>
        </w:rPr>
        <w:t xml:space="preserve"> </w:t>
      </w:r>
      <w:r w:rsidR="004C5446" w:rsidRPr="004C5446">
        <w:rPr>
          <w:lang w:val="en-US"/>
        </w:rPr>
        <w:t xml:space="preserve">commercial exploitation. </w:t>
      </w:r>
      <w:r w:rsidR="004C5446" w:rsidRPr="004C5446">
        <w:t xml:space="preserve">For both </w:t>
      </w:r>
      <w:r w:rsidR="00A21A2A">
        <w:t>R&amp;D and E&amp;E</w:t>
      </w:r>
      <w:r w:rsidR="004C5446" w:rsidRPr="004C5446">
        <w:t xml:space="preserve"> projects, there can be related tangible assets, such as</w:t>
      </w:r>
      <w:r w:rsidR="004C5446">
        <w:t xml:space="preserve"> </w:t>
      </w:r>
      <w:r w:rsidR="004C5446" w:rsidRPr="004C5446">
        <w:t>laboratories or oil rigs. These are covered by IAS 16.</w:t>
      </w:r>
    </w:p>
    <w:p w14:paraId="7723B7C6" w14:textId="439E8B04" w:rsidR="006F4DCF" w:rsidRDefault="00A66CFD" w:rsidP="006F4DCF">
      <w:pPr>
        <w:rPr>
          <w:lang w:val="en-US"/>
        </w:rPr>
      </w:pPr>
      <w:r>
        <w:rPr>
          <w:lang w:val="en-US"/>
        </w:rPr>
        <w:t xml:space="preserve">Under IAS 38, all the costs of stages A and B </w:t>
      </w:r>
      <w:r w:rsidR="00643240">
        <w:rPr>
          <w:lang w:val="en-US"/>
        </w:rPr>
        <w:t xml:space="preserve">of Table </w:t>
      </w:r>
      <w:r w:rsidR="00936A3A">
        <w:rPr>
          <w:lang w:val="en-US"/>
        </w:rPr>
        <w:t>2</w:t>
      </w:r>
      <w:r w:rsidR="00643240">
        <w:rPr>
          <w:lang w:val="en-US"/>
        </w:rPr>
        <w:t xml:space="preserve"> </w:t>
      </w:r>
      <w:r>
        <w:rPr>
          <w:lang w:val="en-US"/>
        </w:rPr>
        <w:t xml:space="preserve">are expensed, and cannot later be </w:t>
      </w:r>
      <w:proofErr w:type="spellStart"/>
      <w:r>
        <w:rPr>
          <w:lang w:val="en-US"/>
        </w:rPr>
        <w:t>capitali</w:t>
      </w:r>
      <w:r w:rsidR="000A1B3F">
        <w:rPr>
          <w:lang w:val="en-US"/>
        </w:rPr>
        <w:t>s</w:t>
      </w:r>
      <w:r>
        <w:rPr>
          <w:lang w:val="en-US"/>
        </w:rPr>
        <w:t>ed</w:t>
      </w:r>
      <w:proofErr w:type="spellEnd"/>
      <w:r>
        <w:rPr>
          <w:lang w:val="en-US"/>
        </w:rPr>
        <w:t xml:space="preserve"> (para. 71). Even for </w:t>
      </w:r>
      <w:r w:rsidR="003E1153">
        <w:rPr>
          <w:lang w:val="en-US"/>
        </w:rPr>
        <w:t xml:space="preserve">ultimately </w:t>
      </w:r>
      <w:r>
        <w:rPr>
          <w:lang w:val="en-US"/>
        </w:rPr>
        <w:t xml:space="preserve">successful projects, this means that sometimes very little is </w:t>
      </w:r>
      <w:proofErr w:type="spellStart"/>
      <w:r>
        <w:rPr>
          <w:lang w:val="en-US"/>
        </w:rPr>
        <w:t>capitali</w:t>
      </w:r>
      <w:r w:rsidR="000A1B3F">
        <w:rPr>
          <w:lang w:val="en-US"/>
        </w:rPr>
        <w:t>s</w:t>
      </w:r>
      <w:r>
        <w:rPr>
          <w:lang w:val="en-US"/>
        </w:rPr>
        <w:t>ed</w:t>
      </w:r>
      <w:proofErr w:type="spellEnd"/>
      <w:r>
        <w:rPr>
          <w:lang w:val="en-US"/>
        </w:rPr>
        <w:t xml:space="preserve">. For example, in the pharmaceutical industry, a firm could be searching for years to find a cure for a devastating virus </w:t>
      </w:r>
      <w:r w:rsidR="003E1153">
        <w:rPr>
          <w:lang w:val="en-US"/>
        </w:rPr>
        <w:t xml:space="preserve">and might eventually develop an enormously valuable new drug. The firm </w:t>
      </w:r>
      <w:r>
        <w:rPr>
          <w:lang w:val="en-US"/>
        </w:rPr>
        <w:t xml:space="preserve">would only start </w:t>
      </w:r>
      <w:proofErr w:type="spellStart"/>
      <w:r>
        <w:rPr>
          <w:lang w:val="en-US"/>
        </w:rPr>
        <w:t>capitali</w:t>
      </w:r>
      <w:r w:rsidR="00A21A2A">
        <w:rPr>
          <w:lang w:val="en-US"/>
        </w:rPr>
        <w:t>s</w:t>
      </w:r>
      <w:r>
        <w:rPr>
          <w:lang w:val="en-US"/>
        </w:rPr>
        <w:t>ing</w:t>
      </w:r>
      <w:proofErr w:type="spellEnd"/>
      <w:r>
        <w:rPr>
          <w:lang w:val="en-US"/>
        </w:rPr>
        <w:t xml:space="preserve"> the costs </w:t>
      </w:r>
      <w:r w:rsidR="003E1153">
        <w:rPr>
          <w:lang w:val="en-US"/>
        </w:rPr>
        <w:t xml:space="preserve">incurred from </w:t>
      </w:r>
      <w:r>
        <w:rPr>
          <w:lang w:val="en-US"/>
        </w:rPr>
        <w:t xml:space="preserve">very near the end of </w:t>
      </w:r>
      <w:r w:rsidR="00635690">
        <w:rPr>
          <w:lang w:val="en-US"/>
        </w:rPr>
        <w:t>the</w:t>
      </w:r>
      <w:r>
        <w:rPr>
          <w:lang w:val="en-US"/>
        </w:rPr>
        <w:t xml:space="preserve"> project </w:t>
      </w:r>
      <w:r w:rsidR="00FC4D01">
        <w:rPr>
          <w:lang w:val="en-US"/>
        </w:rPr>
        <w:t>‘</w:t>
      </w:r>
      <w:r>
        <w:rPr>
          <w:lang w:val="en-US"/>
        </w:rPr>
        <w:t>when a regulatory filing has been made in a major market and approval is considered highly probable</w:t>
      </w:r>
      <w:r w:rsidR="00FC4D01">
        <w:rPr>
          <w:lang w:val="en-US"/>
        </w:rPr>
        <w:t>’</w:t>
      </w:r>
      <w:r>
        <w:rPr>
          <w:lang w:val="en-US"/>
        </w:rPr>
        <w:t xml:space="preserve"> (to take the example of </w:t>
      </w:r>
      <w:r w:rsidR="00643240">
        <w:rPr>
          <w:lang w:val="en-US"/>
        </w:rPr>
        <w:t xml:space="preserve">the policy of </w:t>
      </w:r>
      <w:r>
        <w:rPr>
          <w:lang w:val="en-US"/>
        </w:rPr>
        <w:t>GlaxoSmithKline</w:t>
      </w:r>
      <w:r w:rsidR="00C26445">
        <w:rPr>
          <w:lang w:val="en-US"/>
        </w:rPr>
        <w:t>,</w:t>
      </w:r>
      <w:r>
        <w:rPr>
          <w:lang w:val="en-US"/>
        </w:rPr>
        <w:t xml:space="preserve"> </w:t>
      </w:r>
      <w:r w:rsidR="00643240">
        <w:rPr>
          <w:lang w:val="en-US"/>
        </w:rPr>
        <w:t xml:space="preserve">in its </w:t>
      </w:r>
      <w:r w:rsidR="00852C3F">
        <w:rPr>
          <w:lang w:val="en-US"/>
        </w:rPr>
        <w:t>20</w:t>
      </w:r>
      <w:r w:rsidR="00A77859">
        <w:rPr>
          <w:lang w:val="en-US"/>
        </w:rPr>
        <w:t>20</w:t>
      </w:r>
      <w:r w:rsidR="00852C3F">
        <w:rPr>
          <w:lang w:val="en-US"/>
        </w:rPr>
        <w:t xml:space="preserve"> </w:t>
      </w:r>
      <w:r>
        <w:rPr>
          <w:lang w:val="en-US"/>
        </w:rPr>
        <w:t>Annual Report, p.1</w:t>
      </w:r>
      <w:r w:rsidR="00A77859">
        <w:rPr>
          <w:lang w:val="en-US"/>
        </w:rPr>
        <w:t>60</w:t>
      </w:r>
      <w:r>
        <w:rPr>
          <w:lang w:val="en-US"/>
        </w:rPr>
        <w:t>).</w:t>
      </w:r>
      <w:r w:rsidR="000A1643" w:rsidRPr="000A1643">
        <w:rPr>
          <w:lang w:val="en-US"/>
        </w:rPr>
        <w:t xml:space="preserve"> </w:t>
      </w:r>
      <w:r w:rsidR="000A1643">
        <w:rPr>
          <w:lang w:val="en-US"/>
        </w:rPr>
        <w:t>Th</w:t>
      </w:r>
      <w:r w:rsidR="0008719C">
        <w:rPr>
          <w:lang w:val="en-US"/>
        </w:rPr>
        <w:t>ese words are Glaxo</w:t>
      </w:r>
      <w:r w:rsidR="002C43A7">
        <w:rPr>
          <w:lang w:val="en-US"/>
        </w:rPr>
        <w:t>SmithKline</w:t>
      </w:r>
      <w:r w:rsidR="0008719C">
        <w:rPr>
          <w:lang w:val="en-US"/>
        </w:rPr>
        <w:t>’s</w:t>
      </w:r>
      <w:r w:rsidR="000A1643">
        <w:rPr>
          <w:lang w:val="en-US"/>
        </w:rPr>
        <w:t xml:space="preserve"> interpretation of the six criteria for </w:t>
      </w:r>
      <w:proofErr w:type="spellStart"/>
      <w:r w:rsidR="000A1643">
        <w:rPr>
          <w:lang w:val="en-US"/>
        </w:rPr>
        <w:t>capitali</w:t>
      </w:r>
      <w:r w:rsidR="000A1B3F">
        <w:rPr>
          <w:lang w:val="en-US"/>
        </w:rPr>
        <w:t>s</w:t>
      </w:r>
      <w:r w:rsidR="000A1643">
        <w:rPr>
          <w:lang w:val="en-US"/>
        </w:rPr>
        <w:t>ation</w:t>
      </w:r>
      <w:proofErr w:type="spellEnd"/>
      <w:r w:rsidR="000A1643">
        <w:rPr>
          <w:lang w:val="en-US"/>
        </w:rPr>
        <w:t xml:space="preserve"> </w:t>
      </w:r>
      <w:r w:rsidR="0008719C">
        <w:rPr>
          <w:lang w:val="en-US"/>
        </w:rPr>
        <w:t xml:space="preserve">found </w:t>
      </w:r>
      <w:r w:rsidR="000A1643">
        <w:rPr>
          <w:lang w:val="en-US"/>
        </w:rPr>
        <w:t>in IAS 38 (para. 57</w:t>
      </w:r>
      <w:r w:rsidR="00AE1B16">
        <w:rPr>
          <w:lang w:val="en-US"/>
        </w:rPr>
        <w:t>; see our Appendix A</w:t>
      </w:r>
      <w:r w:rsidR="000A1643">
        <w:rPr>
          <w:lang w:val="en-US"/>
        </w:rPr>
        <w:t>).</w:t>
      </w:r>
      <w:r w:rsidR="006F4DCF">
        <w:rPr>
          <w:lang w:val="en-US"/>
        </w:rPr>
        <w:t xml:space="preserve"> </w:t>
      </w:r>
      <w:r w:rsidR="003774B8">
        <w:rPr>
          <w:lang w:val="en-US"/>
        </w:rPr>
        <w:t xml:space="preserve">Method </w:t>
      </w:r>
      <w:r w:rsidR="001861CC">
        <w:rPr>
          <w:lang w:val="en-US"/>
        </w:rPr>
        <w:t>3</w:t>
      </w:r>
      <w:r w:rsidR="00C26445">
        <w:rPr>
          <w:lang w:val="en-US"/>
        </w:rPr>
        <w:t xml:space="preserve"> in </w:t>
      </w:r>
      <w:r w:rsidR="00741EAC">
        <w:rPr>
          <w:lang w:val="en-US"/>
        </w:rPr>
        <w:t>Figure 1</w:t>
      </w:r>
      <w:r w:rsidR="00643240">
        <w:rPr>
          <w:lang w:val="en-US"/>
        </w:rPr>
        <w:t xml:space="preserve"> involves </w:t>
      </w:r>
      <w:r w:rsidR="00D26844">
        <w:rPr>
          <w:lang w:val="en-US"/>
        </w:rPr>
        <w:t>apply</w:t>
      </w:r>
      <w:r w:rsidR="00643240">
        <w:rPr>
          <w:lang w:val="en-US"/>
        </w:rPr>
        <w:t xml:space="preserve">ing such an </w:t>
      </w:r>
      <w:r w:rsidR="00C26445">
        <w:rPr>
          <w:lang w:val="en-US"/>
        </w:rPr>
        <w:t xml:space="preserve">approach </w:t>
      </w:r>
      <w:r w:rsidR="00D26844">
        <w:rPr>
          <w:lang w:val="en-US"/>
        </w:rPr>
        <w:t>to</w:t>
      </w:r>
      <w:r w:rsidR="00C26445">
        <w:rPr>
          <w:lang w:val="en-US"/>
        </w:rPr>
        <w:t xml:space="preserve"> E&amp;E costs.</w:t>
      </w:r>
    </w:p>
    <w:p w14:paraId="1FBCE37F" w14:textId="7A0D9DB6" w:rsidR="00C26445" w:rsidRDefault="00C26445" w:rsidP="006F4DCF">
      <w:pPr>
        <w:rPr>
          <w:lang w:val="en-US"/>
        </w:rPr>
      </w:pPr>
      <w:r>
        <w:rPr>
          <w:lang w:val="en-US"/>
        </w:rPr>
        <w:t>Howeve</w:t>
      </w:r>
      <w:r w:rsidR="003E1153">
        <w:rPr>
          <w:lang w:val="en-US"/>
        </w:rPr>
        <w:t xml:space="preserve">r, </w:t>
      </w:r>
      <w:r w:rsidR="003774B8">
        <w:rPr>
          <w:lang w:val="en-US"/>
        </w:rPr>
        <w:t xml:space="preserve">Methods </w:t>
      </w:r>
      <w:r w:rsidR="00635690">
        <w:rPr>
          <w:lang w:val="en-US"/>
        </w:rPr>
        <w:t>4</w:t>
      </w:r>
      <w:r w:rsidR="003774B8">
        <w:rPr>
          <w:lang w:val="en-US"/>
        </w:rPr>
        <w:t xml:space="preserve"> to </w:t>
      </w:r>
      <w:r w:rsidR="00DF5743">
        <w:rPr>
          <w:lang w:val="en-US"/>
        </w:rPr>
        <w:t>10</w:t>
      </w:r>
      <w:r w:rsidR="008B1D1B">
        <w:rPr>
          <w:lang w:val="en-US"/>
        </w:rPr>
        <w:t xml:space="preserve"> </w:t>
      </w:r>
      <w:r w:rsidR="006F4DCF">
        <w:rPr>
          <w:lang w:val="en-US"/>
        </w:rPr>
        <w:t>are not</w:t>
      </w:r>
      <w:r>
        <w:rPr>
          <w:lang w:val="en-US"/>
        </w:rPr>
        <w:t xml:space="preserve"> con</w:t>
      </w:r>
      <w:r w:rsidR="00643240">
        <w:rPr>
          <w:lang w:val="en-US"/>
        </w:rPr>
        <w:t>sistent with IAS 38 because the</w:t>
      </w:r>
      <w:r w:rsidR="006F4DCF">
        <w:rPr>
          <w:lang w:val="en-US"/>
        </w:rPr>
        <w:t>y</w:t>
      </w:r>
      <w:r>
        <w:rPr>
          <w:lang w:val="en-US"/>
        </w:rPr>
        <w:t xml:space="preserve"> involve deferring cost</w:t>
      </w:r>
      <w:r w:rsidR="00643240">
        <w:rPr>
          <w:lang w:val="en-US"/>
        </w:rPr>
        <w:t>s followed by</w:t>
      </w:r>
      <w:r>
        <w:rPr>
          <w:lang w:val="en-US"/>
        </w:rPr>
        <w:t>, in effect, retrospective</w:t>
      </w:r>
      <w:r w:rsidR="009619D0">
        <w:rPr>
          <w:lang w:val="en-US"/>
        </w:rPr>
        <w:t xml:space="preserve"> confirmation of</w:t>
      </w:r>
      <w:r>
        <w:rPr>
          <w:lang w:val="en-US"/>
        </w:rPr>
        <w:t xml:space="preserve"> </w:t>
      </w:r>
      <w:proofErr w:type="spellStart"/>
      <w:r>
        <w:rPr>
          <w:lang w:val="en-US"/>
        </w:rPr>
        <w:t>capitali</w:t>
      </w:r>
      <w:r w:rsidR="000A1B3F">
        <w:rPr>
          <w:lang w:val="en-US"/>
        </w:rPr>
        <w:t>s</w:t>
      </w:r>
      <w:r>
        <w:rPr>
          <w:lang w:val="en-US"/>
        </w:rPr>
        <w:t>ation</w:t>
      </w:r>
      <w:proofErr w:type="spellEnd"/>
      <w:r>
        <w:rPr>
          <w:lang w:val="en-US"/>
        </w:rPr>
        <w:t xml:space="preserve">. As one </w:t>
      </w:r>
      <w:r w:rsidR="00625B6E">
        <w:rPr>
          <w:lang w:val="en-US"/>
        </w:rPr>
        <w:t xml:space="preserve">US </w:t>
      </w:r>
      <w:r>
        <w:rPr>
          <w:lang w:val="en-US"/>
        </w:rPr>
        <w:t xml:space="preserve">firm puts it, even </w:t>
      </w:r>
      <w:r>
        <w:rPr>
          <w:lang w:val="en-US"/>
        </w:rPr>
        <w:lastRenderedPageBreak/>
        <w:t xml:space="preserve">the rather conservative well-by-well successful efforts method </w:t>
      </w:r>
      <w:r w:rsidR="003774B8">
        <w:rPr>
          <w:lang w:val="en-US"/>
        </w:rPr>
        <w:t>(</w:t>
      </w:r>
      <w:r w:rsidR="006F4DCF">
        <w:rPr>
          <w:lang w:val="en-US"/>
        </w:rPr>
        <w:t xml:space="preserve">a strict version of </w:t>
      </w:r>
      <w:r w:rsidR="003774B8">
        <w:rPr>
          <w:lang w:val="en-US"/>
        </w:rPr>
        <w:t xml:space="preserve">Method </w:t>
      </w:r>
      <w:r w:rsidR="00635690">
        <w:rPr>
          <w:lang w:val="en-US"/>
        </w:rPr>
        <w:t>4</w:t>
      </w:r>
      <w:r w:rsidR="001110D7">
        <w:rPr>
          <w:lang w:val="en-US"/>
        </w:rPr>
        <w:t xml:space="preserve">) </w:t>
      </w:r>
      <w:r>
        <w:rPr>
          <w:lang w:val="en-US"/>
        </w:rPr>
        <w:t xml:space="preserve">means that exploration costs </w:t>
      </w:r>
      <w:r w:rsidR="00DC1F47">
        <w:rPr>
          <w:lang w:val="en-US"/>
        </w:rPr>
        <w:t>‘</w:t>
      </w:r>
      <w:r>
        <w:rPr>
          <w:lang w:val="en-US"/>
        </w:rPr>
        <w:t>are</w:t>
      </w:r>
      <w:r w:rsidR="00C914D3">
        <w:rPr>
          <w:lang w:val="en-US"/>
        </w:rPr>
        <w:t xml:space="preserve"> capitalized, or </w:t>
      </w:r>
      <w:r w:rsidR="00DC1F47">
        <w:rPr>
          <w:lang w:val="en-US"/>
        </w:rPr>
        <w:t>“</w:t>
      </w:r>
      <w:r>
        <w:rPr>
          <w:lang w:val="en-US"/>
        </w:rPr>
        <w:t>suspended</w:t>
      </w:r>
      <w:r w:rsidR="00852C3F">
        <w:rPr>
          <w:lang w:val="en-US"/>
        </w:rPr>
        <w:t>,</w:t>
      </w:r>
      <w:r w:rsidR="00DC1F47">
        <w:rPr>
          <w:lang w:val="en-US"/>
        </w:rPr>
        <w:t>”</w:t>
      </w:r>
      <w:r>
        <w:rPr>
          <w:lang w:val="en-US"/>
        </w:rPr>
        <w:t xml:space="preserve"> on the balance sheet pending further evaluation</w:t>
      </w:r>
      <w:r w:rsidR="00DC1F47">
        <w:rPr>
          <w:lang w:val="en-US"/>
        </w:rPr>
        <w:t>’</w:t>
      </w:r>
      <w:r>
        <w:rPr>
          <w:lang w:val="en-US"/>
        </w:rPr>
        <w:t xml:space="preserve"> (Conoco</w:t>
      </w:r>
      <w:r w:rsidR="0015111C">
        <w:rPr>
          <w:lang w:val="en-US"/>
        </w:rPr>
        <w:t>Phillips</w:t>
      </w:r>
      <w:r>
        <w:rPr>
          <w:lang w:val="en-US"/>
        </w:rPr>
        <w:t xml:space="preserve">, </w:t>
      </w:r>
      <w:r w:rsidR="00852C3F">
        <w:rPr>
          <w:lang w:val="en-US"/>
        </w:rPr>
        <w:t>2</w:t>
      </w:r>
      <w:r w:rsidR="00C914D3">
        <w:rPr>
          <w:lang w:val="en-US"/>
        </w:rPr>
        <w:t>020</w:t>
      </w:r>
      <w:r w:rsidR="00852C3F">
        <w:rPr>
          <w:lang w:val="en-US"/>
        </w:rPr>
        <w:t xml:space="preserve"> </w:t>
      </w:r>
      <w:r>
        <w:rPr>
          <w:lang w:val="en-US"/>
        </w:rPr>
        <w:t>Annual Report, p.</w:t>
      </w:r>
      <w:r w:rsidR="00C914D3">
        <w:rPr>
          <w:lang w:val="en-US"/>
        </w:rPr>
        <w:t>92</w:t>
      </w:r>
      <w:r>
        <w:rPr>
          <w:lang w:val="en-US"/>
        </w:rPr>
        <w:t>).</w:t>
      </w:r>
    </w:p>
    <w:p w14:paraId="51141D22" w14:textId="4D8056ED" w:rsidR="00150920" w:rsidRPr="00B93099" w:rsidRDefault="003E1153">
      <w:pPr>
        <w:rPr>
          <w:lang w:val="en-US"/>
        </w:rPr>
      </w:pPr>
      <w:r>
        <w:rPr>
          <w:lang w:val="en-US"/>
        </w:rPr>
        <w:t>IFRS 6’s scop</w:t>
      </w:r>
      <w:r w:rsidR="00C26445">
        <w:rPr>
          <w:lang w:val="en-US"/>
        </w:rPr>
        <w:t xml:space="preserve">e is limited to </w:t>
      </w:r>
      <w:r w:rsidR="00D26844">
        <w:rPr>
          <w:lang w:val="en-US"/>
        </w:rPr>
        <w:t xml:space="preserve">those </w:t>
      </w:r>
      <w:r w:rsidR="001110D7">
        <w:rPr>
          <w:lang w:val="en-US"/>
        </w:rPr>
        <w:t xml:space="preserve">E&amp;E costs incurred </w:t>
      </w:r>
      <w:r w:rsidR="001110D7" w:rsidRPr="00A93151">
        <w:rPr>
          <w:i/>
          <w:lang w:val="en-US"/>
        </w:rPr>
        <w:t>from</w:t>
      </w:r>
      <w:r w:rsidR="001110D7">
        <w:rPr>
          <w:lang w:val="en-US"/>
        </w:rPr>
        <w:t xml:space="preserve"> the date</w:t>
      </w:r>
      <w:r w:rsidR="00C26445">
        <w:rPr>
          <w:lang w:val="en-US"/>
        </w:rPr>
        <w:t xml:space="preserve"> of obtaining legal rights for exploration of </w:t>
      </w:r>
      <w:r w:rsidR="00DC1F47">
        <w:rPr>
          <w:lang w:val="en-US"/>
        </w:rPr>
        <w:t>‘</w:t>
      </w:r>
      <w:r w:rsidR="00C26445">
        <w:rPr>
          <w:lang w:val="en-US"/>
        </w:rPr>
        <w:t>a specific area</w:t>
      </w:r>
      <w:r w:rsidR="00DC1F47">
        <w:rPr>
          <w:lang w:val="en-US"/>
        </w:rPr>
        <w:t>’</w:t>
      </w:r>
      <w:r w:rsidR="00C26445">
        <w:rPr>
          <w:lang w:val="en-US"/>
        </w:rPr>
        <w:t xml:space="preserve"> </w:t>
      </w:r>
      <w:r w:rsidR="00C26445" w:rsidRPr="00A93151">
        <w:rPr>
          <w:i/>
          <w:lang w:val="en-US"/>
        </w:rPr>
        <w:t>until</w:t>
      </w:r>
      <w:r w:rsidR="00C26445">
        <w:rPr>
          <w:lang w:val="en-US"/>
        </w:rPr>
        <w:t xml:space="preserve"> </w:t>
      </w:r>
      <w:r w:rsidR="001110D7">
        <w:rPr>
          <w:lang w:val="en-US"/>
        </w:rPr>
        <w:t xml:space="preserve">the date that </w:t>
      </w:r>
      <w:r w:rsidR="00C26445">
        <w:rPr>
          <w:lang w:val="en-US"/>
        </w:rPr>
        <w:t xml:space="preserve">feasibility and viability of extraction </w:t>
      </w:r>
      <w:r w:rsidR="001110D7">
        <w:rPr>
          <w:lang w:val="en-US"/>
        </w:rPr>
        <w:t xml:space="preserve">are </w:t>
      </w:r>
      <w:r w:rsidR="00DC1F47">
        <w:rPr>
          <w:lang w:val="en-US"/>
        </w:rPr>
        <w:t>‘</w:t>
      </w:r>
      <w:r w:rsidR="001110D7">
        <w:rPr>
          <w:lang w:val="en-US"/>
        </w:rPr>
        <w:t>demonstrable</w:t>
      </w:r>
      <w:r w:rsidR="00DC1F47">
        <w:rPr>
          <w:lang w:val="en-US"/>
        </w:rPr>
        <w:t>’</w:t>
      </w:r>
      <w:r w:rsidR="001110D7">
        <w:rPr>
          <w:lang w:val="en-US"/>
        </w:rPr>
        <w:t xml:space="preserve"> (para.</w:t>
      </w:r>
      <w:r w:rsidR="00AE1B16">
        <w:rPr>
          <w:lang w:val="en-US"/>
        </w:rPr>
        <w:t xml:space="preserve"> </w:t>
      </w:r>
      <w:r w:rsidR="001110D7">
        <w:rPr>
          <w:lang w:val="en-US"/>
        </w:rPr>
        <w:t>5). Therefore, any</w:t>
      </w:r>
      <w:r w:rsidR="00C26445">
        <w:rPr>
          <w:lang w:val="en-US"/>
        </w:rPr>
        <w:t xml:space="preserve"> cost</w:t>
      </w:r>
      <w:r w:rsidR="001110D7">
        <w:rPr>
          <w:lang w:val="en-US"/>
        </w:rPr>
        <w:t xml:space="preserve">s </w:t>
      </w:r>
      <w:r w:rsidR="00D26844">
        <w:rPr>
          <w:lang w:val="en-US"/>
        </w:rPr>
        <w:t xml:space="preserve">incurred </w:t>
      </w:r>
      <w:r w:rsidR="001110D7" w:rsidRPr="000703B7">
        <w:rPr>
          <w:i/>
          <w:lang w:val="en-US"/>
        </w:rPr>
        <w:t xml:space="preserve">before </w:t>
      </w:r>
      <w:r>
        <w:rPr>
          <w:lang w:val="en-US"/>
        </w:rPr>
        <w:t xml:space="preserve">obtaining </w:t>
      </w:r>
      <w:r w:rsidR="001110D7">
        <w:rPr>
          <w:lang w:val="en-US"/>
        </w:rPr>
        <w:t xml:space="preserve">legal rights </w:t>
      </w:r>
      <w:r w:rsidR="00A93151">
        <w:rPr>
          <w:lang w:val="en-US"/>
        </w:rPr>
        <w:t xml:space="preserve">presumably fall into IAS 38 </w:t>
      </w:r>
      <w:r w:rsidR="00C26445">
        <w:rPr>
          <w:lang w:val="en-US"/>
        </w:rPr>
        <w:t>which suggests</w:t>
      </w:r>
      <w:r w:rsidR="00DC4256">
        <w:rPr>
          <w:lang w:val="en-US"/>
        </w:rPr>
        <w:t xml:space="preserve"> that they should be expensed (IFRS 6, </w:t>
      </w:r>
      <w:r w:rsidR="005D5970">
        <w:rPr>
          <w:lang w:val="en-US"/>
        </w:rPr>
        <w:t xml:space="preserve">para. </w:t>
      </w:r>
      <w:r w:rsidR="00DC4256">
        <w:rPr>
          <w:lang w:val="en-US"/>
        </w:rPr>
        <w:t xml:space="preserve">BC13). </w:t>
      </w:r>
      <w:r w:rsidR="00150920">
        <w:rPr>
          <w:lang w:val="en-US"/>
        </w:rPr>
        <w:t xml:space="preserve">The cost of acquiring legal rights </w:t>
      </w:r>
      <w:r w:rsidR="006621AD">
        <w:rPr>
          <w:lang w:val="en-US"/>
        </w:rPr>
        <w:t xml:space="preserve">would normally be </w:t>
      </w:r>
      <w:proofErr w:type="spellStart"/>
      <w:r w:rsidR="006621AD">
        <w:rPr>
          <w:lang w:val="en-US"/>
        </w:rPr>
        <w:t>capitali</w:t>
      </w:r>
      <w:r w:rsidR="000A1B3F">
        <w:rPr>
          <w:lang w:val="en-US"/>
        </w:rPr>
        <w:t>s</w:t>
      </w:r>
      <w:r w:rsidR="006621AD">
        <w:rPr>
          <w:lang w:val="en-US"/>
        </w:rPr>
        <w:t>ed</w:t>
      </w:r>
      <w:proofErr w:type="spellEnd"/>
      <w:r w:rsidR="006621AD">
        <w:rPr>
          <w:lang w:val="en-US"/>
        </w:rPr>
        <w:t xml:space="preserve"> under IFRS.</w:t>
      </w:r>
      <w:r w:rsidR="006621AD">
        <w:rPr>
          <w:rStyle w:val="FootnoteReference"/>
          <w:lang w:val="en-US"/>
        </w:rPr>
        <w:footnoteReference w:id="21"/>
      </w:r>
      <w:r w:rsidR="006621AD">
        <w:rPr>
          <w:lang w:val="en-US"/>
        </w:rPr>
        <w:t xml:space="preserve"> However, they </w:t>
      </w:r>
      <w:r w:rsidR="008F74F6">
        <w:rPr>
          <w:lang w:val="en-US"/>
        </w:rPr>
        <w:t xml:space="preserve">are specifically included within </w:t>
      </w:r>
      <w:r w:rsidR="006621AD">
        <w:rPr>
          <w:lang w:val="en-US"/>
        </w:rPr>
        <w:t>the scope of IFRS 6 (para. 9)</w:t>
      </w:r>
      <w:r w:rsidR="00852209">
        <w:rPr>
          <w:lang w:val="en-US"/>
        </w:rPr>
        <w:t xml:space="preserve">, </w:t>
      </w:r>
      <w:r w:rsidR="006621AD">
        <w:rPr>
          <w:lang w:val="en-US"/>
        </w:rPr>
        <w:t xml:space="preserve">so </w:t>
      </w:r>
      <w:r w:rsidR="005B7FE4">
        <w:rPr>
          <w:lang w:val="en-US"/>
        </w:rPr>
        <w:t xml:space="preserve">they are covered by </w:t>
      </w:r>
      <w:r w:rsidR="00852209">
        <w:rPr>
          <w:lang w:val="en-US"/>
        </w:rPr>
        <w:t xml:space="preserve">the general exemption from </w:t>
      </w:r>
      <w:r w:rsidR="005B7FE4">
        <w:rPr>
          <w:lang w:val="en-US"/>
        </w:rPr>
        <w:t xml:space="preserve">the other standards including </w:t>
      </w:r>
      <w:r w:rsidR="005D5970">
        <w:rPr>
          <w:lang w:val="en-US"/>
        </w:rPr>
        <w:t xml:space="preserve">aspects of </w:t>
      </w:r>
      <w:r w:rsidR="00852209">
        <w:rPr>
          <w:lang w:val="en-US"/>
        </w:rPr>
        <w:t>IAS 8</w:t>
      </w:r>
      <w:r w:rsidR="006621AD">
        <w:rPr>
          <w:lang w:val="en-US"/>
        </w:rPr>
        <w:t>. This means that</w:t>
      </w:r>
      <w:r w:rsidR="005B7FE4">
        <w:rPr>
          <w:lang w:val="en-US"/>
        </w:rPr>
        <w:t xml:space="preserve"> </w:t>
      </w:r>
      <w:r w:rsidR="00C9706B">
        <w:rPr>
          <w:lang w:val="en-US"/>
        </w:rPr>
        <w:t xml:space="preserve">cost of </w:t>
      </w:r>
      <w:r w:rsidR="006621AD">
        <w:rPr>
          <w:lang w:val="en-US"/>
        </w:rPr>
        <w:t>E&amp;E acquisition</w:t>
      </w:r>
      <w:r w:rsidR="00A77859">
        <w:rPr>
          <w:lang w:val="en-US"/>
        </w:rPr>
        <w:t xml:space="preserve">s </w:t>
      </w:r>
      <w:r w:rsidR="008F74F6">
        <w:rPr>
          <w:lang w:val="en-US"/>
        </w:rPr>
        <w:t xml:space="preserve">can either be expensed or </w:t>
      </w:r>
      <w:proofErr w:type="spellStart"/>
      <w:r w:rsidR="008F74F6">
        <w:rPr>
          <w:lang w:val="en-US"/>
        </w:rPr>
        <w:t>capitali</w:t>
      </w:r>
      <w:r w:rsidR="000A1B3F">
        <w:rPr>
          <w:lang w:val="en-US"/>
        </w:rPr>
        <w:t>s</w:t>
      </w:r>
      <w:r w:rsidR="008F74F6">
        <w:rPr>
          <w:lang w:val="en-US"/>
        </w:rPr>
        <w:t>ed</w:t>
      </w:r>
      <w:proofErr w:type="spellEnd"/>
      <w:r w:rsidR="0082400F">
        <w:rPr>
          <w:lang w:val="en-US"/>
        </w:rPr>
        <w:t>. T</w:t>
      </w:r>
      <w:r w:rsidR="005B7FE4">
        <w:rPr>
          <w:lang w:val="en-US"/>
        </w:rPr>
        <w:t>hese are</w:t>
      </w:r>
      <w:r w:rsidR="0082400F">
        <w:rPr>
          <w:lang w:val="en-US"/>
        </w:rPr>
        <w:t>, respectively,</w:t>
      </w:r>
      <w:r w:rsidR="005B7FE4">
        <w:rPr>
          <w:lang w:val="en-US"/>
        </w:rPr>
        <w:t xml:space="preserve"> </w:t>
      </w:r>
      <w:r w:rsidR="008F74F6">
        <w:rPr>
          <w:lang w:val="en-US"/>
        </w:rPr>
        <w:t xml:space="preserve">Methods 1 or 2 in </w:t>
      </w:r>
      <w:r w:rsidR="005C01A6">
        <w:rPr>
          <w:lang w:val="en-US"/>
        </w:rPr>
        <w:t>Figure</w:t>
      </w:r>
      <w:r w:rsidR="008F74F6">
        <w:rPr>
          <w:lang w:val="en-US"/>
        </w:rPr>
        <w:t xml:space="preserve"> 1</w:t>
      </w:r>
      <w:r w:rsidR="0082400F">
        <w:rPr>
          <w:lang w:val="en-US"/>
        </w:rPr>
        <w:t>,</w:t>
      </w:r>
      <w:r w:rsidR="0082400F" w:rsidRPr="0082400F">
        <w:rPr>
          <w:lang w:val="en-US"/>
        </w:rPr>
        <w:t xml:space="preserve"> </w:t>
      </w:r>
      <w:r w:rsidR="0082400F">
        <w:rPr>
          <w:lang w:val="en-US"/>
        </w:rPr>
        <w:t>for firms which expense all other costs</w:t>
      </w:r>
      <w:r w:rsidR="008F74F6">
        <w:rPr>
          <w:lang w:val="en-US"/>
        </w:rPr>
        <w:t>.</w:t>
      </w:r>
      <w:r w:rsidR="006F4DCF">
        <w:rPr>
          <w:lang w:val="en-US"/>
        </w:rPr>
        <w:t xml:space="preserve"> </w:t>
      </w:r>
      <w:r w:rsidR="00D561A0">
        <w:rPr>
          <w:lang w:val="en-US"/>
        </w:rPr>
        <w:t>O</w:t>
      </w:r>
      <w:r w:rsidR="000B5722">
        <w:rPr>
          <w:lang w:val="en-US"/>
        </w:rPr>
        <w:t>ne</w:t>
      </w:r>
      <w:r w:rsidR="00B93099">
        <w:rPr>
          <w:lang w:val="en-US"/>
        </w:rPr>
        <w:t xml:space="preserve"> firm</w:t>
      </w:r>
      <w:r w:rsidR="000B5722">
        <w:rPr>
          <w:rStyle w:val="FootnoteReference"/>
          <w:lang w:val="en-US"/>
        </w:rPr>
        <w:footnoteReference w:id="22"/>
      </w:r>
      <w:r w:rsidR="000B5722">
        <w:rPr>
          <w:lang w:val="en-US"/>
        </w:rPr>
        <w:t xml:space="preserve"> </w:t>
      </w:r>
      <w:r w:rsidR="008F74F6">
        <w:rPr>
          <w:lang w:val="en-US"/>
        </w:rPr>
        <w:t>g</w:t>
      </w:r>
      <w:r w:rsidR="00D561A0">
        <w:rPr>
          <w:lang w:val="en-US"/>
        </w:rPr>
        <w:t>a</w:t>
      </w:r>
      <w:r w:rsidR="008F74F6">
        <w:rPr>
          <w:lang w:val="en-US"/>
        </w:rPr>
        <w:t>v</w:t>
      </w:r>
      <w:r w:rsidR="00D561A0">
        <w:rPr>
          <w:lang w:val="en-US"/>
        </w:rPr>
        <w:t>e</w:t>
      </w:r>
      <w:r w:rsidR="008F74F6">
        <w:rPr>
          <w:lang w:val="en-US"/>
        </w:rPr>
        <w:t xml:space="preserve"> an explanation</w:t>
      </w:r>
      <w:r w:rsidR="00852209">
        <w:rPr>
          <w:lang w:val="en-US"/>
        </w:rPr>
        <w:t xml:space="preserve"> for th</w:t>
      </w:r>
      <w:r w:rsidR="00AA755D">
        <w:rPr>
          <w:lang w:val="en-US"/>
        </w:rPr>
        <w:t>e</w:t>
      </w:r>
      <w:r w:rsidR="00B93099">
        <w:rPr>
          <w:lang w:val="en-US"/>
        </w:rPr>
        <w:t xml:space="preserve"> extreme conservatism</w:t>
      </w:r>
      <w:r w:rsidR="00AA755D">
        <w:rPr>
          <w:lang w:val="en-US"/>
        </w:rPr>
        <w:t xml:space="preserve"> of Method 1</w:t>
      </w:r>
      <w:r w:rsidR="00A77859">
        <w:rPr>
          <w:lang w:val="en-US"/>
        </w:rPr>
        <w:t>’s expensing of acquisitions</w:t>
      </w:r>
      <w:r w:rsidR="008F74F6">
        <w:rPr>
          <w:lang w:val="en-US"/>
        </w:rPr>
        <w:t xml:space="preserve">: </w:t>
      </w:r>
      <w:r w:rsidR="00DC1F47">
        <w:rPr>
          <w:lang w:val="en-US"/>
        </w:rPr>
        <w:t>‘</w:t>
      </w:r>
      <w:r w:rsidR="000B5722" w:rsidRPr="00B93099">
        <w:t>Such properties may be subject to prior agreements or transfers and title may be affected by undetected defects</w:t>
      </w:r>
      <w:r w:rsidR="00DC1F47">
        <w:t>’</w:t>
      </w:r>
      <w:r w:rsidR="000B5722" w:rsidRPr="00B93099">
        <w:t>.</w:t>
      </w:r>
    </w:p>
    <w:p w14:paraId="7CAE30F1" w14:textId="4F93A407" w:rsidR="001109E7" w:rsidRDefault="001109E7">
      <w:pPr>
        <w:rPr>
          <w:lang w:val="en-US"/>
        </w:rPr>
      </w:pPr>
      <w:r>
        <w:rPr>
          <w:lang w:val="en-US"/>
        </w:rPr>
        <w:t xml:space="preserve">Next </w:t>
      </w:r>
      <w:r w:rsidR="00D26844">
        <w:rPr>
          <w:lang w:val="en-US"/>
        </w:rPr>
        <w:t xml:space="preserve">in the extractive process </w:t>
      </w:r>
      <w:r w:rsidR="00C9706B">
        <w:rPr>
          <w:lang w:val="en-US"/>
        </w:rPr>
        <w:t>are</w:t>
      </w:r>
      <w:r>
        <w:rPr>
          <w:lang w:val="en-US"/>
        </w:rPr>
        <w:t xml:space="preserve"> </w:t>
      </w:r>
      <w:r w:rsidR="00A21A2A">
        <w:rPr>
          <w:lang w:val="en-US"/>
        </w:rPr>
        <w:t xml:space="preserve">the </w:t>
      </w:r>
      <w:r>
        <w:rPr>
          <w:lang w:val="en-US"/>
        </w:rPr>
        <w:t>E&amp;E costs</w:t>
      </w:r>
      <w:r w:rsidR="00A21A2A">
        <w:rPr>
          <w:lang w:val="en-US"/>
        </w:rPr>
        <w:t xml:space="preserve"> incurred after obtaining legal rights</w:t>
      </w:r>
      <w:r>
        <w:rPr>
          <w:lang w:val="en-US"/>
        </w:rPr>
        <w:t>, which are also covered by IFRS 6</w:t>
      </w:r>
      <w:r w:rsidR="0031163E">
        <w:rPr>
          <w:lang w:val="en-US"/>
        </w:rPr>
        <w:t xml:space="preserve"> and discussed above. </w:t>
      </w:r>
      <w:r w:rsidR="00D26844">
        <w:rPr>
          <w:lang w:val="en-US"/>
        </w:rPr>
        <w:t>After that, m</w:t>
      </w:r>
      <w:r w:rsidR="0031163E">
        <w:rPr>
          <w:lang w:val="en-US"/>
        </w:rPr>
        <w:t xml:space="preserve">oving </w:t>
      </w:r>
      <w:r w:rsidR="00D26844">
        <w:rPr>
          <w:lang w:val="en-US"/>
        </w:rPr>
        <w:t>outside of</w:t>
      </w:r>
      <w:r>
        <w:rPr>
          <w:lang w:val="en-US"/>
        </w:rPr>
        <w:t xml:space="preserve"> IFRS 6 again, we get to the costs </w:t>
      </w:r>
      <w:r w:rsidR="002714B6">
        <w:rPr>
          <w:lang w:val="en-US"/>
        </w:rPr>
        <w:t xml:space="preserve">incurred </w:t>
      </w:r>
      <w:r>
        <w:rPr>
          <w:lang w:val="en-US"/>
        </w:rPr>
        <w:t>after viability is demonstrated, which are ca</w:t>
      </w:r>
      <w:r w:rsidR="00DC1F47">
        <w:rPr>
          <w:lang w:val="en-US"/>
        </w:rPr>
        <w:t>lled ‘</w:t>
      </w:r>
      <w:r>
        <w:rPr>
          <w:lang w:val="en-US"/>
        </w:rPr>
        <w:t>development</w:t>
      </w:r>
      <w:r w:rsidR="00DC1F47">
        <w:rPr>
          <w:lang w:val="en-US"/>
        </w:rPr>
        <w:t>’</w:t>
      </w:r>
      <w:r>
        <w:rPr>
          <w:lang w:val="en-US"/>
        </w:rPr>
        <w:t xml:space="preserve"> in the context of extractive activities. However, </w:t>
      </w:r>
      <w:r w:rsidR="0031163E">
        <w:rPr>
          <w:lang w:val="en-US"/>
        </w:rPr>
        <w:t xml:space="preserve">in terms of IAS 38 these costs are not the full range of </w:t>
      </w:r>
      <w:r w:rsidR="00DC1F47">
        <w:rPr>
          <w:lang w:val="en-US"/>
        </w:rPr>
        <w:t>‘</w:t>
      </w:r>
      <w:r w:rsidR="0031163E">
        <w:rPr>
          <w:lang w:val="en-US"/>
        </w:rPr>
        <w:t>development</w:t>
      </w:r>
      <w:r w:rsidR="00DC1F47">
        <w:rPr>
          <w:lang w:val="en-US"/>
        </w:rPr>
        <w:t>’</w:t>
      </w:r>
      <w:r w:rsidR="0031163E">
        <w:rPr>
          <w:lang w:val="en-US"/>
        </w:rPr>
        <w:t xml:space="preserve"> but only</w:t>
      </w:r>
      <w:r>
        <w:rPr>
          <w:lang w:val="en-US"/>
        </w:rPr>
        <w:t xml:space="preserve"> </w:t>
      </w:r>
      <w:r w:rsidR="0031163E">
        <w:rPr>
          <w:lang w:val="en-US"/>
        </w:rPr>
        <w:t xml:space="preserve">the later parts (Stage C of Table </w:t>
      </w:r>
      <w:r w:rsidR="00936A3A">
        <w:rPr>
          <w:lang w:val="en-US"/>
        </w:rPr>
        <w:t>2</w:t>
      </w:r>
      <w:r w:rsidR="0031163E">
        <w:rPr>
          <w:lang w:val="en-US"/>
        </w:rPr>
        <w:t>)</w:t>
      </w:r>
      <w:r>
        <w:rPr>
          <w:lang w:val="en-US"/>
        </w:rPr>
        <w:t xml:space="preserve">. They </w:t>
      </w:r>
      <w:r w:rsidR="00F77EC2">
        <w:rPr>
          <w:lang w:val="en-US"/>
        </w:rPr>
        <w:t>w</w:t>
      </w:r>
      <w:r>
        <w:rPr>
          <w:lang w:val="en-US"/>
        </w:rPr>
        <w:t xml:space="preserve">ould therefore generally be </w:t>
      </w:r>
      <w:proofErr w:type="spellStart"/>
      <w:r>
        <w:rPr>
          <w:lang w:val="en-US"/>
        </w:rPr>
        <w:t>capitali</w:t>
      </w:r>
      <w:r w:rsidR="000A1B3F">
        <w:rPr>
          <w:lang w:val="en-US"/>
        </w:rPr>
        <w:t>s</w:t>
      </w:r>
      <w:r>
        <w:rPr>
          <w:lang w:val="en-US"/>
        </w:rPr>
        <w:t>ed</w:t>
      </w:r>
      <w:proofErr w:type="spellEnd"/>
      <w:r>
        <w:rPr>
          <w:lang w:val="en-US"/>
        </w:rPr>
        <w:t xml:space="preserve"> under IAS 38, as discussed above (IFRS 6, BC27). T</w:t>
      </w:r>
      <w:r w:rsidR="0031163E">
        <w:rPr>
          <w:lang w:val="en-US"/>
        </w:rPr>
        <w:t>hus, t</w:t>
      </w:r>
      <w:r>
        <w:rPr>
          <w:lang w:val="en-US"/>
        </w:rPr>
        <w:t>here is a terminological proble</w:t>
      </w:r>
      <w:r w:rsidR="0031163E">
        <w:rPr>
          <w:lang w:val="en-US"/>
        </w:rPr>
        <w:t>m here</w:t>
      </w:r>
      <w:r>
        <w:rPr>
          <w:lang w:val="en-US"/>
        </w:rPr>
        <w:t xml:space="preserve">: </w:t>
      </w:r>
      <w:r w:rsidR="00C9706B">
        <w:rPr>
          <w:lang w:val="en-US"/>
        </w:rPr>
        <w:t>for</w:t>
      </w:r>
      <w:r>
        <w:rPr>
          <w:lang w:val="en-US"/>
        </w:rPr>
        <w:t xml:space="preserve"> extractive </w:t>
      </w:r>
      <w:r w:rsidR="00200B89">
        <w:rPr>
          <w:lang w:val="en-US"/>
        </w:rPr>
        <w:t>activit</w:t>
      </w:r>
      <w:r>
        <w:rPr>
          <w:lang w:val="en-US"/>
        </w:rPr>
        <w:t xml:space="preserve">ies, Stage B is called </w:t>
      </w:r>
      <w:r w:rsidR="00DC1F47">
        <w:rPr>
          <w:lang w:val="en-US"/>
        </w:rPr>
        <w:t>‘</w:t>
      </w:r>
      <w:r w:rsidR="00EE42B7">
        <w:rPr>
          <w:lang w:val="en-US"/>
        </w:rPr>
        <w:t>exploration and evaluation</w:t>
      </w:r>
      <w:r w:rsidR="00DC1F47">
        <w:rPr>
          <w:lang w:val="en-US"/>
        </w:rPr>
        <w:t>’</w:t>
      </w:r>
      <w:r>
        <w:rPr>
          <w:lang w:val="en-US"/>
        </w:rPr>
        <w:t xml:space="preserve"> </w:t>
      </w:r>
      <w:r w:rsidR="00BB1C54">
        <w:rPr>
          <w:lang w:val="en-US"/>
        </w:rPr>
        <w:t>(</w:t>
      </w:r>
      <w:r w:rsidR="00AA2702">
        <w:rPr>
          <w:lang w:val="en-US"/>
        </w:rPr>
        <w:t xml:space="preserve">which is </w:t>
      </w:r>
      <w:r w:rsidR="00BB1C54">
        <w:rPr>
          <w:lang w:val="en-US"/>
        </w:rPr>
        <w:t xml:space="preserve">covered by IFRS 6) </w:t>
      </w:r>
      <w:r>
        <w:rPr>
          <w:lang w:val="en-US"/>
        </w:rPr>
        <w:t xml:space="preserve">and is importantly distinguished from Stage C’s </w:t>
      </w:r>
      <w:r w:rsidR="00DC1F47">
        <w:rPr>
          <w:lang w:val="en-US"/>
        </w:rPr>
        <w:t>‘</w:t>
      </w:r>
      <w:r>
        <w:rPr>
          <w:lang w:val="en-US"/>
        </w:rPr>
        <w:t>development</w:t>
      </w:r>
      <w:r w:rsidR="00DC1F47">
        <w:rPr>
          <w:lang w:val="en-US"/>
        </w:rPr>
        <w:t>’</w:t>
      </w:r>
      <w:r w:rsidR="00BB1C54">
        <w:rPr>
          <w:lang w:val="en-US"/>
        </w:rPr>
        <w:t xml:space="preserve"> (</w:t>
      </w:r>
      <w:r w:rsidR="00EE42B7">
        <w:rPr>
          <w:lang w:val="en-US"/>
        </w:rPr>
        <w:t xml:space="preserve">which is </w:t>
      </w:r>
      <w:r w:rsidR="00BB1C54">
        <w:rPr>
          <w:lang w:val="en-US"/>
        </w:rPr>
        <w:t>not covered by IFRS 6)</w:t>
      </w:r>
      <w:r>
        <w:rPr>
          <w:lang w:val="en-US"/>
        </w:rPr>
        <w:t xml:space="preserve">, whereas </w:t>
      </w:r>
      <w:r w:rsidR="00C9706B">
        <w:rPr>
          <w:lang w:val="en-US"/>
        </w:rPr>
        <w:t xml:space="preserve">for R&amp;D </w:t>
      </w:r>
      <w:r>
        <w:rPr>
          <w:lang w:val="en-US"/>
        </w:rPr>
        <w:t>both Stag</w:t>
      </w:r>
      <w:r w:rsidR="00AA2702">
        <w:rPr>
          <w:lang w:val="en-US"/>
        </w:rPr>
        <w:t xml:space="preserve">es B and C fit </w:t>
      </w:r>
      <w:r w:rsidR="00C9706B">
        <w:rPr>
          <w:lang w:val="en-US"/>
        </w:rPr>
        <w:t>into IAS 38’s</w:t>
      </w:r>
      <w:r w:rsidR="00AA2702">
        <w:rPr>
          <w:lang w:val="en-US"/>
        </w:rPr>
        <w:t xml:space="preserve"> </w:t>
      </w:r>
      <w:r>
        <w:rPr>
          <w:lang w:val="en-US"/>
        </w:rPr>
        <w:t xml:space="preserve">wider concept of </w:t>
      </w:r>
      <w:r w:rsidR="00DC1F47">
        <w:rPr>
          <w:lang w:val="en-US"/>
        </w:rPr>
        <w:t>‘</w:t>
      </w:r>
      <w:r>
        <w:rPr>
          <w:lang w:val="en-US"/>
        </w:rPr>
        <w:t>development</w:t>
      </w:r>
      <w:r w:rsidR="00DC1F47">
        <w:rPr>
          <w:lang w:val="en-US"/>
        </w:rPr>
        <w:t>’</w:t>
      </w:r>
      <w:r>
        <w:rPr>
          <w:lang w:val="en-US"/>
        </w:rPr>
        <w:t>.</w:t>
      </w:r>
    </w:p>
    <w:p w14:paraId="07D20B60" w14:textId="6E0889E4" w:rsidR="00DC4256" w:rsidRPr="00DC4256" w:rsidRDefault="008A2FFF">
      <w:pPr>
        <w:rPr>
          <w:lang w:val="en-US"/>
        </w:rPr>
      </w:pPr>
      <w:r>
        <w:rPr>
          <w:lang w:val="en-US"/>
        </w:rPr>
        <w:lastRenderedPageBreak/>
        <w:t xml:space="preserve">In addition to its exemptions, </w:t>
      </w:r>
      <w:r w:rsidR="00DC4256">
        <w:rPr>
          <w:lang w:val="en-US"/>
        </w:rPr>
        <w:t>IFRS 6 contain</w:t>
      </w:r>
      <w:r>
        <w:rPr>
          <w:lang w:val="en-US"/>
        </w:rPr>
        <w:t>s</w:t>
      </w:r>
      <w:r w:rsidR="00DC4256">
        <w:rPr>
          <w:lang w:val="en-US"/>
        </w:rPr>
        <w:t xml:space="preserve"> some </w:t>
      </w:r>
      <w:r>
        <w:rPr>
          <w:lang w:val="en-US"/>
        </w:rPr>
        <w:t xml:space="preserve">specific </w:t>
      </w:r>
      <w:r w:rsidR="00DC4256">
        <w:rPr>
          <w:lang w:val="en-US"/>
        </w:rPr>
        <w:t>requirements</w:t>
      </w:r>
      <w:r w:rsidR="009D0844">
        <w:rPr>
          <w:lang w:val="en-US"/>
        </w:rPr>
        <w:t xml:space="preserve"> for E&amp;E</w:t>
      </w:r>
      <w:r w:rsidR="00DC4256">
        <w:rPr>
          <w:lang w:val="en-US"/>
        </w:rPr>
        <w:t xml:space="preserve">. First, </w:t>
      </w:r>
      <w:r w:rsidR="009D0844">
        <w:rPr>
          <w:lang w:val="en-US"/>
        </w:rPr>
        <w:t xml:space="preserve">although </w:t>
      </w:r>
      <w:r w:rsidR="00DC4256">
        <w:rPr>
          <w:lang w:val="en-US"/>
        </w:rPr>
        <w:t>IAS 36 (</w:t>
      </w:r>
      <w:r w:rsidR="00DC4256">
        <w:rPr>
          <w:i/>
          <w:iCs/>
          <w:lang w:val="en-US"/>
        </w:rPr>
        <w:t>Impairment</w:t>
      </w:r>
      <w:r w:rsidR="00FB3ADA">
        <w:rPr>
          <w:i/>
          <w:iCs/>
          <w:lang w:val="en-US"/>
        </w:rPr>
        <w:t xml:space="preserve"> of Assets</w:t>
      </w:r>
      <w:r w:rsidR="009D0844">
        <w:rPr>
          <w:lang w:val="en-US"/>
        </w:rPr>
        <w:t>) applies</w:t>
      </w:r>
      <w:r w:rsidR="00852209">
        <w:rPr>
          <w:lang w:val="en-US"/>
        </w:rPr>
        <w:t xml:space="preserve"> to E&amp;E assets</w:t>
      </w:r>
      <w:r w:rsidR="009D0844">
        <w:rPr>
          <w:lang w:val="en-US"/>
        </w:rPr>
        <w:t>, IFRS 6’s</w:t>
      </w:r>
      <w:r w:rsidR="00DC4256">
        <w:rPr>
          <w:lang w:val="en-US"/>
        </w:rPr>
        <w:t xml:space="preserve"> </w:t>
      </w:r>
      <w:r w:rsidR="00EE42B7">
        <w:rPr>
          <w:lang w:val="en-US"/>
        </w:rPr>
        <w:t xml:space="preserve">list of </w:t>
      </w:r>
      <w:r w:rsidR="00DC4256">
        <w:rPr>
          <w:lang w:val="en-US"/>
        </w:rPr>
        <w:t>indicat</w:t>
      </w:r>
      <w:r w:rsidR="00EE42B7">
        <w:rPr>
          <w:lang w:val="en-US"/>
        </w:rPr>
        <w:t>or</w:t>
      </w:r>
      <w:r w:rsidR="00DC4256">
        <w:rPr>
          <w:lang w:val="en-US"/>
        </w:rPr>
        <w:t xml:space="preserve">s of impairment (para. </w:t>
      </w:r>
      <w:r w:rsidR="009D0844">
        <w:rPr>
          <w:lang w:val="en-US"/>
        </w:rPr>
        <w:t>20) are</w:t>
      </w:r>
      <w:r w:rsidR="00DC4256">
        <w:rPr>
          <w:lang w:val="en-US"/>
        </w:rPr>
        <w:t xml:space="preserve"> specific to E&amp;E, and IFRS 6 allows more aggregation of </w:t>
      </w:r>
      <w:r w:rsidR="00200B89">
        <w:rPr>
          <w:lang w:val="en-US"/>
        </w:rPr>
        <w:t xml:space="preserve">such </w:t>
      </w:r>
      <w:r w:rsidR="00DC4256">
        <w:rPr>
          <w:lang w:val="en-US"/>
        </w:rPr>
        <w:t xml:space="preserve">assets for impairment testing (para. 21 and BC46). Secondly, </w:t>
      </w:r>
      <w:r>
        <w:rPr>
          <w:lang w:val="en-US"/>
        </w:rPr>
        <w:t xml:space="preserve">there is no exemption from </w:t>
      </w:r>
      <w:r w:rsidR="00DC4256">
        <w:rPr>
          <w:lang w:val="en-US"/>
        </w:rPr>
        <w:t>IAS 37 (</w:t>
      </w:r>
      <w:r w:rsidR="00DC4256">
        <w:rPr>
          <w:i/>
          <w:iCs/>
          <w:lang w:val="en-US"/>
        </w:rPr>
        <w:t>Provisions, Contingent Liabilities and Contingent Assets</w:t>
      </w:r>
      <w:r w:rsidR="00DC4256">
        <w:rPr>
          <w:lang w:val="en-US"/>
        </w:rPr>
        <w:t>)</w:t>
      </w:r>
      <w:r w:rsidR="00D26844">
        <w:rPr>
          <w:lang w:val="en-US"/>
        </w:rPr>
        <w:t>;</w:t>
      </w:r>
      <w:r w:rsidR="009619D0">
        <w:rPr>
          <w:lang w:val="en-US"/>
        </w:rPr>
        <w:t xml:space="preserve"> and IFRS 6 confirms that IAS 37</w:t>
      </w:r>
      <w:r w:rsidR="00DC4256">
        <w:rPr>
          <w:lang w:val="en-US"/>
        </w:rPr>
        <w:t xml:space="preserve"> applies in full to E&amp;E activities, such as obligations to restore.</w:t>
      </w:r>
    </w:p>
    <w:p w14:paraId="6888A7F1" w14:textId="0F5FF172" w:rsidR="008C6844" w:rsidRDefault="00BB2624">
      <w:pPr>
        <w:rPr>
          <w:lang w:val="en-US"/>
        </w:rPr>
      </w:pPr>
      <w:r>
        <w:rPr>
          <w:lang w:val="en-US"/>
        </w:rPr>
        <w:t xml:space="preserve">Given the above analysis, all </w:t>
      </w:r>
      <w:r w:rsidR="00AA2702">
        <w:rPr>
          <w:lang w:val="en-US"/>
        </w:rPr>
        <w:t>of the great range of</w:t>
      </w:r>
      <w:r w:rsidR="00DC4256">
        <w:rPr>
          <w:lang w:val="en-US"/>
        </w:rPr>
        <w:t xml:space="preserve"> policies outlined in </w:t>
      </w:r>
      <w:r w:rsidR="005C01A6">
        <w:rPr>
          <w:lang w:val="en-US"/>
        </w:rPr>
        <w:t>Figure</w:t>
      </w:r>
      <w:r w:rsidR="00E9491C">
        <w:rPr>
          <w:lang w:val="en-US"/>
        </w:rPr>
        <w:t xml:space="preserve"> </w:t>
      </w:r>
      <w:r>
        <w:rPr>
          <w:lang w:val="en-US"/>
        </w:rPr>
        <w:t xml:space="preserve">1 </w:t>
      </w:r>
      <w:r w:rsidR="00DC4256">
        <w:rPr>
          <w:lang w:val="en-US"/>
        </w:rPr>
        <w:t>seem acceptable under IFRS except</w:t>
      </w:r>
      <w:r>
        <w:rPr>
          <w:lang w:val="en-US"/>
        </w:rPr>
        <w:t xml:space="preserve"> for</w:t>
      </w:r>
      <w:r w:rsidR="00DC4256">
        <w:rPr>
          <w:lang w:val="en-US"/>
        </w:rPr>
        <w:t xml:space="preserve"> </w:t>
      </w:r>
      <w:proofErr w:type="spellStart"/>
      <w:r>
        <w:rPr>
          <w:lang w:val="en-US"/>
        </w:rPr>
        <w:t>capitali</w:t>
      </w:r>
      <w:r w:rsidR="00AC138E">
        <w:rPr>
          <w:lang w:val="en-US"/>
        </w:rPr>
        <w:t>s</w:t>
      </w:r>
      <w:r>
        <w:rPr>
          <w:lang w:val="en-US"/>
        </w:rPr>
        <w:t>ation</w:t>
      </w:r>
      <w:proofErr w:type="spellEnd"/>
      <w:r>
        <w:rPr>
          <w:lang w:val="en-US"/>
        </w:rPr>
        <w:t xml:space="preserve"> of pre-rights costs under</w:t>
      </w:r>
      <w:r w:rsidR="00150920">
        <w:rPr>
          <w:lang w:val="en-US"/>
        </w:rPr>
        <w:t xml:space="preserve"> Method </w:t>
      </w:r>
      <w:r w:rsidR="0038475D">
        <w:rPr>
          <w:lang w:val="en-US"/>
        </w:rPr>
        <w:t>1</w:t>
      </w:r>
      <w:r w:rsidR="00045A4D">
        <w:rPr>
          <w:lang w:val="en-US"/>
        </w:rPr>
        <w:t>1</w:t>
      </w:r>
      <w:r w:rsidR="00BB1C54">
        <w:rPr>
          <w:lang w:val="en-US"/>
        </w:rPr>
        <w:t xml:space="preserve"> (the US ‘full cost’ method)</w:t>
      </w:r>
      <w:r w:rsidR="00DC4256">
        <w:rPr>
          <w:lang w:val="en-US"/>
        </w:rPr>
        <w:t>, for reasons discussed above.</w:t>
      </w:r>
      <w:r w:rsidR="00BB1C54">
        <w:rPr>
          <w:rStyle w:val="FootnoteReference"/>
          <w:lang w:val="en-US"/>
        </w:rPr>
        <w:footnoteReference w:id="23"/>
      </w:r>
      <w:r w:rsidR="00DC4256">
        <w:rPr>
          <w:lang w:val="en-US"/>
        </w:rPr>
        <w:t xml:space="preserve"> </w:t>
      </w:r>
      <w:r w:rsidR="00A21A2A">
        <w:rPr>
          <w:lang w:val="en-US"/>
        </w:rPr>
        <w:t>Nevertheless</w:t>
      </w:r>
      <w:r w:rsidR="00AA2702">
        <w:rPr>
          <w:lang w:val="en-US"/>
        </w:rPr>
        <w:t>, we were able to find</w:t>
      </w:r>
      <w:r w:rsidR="00DC4256">
        <w:rPr>
          <w:lang w:val="en-US"/>
        </w:rPr>
        <w:t xml:space="preserve"> two</w:t>
      </w:r>
      <w:r w:rsidR="00AA2702">
        <w:rPr>
          <w:lang w:val="en-US"/>
        </w:rPr>
        <w:t xml:space="preserve"> Italian</w:t>
      </w:r>
      <w:r w:rsidR="00DC4256">
        <w:rPr>
          <w:lang w:val="en-US"/>
        </w:rPr>
        <w:t xml:space="preserve"> firms</w:t>
      </w:r>
      <w:r w:rsidR="00E97E84">
        <w:rPr>
          <w:rStyle w:val="FootnoteReference"/>
          <w:lang w:val="en-US"/>
        </w:rPr>
        <w:footnoteReference w:id="24"/>
      </w:r>
      <w:r w:rsidR="00E97E84">
        <w:rPr>
          <w:lang w:val="en-US"/>
        </w:rPr>
        <w:t xml:space="preserve"> </w:t>
      </w:r>
      <w:r w:rsidR="00AA2702">
        <w:rPr>
          <w:lang w:val="en-US"/>
        </w:rPr>
        <w:t xml:space="preserve">which had </w:t>
      </w:r>
      <w:proofErr w:type="spellStart"/>
      <w:r w:rsidR="00EE42B7">
        <w:rPr>
          <w:lang w:val="en-US"/>
        </w:rPr>
        <w:t>capitali</w:t>
      </w:r>
      <w:r w:rsidR="000A1B3F">
        <w:rPr>
          <w:lang w:val="en-US"/>
        </w:rPr>
        <w:t>s</w:t>
      </w:r>
      <w:r w:rsidR="00EE42B7">
        <w:rPr>
          <w:lang w:val="en-US"/>
        </w:rPr>
        <w:t>ed</w:t>
      </w:r>
      <w:proofErr w:type="spellEnd"/>
      <w:r w:rsidR="00EE42B7">
        <w:rPr>
          <w:lang w:val="en-US"/>
        </w:rPr>
        <w:t xml:space="preserve"> pre-rights costs</w:t>
      </w:r>
      <w:r w:rsidR="00E97E84">
        <w:rPr>
          <w:lang w:val="en-US"/>
        </w:rPr>
        <w:t xml:space="preserve"> </w:t>
      </w:r>
      <w:r w:rsidR="00C3452D">
        <w:rPr>
          <w:lang w:val="en-US"/>
        </w:rPr>
        <w:t xml:space="preserve">under IFRS </w:t>
      </w:r>
      <w:r w:rsidR="00AA2702">
        <w:rPr>
          <w:lang w:val="en-US"/>
        </w:rPr>
        <w:t xml:space="preserve">in </w:t>
      </w:r>
      <w:r w:rsidR="00EE42B7">
        <w:rPr>
          <w:lang w:val="en-US"/>
        </w:rPr>
        <w:t>recent years</w:t>
      </w:r>
      <w:r w:rsidR="00AA2702">
        <w:rPr>
          <w:lang w:val="en-US"/>
        </w:rPr>
        <w:t xml:space="preserve">, </w:t>
      </w:r>
      <w:r w:rsidR="00E97E84">
        <w:rPr>
          <w:lang w:val="en-US"/>
        </w:rPr>
        <w:t xml:space="preserve">both </w:t>
      </w:r>
      <w:r w:rsidR="00AA2702">
        <w:rPr>
          <w:lang w:val="en-US"/>
        </w:rPr>
        <w:t>with</w:t>
      </w:r>
      <w:r w:rsidR="00E97E84">
        <w:rPr>
          <w:lang w:val="en-US"/>
        </w:rPr>
        <w:t xml:space="preserve"> Ernst &amp; Young as auditors.</w:t>
      </w:r>
      <w:r w:rsidR="00EB3D90">
        <w:rPr>
          <w:lang w:val="en-US"/>
        </w:rPr>
        <w:t xml:space="preserve"> </w:t>
      </w:r>
      <w:r w:rsidR="008C6844">
        <w:rPr>
          <w:lang w:val="en-US"/>
        </w:rPr>
        <w:t>B</w:t>
      </w:r>
      <w:r w:rsidR="00C42D49">
        <w:rPr>
          <w:lang w:val="en-US"/>
        </w:rPr>
        <w:t>DO (</w:t>
      </w:r>
      <w:r w:rsidR="00150920">
        <w:rPr>
          <w:lang w:val="en-US"/>
        </w:rPr>
        <w:t xml:space="preserve">2013, p.9) suggest that </w:t>
      </w:r>
      <w:r w:rsidR="00BB1C54">
        <w:rPr>
          <w:lang w:val="en-US"/>
        </w:rPr>
        <w:t xml:space="preserve">the </w:t>
      </w:r>
      <w:r w:rsidR="00C42D49">
        <w:rPr>
          <w:lang w:val="en-US"/>
        </w:rPr>
        <w:t>full cost</w:t>
      </w:r>
      <w:r w:rsidR="00BB1C54">
        <w:rPr>
          <w:lang w:val="en-US"/>
        </w:rPr>
        <w:t xml:space="preserve"> method</w:t>
      </w:r>
      <w:r w:rsidR="008C6844">
        <w:rPr>
          <w:lang w:val="en-US"/>
        </w:rPr>
        <w:t xml:space="preserve"> is ‘not consistent with the requirements of IFRS’. </w:t>
      </w:r>
      <w:r w:rsidR="00EB3D90">
        <w:rPr>
          <w:lang w:val="en-US"/>
        </w:rPr>
        <w:t xml:space="preserve">We agree </w:t>
      </w:r>
      <w:r w:rsidR="009619D0">
        <w:rPr>
          <w:lang w:val="en-US"/>
        </w:rPr>
        <w:t>that this is true for the US full cost method</w:t>
      </w:r>
      <w:r w:rsidR="005F71EB">
        <w:rPr>
          <w:lang w:val="en-US"/>
        </w:rPr>
        <w:t xml:space="preserve"> </w:t>
      </w:r>
      <w:r w:rsidR="00D26844">
        <w:rPr>
          <w:lang w:val="en-US"/>
        </w:rPr>
        <w:t>and the former UK method</w:t>
      </w:r>
      <w:r w:rsidR="009619D0">
        <w:rPr>
          <w:lang w:val="en-US"/>
        </w:rPr>
        <w:t>, but</w:t>
      </w:r>
      <w:r w:rsidR="008C6844">
        <w:rPr>
          <w:lang w:val="en-US"/>
        </w:rPr>
        <w:t xml:space="preserve"> there is no </w:t>
      </w:r>
      <w:r w:rsidR="002F02DB">
        <w:rPr>
          <w:lang w:val="en-US"/>
        </w:rPr>
        <w:t xml:space="preserve">internationally </w:t>
      </w:r>
      <w:r w:rsidR="00AA2702">
        <w:rPr>
          <w:lang w:val="en-US"/>
        </w:rPr>
        <w:t>agre</w:t>
      </w:r>
      <w:r w:rsidR="008C6844">
        <w:rPr>
          <w:lang w:val="en-US"/>
        </w:rPr>
        <w:t>ed</w:t>
      </w:r>
      <w:r>
        <w:rPr>
          <w:lang w:val="en-US"/>
        </w:rPr>
        <w:t xml:space="preserve"> definition of ‘full cost’. </w:t>
      </w:r>
      <w:r w:rsidR="007F1A1E">
        <w:rPr>
          <w:lang w:val="en-US"/>
        </w:rPr>
        <w:t>Indeed</w:t>
      </w:r>
      <w:r w:rsidR="00D561A0">
        <w:rPr>
          <w:lang w:val="en-US"/>
        </w:rPr>
        <w:t>, some IFRS firms</w:t>
      </w:r>
      <w:r w:rsidR="008871AB">
        <w:rPr>
          <w:lang w:val="en-US"/>
        </w:rPr>
        <w:t xml:space="preserve"> </w:t>
      </w:r>
      <w:r w:rsidR="008C6844">
        <w:rPr>
          <w:lang w:val="en-US"/>
        </w:rPr>
        <w:t>state that they</w:t>
      </w:r>
      <w:r w:rsidR="00F113F0">
        <w:rPr>
          <w:lang w:val="en-US"/>
        </w:rPr>
        <w:t xml:space="preserve"> use ‘full cost’</w:t>
      </w:r>
      <w:r w:rsidR="008C6844">
        <w:rPr>
          <w:lang w:val="en-US"/>
        </w:rPr>
        <w:t>.</w:t>
      </w:r>
      <w:r w:rsidR="007F1A1E">
        <w:rPr>
          <w:rStyle w:val="FootnoteReference"/>
          <w:lang w:val="en-US"/>
        </w:rPr>
        <w:footnoteReference w:id="25"/>
      </w:r>
      <w:r w:rsidR="006645C7">
        <w:rPr>
          <w:lang w:val="en-US"/>
        </w:rPr>
        <w:t xml:space="preserve"> One UK firm</w:t>
      </w:r>
      <w:r w:rsidR="006645C7">
        <w:rPr>
          <w:rStyle w:val="FootnoteReference"/>
          <w:lang w:val="en-US"/>
        </w:rPr>
        <w:footnoteReference w:id="26"/>
      </w:r>
      <w:r w:rsidR="006645C7">
        <w:rPr>
          <w:lang w:val="en-US"/>
        </w:rPr>
        <w:t xml:space="preserve"> (with BDO as its auditor) refers to using the ‘modified full cost method’ so that it complies with IFRS 6.</w:t>
      </w:r>
      <w:r w:rsidR="00345657">
        <w:rPr>
          <w:lang w:val="en-US"/>
        </w:rPr>
        <w:t xml:space="preserve"> In terms of our classification, these firms used Method 9.</w:t>
      </w:r>
      <w:r w:rsidR="002714B6">
        <w:rPr>
          <w:lang w:val="en-US"/>
        </w:rPr>
        <w:t xml:space="preserve"> Incidentally, the UK’s former method called successful efforts would </w:t>
      </w:r>
      <w:r w:rsidR="005F71EB">
        <w:rPr>
          <w:lang w:val="en-US"/>
        </w:rPr>
        <w:t xml:space="preserve">also not </w:t>
      </w:r>
      <w:r w:rsidR="002714B6">
        <w:rPr>
          <w:lang w:val="en-US"/>
        </w:rPr>
        <w:t xml:space="preserve">comply with IFRS because </w:t>
      </w:r>
      <w:r w:rsidR="005F71EB">
        <w:rPr>
          <w:lang w:val="en-US"/>
        </w:rPr>
        <w:t>it</w:t>
      </w:r>
      <w:r w:rsidR="002714B6">
        <w:rPr>
          <w:lang w:val="en-US"/>
        </w:rPr>
        <w:t xml:space="preserve"> involved </w:t>
      </w:r>
      <w:proofErr w:type="spellStart"/>
      <w:r w:rsidR="002714B6">
        <w:rPr>
          <w:lang w:val="en-US"/>
        </w:rPr>
        <w:t>capitali</w:t>
      </w:r>
      <w:r w:rsidR="00A21A2A">
        <w:rPr>
          <w:lang w:val="en-US"/>
        </w:rPr>
        <w:t>s</w:t>
      </w:r>
      <w:r w:rsidR="002714B6">
        <w:rPr>
          <w:lang w:val="en-US"/>
        </w:rPr>
        <w:t>ing</w:t>
      </w:r>
      <w:proofErr w:type="spellEnd"/>
      <w:r w:rsidR="002714B6">
        <w:rPr>
          <w:lang w:val="en-US"/>
        </w:rPr>
        <w:t xml:space="preserve"> pre-</w:t>
      </w:r>
      <w:proofErr w:type="spellStart"/>
      <w:r w:rsidR="002714B6">
        <w:rPr>
          <w:lang w:val="en-US"/>
        </w:rPr>
        <w:t>licen</w:t>
      </w:r>
      <w:r w:rsidR="00A21A2A">
        <w:rPr>
          <w:lang w:val="en-US"/>
        </w:rPr>
        <w:t>c</w:t>
      </w:r>
      <w:r w:rsidR="002714B6">
        <w:rPr>
          <w:lang w:val="en-US"/>
        </w:rPr>
        <w:t>e</w:t>
      </w:r>
      <w:proofErr w:type="spellEnd"/>
      <w:r w:rsidR="002714B6">
        <w:rPr>
          <w:lang w:val="en-US"/>
        </w:rPr>
        <w:t xml:space="preserve"> costs.</w:t>
      </w:r>
    </w:p>
    <w:p w14:paraId="7422CC72" w14:textId="589ED880" w:rsidR="0073737A" w:rsidRDefault="007D2B99">
      <w:pPr>
        <w:rPr>
          <w:lang w:val="en-US"/>
        </w:rPr>
      </w:pPr>
      <w:r>
        <w:rPr>
          <w:lang w:val="en-US"/>
        </w:rPr>
        <w:t xml:space="preserve">A detail concerns whether borrowing costs should be included in </w:t>
      </w:r>
      <w:r w:rsidR="00BB2624">
        <w:rPr>
          <w:lang w:val="en-US"/>
        </w:rPr>
        <w:t xml:space="preserve">any ultimate </w:t>
      </w:r>
      <w:proofErr w:type="spellStart"/>
      <w:r w:rsidR="00BB2624">
        <w:rPr>
          <w:lang w:val="en-US"/>
        </w:rPr>
        <w:t>capitali</w:t>
      </w:r>
      <w:r w:rsidR="00AC138E">
        <w:rPr>
          <w:lang w:val="en-US"/>
        </w:rPr>
        <w:t>s</w:t>
      </w:r>
      <w:r w:rsidR="00BB2624">
        <w:rPr>
          <w:lang w:val="en-US"/>
        </w:rPr>
        <w:t>ation</w:t>
      </w:r>
      <w:proofErr w:type="spellEnd"/>
      <w:r w:rsidR="00BB2624">
        <w:rPr>
          <w:lang w:val="en-US"/>
        </w:rPr>
        <w:t xml:space="preserve"> of </w:t>
      </w:r>
      <w:r w:rsidR="00013A12">
        <w:rPr>
          <w:lang w:val="en-US"/>
        </w:rPr>
        <w:t xml:space="preserve">those </w:t>
      </w:r>
      <w:r w:rsidR="00BB2624">
        <w:rPr>
          <w:lang w:val="en-US"/>
        </w:rPr>
        <w:t>E&amp;E costs incurred</w:t>
      </w:r>
      <w:r>
        <w:rPr>
          <w:lang w:val="en-US"/>
        </w:rPr>
        <w:t xml:space="preserve"> </w:t>
      </w:r>
      <w:r w:rsidR="00BB2624">
        <w:rPr>
          <w:lang w:val="en-US"/>
        </w:rPr>
        <w:t xml:space="preserve">before </w:t>
      </w:r>
      <w:r>
        <w:rPr>
          <w:lang w:val="en-US"/>
        </w:rPr>
        <w:t>viability is established. IAS 23 (</w:t>
      </w:r>
      <w:r>
        <w:rPr>
          <w:i/>
          <w:iCs/>
          <w:lang w:val="en-US"/>
        </w:rPr>
        <w:t>Borrowing Costs</w:t>
      </w:r>
      <w:r>
        <w:rPr>
          <w:lang w:val="en-US"/>
        </w:rPr>
        <w:t>) would not allow that</w:t>
      </w:r>
      <w:r w:rsidR="00BB2624">
        <w:rPr>
          <w:lang w:val="en-US"/>
        </w:rPr>
        <w:t xml:space="preserve"> because it</w:t>
      </w:r>
      <w:r>
        <w:rPr>
          <w:lang w:val="en-US"/>
        </w:rPr>
        <w:t xml:space="preserve"> </w:t>
      </w:r>
      <w:r w:rsidR="00BB2624">
        <w:rPr>
          <w:lang w:val="en-US"/>
        </w:rPr>
        <w:t xml:space="preserve">requires future inflows </w:t>
      </w:r>
      <w:r w:rsidR="00852209">
        <w:rPr>
          <w:lang w:val="en-US"/>
        </w:rPr>
        <w:t xml:space="preserve">from </w:t>
      </w:r>
      <w:proofErr w:type="spellStart"/>
      <w:r w:rsidR="00852209">
        <w:rPr>
          <w:lang w:val="en-US"/>
        </w:rPr>
        <w:t>capitali</w:t>
      </w:r>
      <w:r w:rsidR="000A1B3F">
        <w:rPr>
          <w:lang w:val="en-US"/>
        </w:rPr>
        <w:t>s</w:t>
      </w:r>
      <w:r w:rsidR="00852209">
        <w:rPr>
          <w:lang w:val="en-US"/>
        </w:rPr>
        <w:t>ed</w:t>
      </w:r>
      <w:proofErr w:type="spellEnd"/>
      <w:r w:rsidR="00852209">
        <w:rPr>
          <w:lang w:val="en-US"/>
        </w:rPr>
        <w:t xml:space="preserve"> costs </w:t>
      </w:r>
      <w:r w:rsidR="00BB2624">
        <w:rPr>
          <w:lang w:val="en-US"/>
        </w:rPr>
        <w:t xml:space="preserve">to be probable </w:t>
      </w:r>
      <w:r>
        <w:rPr>
          <w:lang w:val="en-US"/>
        </w:rPr>
        <w:t xml:space="preserve">(para. 9). However, one could argue that IFRS 6’s exemptions override IAS 23. We found firms </w:t>
      </w:r>
      <w:r w:rsidR="0099408A">
        <w:rPr>
          <w:lang w:val="en-US"/>
        </w:rPr>
        <w:t xml:space="preserve">in the same country (e.g. Canada) </w:t>
      </w:r>
      <w:r>
        <w:rPr>
          <w:lang w:val="en-US"/>
        </w:rPr>
        <w:t xml:space="preserve">that did </w:t>
      </w:r>
      <w:proofErr w:type="spellStart"/>
      <w:r>
        <w:rPr>
          <w:lang w:val="en-US"/>
        </w:rPr>
        <w:t>capitali</w:t>
      </w:r>
      <w:r w:rsidR="000A1B3F">
        <w:rPr>
          <w:lang w:val="en-US"/>
        </w:rPr>
        <w:t>s</w:t>
      </w:r>
      <w:r>
        <w:rPr>
          <w:lang w:val="en-US"/>
        </w:rPr>
        <w:t>e</w:t>
      </w:r>
      <w:proofErr w:type="spellEnd"/>
      <w:r>
        <w:rPr>
          <w:lang w:val="en-US"/>
        </w:rPr>
        <w:t xml:space="preserve"> (e.g. M</w:t>
      </w:r>
      <w:r w:rsidR="003820EE">
        <w:rPr>
          <w:lang w:val="en-US"/>
        </w:rPr>
        <w:t>EG</w:t>
      </w:r>
      <w:r>
        <w:rPr>
          <w:lang w:val="en-US"/>
        </w:rPr>
        <w:t xml:space="preserve"> Energy</w:t>
      </w:r>
      <w:r w:rsidR="00852C3F">
        <w:rPr>
          <w:lang w:val="en-US"/>
        </w:rPr>
        <w:t>, see 2017</w:t>
      </w:r>
      <w:r w:rsidR="00144C5E">
        <w:rPr>
          <w:lang w:val="en-US"/>
        </w:rPr>
        <w:t xml:space="preserve"> Annual R</w:t>
      </w:r>
      <w:r w:rsidR="00824FF0">
        <w:rPr>
          <w:lang w:val="en-US"/>
        </w:rPr>
        <w:t>eport</w:t>
      </w:r>
      <w:r w:rsidRPr="00CB58BC">
        <w:rPr>
          <w:lang w:val="en-US"/>
        </w:rPr>
        <w:t>, p.</w:t>
      </w:r>
      <w:r w:rsidR="00CB58BC">
        <w:rPr>
          <w:lang w:val="en-US"/>
        </w:rPr>
        <w:t>84</w:t>
      </w:r>
      <w:r>
        <w:rPr>
          <w:lang w:val="en-US"/>
        </w:rPr>
        <w:t xml:space="preserve">) and firms that did not </w:t>
      </w:r>
      <w:r>
        <w:rPr>
          <w:lang w:val="en-US"/>
        </w:rPr>
        <w:lastRenderedPageBreak/>
        <w:t>(e.g. Crown Point Energy</w:t>
      </w:r>
      <w:r w:rsidR="00852C3F">
        <w:rPr>
          <w:lang w:val="en-US"/>
        </w:rPr>
        <w:t>, see 2017</w:t>
      </w:r>
      <w:r w:rsidR="00144C5E">
        <w:rPr>
          <w:lang w:val="en-US"/>
        </w:rPr>
        <w:t xml:space="preserve"> </w:t>
      </w:r>
      <w:r w:rsidR="005E1853">
        <w:rPr>
          <w:lang w:val="en-US"/>
        </w:rPr>
        <w:t>Consolidated Financial Statements</w:t>
      </w:r>
      <w:r>
        <w:rPr>
          <w:lang w:val="en-US"/>
        </w:rPr>
        <w:t>, p.</w:t>
      </w:r>
      <w:r w:rsidR="00CB58BC">
        <w:rPr>
          <w:lang w:val="en-US"/>
        </w:rPr>
        <w:t>11</w:t>
      </w:r>
      <w:r>
        <w:rPr>
          <w:lang w:val="en-US"/>
        </w:rPr>
        <w:t>).</w:t>
      </w:r>
      <w:r w:rsidR="00C74A29">
        <w:rPr>
          <w:lang w:val="en-US"/>
        </w:rPr>
        <w:t xml:space="preserve"> In US GAAP, both the successful efforts </w:t>
      </w:r>
      <w:r w:rsidR="00144C5E">
        <w:rPr>
          <w:lang w:val="en-US"/>
        </w:rPr>
        <w:t xml:space="preserve">method </w:t>
      </w:r>
      <w:r w:rsidR="00C74A29">
        <w:rPr>
          <w:lang w:val="en-US"/>
        </w:rPr>
        <w:t xml:space="preserve">and the full cost method require </w:t>
      </w:r>
      <w:proofErr w:type="spellStart"/>
      <w:r w:rsidR="00C74A29">
        <w:rPr>
          <w:lang w:val="en-US"/>
        </w:rPr>
        <w:t>capitali</w:t>
      </w:r>
      <w:r w:rsidR="00AC138E">
        <w:rPr>
          <w:lang w:val="en-US"/>
        </w:rPr>
        <w:t>s</w:t>
      </w:r>
      <w:r w:rsidR="00C74A29">
        <w:rPr>
          <w:lang w:val="en-US"/>
        </w:rPr>
        <w:t>ation</w:t>
      </w:r>
      <w:proofErr w:type="spellEnd"/>
      <w:r w:rsidR="00C74A29">
        <w:rPr>
          <w:lang w:val="en-US"/>
        </w:rPr>
        <w:t xml:space="preserve"> of borrowing costs.</w:t>
      </w:r>
      <w:r w:rsidR="00C74A29">
        <w:rPr>
          <w:rStyle w:val="FootnoteReference"/>
          <w:lang w:val="en-US"/>
        </w:rPr>
        <w:footnoteReference w:id="27"/>
      </w:r>
    </w:p>
    <w:p w14:paraId="6A38A026" w14:textId="77777777" w:rsidR="00461031" w:rsidRPr="00442F2D" w:rsidRDefault="00461031" w:rsidP="00461031">
      <w:pPr>
        <w:pStyle w:val="Heading1"/>
        <w:rPr>
          <w:lang w:val="en-US"/>
        </w:rPr>
      </w:pPr>
      <w:r>
        <w:rPr>
          <w:lang w:val="en-US"/>
        </w:rPr>
        <w:t xml:space="preserve">5. </w:t>
      </w:r>
      <w:r w:rsidRPr="00442F2D">
        <w:rPr>
          <w:lang w:val="en-US"/>
        </w:rPr>
        <w:t>Examples of poor explanations of polic</w:t>
      </w:r>
      <w:r>
        <w:rPr>
          <w:lang w:val="en-US"/>
        </w:rPr>
        <w:t>y</w:t>
      </w:r>
    </w:p>
    <w:p w14:paraId="48B1ACBD" w14:textId="5D09FACC" w:rsidR="00461031" w:rsidRDefault="00461031" w:rsidP="00461031">
      <w:r>
        <w:t>Because</w:t>
      </w:r>
      <w:r w:rsidRPr="00D4207A">
        <w:t xml:space="preserve"> IFRS 6 contains no definitions or discussion of the various possible treatments of E&amp;E costs, the policy notes of many extractive firms are difficult to read and to compare.</w:t>
      </w:r>
      <w:r>
        <w:t xml:space="preserve"> </w:t>
      </w:r>
      <w:r w:rsidR="00044132">
        <w:t>Table 3</w:t>
      </w:r>
      <w:r w:rsidRPr="00D4207A">
        <w:t xml:space="preserve"> contains 1</w:t>
      </w:r>
      <w:r w:rsidR="00CD0635">
        <w:t>0</w:t>
      </w:r>
      <w:r w:rsidRPr="00D4207A">
        <w:t xml:space="preserve"> examples of confusing notes. These could be divided into four types, with some firms exhibiting more than one: (</w:t>
      </w:r>
      <w:proofErr w:type="spellStart"/>
      <w:r w:rsidRPr="00D4207A">
        <w:t>i</w:t>
      </w:r>
      <w:proofErr w:type="spellEnd"/>
      <w:r w:rsidRPr="00D4207A">
        <w:t xml:space="preserve">) conflation of </w:t>
      </w:r>
      <w:r w:rsidR="00DC1F47">
        <w:t>‘</w:t>
      </w:r>
      <w:r w:rsidRPr="00D4207A">
        <w:t>successful efforts</w:t>
      </w:r>
      <w:r w:rsidR="00DC1F47">
        <w:t>’</w:t>
      </w:r>
      <w:r w:rsidRPr="00D4207A">
        <w:t xml:space="preserve"> and </w:t>
      </w:r>
      <w:r w:rsidR="00DC1F47">
        <w:t>‘</w:t>
      </w:r>
      <w:r w:rsidRPr="00D4207A">
        <w:t>area of interest</w:t>
      </w:r>
      <w:r w:rsidR="00DC1F47">
        <w:t>’</w:t>
      </w:r>
      <w:r w:rsidRPr="00D4207A">
        <w:t xml:space="preserve"> (Great Western</w:t>
      </w:r>
      <w:r w:rsidR="00D15304">
        <w:t xml:space="preserve"> Exploration</w:t>
      </w:r>
      <w:r w:rsidRPr="00D4207A">
        <w:t>, Horizon</w:t>
      </w:r>
      <w:r>
        <w:t xml:space="preserve"> Oil</w:t>
      </w:r>
      <w:r w:rsidRPr="00D4207A">
        <w:t xml:space="preserve">, </w:t>
      </w:r>
      <w:proofErr w:type="spellStart"/>
      <w:r w:rsidRPr="00D4207A">
        <w:t>Oilex</w:t>
      </w:r>
      <w:proofErr w:type="spellEnd"/>
      <w:r w:rsidR="00733ADC">
        <w:t>,</w:t>
      </w:r>
      <w:r w:rsidRPr="00D4207A">
        <w:t xml:space="preserve"> and Santos); (ii) confusion of E&amp;E with development</w:t>
      </w:r>
      <w:r w:rsidR="00C43556">
        <w:t xml:space="preserve"> costs</w:t>
      </w:r>
      <w:r w:rsidRPr="00D4207A">
        <w:t xml:space="preserve"> (Alamos</w:t>
      </w:r>
      <w:r w:rsidR="00184AC1">
        <w:t xml:space="preserve"> Gold</w:t>
      </w:r>
      <w:r w:rsidRPr="00D4207A">
        <w:t xml:space="preserve">, Antofagasta, </w:t>
      </w:r>
      <w:r w:rsidR="00791791">
        <w:t xml:space="preserve">and </w:t>
      </w:r>
      <w:r w:rsidRPr="00D4207A">
        <w:t>North American Palladium); (iii) stating that E&amp;E is expensed when actually it is initially held in suspense (</w:t>
      </w:r>
      <w:r w:rsidR="00A374FF">
        <w:t>Merlin</w:t>
      </w:r>
      <w:r w:rsidRPr="00D4207A">
        <w:t xml:space="preserve"> Diamonds, </w:t>
      </w:r>
      <w:proofErr w:type="spellStart"/>
      <w:r w:rsidRPr="00D4207A">
        <w:t>Oilex</w:t>
      </w:r>
      <w:proofErr w:type="spellEnd"/>
      <w:r w:rsidRPr="00D4207A">
        <w:t>, and Santos), and (iv) Australian firms or auditors being confused about the labels of accounting standards because the Australian version of IFRS has a different numbering system</w:t>
      </w:r>
      <w:r>
        <w:t xml:space="preserve"> from the original</w:t>
      </w:r>
      <w:r w:rsidRPr="00D4207A">
        <w:t xml:space="preserve"> (Oil Search and Range Resources).</w:t>
      </w:r>
    </w:p>
    <w:p w14:paraId="1E1968F0" w14:textId="024216BB" w:rsidR="00461031" w:rsidRPr="00DB3A19" w:rsidRDefault="00DB3A19" w:rsidP="00DB3A19">
      <w:r>
        <w:t>The great variety of practice (discussed in Section 3 and illustrated</w:t>
      </w:r>
      <w:r w:rsidR="0017406B">
        <w:t xml:space="preserve"> in </w:t>
      </w:r>
      <w:r w:rsidR="00044132">
        <w:t>Table 1</w:t>
      </w:r>
      <w:r>
        <w:t>) plus the common occurrence of confusing notes (discussed in this section and illustrat</w:t>
      </w:r>
      <w:r w:rsidR="0017406B">
        <w:t xml:space="preserve">ed in </w:t>
      </w:r>
      <w:r w:rsidR="00044132">
        <w:t>Table 3</w:t>
      </w:r>
      <w:r>
        <w:t>) demonstrate the importance of considering reform of IFRS 6, to which we now turn.</w:t>
      </w:r>
    </w:p>
    <w:p w14:paraId="4B9033D1" w14:textId="7AEEE254" w:rsidR="00661F2C" w:rsidRPr="00076EC2" w:rsidRDefault="00461031" w:rsidP="00FC703C">
      <w:pPr>
        <w:pStyle w:val="Heading1"/>
        <w:rPr>
          <w:lang w:val="en-US"/>
        </w:rPr>
      </w:pPr>
      <w:r>
        <w:rPr>
          <w:lang w:val="en-US"/>
        </w:rPr>
        <w:t>6</w:t>
      </w:r>
      <w:r w:rsidR="00940120">
        <w:rPr>
          <w:lang w:val="en-US"/>
        </w:rPr>
        <w:t xml:space="preserve">. </w:t>
      </w:r>
      <w:r w:rsidR="0015054F">
        <w:rPr>
          <w:lang w:val="en-US"/>
        </w:rPr>
        <w:t>T</w:t>
      </w:r>
      <w:r w:rsidR="00F97C72" w:rsidRPr="00442F2D">
        <w:rPr>
          <w:lang w:val="en-US"/>
        </w:rPr>
        <w:t>owards an</w:t>
      </w:r>
      <w:r w:rsidR="007D2B99" w:rsidRPr="00442F2D">
        <w:rPr>
          <w:lang w:val="en-US"/>
        </w:rPr>
        <w:t xml:space="preserve"> I</w:t>
      </w:r>
      <w:r w:rsidR="00076EC2">
        <w:rPr>
          <w:lang w:val="en-US"/>
        </w:rPr>
        <w:t>FRS solution for E&amp;E accounting</w:t>
      </w:r>
    </w:p>
    <w:p w14:paraId="32FAD85B" w14:textId="1A677160" w:rsidR="00C913D0" w:rsidRDefault="00D03D70" w:rsidP="00D03D70">
      <w:pPr>
        <w:rPr>
          <w:lang w:val="en-US"/>
        </w:rPr>
      </w:pPr>
      <w:r>
        <w:rPr>
          <w:lang w:val="en-US"/>
        </w:rPr>
        <w:t>When identifying appropriate accounting policies, the standard-setters (or firm</w:t>
      </w:r>
      <w:r w:rsidR="00031194">
        <w:rPr>
          <w:lang w:val="en-US"/>
        </w:rPr>
        <w:t>s using IAS 8) should begin by considering</w:t>
      </w:r>
      <w:r>
        <w:rPr>
          <w:lang w:val="en-US"/>
        </w:rPr>
        <w:t xml:space="preserve"> the relevance and faithful representation of the information that would be produced under the competing </w:t>
      </w:r>
      <w:r w:rsidR="00C43556">
        <w:rPr>
          <w:lang w:val="en-US"/>
        </w:rPr>
        <w:t>possible policies</w:t>
      </w:r>
      <w:r>
        <w:rPr>
          <w:lang w:val="en-US"/>
        </w:rPr>
        <w:t xml:space="preserve"> (para</w:t>
      </w:r>
      <w:r w:rsidR="00127A1D">
        <w:rPr>
          <w:lang w:val="en-US"/>
        </w:rPr>
        <w:t>.</w:t>
      </w:r>
      <w:r>
        <w:rPr>
          <w:lang w:val="en-US"/>
        </w:rPr>
        <w:t xml:space="preserve"> 2.4 of the IASB’s </w:t>
      </w:r>
      <w:r w:rsidRPr="00DE3F6F">
        <w:rPr>
          <w:i/>
          <w:lang w:val="en-US"/>
        </w:rPr>
        <w:t>Conceptual Framework</w:t>
      </w:r>
      <w:r w:rsidR="00031194">
        <w:rPr>
          <w:lang w:val="en-US"/>
        </w:rPr>
        <w:t>). However, a</w:t>
      </w:r>
      <w:r>
        <w:rPr>
          <w:lang w:val="en-US"/>
        </w:rPr>
        <w:t xml:space="preserve">s we will explain, in our view, direct appeal to these high-level qualities is unlikely to help much in choosing E&amp;E policies. Instead, policy-making is more likely to be effective by considering these qualities </w:t>
      </w:r>
      <w:r w:rsidR="00031194">
        <w:rPr>
          <w:lang w:val="en-US"/>
        </w:rPr>
        <w:t xml:space="preserve">indirectly, </w:t>
      </w:r>
      <w:r>
        <w:rPr>
          <w:lang w:val="en-US"/>
        </w:rPr>
        <w:t>via the definitions (of assets and liabilities) and the criteria for recognition and measurement</w:t>
      </w:r>
      <w:r w:rsidR="00C43556">
        <w:rPr>
          <w:lang w:val="en-US"/>
        </w:rPr>
        <w:t>,</w:t>
      </w:r>
      <w:r>
        <w:rPr>
          <w:lang w:val="en-US"/>
        </w:rPr>
        <w:t xml:space="preserve"> which are themselves based on the high-level qualities. One reason for thinking </w:t>
      </w:r>
      <w:r>
        <w:rPr>
          <w:lang w:val="en-US"/>
        </w:rPr>
        <w:lastRenderedPageBreak/>
        <w:t xml:space="preserve">that the high-level qualities might not be directly helpful here is that IFRS 6 (para. 6, referring to IAS 8, para. 10) requires entities to choose E&amp;E policies which give relevant and representationally faithful information, and yet a very wide range of policies </w:t>
      </w:r>
      <w:r w:rsidR="00C43556">
        <w:rPr>
          <w:lang w:val="en-US"/>
        </w:rPr>
        <w:t xml:space="preserve">have </w:t>
      </w:r>
      <w:r>
        <w:rPr>
          <w:lang w:val="en-US"/>
        </w:rPr>
        <w:t>result</w:t>
      </w:r>
      <w:r w:rsidR="00C43556">
        <w:rPr>
          <w:lang w:val="en-US"/>
        </w:rPr>
        <w:t>ed</w:t>
      </w:r>
      <w:r>
        <w:rPr>
          <w:lang w:val="en-US"/>
        </w:rPr>
        <w:t>. These are accepted by auditors and by stock-market regulators</w:t>
      </w:r>
      <w:r w:rsidR="00031194">
        <w:rPr>
          <w:lang w:val="en-US"/>
        </w:rPr>
        <w:t>, suggesting that a wide range of policies can satisfy the criteria</w:t>
      </w:r>
      <w:r>
        <w:rPr>
          <w:lang w:val="en-US"/>
        </w:rPr>
        <w:t>.</w:t>
      </w:r>
    </w:p>
    <w:p w14:paraId="5BBC6E2F" w14:textId="5EAD74C2" w:rsidR="00442EA6" w:rsidRDefault="00D03D70" w:rsidP="00580825">
      <w:pPr>
        <w:rPr>
          <w:lang w:val="en-US"/>
        </w:rPr>
      </w:pPr>
      <w:r>
        <w:rPr>
          <w:lang w:val="en-US"/>
        </w:rPr>
        <w:t>Our second reason for doubting the usefulness of direct appeal to the high-level qualities is th</w:t>
      </w:r>
      <w:r w:rsidR="00C913D0">
        <w:rPr>
          <w:lang w:val="en-US"/>
        </w:rPr>
        <w:t>at previous IASC/IASB</w:t>
      </w:r>
      <w:r>
        <w:rPr>
          <w:lang w:val="en-US"/>
        </w:rPr>
        <w:t xml:space="preserve"> papers on E&amp;E costs have not thereby been led to clear conclusions on policy choice. </w:t>
      </w:r>
      <w:r w:rsidR="00C913D0">
        <w:rPr>
          <w:lang w:val="en-US"/>
        </w:rPr>
        <w:t xml:space="preserve">IASC (2000) says that the standard-setters will consider those qualities (p.4) </w:t>
      </w:r>
      <w:r w:rsidR="00F55233">
        <w:rPr>
          <w:lang w:val="en-US"/>
        </w:rPr>
        <w:t>but does not itself discuss them when presenting its tentative views</w:t>
      </w:r>
      <w:r w:rsidR="00C913D0">
        <w:rPr>
          <w:lang w:val="en-US"/>
        </w:rPr>
        <w:t xml:space="preserve">. </w:t>
      </w:r>
      <w:r>
        <w:rPr>
          <w:lang w:val="en-US"/>
        </w:rPr>
        <w:t xml:space="preserve">Brady et al. (2010, pp.71-101) carefully and lengthily </w:t>
      </w:r>
      <w:r w:rsidR="00C913D0">
        <w:rPr>
          <w:lang w:val="en-US"/>
        </w:rPr>
        <w:t xml:space="preserve">use the high-level qualities to </w:t>
      </w:r>
      <w:r>
        <w:rPr>
          <w:lang w:val="en-US"/>
        </w:rPr>
        <w:t>discuss measurement at cost compared to fair value, but cannot arrive at a firm conclusion (p.100). For example, historical cost can faithfully represent cost, and fair value can faithfully represent current value. However, relevance is stressed in the discussion of potentially useful disclosures (e.g. Brady et al. 2010, p.11</w:t>
      </w:r>
      <w:r w:rsidR="00CD0635" w:rsidRPr="00CD0635">
        <w:rPr>
          <w:lang w:val="en-US"/>
        </w:rPr>
        <w:t xml:space="preserve"> </w:t>
      </w:r>
      <w:r w:rsidR="00CD0635">
        <w:rPr>
          <w:lang w:val="en-US"/>
        </w:rPr>
        <w:t xml:space="preserve">and </w:t>
      </w:r>
      <w:proofErr w:type="spellStart"/>
      <w:r w:rsidR="00CD0635">
        <w:rPr>
          <w:lang w:val="en-US"/>
        </w:rPr>
        <w:t>para.s</w:t>
      </w:r>
      <w:proofErr w:type="spellEnd"/>
      <w:r w:rsidR="00CD0635">
        <w:rPr>
          <w:lang w:val="en-US"/>
        </w:rPr>
        <w:t xml:space="preserve"> 1.23 and 5.16</w:t>
      </w:r>
      <w:r>
        <w:rPr>
          <w:lang w:val="en-US"/>
        </w:rPr>
        <w:t>).</w:t>
      </w:r>
    </w:p>
    <w:p w14:paraId="3ACBE9BD" w14:textId="3FA84CA3" w:rsidR="00AB755D" w:rsidRDefault="00C913D0" w:rsidP="005D2D9F">
      <w:pPr>
        <w:rPr>
          <w:lang w:val="en-US"/>
        </w:rPr>
      </w:pPr>
      <w:r>
        <w:rPr>
          <w:lang w:val="en-US"/>
        </w:rPr>
        <w:t xml:space="preserve">Instead, </w:t>
      </w:r>
      <w:r w:rsidR="00115F75">
        <w:rPr>
          <w:lang w:val="en-US"/>
        </w:rPr>
        <w:t xml:space="preserve">the motivation of </w:t>
      </w:r>
      <w:r>
        <w:rPr>
          <w:lang w:val="en-US"/>
        </w:rPr>
        <w:t>IASC (2000</w:t>
      </w:r>
      <w:r w:rsidR="00115F75">
        <w:rPr>
          <w:lang w:val="en-US"/>
        </w:rPr>
        <w:t>, p.4</w:t>
      </w:r>
      <w:r>
        <w:rPr>
          <w:lang w:val="en-US"/>
        </w:rPr>
        <w:t xml:space="preserve">) is framed in terms of </w:t>
      </w:r>
      <w:r w:rsidR="00115F75">
        <w:rPr>
          <w:lang w:val="en-US"/>
        </w:rPr>
        <w:t xml:space="preserve">reducing diversity, aiming at </w:t>
      </w:r>
      <w:r>
        <w:rPr>
          <w:lang w:val="en-US"/>
        </w:rPr>
        <w:t xml:space="preserve">the </w:t>
      </w:r>
      <w:r w:rsidRPr="00DE3F6F">
        <w:rPr>
          <w:i/>
          <w:lang w:val="en-US"/>
        </w:rPr>
        <w:t>Framework’s</w:t>
      </w:r>
      <w:r>
        <w:rPr>
          <w:lang w:val="en-US"/>
        </w:rPr>
        <w:t xml:space="preserve"> </w:t>
      </w:r>
      <w:r w:rsidR="004F679E">
        <w:rPr>
          <w:lang w:val="en-US"/>
        </w:rPr>
        <w:t>‘</w:t>
      </w:r>
      <w:r>
        <w:rPr>
          <w:lang w:val="en-US"/>
        </w:rPr>
        <w:t>enhancing quality</w:t>
      </w:r>
      <w:r w:rsidR="004F679E">
        <w:rPr>
          <w:lang w:val="en-US"/>
        </w:rPr>
        <w:t>’</w:t>
      </w:r>
      <w:r>
        <w:rPr>
          <w:lang w:val="en-US"/>
        </w:rPr>
        <w:t xml:space="preserve"> of comparability</w:t>
      </w:r>
      <w:r w:rsidR="00115F75">
        <w:rPr>
          <w:lang w:val="en-US"/>
        </w:rPr>
        <w:t>.</w:t>
      </w:r>
      <w:r>
        <w:rPr>
          <w:lang w:val="en-US"/>
        </w:rPr>
        <w:t xml:space="preserve"> </w:t>
      </w:r>
      <w:r w:rsidR="005D2D9F">
        <w:rPr>
          <w:lang w:val="en-US"/>
        </w:rPr>
        <w:t xml:space="preserve">Similarly, in the IASB’s recent discussions about whether to replace IFRS 6, </w:t>
      </w:r>
      <w:r w:rsidR="00C43556">
        <w:rPr>
          <w:lang w:val="en-US"/>
        </w:rPr>
        <w:t xml:space="preserve">it is </w:t>
      </w:r>
      <w:r w:rsidR="00031194">
        <w:rPr>
          <w:lang w:val="en-US"/>
        </w:rPr>
        <w:t xml:space="preserve">the </w:t>
      </w:r>
      <w:r w:rsidR="005D2D9F">
        <w:rPr>
          <w:lang w:val="en-US"/>
        </w:rPr>
        <w:t xml:space="preserve">diversity of practices (rather than </w:t>
      </w:r>
      <w:r w:rsidR="00031194">
        <w:rPr>
          <w:lang w:val="en-US"/>
        </w:rPr>
        <w:t xml:space="preserve">the practices being </w:t>
      </w:r>
      <w:r w:rsidR="005D2D9F">
        <w:rPr>
          <w:lang w:val="en-US"/>
        </w:rPr>
        <w:t>ir</w:t>
      </w:r>
      <w:r w:rsidR="00031194">
        <w:rPr>
          <w:lang w:val="en-US"/>
        </w:rPr>
        <w:t>relevant or unfaithful</w:t>
      </w:r>
      <w:r w:rsidR="005D2D9F">
        <w:rPr>
          <w:lang w:val="en-US"/>
        </w:rPr>
        <w:t xml:space="preserve">) </w:t>
      </w:r>
      <w:r w:rsidR="00C43556">
        <w:rPr>
          <w:lang w:val="en-US"/>
        </w:rPr>
        <w:t xml:space="preserve">which </w:t>
      </w:r>
      <w:r w:rsidR="005D2D9F">
        <w:rPr>
          <w:lang w:val="en-US"/>
        </w:rPr>
        <w:t>is mentioned (e.g. IASB 20</w:t>
      </w:r>
      <w:r w:rsidR="00A92BA9">
        <w:rPr>
          <w:lang w:val="en-US"/>
        </w:rPr>
        <w:t>21</w:t>
      </w:r>
      <w:r w:rsidR="004F679E">
        <w:rPr>
          <w:lang w:val="en-US"/>
        </w:rPr>
        <w:t>a</w:t>
      </w:r>
      <w:r w:rsidR="005D2D9F">
        <w:rPr>
          <w:lang w:val="en-US"/>
        </w:rPr>
        <w:t xml:space="preserve">, para. 6). </w:t>
      </w:r>
      <w:r w:rsidR="00AB755D">
        <w:rPr>
          <w:lang w:val="en-US"/>
        </w:rPr>
        <w:t xml:space="preserve">The same applies to the other analogous project, on insurance contracts: the replacement of the temporary IFRS 4 with IFRS 17. The IASB explains </w:t>
      </w:r>
      <w:r w:rsidR="00D32652">
        <w:rPr>
          <w:lang w:val="en-US"/>
        </w:rPr>
        <w:t xml:space="preserve">(IFRS 17, para. BC1) </w:t>
      </w:r>
      <w:r w:rsidR="00AB755D">
        <w:rPr>
          <w:lang w:val="en-US"/>
        </w:rPr>
        <w:t>that this was</w:t>
      </w:r>
      <w:r w:rsidR="00D32652">
        <w:rPr>
          <w:lang w:val="en-US"/>
        </w:rPr>
        <w:t xml:space="preserve"> motivated by the need to reduce diversity in order to improve comparability.</w:t>
      </w:r>
      <w:r w:rsidR="00936A3A">
        <w:rPr>
          <w:lang w:val="en-US"/>
        </w:rPr>
        <w:t xml:space="preserve"> In this journal, a current board member of the IASB focuses on comparability </w:t>
      </w:r>
      <w:r w:rsidR="00014BBE">
        <w:rPr>
          <w:lang w:val="en-US"/>
        </w:rPr>
        <w:t xml:space="preserve">as a motivation for international standard-setting </w:t>
      </w:r>
      <w:r w:rsidR="00936A3A">
        <w:rPr>
          <w:lang w:val="en-US"/>
        </w:rPr>
        <w:t>(Tarca</w:t>
      </w:r>
      <w:r w:rsidR="00014BBE">
        <w:rPr>
          <w:lang w:val="en-US"/>
        </w:rPr>
        <w:t xml:space="preserve"> 2020</w:t>
      </w:r>
      <w:r w:rsidR="00936A3A">
        <w:rPr>
          <w:lang w:val="en-US"/>
        </w:rPr>
        <w:t>).</w:t>
      </w:r>
    </w:p>
    <w:p w14:paraId="3A0F0E98" w14:textId="3F652752" w:rsidR="007D2B99" w:rsidRPr="00227CC6" w:rsidRDefault="00EE4A54" w:rsidP="005D2D9F">
      <w:pPr>
        <w:rPr>
          <w:lang w:val="en-US"/>
        </w:rPr>
      </w:pPr>
      <w:r>
        <w:rPr>
          <w:lang w:val="en-US"/>
        </w:rPr>
        <w:t xml:space="preserve">Our proposal below is designed to fit into the IASB’s existing corpus of standards (as discussed in Section 4) and it is </w:t>
      </w:r>
      <w:r w:rsidR="00115F75">
        <w:rPr>
          <w:lang w:val="en-US"/>
        </w:rPr>
        <w:t>based on consideration of</w:t>
      </w:r>
      <w:r>
        <w:rPr>
          <w:lang w:val="en-US"/>
        </w:rPr>
        <w:t xml:space="preserve"> </w:t>
      </w:r>
      <w:r w:rsidR="0012519E">
        <w:rPr>
          <w:lang w:val="en-US"/>
        </w:rPr>
        <w:t xml:space="preserve">comparability and the </w:t>
      </w:r>
      <w:r w:rsidR="0012519E" w:rsidRPr="00DE3F6F">
        <w:rPr>
          <w:i/>
          <w:lang w:val="en-US"/>
        </w:rPr>
        <w:t>Framework’s</w:t>
      </w:r>
      <w:r w:rsidR="0012519E">
        <w:rPr>
          <w:lang w:val="en-US"/>
        </w:rPr>
        <w:t xml:space="preserve"> </w:t>
      </w:r>
      <w:r>
        <w:rPr>
          <w:lang w:val="en-US"/>
        </w:rPr>
        <w:t xml:space="preserve">definitions and </w:t>
      </w:r>
      <w:r w:rsidR="0012519E">
        <w:rPr>
          <w:lang w:val="en-US"/>
        </w:rPr>
        <w:t xml:space="preserve">recognition </w:t>
      </w:r>
      <w:r>
        <w:rPr>
          <w:lang w:val="en-US"/>
        </w:rPr>
        <w:t xml:space="preserve">criteria. </w:t>
      </w:r>
      <w:r w:rsidR="00024541" w:rsidRPr="00227CC6">
        <w:rPr>
          <w:lang w:val="en-US"/>
        </w:rPr>
        <w:t>As mentioned in Section 2, t</w:t>
      </w:r>
      <w:r w:rsidR="007D2B99" w:rsidRPr="00227CC6">
        <w:rPr>
          <w:lang w:val="en-US"/>
        </w:rPr>
        <w:t>here has been much criticism of conventional financial reporting for increasingly failing to account for economic reality</w:t>
      </w:r>
      <w:r w:rsidR="0099408A" w:rsidRPr="00362C35">
        <w:rPr>
          <w:lang w:val="en-US"/>
        </w:rPr>
        <w:t xml:space="preserve">. In particular, </w:t>
      </w:r>
      <w:r w:rsidR="0099408A" w:rsidRPr="00362C35">
        <w:rPr>
          <w:lang w:val="en-US"/>
        </w:rPr>
        <w:lastRenderedPageBreak/>
        <w:t>the limited</w:t>
      </w:r>
      <w:r w:rsidR="007D2B99" w:rsidRPr="00362C35">
        <w:rPr>
          <w:lang w:val="en-US"/>
        </w:rPr>
        <w:t xml:space="preserve"> recognition of intangibles is seen as leading to a widening gap between book values and stock market values. Contributing to this is the lack of </w:t>
      </w:r>
      <w:proofErr w:type="spellStart"/>
      <w:r w:rsidR="007D2B99" w:rsidRPr="00362C35">
        <w:rPr>
          <w:lang w:val="en-US"/>
        </w:rPr>
        <w:t>cap</w:t>
      </w:r>
      <w:r w:rsidR="007D2B99" w:rsidRPr="00227CC6">
        <w:rPr>
          <w:lang w:val="en-US"/>
        </w:rPr>
        <w:t>itali</w:t>
      </w:r>
      <w:r w:rsidR="00AC138E">
        <w:rPr>
          <w:lang w:val="en-US"/>
        </w:rPr>
        <w:t>s</w:t>
      </w:r>
      <w:r w:rsidR="007D2B99" w:rsidRPr="00227CC6">
        <w:rPr>
          <w:lang w:val="en-US"/>
        </w:rPr>
        <w:t>ation</w:t>
      </w:r>
      <w:proofErr w:type="spellEnd"/>
      <w:r w:rsidR="007D2B99" w:rsidRPr="00227CC6">
        <w:rPr>
          <w:lang w:val="en-US"/>
        </w:rPr>
        <w:t xml:space="preserve"> of </w:t>
      </w:r>
      <w:r w:rsidR="0099408A" w:rsidRPr="00227CC6">
        <w:rPr>
          <w:lang w:val="en-US"/>
        </w:rPr>
        <w:t xml:space="preserve">the </w:t>
      </w:r>
      <w:r w:rsidR="007D2B99" w:rsidRPr="00227CC6">
        <w:rPr>
          <w:lang w:val="en-US"/>
        </w:rPr>
        <w:t xml:space="preserve">costs </w:t>
      </w:r>
      <w:r w:rsidR="0099408A" w:rsidRPr="00227CC6">
        <w:rPr>
          <w:lang w:val="en-US"/>
        </w:rPr>
        <w:t xml:space="preserve">of </w:t>
      </w:r>
      <w:r w:rsidR="00031194">
        <w:rPr>
          <w:lang w:val="en-US"/>
        </w:rPr>
        <w:t xml:space="preserve">apparently </w:t>
      </w:r>
      <w:r w:rsidR="0099408A" w:rsidRPr="00227CC6">
        <w:rPr>
          <w:lang w:val="en-US"/>
        </w:rPr>
        <w:t xml:space="preserve">successful </w:t>
      </w:r>
      <w:r w:rsidR="00345657">
        <w:rPr>
          <w:lang w:val="en-US"/>
        </w:rPr>
        <w:t xml:space="preserve">non-extractive </w:t>
      </w:r>
      <w:r w:rsidR="0099408A" w:rsidRPr="00227CC6">
        <w:rPr>
          <w:lang w:val="en-US"/>
        </w:rPr>
        <w:t xml:space="preserve">development projects </w:t>
      </w:r>
      <w:r w:rsidR="007D2B99" w:rsidRPr="00227CC6">
        <w:rPr>
          <w:lang w:val="en-US"/>
        </w:rPr>
        <w:t>at Stage B</w:t>
      </w:r>
      <w:r w:rsidR="0099408A" w:rsidRPr="00227CC6">
        <w:rPr>
          <w:lang w:val="en-US"/>
        </w:rPr>
        <w:t>,</w:t>
      </w:r>
      <w:r w:rsidR="007D2B99" w:rsidRPr="00227CC6">
        <w:rPr>
          <w:lang w:val="en-US"/>
        </w:rPr>
        <w:t xml:space="preserve"> in</w:t>
      </w:r>
      <w:r w:rsidR="0099408A" w:rsidRPr="00227CC6">
        <w:rPr>
          <w:lang w:val="en-US"/>
        </w:rPr>
        <w:t xml:space="preserve"> terms of</w:t>
      </w:r>
      <w:r w:rsidR="007D2B99" w:rsidRPr="00227CC6">
        <w:rPr>
          <w:lang w:val="en-US"/>
        </w:rPr>
        <w:t xml:space="preserve"> Ta</w:t>
      </w:r>
      <w:r w:rsidR="0099408A" w:rsidRPr="00227CC6">
        <w:rPr>
          <w:lang w:val="en-US"/>
        </w:rPr>
        <w:t xml:space="preserve">ble </w:t>
      </w:r>
      <w:r w:rsidR="00936A3A">
        <w:rPr>
          <w:lang w:val="en-US"/>
        </w:rPr>
        <w:t>2</w:t>
      </w:r>
      <w:r w:rsidR="0099408A" w:rsidRPr="00227CC6">
        <w:rPr>
          <w:lang w:val="en-US"/>
        </w:rPr>
        <w:t xml:space="preserve">. It would now be easier than it was when </w:t>
      </w:r>
      <w:r w:rsidR="007D2B99" w:rsidRPr="00227CC6">
        <w:rPr>
          <w:lang w:val="en-US"/>
        </w:rPr>
        <w:t xml:space="preserve">IAS 38 </w:t>
      </w:r>
      <w:r w:rsidR="0099408A" w:rsidRPr="00227CC6">
        <w:rPr>
          <w:lang w:val="en-US"/>
        </w:rPr>
        <w:t xml:space="preserve">was written </w:t>
      </w:r>
      <w:r w:rsidR="00852209" w:rsidRPr="00227CC6">
        <w:rPr>
          <w:lang w:val="en-US"/>
        </w:rPr>
        <w:t xml:space="preserve">for the </w:t>
      </w:r>
      <w:r w:rsidR="00024541" w:rsidRPr="00227CC6">
        <w:rPr>
          <w:lang w:val="en-US"/>
        </w:rPr>
        <w:t>IASB</w:t>
      </w:r>
      <w:r w:rsidR="00852209" w:rsidRPr="00227CC6">
        <w:rPr>
          <w:lang w:val="en-US"/>
        </w:rPr>
        <w:t xml:space="preserve"> </w:t>
      </w:r>
      <w:r w:rsidR="007D2B99" w:rsidRPr="00227CC6">
        <w:rPr>
          <w:lang w:val="en-US"/>
        </w:rPr>
        <w:t xml:space="preserve">to widen </w:t>
      </w:r>
      <w:r w:rsidR="0099408A" w:rsidRPr="00227CC6">
        <w:rPr>
          <w:lang w:val="en-US"/>
        </w:rPr>
        <w:t xml:space="preserve">the scope of </w:t>
      </w:r>
      <w:proofErr w:type="spellStart"/>
      <w:r w:rsidR="007D2B99" w:rsidRPr="00227CC6">
        <w:rPr>
          <w:lang w:val="en-US"/>
        </w:rPr>
        <w:t>capitali</w:t>
      </w:r>
      <w:r w:rsidR="00AC138E">
        <w:rPr>
          <w:lang w:val="en-US"/>
        </w:rPr>
        <w:t>s</w:t>
      </w:r>
      <w:r w:rsidR="007D2B99" w:rsidRPr="00227CC6">
        <w:rPr>
          <w:lang w:val="en-US"/>
        </w:rPr>
        <w:t>ation</w:t>
      </w:r>
      <w:proofErr w:type="spellEnd"/>
      <w:r w:rsidR="007D2B99" w:rsidRPr="00227CC6">
        <w:rPr>
          <w:lang w:val="en-US"/>
        </w:rPr>
        <w:t xml:space="preserve">, because the </w:t>
      </w:r>
      <w:r w:rsidR="007D2B99" w:rsidRPr="00227CC6">
        <w:rPr>
          <w:i/>
          <w:lang w:val="en-US"/>
        </w:rPr>
        <w:t>Conceptual Framework</w:t>
      </w:r>
      <w:r w:rsidR="007D2B99" w:rsidRPr="00227CC6">
        <w:rPr>
          <w:lang w:val="en-US"/>
        </w:rPr>
        <w:t xml:space="preserve"> of 2018 has widened the definition of </w:t>
      </w:r>
      <w:r w:rsidR="004F679E">
        <w:rPr>
          <w:lang w:val="en-US"/>
        </w:rPr>
        <w:t>‘</w:t>
      </w:r>
      <w:r w:rsidR="007D2B99" w:rsidRPr="00227CC6">
        <w:rPr>
          <w:lang w:val="en-US"/>
        </w:rPr>
        <w:t>asset</w:t>
      </w:r>
      <w:r w:rsidR="004F679E">
        <w:rPr>
          <w:lang w:val="en-US"/>
        </w:rPr>
        <w:t>’</w:t>
      </w:r>
      <w:r w:rsidR="007D2B99" w:rsidRPr="00227CC6">
        <w:rPr>
          <w:lang w:val="en-US"/>
        </w:rPr>
        <w:t xml:space="preserve"> </w:t>
      </w:r>
      <w:r w:rsidR="004859E9" w:rsidRPr="00227CC6">
        <w:rPr>
          <w:lang w:val="en-US"/>
        </w:rPr>
        <w:t xml:space="preserve">to include those resources with the </w:t>
      </w:r>
      <w:r w:rsidR="004859E9" w:rsidRPr="00227CC6">
        <w:rPr>
          <w:i/>
          <w:lang w:val="en-US"/>
        </w:rPr>
        <w:t>potential</w:t>
      </w:r>
      <w:r w:rsidR="004859E9" w:rsidRPr="00227CC6">
        <w:rPr>
          <w:lang w:val="en-US"/>
        </w:rPr>
        <w:t xml:space="preserve"> to produce benefits</w:t>
      </w:r>
      <w:r w:rsidR="00D650AD">
        <w:rPr>
          <w:lang w:val="en-US"/>
        </w:rPr>
        <w:t>. Also, as Gray et al. (2019, p.54) point out</w:t>
      </w:r>
      <w:r w:rsidR="004859E9" w:rsidRPr="00227CC6">
        <w:rPr>
          <w:lang w:val="en-US"/>
        </w:rPr>
        <w:t xml:space="preserve">, </w:t>
      </w:r>
      <w:r w:rsidR="00D650AD">
        <w:rPr>
          <w:lang w:val="en-US"/>
        </w:rPr>
        <w:t xml:space="preserve">the new </w:t>
      </w:r>
      <w:r w:rsidR="00D650AD" w:rsidRPr="00131CED">
        <w:rPr>
          <w:i/>
          <w:lang w:val="en-US"/>
        </w:rPr>
        <w:t>Framework</w:t>
      </w:r>
      <w:r w:rsidR="007D2B99" w:rsidRPr="00227CC6">
        <w:rPr>
          <w:lang w:val="en-US"/>
        </w:rPr>
        <w:t xml:space="preserve"> has </w:t>
      </w:r>
      <w:r w:rsidR="004C5446">
        <w:rPr>
          <w:lang w:val="en-US"/>
        </w:rPr>
        <w:t xml:space="preserve">also </w:t>
      </w:r>
      <w:r w:rsidR="007D2B99" w:rsidRPr="00227CC6">
        <w:rPr>
          <w:lang w:val="en-US"/>
        </w:rPr>
        <w:t xml:space="preserve">removed the recognition </w:t>
      </w:r>
      <w:r w:rsidR="004859E9" w:rsidRPr="00227CC6">
        <w:rPr>
          <w:lang w:val="en-US"/>
        </w:rPr>
        <w:t>threshold</w:t>
      </w:r>
      <w:r w:rsidR="007D2B99" w:rsidRPr="00227CC6">
        <w:rPr>
          <w:lang w:val="en-US"/>
        </w:rPr>
        <w:t xml:space="preserve"> of </w:t>
      </w:r>
      <w:r w:rsidR="004F679E">
        <w:rPr>
          <w:lang w:val="en-US"/>
        </w:rPr>
        <w:t>‘</w:t>
      </w:r>
      <w:r w:rsidR="007D2B99" w:rsidRPr="00227CC6">
        <w:rPr>
          <w:lang w:val="en-US"/>
        </w:rPr>
        <w:t>probable</w:t>
      </w:r>
      <w:r w:rsidR="004F679E">
        <w:rPr>
          <w:lang w:val="en-US"/>
        </w:rPr>
        <w:t>’</w:t>
      </w:r>
      <w:r w:rsidR="007D2B99" w:rsidRPr="00227CC6">
        <w:rPr>
          <w:lang w:val="en-US"/>
        </w:rPr>
        <w:t xml:space="preserve"> inflows (IASB 2018, </w:t>
      </w:r>
      <w:proofErr w:type="spellStart"/>
      <w:r w:rsidR="007D2B99" w:rsidRPr="00227CC6">
        <w:rPr>
          <w:lang w:val="en-US"/>
        </w:rPr>
        <w:t>para.</w:t>
      </w:r>
      <w:r w:rsidR="004859E9" w:rsidRPr="00227CC6">
        <w:rPr>
          <w:lang w:val="en-US"/>
        </w:rPr>
        <w:t>s</w:t>
      </w:r>
      <w:proofErr w:type="spellEnd"/>
      <w:r w:rsidR="004859E9" w:rsidRPr="00227CC6">
        <w:rPr>
          <w:lang w:val="en-US"/>
        </w:rPr>
        <w:t xml:space="preserve"> 4.14 and</w:t>
      </w:r>
      <w:r w:rsidR="007D2B99" w:rsidRPr="00227CC6">
        <w:rPr>
          <w:lang w:val="en-US"/>
        </w:rPr>
        <w:t xml:space="preserve"> 5.12).</w:t>
      </w:r>
      <w:r w:rsidR="001A0E2B" w:rsidRPr="00227CC6">
        <w:rPr>
          <w:lang w:val="en-US"/>
        </w:rPr>
        <w:t xml:space="preserve"> </w:t>
      </w:r>
      <w:r w:rsidR="007126C8">
        <w:rPr>
          <w:lang w:val="en-US"/>
        </w:rPr>
        <w:t>As noted earlier, t</w:t>
      </w:r>
      <w:r w:rsidR="001A0E2B" w:rsidRPr="00227CC6">
        <w:rPr>
          <w:lang w:val="en-US"/>
        </w:rPr>
        <w:t xml:space="preserve">he IASB’s </w:t>
      </w:r>
      <w:r w:rsidR="00031194">
        <w:rPr>
          <w:lang w:val="en-US"/>
        </w:rPr>
        <w:t xml:space="preserve">DP of </w:t>
      </w:r>
      <w:r w:rsidR="001A0E2B" w:rsidRPr="00227CC6">
        <w:rPr>
          <w:lang w:val="en-US"/>
        </w:rPr>
        <w:t xml:space="preserve">2010 recommended extending the scope of </w:t>
      </w:r>
      <w:proofErr w:type="spellStart"/>
      <w:r w:rsidR="00227CC6" w:rsidRPr="00227CC6">
        <w:rPr>
          <w:lang w:val="en-US"/>
        </w:rPr>
        <w:t>capitali</w:t>
      </w:r>
      <w:r w:rsidR="000A1B3F">
        <w:rPr>
          <w:lang w:val="en-US"/>
        </w:rPr>
        <w:t>s</w:t>
      </w:r>
      <w:r w:rsidR="00227CC6" w:rsidRPr="00227CC6">
        <w:rPr>
          <w:lang w:val="en-US"/>
        </w:rPr>
        <w:t>ation</w:t>
      </w:r>
      <w:proofErr w:type="spellEnd"/>
      <w:r w:rsidR="00227CC6" w:rsidRPr="00227CC6">
        <w:rPr>
          <w:lang w:val="en-US"/>
        </w:rPr>
        <w:t xml:space="preserve"> (</w:t>
      </w:r>
      <w:r w:rsidR="00170B7F">
        <w:rPr>
          <w:lang w:val="en-US"/>
        </w:rPr>
        <w:t xml:space="preserve">Brady et al. 2010, </w:t>
      </w:r>
      <w:proofErr w:type="spellStart"/>
      <w:r w:rsidR="00227CC6" w:rsidRPr="00227CC6">
        <w:rPr>
          <w:lang w:val="en-US"/>
        </w:rPr>
        <w:t>para</w:t>
      </w:r>
      <w:r w:rsidR="00992920">
        <w:rPr>
          <w:lang w:val="en-US"/>
        </w:rPr>
        <w:t>.</w:t>
      </w:r>
      <w:r w:rsidR="00170B7F">
        <w:rPr>
          <w:lang w:val="en-US"/>
        </w:rPr>
        <w:t>s</w:t>
      </w:r>
      <w:proofErr w:type="spellEnd"/>
      <w:r w:rsidR="00227CC6" w:rsidRPr="00227CC6">
        <w:rPr>
          <w:lang w:val="en-US"/>
        </w:rPr>
        <w:t xml:space="preserve"> 3.33</w:t>
      </w:r>
      <w:r w:rsidR="007126C8">
        <w:rPr>
          <w:lang w:val="en-US"/>
        </w:rPr>
        <w:t>/34</w:t>
      </w:r>
      <w:r w:rsidR="00227CC6" w:rsidRPr="00227CC6">
        <w:rPr>
          <w:lang w:val="en-US"/>
        </w:rPr>
        <w:t>), and this was before the definition and recog</w:t>
      </w:r>
      <w:r w:rsidR="00EE42B7">
        <w:rPr>
          <w:lang w:val="en-US"/>
        </w:rPr>
        <w:t>nition criteria were widened</w:t>
      </w:r>
      <w:r w:rsidR="00227CC6" w:rsidRPr="00227CC6">
        <w:rPr>
          <w:lang w:val="en-US"/>
        </w:rPr>
        <w:t>.</w:t>
      </w:r>
      <w:r w:rsidR="004C5446">
        <w:rPr>
          <w:lang w:val="en-US"/>
        </w:rPr>
        <w:t xml:space="preserve"> The IASB would still consider excluding items with a low probability of inflows (</w:t>
      </w:r>
      <w:r w:rsidR="008F28AC">
        <w:rPr>
          <w:lang w:val="en-US"/>
        </w:rPr>
        <w:t xml:space="preserve">IASB 2018, </w:t>
      </w:r>
      <w:proofErr w:type="spellStart"/>
      <w:r w:rsidR="008F28AC">
        <w:rPr>
          <w:lang w:val="en-US"/>
        </w:rPr>
        <w:t>para.s</w:t>
      </w:r>
      <w:proofErr w:type="spellEnd"/>
      <w:r w:rsidR="008F28AC">
        <w:rPr>
          <w:lang w:val="en-US"/>
        </w:rPr>
        <w:t xml:space="preserve"> 5.16/17</w:t>
      </w:r>
      <w:r w:rsidR="004C5446">
        <w:rPr>
          <w:lang w:val="en-US"/>
        </w:rPr>
        <w:t xml:space="preserve">), </w:t>
      </w:r>
      <w:r w:rsidR="00574653">
        <w:rPr>
          <w:lang w:val="en-US"/>
        </w:rPr>
        <w:t xml:space="preserve">and there are </w:t>
      </w:r>
      <w:r w:rsidR="00031194">
        <w:rPr>
          <w:lang w:val="en-US"/>
        </w:rPr>
        <w:t xml:space="preserve">indeed </w:t>
      </w:r>
      <w:r w:rsidR="00574653">
        <w:rPr>
          <w:lang w:val="en-US"/>
        </w:rPr>
        <w:t>major uncertainties in E&amp;E activities (</w:t>
      </w:r>
      <w:r w:rsidR="00693C24">
        <w:rPr>
          <w:lang w:val="en-US"/>
        </w:rPr>
        <w:t>Brady et al</w:t>
      </w:r>
      <w:r w:rsidR="004F679E">
        <w:rPr>
          <w:lang w:val="en-US"/>
        </w:rPr>
        <w:t>.</w:t>
      </w:r>
      <w:r w:rsidR="00574653">
        <w:rPr>
          <w:lang w:val="en-US"/>
        </w:rPr>
        <w:t xml:space="preserve"> 2010, para. 1.3). However, </w:t>
      </w:r>
      <w:r w:rsidR="004C5446">
        <w:rPr>
          <w:lang w:val="en-US"/>
        </w:rPr>
        <w:t>much</w:t>
      </w:r>
      <w:r w:rsidR="008F28AC">
        <w:rPr>
          <w:lang w:val="en-US"/>
        </w:rPr>
        <w:t xml:space="preserve"> E&amp;E activity </w:t>
      </w:r>
      <w:r w:rsidR="00574653">
        <w:rPr>
          <w:lang w:val="en-US"/>
        </w:rPr>
        <w:t xml:space="preserve">and non-extractive development activity </w:t>
      </w:r>
      <w:r w:rsidR="008F28AC">
        <w:rPr>
          <w:lang w:val="en-US"/>
        </w:rPr>
        <w:t>could lie above th</w:t>
      </w:r>
      <w:r w:rsidR="004A06DD">
        <w:rPr>
          <w:lang w:val="en-US"/>
        </w:rPr>
        <w:t>e threshold of low probability</w:t>
      </w:r>
      <w:r w:rsidR="00574653">
        <w:rPr>
          <w:lang w:val="en-US"/>
        </w:rPr>
        <w:t xml:space="preserve">, especially if decisions </w:t>
      </w:r>
      <w:r w:rsidR="00485DA5">
        <w:rPr>
          <w:lang w:val="en-US"/>
        </w:rPr>
        <w:t xml:space="preserve">on permanent </w:t>
      </w:r>
      <w:proofErr w:type="spellStart"/>
      <w:r w:rsidR="00485DA5">
        <w:rPr>
          <w:lang w:val="en-US"/>
        </w:rPr>
        <w:t>capitalis</w:t>
      </w:r>
      <w:r w:rsidR="00574653">
        <w:rPr>
          <w:lang w:val="en-US"/>
        </w:rPr>
        <w:t>ation</w:t>
      </w:r>
      <w:proofErr w:type="spellEnd"/>
      <w:r w:rsidR="00574653">
        <w:rPr>
          <w:lang w:val="en-US"/>
        </w:rPr>
        <w:t xml:space="preserve"> are delayed until enough information is available for appraisal</w:t>
      </w:r>
      <w:r w:rsidR="008F28AC">
        <w:rPr>
          <w:lang w:val="en-US"/>
        </w:rPr>
        <w:t>.</w:t>
      </w:r>
    </w:p>
    <w:p w14:paraId="0025D734" w14:textId="5DCA3903" w:rsidR="000910AB" w:rsidRDefault="007D2B99">
      <w:pPr>
        <w:rPr>
          <w:lang w:val="en-US"/>
        </w:rPr>
      </w:pPr>
      <w:r>
        <w:rPr>
          <w:lang w:val="en-US"/>
        </w:rPr>
        <w:t xml:space="preserve">At the same time, as </w:t>
      </w:r>
      <w:r w:rsidR="00D561A0">
        <w:rPr>
          <w:lang w:val="en-US"/>
        </w:rPr>
        <w:t xml:space="preserve">discussed in Section </w:t>
      </w:r>
      <w:r w:rsidR="00227CC6">
        <w:rPr>
          <w:lang w:val="en-US"/>
        </w:rPr>
        <w:t xml:space="preserve">2 and illustrated in </w:t>
      </w:r>
      <w:r w:rsidR="00044132">
        <w:rPr>
          <w:lang w:val="en-US"/>
        </w:rPr>
        <w:t>Table 1</w:t>
      </w:r>
      <w:r>
        <w:rPr>
          <w:lang w:val="en-US"/>
        </w:rPr>
        <w:t xml:space="preserve">, </w:t>
      </w:r>
      <w:r w:rsidR="00D561A0">
        <w:rPr>
          <w:lang w:val="en-US"/>
        </w:rPr>
        <w:t xml:space="preserve">many </w:t>
      </w:r>
      <w:r w:rsidR="000910AB">
        <w:rPr>
          <w:lang w:val="en-US"/>
        </w:rPr>
        <w:t>extractive firms choos</w:t>
      </w:r>
      <w:r w:rsidR="00D561A0">
        <w:rPr>
          <w:lang w:val="en-US"/>
        </w:rPr>
        <w:t>e</w:t>
      </w:r>
      <w:r w:rsidR="000910AB">
        <w:rPr>
          <w:lang w:val="en-US"/>
        </w:rPr>
        <w:t xml:space="preserve"> poli</w:t>
      </w:r>
      <w:r w:rsidR="0099408A">
        <w:rPr>
          <w:lang w:val="en-US"/>
        </w:rPr>
        <w:t xml:space="preserve">cies under IFRS 6 which are </w:t>
      </w:r>
      <w:r w:rsidR="000910AB">
        <w:rPr>
          <w:lang w:val="en-US"/>
        </w:rPr>
        <w:t>less conservative than IA</w:t>
      </w:r>
      <w:r w:rsidR="0099408A">
        <w:rPr>
          <w:lang w:val="en-US"/>
        </w:rPr>
        <w:t xml:space="preserve">S 38’s requirements on R&amp;D. </w:t>
      </w:r>
      <w:r w:rsidR="00DE1AA6">
        <w:rPr>
          <w:lang w:val="en-US"/>
        </w:rPr>
        <w:t>When draf</w:t>
      </w:r>
      <w:r w:rsidR="003501DD">
        <w:rPr>
          <w:lang w:val="en-US"/>
        </w:rPr>
        <w:t xml:space="preserve">ting IFRS 6, the IASB noted that the inclusion of E&amp;E costs in IAS 38 would </w:t>
      </w:r>
      <w:r w:rsidR="00EE4A54">
        <w:rPr>
          <w:lang w:val="en-US"/>
        </w:rPr>
        <w:t xml:space="preserve">have </w:t>
      </w:r>
      <w:r w:rsidR="003501DD">
        <w:rPr>
          <w:lang w:val="en-US"/>
        </w:rPr>
        <w:t>restrict</w:t>
      </w:r>
      <w:r w:rsidR="00EE4A54">
        <w:rPr>
          <w:lang w:val="en-US"/>
        </w:rPr>
        <w:t>ed</w:t>
      </w:r>
      <w:r w:rsidR="003501DD">
        <w:rPr>
          <w:lang w:val="en-US"/>
        </w:rPr>
        <w:t xml:space="preserve"> </w:t>
      </w:r>
      <w:proofErr w:type="spellStart"/>
      <w:r w:rsidR="003501DD">
        <w:rPr>
          <w:lang w:val="en-US"/>
        </w:rPr>
        <w:t>capitalisation</w:t>
      </w:r>
      <w:proofErr w:type="spellEnd"/>
      <w:r w:rsidR="003501DD">
        <w:rPr>
          <w:lang w:val="en-US"/>
        </w:rPr>
        <w:t xml:space="preserve"> (para. BC20). </w:t>
      </w:r>
      <w:r w:rsidR="0099408A">
        <w:rPr>
          <w:lang w:val="en-US"/>
        </w:rPr>
        <w:t xml:space="preserve">Further, </w:t>
      </w:r>
      <w:r w:rsidR="000910AB">
        <w:rPr>
          <w:lang w:val="en-US"/>
        </w:rPr>
        <w:t xml:space="preserve">the </w:t>
      </w:r>
      <w:r w:rsidR="003501DD">
        <w:rPr>
          <w:lang w:val="en-US"/>
        </w:rPr>
        <w:t xml:space="preserve">current </w:t>
      </w:r>
      <w:r w:rsidR="000910AB">
        <w:rPr>
          <w:lang w:val="en-US"/>
        </w:rPr>
        <w:t>policies vary greatly, leading to lack of comparability in a major sector of many economies. It might be possible to solve both issues together, as follows.</w:t>
      </w:r>
    </w:p>
    <w:p w14:paraId="33C356B7" w14:textId="6FE15D05" w:rsidR="000910AB" w:rsidRDefault="000910AB">
      <w:pPr>
        <w:rPr>
          <w:lang w:val="en-US"/>
        </w:rPr>
      </w:pPr>
      <w:r>
        <w:rPr>
          <w:lang w:val="en-US"/>
        </w:rPr>
        <w:t xml:space="preserve">A possible route would be to withdraw IFRS 6 and to revise IAS 38 to cover E&amp;E activities. IAS 38 could </w:t>
      </w:r>
      <w:r w:rsidR="0099408A">
        <w:rPr>
          <w:lang w:val="en-US"/>
        </w:rPr>
        <w:t xml:space="preserve">then </w:t>
      </w:r>
      <w:r>
        <w:rPr>
          <w:lang w:val="en-US"/>
        </w:rPr>
        <w:t xml:space="preserve">be amended to require the </w:t>
      </w:r>
      <w:r w:rsidR="00852209">
        <w:rPr>
          <w:lang w:val="en-US"/>
        </w:rPr>
        <w:t xml:space="preserve">retrospective </w:t>
      </w:r>
      <w:proofErr w:type="spellStart"/>
      <w:r>
        <w:rPr>
          <w:lang w:val="en-US"/>
        </w:rPr>
        <w:t>capitali</w:t>
      </w:r>
      <w:r w:rsidR="000A1B3F">
        <w:rPr>
          <w:lang w:val="en-US"/>
        </w:rPr>
        <w:t>s</w:t>
      </w:r>
      <w:r>
        <w:rPr>
          <w:lang w:val="en-US"/>
        </w:rPr>
        <w:t>ation</w:t>
      </w:r>
      <w:proofErr w:type="spellEnd"/>
      <w:r>
        <w:rPr>
          <w:lang w:val="en-US"/>
        </w:rPr>
        <w:t xml:space="preserve"> of </w:t>
      </w:r>
      <w:r w:rsidR="00345657">
        <w:rPr>
          <w:lang w:val="en-US"/>
        </w:rPr>
        <w:t xml:space="preserve">the </w:t>
      </w:r>
      <w:r>
        <w:rPr>
          <w:lang w:val="en-US"/>
        </w:rPr>
        <w:t>costs of</w:t>
      </w:r>
      <w:r w:rsidR="0099408A">
        <w:rPr>
          <w:lang w:val="en-US"/>
        </w:rPr>
        <w:t xml:space="preserve"> successful projects in Stage B;</w:t>
      </w:r>
      <w:r>
        <w:rPr>
          <w:lang w:val="en-US"/>
        </w:rPr>
        <w:t xml:space="preserve"> that is</w:t>
      </w:r>
      <w:r w:rsidR="0099408A">
        <w:rPr>
          <w:lang w:val="en-US"/>
        </w:rPr>
        <w:t>,</w:t>
      </w:r>
      <w:r>
        <w:rPr>
          <w:lang w:val="en-US"/>
        </w:rPr>
        <w:t xml:space="preserve"> to accumulate </w:t>
      </w:r>
      <w:r w:rsidR="0099408A">
        <w:rPr>
          <w:lang w:val="en-US"/>
        </w:rPr>
        <w:t xml:space="preserve">the </w:t>
      </w:r>
      <w:r>
        <w:rPr>
          <w:lang w:val="en-US"/>
        </w:rPr>
        <w:t>costs pendi</w:t>
      </w:r>
      <w:r w:rsidR="0099408A">
        <w:rPr>
          <w:lang w:val="en-US"/>
        </w:rPr>
        <w:t xml:space="preserve">ng appraisal </w:t>
      </w:r>
      <w:r w:rsidR="00031194">
        <w:rPr>
          <w:lang w:val="en-US"/>
        </w:rPr>
        <w:t>using</w:t>
      </w:r>
      <w:r w:rsidR="0099408A">
        <w:rPr>
          <w:lang w:val="en-US"/>
        </w:rPr>
        <w:t xml:space="preserve"> the criteria similar to those in the current </w:t>
      </w:r>
      <w:r>
        <w:rPr>
          <w:lang w:val="en-US"/>
        </w:rPr>
        <w:t>paragraph 57 (s</w:t>
      </w:r>
      <w:r w:rsidR="0099408A">
        <w:rPr>
          <w:lang w:val="en-US"/>
        </w:rPr>
        <w:t>ee Appendix</w:t>
      </w:r>
      <w:r w:rsidR="0051544D">
        <w:rPr>
          <w:lang w:val="en-US"/>
        </w:rPr>
        <w:t xml:space="preserve"> </w:t>
      </w:r>
      <w:r w:rsidR="0017406B">
        <w:rPr>
          <w:lang w:val="en-US"/>
        </w:rPr>
        <w:t>A</w:t>
      </w:r>
      <w:r w:rsidR="0099408A">
        <w:rPr>
          <w:lang w:val="en-US"/>
        </w:rPr>
        <w:t>). IAS 38 would then need</w:t>
      </w:r>
      <w:r>
        <w:rPr>
          <w:lang w:val="en-US"/>
        </w:rPr>
        <w:t xml:space="preserve"> </w:t>
      </w:r>
      <w:r w:rsidR="00852209">
        <w:rPr>
          <w:lang w:val="en-US"/>
        </w:rPr>
        <w:t xml:space="preserve">an explanatory paragraph </w:t>
      </w:r>
      <w:r w:rsidR="00345657">
        <w:rPr>
          <w:lang w:val="en-US"/>
        </w:rPr>
        <w:t>outlin</w:t>
      </w:r>
      <w:r w:rsidR="00852209">
        <w:rPr>
          <w:lang w:val="en-US"/>
        </w:rPr>
        <w:t>ing</w:t>
      </w:r>
      <w:r>
        <w:rPr>
          <w:lang w:val="en-US"/>
        </w:rPr>
        <w:t xml:space="preserve"> </w:t>
      </w:r>
      <w:r w:rsidR="0099408A">
        <w:rPr>
          <w:lang w:val="en-US"/>
        </w:rPr>
        <w:t xml:space="preserve">how </w:t>
      </w:r>
      <w:r>
        <w:rPr>
          <w:lang w:val="en-US"/>
        </w:rPr>
        <w:t xml:space="preserve">the criteria used for appraising </w:t>
      </w:r>
      <w:r w:rsidR="00852209">
        <w:rPr>
          <w:lang w:val="en-US"/>
        </w:rPr>
        <w:t xml:space="preserve">the success of </w:t>
      </w:r>
      <w:r>
        <w:rPr>
          <w:lang w:val="en-US"/>
        </w:rPr>
        <w:t xml:space="preserve">E&amp;E </w:t>
      </w:r>
      <w:r w:rsidR="0099408A">
        <w:rPr>
          <w:lang w:val="en-US"/>
        </w:rPr>
        <w:t xml:space="preserve">fit </w:t>
      </w:r>
      <w:r>
        <w:rPr>
          <w:lang w:val="en-US"/>
        </w:rPr>
        <w:t>with</w:t>
      </w:r>
      <w:r w:rsidR="008E675D">
        <w:rPr>
          <w:lang w:val="en-US"/>
        </w:rPr>
        <w:t xml:space="preserve">in </w:t>
      </w:r>
      <w:r>
        <w:rPr>
          <w:lang w:val="en-US"/>
        </w:rPr>
        <w:t>paragraph</w:t>
      </w:r>
      <w:r w:rsidR="00345657">
        <w:rPr>
          <w:lang w:val="en-US"/>
        </w:rPr>
        <w:t xml:space="preserve"> 57</w:t>
      </w:r>
      <w:r>
        <w:rPr>
          <w:lang w:val="en-US"/>
        </w:rPr>
        <w:t>.</w:t>
      </w:r>
    </w:p>
    <w:p w14:paraId="48773059" w14:textId="21259500" w:rsidR="00B244C7" w:rsidRDefault="000910AB">
      <w:pPr>
        <w:rPr>
          <w:lang w:val="en-US"/>
        </w:rPr>
      </w:pPr>
      <w:r>
        <w:rPr>
          <w:lang w:val="en-US"/>
        </w:rPr>
        <w:lastRenderedPageBreak/>
        <w:t xml:space="preserve">One approach </w:t>
      </w:r>
      <w:r w:rsidR="005F05F4">
        <w:rPr>
          <w:lang w:val="en-US"/>
        </w:rPr>
        <w:t xml:space="preserve">to testing the viability of the deferred Stage B costs </w:t>
      </w:r>
      <w:r>
        <w:rPr>
          <w:lang w:val="en-US"/>
        </w:rPr>
        <w:t xml:space="preserve">would be to write IAS 38 in terms of </w:t>
      </w:r>
      <w:r w:rsidR="0012519E">
        <w:rPr>
          <w:lang w:val="en-US"/>
        </w:rPr>
        <w:t>a unit of account (</w:t>
      </w:r>
      <w:r w:rsidR="005F05F4">
        <w:rPr>
          <w:lang w:val="en-US"/>
        </w:rPr>
        <w:t>impairment pool</w:t>
      </w:r>
      <w:r w:rsidR="0012519E">
        <w:rPr>
          <w:lang w:val="en-US"/>
        </w:rPr>
        <w:t>)</w:t>
      </w:r>
      <w:r w:rsidR="004338A6">
        <w:rPr>
          <w:lang w:val="en-US"/>
        </w:rPr>
        <w:t xml:space="preserve"> at the </w:t>
      </w:r>
      <w:r w:rsidR="00E94E20">
        <w:rPr>
          <w:lang w:val="en-US"/>
        </w:rPr>
        <w:t>level of a project (</w:t>
      </w:r>
      <w:r w:rsidR="005F05F4">
        <w:rPr>
          <w:lang w:val="en-US"/>
        </w:rPr>
        <w:t xml:space="preserve">a </w:t>
      </w:r>
      <w:r w:rsidR="004338A6">
        <w:rPr>
          <w:lang w:val="en-US"/>
        </w:rPr>
        <w:t xml:space="preserve">well/mine or </w:t>
      </w:r>
      <w:r w:rsidR="005F05F4">
        <w:rPr>
          <w:lang w:val="en-US"/>
        </w:rPr>
        <w:t xml:space="preserve">a </w:t>
      </w:r>
      <w:proofErr w:type="spellStart"/>
      <w:r w:rsidR="004338A6">
        <w:rPr>
          <w:lang w:val="en-US"/>
        </w:rPr>
        <w:t>licen</w:t>
      </w:r>
      <w:r w:rsidR="00A21A2A">
        <w:rPr>
          <w:lang w:val="en-US"/>
        </w:rPr>
        <w:t>c</w:t>
      </w:r>
      <w:r w:rsidR="004338A6">
        <w:rPr>
          <w:lang w:val="en-US"/>
        </w:rPr>
        <w:t>e</w:t>
      </w:r>
      <w:proofErr w:type="spellEnd"/>
      <w:r w:rsidR="004338A6">
        <w:rPr>
          <w:lang w:val="en-US"/>
        </w:rPr>
        <w:t>/field</w:t>
      </w:r>
      <w:r w:rsidR="00E94E20">
        <w:rPr>
          <w:lang w:val="en-US"/>
        </w:rPr>
        <w:t>)</w:t>
      </w:r>
      <w:r w:rsidR="005F05F4">
        <w:rPr>
          <w:lang w:val="en-US"/>
        </w:rPr>
        <w:t xml:space="preserve">. This would correspond to </w:t>
      </w:r>
      <w:r w:rsidR="00150920">
        <w:rPr>
          <w:lang w:val="en-US"/>
        </w:rPr>
        <w:t xml:space="preserve">Method </w:t>
      </w:r>
      <w:r w:rsidR="0051544D">
        <w:rPr>
          <w:lang w:val="en-US"/>
        </w:rPr>
        <w:t>6</w:t>
      </w:r>
      <w:r>
        <w:rPr>
          <w:lang w:val="en-US"/>
        </w:rPr>
        <w:t xml:space="preserve"> in </w:t>
      </w:r>
      <w:r w:rsidR="00741EAC">
        <w:rPr>
          <w:lang w:val="en-US"/>
        </w:rPr>
        <w:t>Figure 1</w:t>
      </w:r>
      <w:r w:rsidR="0077266E">
        <w:rPr>
          <w:lang w:val="en-US"/>
        </w:rPr>
        <w:t xml:space="preserve">. </w:t>
      </w:r>
      <w:r w:rsidR="00B244C7">
        <w:rPr>
          <w:lang w:val="en-US"/>
        </w:rPr>
        <w:t xml:space="preserve">The unit of account should correspond to separate legal rights (or a sub-set of them), separate management and separate cash flows. </w:t>
      </w:r>
      <w:r w:rsidR="0077266E">
        <w:rPr>
          <w:lang w:val="en-US"/>
        </w:rPr>
        <w:t>Our proposal</w:t>
      </w:r>
      <w:r>
        <w:rPr>
          <w:lang w:val="en-US"/>
        </w:rPr>
        <w:t xml:space="preserve"> is about half-way </w:t>
      </w:r>
      <w:r w:rsidR="00345657">
        <w:rPr>
          <w:lang w:val="en-US"/>
        </w:rPr>
        <w:t>al</w:t>
      </w:r>
      <w:r>
        <w:rPr>
          <w:lang w:val="en-US"/>
        </w:rPr>
        <w:t>on</w:t>
      </w:r>
      <w:r w:rsidR="00345657">
        <w:rPr>
          <w:lang w:val="en-US"/>
        </w:rPr>
        <w:t>g</w:t>
      </w:r>
      <w:r>
        <w:rPr>
          <w:lang w:val="en-US"/>
        </w:rPr>
        <w:t xml:space="preserve"> the</w:t>
      </w:r>
      <w:r w:rsidR="00852209">
        <w:rPr>
          <w:lang w:val="en-US"/>
        </w:rPr>
        <w:t xml:space="preserve"> range of present E&amp;E </w:t>
      </w:r>
      <w:r w:rsidR="00EE42B7">
        <w:rPr>
          <w:lang w:val="en-US"/>
        </w:rPr>
        <w:t xml:space="preserve">policies found in </w:t>
      </w:r>
      <w:r w:rsidR="00852209">
        <w:rPr>
          <w:lang w:val="en-US"/>
        </w:rPr>
        <w:t xml:space="preserve">practice </w:t>
      </w:r>
      <w:r w:rsidR="008E675D">
        <w:rPr>
          <w:lang w:val="en-US"/>
        </w:rPr>
        <w:t>but</w:t>
      </w:r>
      <w:r w:rsidR="00852209">
        <w:rPr>
          <w:lang w:val="en-US"/>
        </w:rPr>
        <w:t xml:space="preserve"> </w:t>
      </w:r>
      <w:r w:rsidR="0012519E">
        <w:rPr>
          <w:lang w:val="en-US"/>
        </w:rPr>
        <w:t xml:space="preserve">involves more </w:t>
      </w:r>
      <w:proofErr w:type="spellStart"/>
      <w:r w:rsidR="0012519E">
        <w:rPr>
          <w:lang w:val="en-US"/>
        </w:rPr>
        <w:t>capitalisation</w:t>
      </w:r>
      <w:proofErr w:type="spellEnd"/>
      <w:r w:rsidR="00852209">
        <w:rPr>
          <w:lang w:val="en-US"/>
        </w:rPr>
        <w:t xml:space="preserve"> than present R&amp;D practices</w:t>
      </w:r>
      <w:r w:rsidR="00EE42B7">
        <w:rPr>
          <w:lang w:val="en-US"/>
        </w:rPr>
        <w:t>.</w:t>
      </w:r>
    </w:p>
    <w:p w14:paraId="0F1D74F9" w14:textId="1FCD2CD8" w:rsidR="000910AB" w:rsidRDefault="00B244C7">
      <w:pPr>
        <w:rPr>
          <w:lang w:val="en-US"/>
        </w:rPr>
      </w:pPr>
      <w:r>
        <w:rPr>
          <w:lang w:val="en-US"/>
        </w:rPr>
        <w:t>In our proposed reform of IAS 38, t</w:t>
      </w:r>
      <w:r w:rsidR="00031194">
        <w:rPr>
          <w:lang w:val="en-US"/>
        </w:rPr>
        <w:t>he</w:t>
      </w:r>
      <w:r w:rsidR="001B022E">
        <w:rPr>
          <w:lang w:val="en-US"/>
        </w:rPr>
        <w:t xml:space="preserve"> proposal </w:t>
      </w:r>
      <w:r w:rsidR="00031194">
        <w:rPr>
          <w:lang w:val="en-US"/>
        </w:rPr>
        <w:t xml:space="preserve">in the previous paragraph </w:t>
      </w:r>
      <w:r w:rsidR="001B022E">
        <w:rPr>
          <w:lang w:val="en-US"/>
        </w:rPr>
        <w:t xml:space="preserve">would </w:t>
      </w:r>
      <w:r w:rsidR="005F05F4">
        <w:rPr>
          <w:lang w:val="en-US"/>
        </w:rPr>
        <w:t xml:space="preserve">also </w:t>
      </w:r>
      <w:r w:rsidR="001B022E">
        <w:rPr>
          <w:lang w:val="en-US"/>
        </w:rPr>
        <w:t xml:space="preserve">apply to </w:t>
      </w:r>
      <w:r>
        <w:rPr>
          <w:lang w:val="en-US"/>
        </w:rPr>
        <w:t xml:space="preserve">the costs of </w:t>
      </w:r>
      <w:r w:rsidR="001B022E">
        <w:rPr>
          <w:lang w:val="en-US"/>
        </w:rPr>
        <w:t xml:space="preserve">non-extractive development </w:t>
      </w:r>
      <w:r>
        <w:rPr>
          <w:lang w:val="en-US"/>
        </w:rPr>
        <w:t>projects</w:t>
      </w:r>
      <w:r w:rsidR="001B022E">
        <w:rPr>
          <w:lang w:val="en-US"/>
        </w:rPr>
        <w:t>, which</w:t>
      </w:r>
      <w:r w:rsidR="00852209">
        <w:rPr>
          <w:lang w:val="en-US"/>
        </w:rPr>
        <w:t xml:space="preserve"> would respond to</w:t>
      </w:r>
      <w:r w:rsidR="00A7514E">
        <w:rPr>
          <w:lang w:val="en-US"/>
        </w:rPr>
        <w:t xml:space="preserve"> </w:t>
      </w:r>
      <w:r w:rsidR="00F103C4">
        <w:rPr>
          <w:lang w:val="en-US"/>
        </w:rPr>
        <w:t xml:space="preserve">one aspect of the </w:t>
      </w:r>
      <w:r w:rsidR="00A7514E">
        <w:rPr>
          <w:lang w:val="en-US"/>
        </w:rPr>
        <w:t>criticism</w:t>
      </w:r>
      <w:r w:rsidR="00C53962">
        <w:rPr>
          <w:lang w:val="en-US"/>
        </w:rPr>
        <w:t xml:space="preserve"> of IAS 38</w:t>
      </w:r>
      <w:r w:rsidR="00A7514E">
        <w:rPr>
          <w:lang w:val="en-US"/>
        </w:rPr>
        <w:t>.</w:t>
      </w:r>
      <w:r w:rsidR="00852209">
        <w:rPr>
          <w:lang w:val="en-US"/>
        </w:rPr>
        <w:t xml:space="preserve"> </w:t>
      </w:r>
      <w:r w:rsidR="000910AB">
        <w:rPr>
          <w:lang w:val="en-US"/>
        </w:rPr>
        <w:t>To impose discipline, a time limit on</w:t>
      </w:r>
      <w:r w:rsidR="0099408A">
        <w:rPr>
          <w:lang w:val="en-US"/>
        </w:rPr>
        <w:t xml:space="preserve"> the</w:t>
      </w:r>
      <w:r w:rsidR="000910AB">
        <w:rPr>
          <w:lang w:val="en-US"/>
        </w:rPr>
        <w:t xml:space="preserve"> </w:t>
      </w:r>
      <w:r w:rsidR="004F679E">
        <w:rPr>
          <w:lang w:val="en-US"/>
        </w:rPr>
        <w:t>‘</w:t>
      </w:r>
      <w:r w:rsidR="000910AB">
        <w:rPr>
          <w:lang w:val="en-US"/>
        </w:rPr>
        <w:t>suspense</w:t>
      </w:r>
      <w:r w:rsidR="004F679E">
        <w:rPr>
          <w:lang w:val="en-US"/>
        </w:rPr>
        <w:t>’</w:t>
      </w:r>
      <w:r w:rsidR="000910AB">
        <w:rPr>
          <w:lang w:val="en-US"/>
        </w:rPr>
        <w:t xml:space="preserve"> </w:t>
      </w:r>
      <w:r w:rsidR="00EE42B7">
        <w:rPr>
          <w:lang w:val="en-US"/>
        </w:rPr>
        <w:t xml:space="preserve">or deferral </w:t>
      </w:r>
      <w:r w:rsidR="0099408A">
        <w:rPr>
          <w:lang w:val="en-US"/>
        </w:rPr>
        <w:t xml:space="preserve">of </w:t>
      </w:r>
      <w:r w:rsidR="001B022E">
        <w:rPr>
          <w:lang w:val="en-US"/>
        </w:rPr>
        <w:t xml:space="preserve">E&amp;E </w:t>
      </w:r>
      <w:r w:rsidR="005F05F4">
        <w:rPr>
          <w:lang w:val="en-US"/>
        </w:rPr>
        <w:t xml:space="preserve">or R&amp;D </w:t>
      </w:r>
      <w:r w:rsidR="0099408A">
        <w:rPr>
          <w:lang w:val="en-US"/>
        </w:rPr>
        <w:t xml:space="preserve">costs </w:t>
      </w:r>
      <w:r w:rsidR="00847A1A">
        <w:rPr>
          <w:lang w:val="en-US"/>
        </w:rPr>
        <w:t>might</w:t>
      </w:r>
      <w:r w:rsidR="000910AB">
        <w:rPr>
          <w:lang w:val="en-US"/>
        </w:rPr>
        <w:t xml:space="preserve"> be needed. </w:t>
      </w:r>
      <w:r w:rsidR="008F28AC">
        <w:rPr>
          <w:lang w:val="en-US"/>
        </w:rPr>
        <w:t xml:space="preserve">For example, the UK SORP (para. 56) contained limits of two or three years </w:t>
      </w:r>
      <w:r w:rsidR="002572EF">
        <w:rPr>
          <w:lang w:val="en-US"/>
        </w:rPr>
        <w:t>(</w:t>
      </w:r>
      <w:r w:rsidR="008F28AC">
        <w:rPr>
          <w:lang w:val="en-US"/>
        </w:rPr>
        <w:t>d</w:t>
      </w:r>
      <w:r w:rsidR="002572EF">
        <w:rPr>
          <w:lang w:val="en-US"/>
        </w:rPr>
        <w:t xml:space="preserve">epending on circumstances), </w:t>
      </w:r>
      <w:r w:rsidR="008F28AC">
        <w:rPr>
          <w:lang w:val="en-US"/>
        </w:rPr>
        <w:t xml:space="preserve">unless further appraisal was planned. </w:t>
      </w:r>
      <w:r w:rsidR="000910AB">
        <w:rPr>
          <w:lang w:val="en-US"/>
        </w:rPr>
        <w:t xml:space="preserve">This would </w:t>
      </w:r>
      <w:r w:rsidR="00847A1A">
        <w:rPr>
          <w:lang w:val="en-US"/>
        </w:rPr>
        <w:t xml:space="preserve">also </w:t>
      </w:r>
      <w:r w:rsidR="000910AB">
        <w:rPr>
          <w:lang w:val="en-US"/>
        </w:rPr>
        <w:t xml:space="preserve">restrict </w:t>
      </w:r>
      <w:r w:rsidR="00BF2E04">
        <w:rPr>
          <w:lang w:val="en-US"/>
        </w:rPr>
        <w:t xml:space="preserve">the </w:t>
      </w:r>
      <w:r w:rsidR="00E94E20">
        <w:rPr>
          <w:lang w:val="en-US"/>
        </w:rPr>
        <w:t xml:space="preserve">newly-proposed </w:t>
      </w:r>
      <w:proofErr w:type="spellStart"/>
      <w:r w:rsidR="000910AB">
        <w:rPr>
          <w:lang w:val="en-US"/>
        </w:rPr>
        <w:t>capitali</w:t>
      </w:r>
      <w:r w:rsidR="000A1B3F">
        <w:rPr>
          <w:lang w:val="en-US"/>
        </w:rPr>
        <w:t>s</w:t>
      </w:r>
      <w:r w:rsidR="000910AB">
        <w:rPr>
          <w:lang w:val="en-US"/>
        </w:rPr>
        <w:t>ation</w:t>
      </w:r>
      <w:proofErr w:type="spellEnd"/>
      <w:r w:rsidR="000910AB">
        <w:rPr>
          <w:lang w:val="en-US"/>
        </w:rPr>
        <w:t xml:space="preserve"> of </w:t>
      </w:r>
      <w:r w:rsidR="00BF2E04">
        <w:rPr>
          <w:lang w:val="en-US"/>
        </w:rPr>
        <w:t xml:space="preserve">the Stage B costs of </w:t>
      </w:r>
      <w:r w:rsidR="000910AB">
        <w:rPr>
          <w:lang w:val="en-US"/>
        </w:rPr>
        <w:t xml:space="preserve">some development projects in </w:t>
      </w:r>
      <w:r w:rsidR="008E675D">
        <w:rPr>
          <w:lang w:val="en-US"/>
        </w:rPr>
        <w:t xml:space="preserve">some </w:t>
      </w:r>
      <w:r w:rsidR="000910AB">
        <w:rPr>
          <w:lang w:val="en-US"/>
        </w:rPr>
        <w:t>other industries, such as pharmaceuticals.</w:t>
      </w:r>
    </w:p>
    <w:p w14:paraId="6B352F7B" w14:textId="29EFBFCD" w:rsidR="000910AB" w:rsidRDefault="0093127A">
      <w:pPr>
        <w:rPr>
          <w:lang w:val="en-US"/>
        </w:rPr>
      </w:pPr>
      <w:r>
        <w:rPr>
          <w:lang w:val="en-US"/>
        </w:rPr>
        <w:t>Some</w:t>
      </w:r>
      <w:r w:rsidR="000910AB">
        <w:rPr>
          <w:lang w:val="en-US"/>
        </w:rPr>
        <w:t xml:space="preserve"> knock-on amendments </w:t>
      </w:r>
      <w:r w:rsidR="005F05F4">
        <w:rPr>
          <w:lang w:val="en-US"/>
        </w:rPr>
        <w:t xml:space="preserve">to IFRS </w:t>
      </w:r>
      <w:r w:rsidR="000910AB">
        <w:rPr>
          <w:lang w:val="en-US"/>
        </w:rPr>
        <w:t xml:space="preserve">would be needed. First, to avoid confusion, it would be useful to find a term other than </w:t>
      </w:r>
      <w:r w:rsidR="004F679E">
        <w:rPr>
          <w:lang w:val="en-US"/>
        </w:rPr>
        <w:t>‘</w:t>
      </w:r>
      <w:r w:rsidR="00BF2E04">
        <w:rPr>
          <w:lang w:val="en-US"/>
        </w:rPr>
        <w:t>development</w:t>
      </w:r>
      <w:r w:rsidR="004F679E">
        <w:rPr>
          <w:lang w:val="en-US"/>
        </w:rPr>
        <w:t>’</w:t>
      </w:r>
      <w:r w:rsidR="00BF2E04">
        <w:rPr>
          <w:lang w:val="en-US"/>
        </w:rPr>
        <w:t xml:space="preserve"> for Stage C of extractive</w:t>
      </w:r>
      <w:r w:rsidR="000910AB">
        <w:rPr>
          <w:lang w:val="en-US"/>
        </w:rPr>
        <w:t xml:space="preserve"> projects. </w:t>
      </w:r>
      <w:r>
        <w:rPr>
          <w:lang w:val="en-US"/>
        </w:rPr>
        <w:t xml:space="preserve">Next, </w:t>
      </w:r>
      <w:r w:rsidR="008F28AC">
        <w:rPr>
          <w:lang w:val="en-US"/>
        </w:rPr>
        <w:t xml:space="preserve">IFRS 6’s relief </w:t>
      </w:r>
      <w:r w:rsidR="00C009FA">
        <w:rPr>
          <w:lang w:val="en-US"/>
        </w:rPr>
        <w:t xml:space="preserve">(para. 19) </w:t>
      </w:r>
      <w:r w:rsidR="008F28AC">
        <w:rPr>
          <w:lang w:val="en-US"/>
        </w:rPr>
        <w:t xml:space="preserve">from </w:t>
      </w:r>
      <w:r w:rsidR="00C009FA">
        <w:rPr>
          <w:lang w:val="en-US"/>
        </w:rPr>
        <w:t xml:space="preserve">the full </w:t>
      </w:r>
      <w:proofErr w:type="spellStart"/>
      <w:r w:rsidR="00C009FA">
        <w:rPr>
          <w:lang w:val="en-US"/>
        </w:rPr>
        <w:t>rigo</w:t>
      </w:r>
      <w:r w:rsidR="00F103C4">
        <w:rPr>
          <w:lang w:val="en-US"/>
        </w:rPr>
        <w:t>u</w:t>
      </w:r>
      <w:r w:rsidR="00C009FA">
        <w:rPr>
          <w:lang w:val="en-US"/>
        </w:rPr>
        <w:t>r</w:t>
      </w:r>
      <w:proofErr w:type="spellEnd"/>
      <w:r w:rsidR="00C009FA">
        <w:rPr>
          <w:lang w:val="en-US"/>
        </w:rPr>
        <w:t xml:space="preserve"> of impairment testing would need to be incorporated into IAS 38 </w:t>
      </w:r>
      <w:r w:rsidR="00170B7F">
        <w:rPr>
          <w:lang w:val="en-US"/>
        </w:rPr>
        <w:t xml:space="preserve">(or IAS 36) </w:t>
      </w:r>
      <w:r w:rsidR="00C009FA">
        <w:rPr>
          <w:lang w:val="en-US"/>
        </w:rPr>
        <w:t xml:space="preserve">for projects which cannot yet be appraised for viability. </w:t>
      </w:r>
      <w:r>
        <w:rPr>
          <w:lang w:val="en-US"/>
        </w:rPr>
        <w:t>However, i</w:t>
      </w:r>
      <w:r w:rsidR="000910AB">
        <w:rPr>
          <w:lang w:val="en-US"/>
        </w:rPr>
        <w:t>t would not be necessary to carry forward IFRS 6’s flexibility on impairment</w:t>
      </w:r>
      <w:r>
        <w:rPr>
          <w:lang w:val="en-US"/>
        </w:rPr>
        <w:t xml:space="preserve"> pools (see Section 4</w:t>
      </w:r>
      <w:r w:rsidR="004428A6">
        <w:rPr>
          <w:lang w:val="en-US"/>
        </w:rPr>
        <w:t xml:space="preserve"> above</w:t>
      </w:r>
      <w:r>
        <w:rPr>
          <w:lang w:val="en-US"/>
        </w:rPr>
        <w:t>)</w:t>
      </w:r>
      <w:r w:rsidR="000910AB">
        <w:rPr>
          <w:lang w:val="en-US"/>
        </w:rPr>
        <w:t>, because appraisal would be done at project level.</w:t>
      </w:r>
      <w:r w:rsidR="00ED00C9">
        <w:rPr>
          <w:lang w:val="en-US"/>
        </w:rPr>
        <w:t xml:space="preserve"> </w:t>
      </w:r>
      <w:r w:rsidR="004428A6">
        <w:rPr>
          <w:lang w:val="en-US"/>
        </w:rPr>
        <w:t xml:space="preserve">Then, IAS 23 would need amendment to remove the </w:t>
      </w:r>
      <w:r w:rsidR="004F679E">
        <w:rPr>
          <w:lang w:val="en-US"/>
        </w:rPr>
        <w:t>‘</w:t>
      </w:r>
      <w:r w:rsidR="004428A6">
        <w:rPr>
          <w:lang w:val="en-US"/>
        </w:rPr>
        <w:t>probable</w:t>
      </w:r>
      <w:r w:rsidR="004F679E">
        <w:rPr>
          <w:lang w:val="en-US"/>
        </w:rPr>
        <w:t>’</w:t>
      </w:r>
      <w:r w:rsidR="004428A6">
        <w:rPr>
          <w:lang w:val="en-US"/>
        </w:rPr>
        <w:t xml:space="preserve"> criterion in this context (see Section 4), so that </w:t>
      </w:r>
      <w:proofErr w:type="spellStart"/>
      <w:r w:rsidR="004428A6">
        <w:rPr>
          <w:lang w:val="en-US"/>
        </w:rPr>
        <w:t>capitalisation</w:t>
      </w:r>
      <w:proofErr w:type="spellEnd"/>
      <w:r w:rsidR="004428A6">
        <w:rPr>
          <w:lang w:val="en-US"/>
        </w:rPr>
        <w:t xml:space="preserve"> of borrowing costs could fit with that of other costs. </w:t>
      </w:r>
      <w:r w:rsidR="00ED00C9">
        <w:rPr>
          <w:lang w:val="en-US"/>
        </w:rPr>
        <w:t>As mentioned</w:t>
      </w:r>
      <w:r w:rsidR="006D740B">
        <w:rPr>
          <w:lang w:val="en-US"/>
        </w:rPr>
        <w:t xml:space="preserve"> in Section 1, all other standards apply to extractive activities where appropriate, and this would continue under our approach. On some issues, because the scope of </w:t>
      </w:r>
      <w:proofErr w:type="spellStart"/>
      <w:r w:rsidR="006D740B">
        <w:rPr>
          <w:lang w:val="en-US"/>
        </w:rPr>
        <w:t>capitalisation</w:t>
      </w:r>
      <w:proofErr w:type="spellEnd"/>
      <w:r w:rsidR="006D740B">
        <w:rPr>
          <w:lang w:val="en-US"/>
        </w:rPr>
        <w:t xml:space="preserve"> would increase, so would the scope for some other standards (such as IAS 37) to apply in the context of E&amp;E assets.</w:t>
      </w:r>
    </w:p>
    <w:p w14:paraId="0C523A3B" w14:textId="39D1D513" w:rsidR="009F6E15" w:rsidRDefault="009F6E15">
      <w:pPr>
        <w:rPr>
          <w:lang w:val="en-US"/>
        </w:rPr>
      </w:pPr>
      <w:r>
        <w:rPr>
          <w:lang w:val="en-US"/>
        </w:rPr>
        <w:lastRenderedPageBreak/>
        <w:t xml:space="preserve">We acknowledge the ambitious nature of our proposal to amend IAS 38 and extent its scope to E&amp;E costs. However, </w:t>
      </w:r>
      <w:r w:rsidR="00F07D97">
        <w:rPr>
          <w:lang w:val="en-US"/>
        </w:rPr>
        <w:t xml:space="preserve">we believe it useful to set out an ultimate objective. If the IASB agrees with some or all of the objective but cannot achieve it quickly, there would be ways of approaching it gradually. For example, IFRS 6 could be amended to require our above proposed approach and to fit as much as possible with the style and logic of IAS 38’s content on R&amp;D. Later, IAS 38 could be amended </w:t>
      </w:r>
      <w:r w:rsidR="00031194">
        <w:rPr>
          <w:lang w:val="en-US"/>
        </w:rPr>
        <w:t xml:space="preserve">as above and </w:t>
      </w:r>
      <w:r w:rsidR="00F07D97">
        <w:rPr>
          <w:lang w:val="en-US"/>
        </w:rPr>
        <w:t>to include E&amp;E costs.</w:t>
      </w:r>
    </w:p>
    <w:p w14:paraId="54BA3A5D" w14:textId="48468B9B" w:rsidR="00525A8A" w:rsidRDefault="00B76869" w:rsidP="00B76869">
      <w:pPr>
        <w:rPr>
          <w:lang w:val="en-US"/>
        </w:rPr>
      </w:pPr>
      <w:r>
        <w:rPr>
          <w:lang w:val="en-US"/>
        </w:rPr>
        <w:t>When drafting a replacement for IFRS 6 (whether or not this involves inserting requirements on E&amp;E costs into IAS 38), an important matter will be the approach to disclosure requirements. The IASB’s (20</w:t>
      </w:r>
      <w:r w:rsidR="004F679E">
        <w:rPr>
          <w:lang w:val="en-US"/>
        </w:rPr>
        <w:t>21b</w:t>
      </w:r>
      <w:r>
        <w:rPr>
          <w:lang w:val="en-US"/>
        </w:rPr>
        <w:t xml:space="preserve">) proposals </w:t>
      </w:r>
      <w:r w:rsidR="00BE407C">
        <w:rPr>
          <w:lang w:val="en-US"/>
        </w:rPr>
        <w:t>on ‘Guidance for developing disclosure requirements’</w:t>
      </w:r>
      <w:r>
        <w:rPr>
          <w:lang w:val="en-US"/>
        </w:rPr>
        <w:t xml:space="preserve"> </w:t>
      </w:r>
      <w:r w:rsidR="005C7C10">
        <w:rPr>
          <w:lang w:val="en-US"/>
        </w:rPr>
        <w:t>include</w:t>
      </w:r>
      <w:r>
        <w:rPr>
          <w:lang w:val="en-US"/>
        </w:rPr>
        <w:t xml:space="preserve"> that a standard should set out </w:t>
      </w:r>
      <w:r w:rsidR="00BE407C">
        <w:rPr>
          <w:lang w:val="en-US"/>
        </w:rPr>
        <w:t>disclosure objectives</w:t>
      </w:r>
      <w:r>
        <w:rPr>
          <w:lang w:val="en-US"/>
        </w:rPr>
        <w:t xml:space="preserve"> rather than a detailed list of requirements but that </w:t>
      </w:r>
      <w:r w:rsidR="005C7C10">
        <w:rPr>
          <w:lang w:val="en-US"/>
        </w:rPr>
        <w:t>suggestions</w:t>
      </w:r>
      <w:r>
        <w:rPr>
          <w:lang w:val="en-US"/>
        </w:rPr>
        <w:t xml:space="preserve"> on </w:t>
      </w:r>
      <w:r w:rsidR="005C7C10">
        <w:rPr>
          <w:lang w:val="en-US"/>
        </w:rPr>
        <w:t>suitable items</w:t>
      </w:r>
      <w:r>
        <w:rPr>
          <w:lang w:val="en-US"/>
        </w:rPr>
        <w:t xml:space="preserve"> would still be useful. When dra</w:t>
      </w:r>
      <w:r w:rsidR="00031194">
        <w:rPr>
          <w:lang w:val="en-US"/>
        </w:rPr>
        <w:t xml:space="preserve">fting </w:t>
      </w:r>
      <w:r>
        <w:rPr>
          <w:lang w:val="en-US"/>
        </w:rPr>
        <w:t xml:space="preserve">such </w:t>
      </w:r>
      <w:r w:rsidR="005C7C10">
        <w:rPr>
          <w:lang w:val="en-US"/>
        </w:rPr>
        <w:t>suggestions</w:t>
      </w:r>
      <w:r>
        <w:rPr>
          <w:lang w:val="en-US"/>
        </w:rPr>
        <w:t xml:space="preserve"> on E&amp;E costs or on R&amp;D costs, a useful starting point would be the analysis of objectives and principles of disclosure in Brady et al. (2010, Chapter 4). I</w:t>
      </w:r>
      <w:r w:rsidR="00525A8A">
        <w:rPr>
          <w:lang w:val="en-US"/>
        </w:rPr>
        <w:t>ncreases in note disclosures about reserves and related matters might be useful</w:t>
      </w:r>
      <w:r w:rsidR="00485DA5">
        <w:rPr>
          <w:lang w:val="en-US"/>
        </w:rPr>
        <w:t xml:space="preserve"> (as acknowledged but not required by the IASB)</w:t>
      </w:r>
      <w:r w:rsidR="00525A8A">
        <w:rPr>
          <w:lang w:val="en-US"/>
        </w:rPr>
        <w:t>,</w:t>
      </w:r>
      <w:r w:rsidR="00485DA5">
        <w:rPr>
          <w:rStyle w:val="FootnoteReference"/>
          <w:lang w:val="en-US"/>
        </w:rPr>
        <w:footnoteReference w:id="28"/>
      </w:r>
      <w:r w:rsidR="00525A8A">
        <w:rPr>
          <w:lang w:val="en-US"/>
        </w:rPr>
        <w:t xml:space="preserve"> and this has been continuing, at national level (e.g. JORC, 2012). Given that energy and mineral prices are highly volatile, users of financial statements might find it more informative to apply the latest available price information to disclosures about physical quantities of reserves, rather than being given information about fair values</w:t>
      </w:r>
      <w:r w:rsidR="00F55233">
        <w:rPr>
          <w:lang w:val="en-US"/>
        </w:rPr>
        <w:t xml:space="preserve"> which is dated by the time it is received</w:t>
      </w:r>
      <w:r w:rsidR="00525A8A">
        <w:rPr>
          <w:lang w:val="en-US"/>
        </w:rPr>
        <w:t>. This is a topic which could be further researched.</w:t>
      </w:r>
    </w:p>
    <w:p w14:paraId="283E2E2C" w14:textId="747E2952" w:rsidR="00B76869" w:rsidRDefault="00B76869" w:rsidP="00FD4B7E">
      <w:pPr>
        <w:rPr>
          <w:lang w:val="en-US"/>
        </w:rPr>
      </w:pPr>
      <w:r>
        <w:rPr>
          <w:lang w:val="en-US"/>
        </w:rPr>
        <w:t xml:space="preserve">A more dramatic approach to reforming E&amp;E accounting would be to </w:t>
      </w:r>
      <w:proofErr w:type="spellStart"/>
      <w:r>
        <w:rPr>
          <w:lang w:val="en-US"/>
        </w:rPr>
        <w:t>recognise</w:t>
      </w:r>
      <w:proofErr w:type="spellEnd"/>
      <w:r>
        <w:rPr>
          <w:lang w:val="en-US"/>
        </w:rPr>
        <w:t xml:space="preserve"> the fair value of extractive reserves. However, attempts to do this have failed.</w:t>
      </w:r>
      <w:r>
        <w:rPr>
          <w:rStyle w:val="FootnoteReference"/>
          <w:lang w:val="en-US"/>
        </w:rPr>
        <w:footnoteReference w:id="29"/>
      </w:r>
      <w:r>
        <w:rPr>
          <w:lang w:val="en-US"/>
        </w:rPr>
        <w:t xml:space="preserve"> More generally, the standard-setters have shown no willingness over the last 20 years to introduce greater use of fair value for the </w:t>
      </w:r>
      <w:r>
        <w:rPr>
          <w:lang w:val="en-US"/>
        </w:rPr>
        <w:lastRenderedPageBreak/>
        <w:t>subsequent measurement of assets,</w:t>
      </w:r>
      <w:r>
        <w:rPr>
          <w:rStyle w:val="FootnoteReference"/>
          <w:lang w:val="en-US"/>
        </w:rPr>
        <w:footnoteReference w:id="30"/>
      </w:r>
      <w:r>
        <w:rPr>
          <w:lang w:val="en-US"/>
        </w:rPr>
        <w:t xml:space="preserve"> and the 2018 </w:t>
      </w:r>
      <w:r w:rsidRPr="00131CED">
        <w:rPr>
          <w:i/>
          <w:lang w:val="en-US"/>
        </w:rPr>
        <w:t>Conceptual Framework</w:t>
      </w:r>
      <w:r>
        <w:rPr>
          <w:lang w:val="en-US"/>
        </w:rPr>
        <w:t xml:space="preserve"> acknowledges the long-term nature of the mixed-measurement approach.</w:t>
      </w:r>
      <w:r>
        <w:rPr>
          <w:rStyle w:val="FootnoteReference"/>
          <w:lang w:val="en-US"/>
        </w:rPr>
        <w:footnoteReference w:id="31"/>
      </w:r>
    </w:p>
    <w:p w14:paraId="32279DCB" w14:textId="396D9E5C" w:rsidR="004859E9" w:rsidRPr="00442F2D" w:rsidRDefault="00461031" w:rsidP="00FC703C">
      <w:pPr>
        <w:pStyle w:val="Heading1"/>
        <w:rPr>
          <w:lang w:val="en-US"/>
        </w:rPr>
      </w:pPr>
      <w:r>
        <w:rPr>
          <w:lang w:val="en-US"/>
        </w:rPr>
        <w:t>7</w:t>
      </w:r>
      <w:r w:rsidR="00A61560">
        <w:rPr>
          <w:lang w:val="en-US"/>
        </w:rPr>
        <w:t xml:space="preserve">. </w:t>
      </w:r>
      <w:r w:rsidR="004859E9">
        <w:rPr>
          <w:lang w:val="en-US"/>
        </w:rPr>
        <w:t>Summary</w:t>
      </w:r>
      <w:r w:rsidR="00595350">
        <w:rPr>
          <w:lang w:val="en-US"/>
        </w:rPr>
        <w:t xml:space="preserve"> and conclusions</w:t>
      </w:r>
    </w:p>
    <w:p w14:paraId="63042C62" w14:textId="135EA733" w:rsidR="004859E9" w:rsidRDefault="00595350">
      <w:pPr>
        <w:rPr>
          <w:lang w:val="en-US"/>
        </w:rPr>
      </w:pPr>
      <w:r>
        <w:rPr>
          <w:lang w:val="en-US"/>
        </w:rPr>
        <w:t xml:space="preserve">Accounting for </w:t>
      </w:r>
      <w:r w:rsidR="0098748B">
        <w:rPr>
          <w:lang w:val="en-US"/>
        </w:rPr>
        <w:t>E&amp;E</w:t>
      </w:r>
      <w:r>
        <w:rPr>
          <w:lang w:val="en-US"/>
        </w:rPr>
        <w:t xml:space="preserve"> costs is not addressed in any detail by IFRS. This is especially important because of the size of the extractive sector in many major stock markets, and because the variety of available practices is enormous under the temporary standard IFRS 6. After examining the annual reports of extractive firms, we found 11 distinguishable methods for the treatment of E&amp;E costs which have been used under IFRS. These include the two methods allowed under US GAAP.</w:t>
      </w:r>
      <w:r w:rsidR="00362C35">
        <w:rPr>
          <w:lang w:val="en-US"/>
        </w:rPr>
        <w:t xml:space="preserve"> We provide examples of the use of all these methods</w:t>
      </w:r>
      <w:r>
        <w:rPr>
          <w:lang w:val="en-US"/>
        </w:rPr>
        <w:t xml:space="preserve">. We then draw up a classification based on two dimensions: the scope of costs deferred, and the size of pool for impairment testing. </w:t>
      </w:r>
      <w:r w:rsidR="00362C35">
        <w:rPr>
          <w:lang w:val="en-US"/>
        </w:rPr>
        <w:t>As in other fields, we believe</w:t>
      </w:r>
      <w:r>
        <w:rPr>
          <w:lang w:val="en-US"/>
        </w:rPr>
        <w:t xml:space="preserve"> that the classification helps to bring order to a mass of detail.</w:t>
      </w:r>
    </w:p>
    <w:p w14:paraId="03C5D971" w14:textId="0205A994" w:rsidR="00595350" w:rsidRDefault="00E36591">
      <w:pPr>
        <w:rPr>
          <w:lang w:val="en-US"/>
        </w:rPr>
      </w:pPr>
      <w:r>
        <w:rPr>
          <w:lang w:val="en-US"/>
        </w:rPr>
        <w:t xml:space="preserve">We </w:t>
      </w:r>
      <w:proofErr w:type="spellStart"/>
      <w:r>
        <w:rPr>
          <w:lang w:val="en-US"/>
        </w:rPr>
        <w:t>analy</w:t>
      </w:r>
      <w:r w:rsidR="00F103C4">
        <w:rPr>
          <w:lang w:val="en-US"/>
        </w:rPr>
        <w:t>s</w:t>
      </w:r>
      <w:r>
        <w:rPr>
          <w:lang w:val="en-US"/>
        </w:rPr>
        <w:t>e</w:t>
      </w:r>
      <w:proofErr w:type="spellEnd"/>
      <w:r>
        <w:rPr>
          <w:lang w:val="en-US"/>
        </w:rPr>
        <w:t xml:space="preserve"> the </w:t>
      </w:r>
      <w:r w:rsidR="001B022E">
        <w:rPr>
          <w:lang w:val="en-US"/>
        </w:rPr>
        <w:t>various</w:t>
      </w:r>
      <w:r>
        <w:rPr>
          <w:lang w:val="en-US"/>
        </w:rPr>
        <w:t xml:space="preserve"> methods in terms of the requirements of IFRS 6 and other relevant standards within current IFRS, particularly IAS 38. We conclude that the full range of methods </w:t>
      </w:r>
      <w:r w:rsidR="006F50DD">
        <w:rPr>
          <w:lang w:val="en-US"/>
        </w:rPr>
        <w:t>is</w:t>
      </w:r>
      <w:r>
        <w:rPr>
          <w:lang w:val="en-US"/>
        </w:rPr>
        <w:t xml:space="preserve"> </w:t>
      </w:r>
      <w:r w:rsidR="005F05F4">
        <w:rPr>
          <w:lang w:val="en-US"/>
        </w:rPr>
        <w:t>currently permitted</w:t>
      </w:r>
      <w:r>
        <w:rPr>
          <w:lang w:val="en-US"/>
        </w:rPr>
        <w:t xml:space="preserve"> under IFRS except </w:t>
      </w:r>
      <w:r w:rsidR="006F50DD">
        <w:rPr>
          <w:lang w:val="en-US"/>
        </w:rPr>
        <w:t xml:space="preserve">for </w:t>
      </w:r>
      <w:r>
        <w:rPr>
          <w:lang w:val="en-US"/>
        </w:rPr>
        <w:t>the US version o</w:t>
      </w:r>
      <w:r w:rsidR="00362C35">
        <w:rPr>
          <w:lang w:val="en-US"/>
        </w:rPr>
        <w:t>f the full cost method even though</w:t>
      </w:r>
      <w:r>
        <w:rPr>
          <w:lang w:val="en-US"/>
        </w:rPr>
        <w:t xml:space="preserve"> a few IFRS firms have used </w:t>
      </w:r>
      <w:r w:rsidR="00345657">
        <w:rPr>
          <w:lang w:val="en-US"/>
        </w:rPr>
        <w:t xml:space="preserve">something like </w:t>
      </w:r>
      <w:r>
        <w:rPr>
          <w:lang w:val="en-US"/>
        </w:rPr>
        <w:t>it.</w:t>
      </w:r>
    </w:p>
    <w:p w14:paraId="032BB9D1" w14:textId="60E6FC5C" w:rsidR="0066492E" w:rsidRDefault="00E36591" w:rsidP="001A0E2B">
      <w:pPr>
        <w:rPr>
          <w:lang w:val="en-US"/>
        </w:rPr>
      </w:pPr>
      <w:r>
        <w:rPr>
          <w:lang w:val="en-US"/>
        </w:rPr>
        <w:t xml:space="preserve">This great degree of permissiveness is </w:t>
      </w:r>
      <w:r w:rsidRPr="002B534A">
        <w:rPr>
          <w:i/>
          <w:lang w:val="en-US"/>
        </w:rPr>
        <w:t>prima facie</w:t>
      </w:r>
      <w:r>
        <w:rPr>
          <w:lang w:val="en-US"/>
        </w:rPr>
        <w:t xml:space="preserve"> likely to damage the comparability of financial reporting in this major sector. </w:t>
      </w:r>
      <w:r w:rsidR="00406499">
        <w:rPr>
          <w:lang w:val="en-US"/>
        </w:rPr>
        <w:t xml:space="preserve">It also leads to lack of clarity in policy notes because of no definitions of terms. </w:t>
      </w:r>
      <w:r>
        <w:rPr>
          <w:lang w:val="en-US"/>
        </w:rPr>
        <w:t xml:space="preserve">Thus, we propose an outline of a possible replacement for IFRS 6. As part of this, we </w:t>
      </w:r>
      <w:proofErr w:type="spellStart"/>
      <w:r>
        <w:rPr>
          <w:lang w:val="en-US"/>
        </w:rPr>
        <w:t>recogni</w:t>
      </w:r>
      <w:r w:rsidR="000A1B3F">
        <w:rPr>
          <w:lang w:val="en-US"/>
        </w:rPr>
        <w:t>s</w:t>
      </w:r>
      <w:r>
        <w:rPr>
          <w:lang w:val="en-US"/>
        </w:rPr>
        <w:t>e</w:t>
      </w:r>
      <w:proofErr w:type="spellEnd"/>
      <w:r>
        <w:rPr>
          <w:lang w:val="en-US"/>
        </w:rPr>
        <w:t xml:space="preserve"> the widespread criticism of the treatment of intangibles, whereby much </w:t>
      </w:r>
      <w:r w:rsidR="006F50DD">
        <w:rPr>
          <w:lang w:val="en-US"/>
        </w:rPr>
        <w:t>cost</w:t>
      </w:r>
      <w:r>
        <w:rPr>
          <w:lang w:val="en-US"/>
        </w:rPr>
        <w:t xml:space="preserve"> that seems to meet the IASB’s definition of </w:t>
      </w:r>
      <w:r w:rsidR="00362C35">
        <w:rPr>
          <w:lang w:val="en-US"/>
        </w:rPr>
        <w:t>an asset</w:t>
      </w:r>
      <w:r>
        <w:rPr>
          <w:lang w:val="en-US"/>
        </w:rPr>
        <w:t xml:space="preserve"> is currently expensed. We propose that E&amp;E costs should be put within the scope of a revised IAS 38 that requires deferral of the costs of development until appraisal for viability at the level of a project.</w:t>
      </w:r>
      <w:r w:rsidR="001A0E2B">
        <w:rPr>
          <w:lang w:val="en-US"/>
        </w:rPr>
        <w:t xml:space="preserve"> In summary, t</w:t>
      </w:r>
      <w:r w:rsidR="000910AB">
        <w:rPr>
          <w:lang w:val="en-US"/>
        </w:rPr>
        <w:t xml:space="preserve">his proposal would withdraw the </w:t>
      </w:r>
      <w:r w:rsidR="00BB43DD">
        <w:rPr>
          <w:lang w:val="en-US"/>
        </w:rPr>
        <w:lastRenderedPageBreak/>
        <w:t>‘</w:t>
      </w:r>
      <w:r w:rsidR="000910AB">
        <w:rPr>
          <w:lang w:val="en-US"/>
        </w:rPr>
        <w:t>temporary</w:t>
      </w:r>
      <w:r w:rsidR="00BB43DD">
        <w:rPr>
          <w:lang w:val="en-US"/>
        </w:rPr>
        <w:t>’</w:t>
      </w:r>
      <w:r w:rsidR="000910AB">
        <w:rPr>
          <w:lang w:val="en-US"/>
        </w:rPr>
        <w:t xml:space="preserve"> IFRS 6</w:t>
      </w:r>
      <w:r w:rsidR="0066492E">
        <w:rPr>
          <w:lang w:val="en-US"/>
        </w:rPr>
        <w:t xml:space="preserve">, make E&amp;E practices a consistent part of IFRS, greatly reduce the variety of E&amp;E practices, respond to the criticism that IAS 38 is too conservative on R&amp;D, and bring IAS 38 more into line with the </w:t>
      </w:r>
      <w:r w:rsidR="0066492E" w:rsidRPr="00BF2E04">
        <w:rPr>
          <w:i/>
          <w:lang w:val="en-US"/>
        </w:rPr>
        <w:t>Conceptual Framework</w:t>
      </w:r>
      <w:r w:rsidR="0066492E">
        <w:rPr>
          <w:lang w:val="en-US"/>
        </w:rPr>
        <w:t>.</w:t>
      </w:r>
    </w:p>
    <w:p w14:paraId="4CEEE7B4" w14:textId="0D5A611B" w:rsidR="00095FAD" w:rsidRDefault="00095FAD" w:rsidP="001A0E2B">
      <w:pPr>
        <w:rPr>
          <w:lang w:val="en-US"/>
        </w:rPr>
      </w:pPr>
      <w:r>
        <w:rPr>
          <w:lang w:val="en-US"/>
        </w:rPr>
        <w:t xml:space="preserve">There are several areas for further research. First, we and others have speculated that E&amp;E policy choice is linked to an entity’s domicile. To test this, a large systematic international survey is needed, distinguishing between the mining and oil &amp; gas sub-sectors. Up-to-date research is also needed into the </w:t>
      </w:r>
      <w:r w:rsidR="006F50DD">
        <w:rPr>
          <w:lang w:val="en-US"/>
        </w:rPr>
        <w:t xml:space="preserve">value </w:t>
      </w:r>
      <w:r>
        <w:rPr>
          <w:lang w:val="en-US"/>
        </w:rPr>
        <w:t xml:space="preserve">relevance of </w:t>
      </w:r>
      <w:r w:rsidR="0098306E">
        <w:rPr>
          <w:lang w:val="en-US"/>
        </w:rPr>
        <w:t xml:space="preserve">the </w:t>
      </w:r>
      <w:proofErr w:type="spellStart"/>
      <w:r>
        <w:rPr>
          <w:lang w:val="en-US"/>
        </w:rPr>
        <w:t>capitalisation</w:t>
      </w:r>
      <w:proofErr w:type="spellEnd"/>
      <w:r>
        <w:rPr>
          <w:lang w:val="en-US"/>
        </w:rPr>
        <w:t xml:space="preserve"> of E&amp;E costs</w:t>
      </w:r>
      <w:r w:rsidR="0098306E">
        <w:rPr>
          <w:lang w:val="en-US"/>
        </w:rPr>
        <w:t xml:space="preserve"> and the disclosures on reserves</w:t>
      </w:r>
      <w:r>
        <w:rPr>
          <w:lang w:val="en-US"/>
        </w:rPr>
        <w:t xml:space="preserve">. </w:t>
      </w:r>
      <w:r w:rsidR="008B6F65">
        <w:rPr>
          <w:lang w:val="en-US"/>
        </w:rPr>
        <w:t>Additionally, i</w:t>
      </w:r>
      <w:r>
        <w:rPr>
          <w:lang w:val="en-US"/>
        </w:rPr>
        <w:t>t would be useful to investigate the treatment of E&amp;E</w:t>
      </w:r>
      <w:r w:rsidR="0098306E">
        <w:rPr>
          <w:lang w:val="en-US"/>
        </w:rPr>
        <w:t xml:space="preserve"> and R&amp;D in the context of business combinations to see if the use of fair value for initial measurement works well. This could be helpful to standard-setters if major revisions to IAS 38 are considered.</w:t>
      </w:r>
    </w:p>
    <w:p w14:paraId="19317C27" w14:textId="0150E7CB" w:rsidR="008E675D" w:rsidRPr="00764D47" w:rsidRDefault="00442F2D" w:rsidP="002C25F9">
      <w:pPr>
        <w:pStyle w:val="Heading1"/>
        <w:rPr>
          <w:lang w:val="en-US"/>
        </w:rPr>
      </w:pPr>
      <w:r>
        <w:rPr>
          <w:lang w:val="en-US"/>
        </w:rPr>
        <w:br w:type="page"/>
      </w:r>
      <w:r w:rsidR="008E675D" w:rsidRPr="00764D47">
        <w:rPr>
          <w:lang w:val="en-US"/>
        </w:rPr>
        <w:lastRenderedPageBreak/>
        <w:t>References</w:t>
      </w:r>
    </w:p>
    <w:p w14:paraId="34E133AE" w14:textId="3A7A5509" w:rsidR="00076EC2" w:rsidRPr="00366155" w:rsidRDefault="00076EC2" w:rsidP="00FC703C">
      <w:pPr>
        <w:pStyle w:val="References"/>
        <w:rPr>
          <w:szCs w:val="22"/>
        </w:rPr>
      </w:pPr>
      <w:proofErr w:type="spellStart"/>
      <w:r w:rsidRPr="00940120">
        <w:rPr>
          <w:szCs w:val="22"/>
        </w:rPr>
        <w:t>Ab</w:t>
      </w:r>
      <w:r w:rsidR="005A007D" w:rsidRPr="00940120">
        <w:rPr>
          <w:szCs w:val="22"/>
        </w:rPr>
        <w:t>do</w:t>
      </w:r>
      <w:proofErr w:type="spellEnd"/>
      <w:r w:rsidR="005A007D" w:rsidRPr="00940120">
        <w:rPr>
          <w:szCs w:val="22"/>
        </w:rPr>
        <w:t>, H.</w:t>
      </w:r>
      <w:r w:rsidR="00B62C73">
        <w:rPr>
          <w:szCs w:val="22"/>
        </w:rPr>
        <w:t xml:space="preserve"> </w:t>
      </w:r>
      <w:r w:rsidR="005A007D" w:rsidRPr="00940120">
        <w:rPr>
          <w:szCs w:val="22"/>
        </w:rPr>
        <w:t>2016, ‘Accounting for extractive i</w:t>
      </w:r>
      <w:r w:rsidRPr="00940120">
        <w:rPr>
          <w:szCs w:val="22"/>
        </w:rPr>
        <w:t>ndus</w:t>
      </w:r>
      <w:r w:rsidR="005A007D" w:rsidRPr="00940120">
        <w:rPr>
          <w:szCs w:val="22"/>
        </w:rPr>
        <w:t>tries: Has IFRS 6 harmonised accounting practices by extractive i</w:t>
      </w:r>
      <w:r w:rsidRPr="00366155">
        <w:rPr>
          <w:szCs w:val="22"/>
        </w:rPr>
        <w:t>ndustries?</w:t>
      </w:r>
      <w:proofErr w:type="gramStart"/>
      <w:r w:rsidRPr="00366155">
        <w:rPr>
          <w:szCs w:val="22"/>
        </w:rPr>
        <w:t>’,</w:t>
      </w:r>
      <w:proofErr w:type="gramEnd"/>
      <w:r w:rsidRPr="00366155">
        <w:rPr>
          <w:szCs w:val="22"/>
        </w:rPr>
        <w:t xml:space="preserve"> </w:t>
      </w:r>
      <w:r w:rsidRPr="00635636">
        <w:rPr>
          <w:i/>
          <w:szCs w:val="22"/>
        </w:rPr>
        <w:t>Australian Accounting Review</w:t>
      </w:r>
      <w:r w:rsidRPr="00366155">
        <w:rPr>
          <w:szCs w:val="22"/>
        </w:rPr>
        <w:t>, 26(4)</w:t>
      </w:r>
      <w:r w:rsidR="007B2DA6">
        <w:rPr>
          <w:szCs w:val="22"/>
        </w:rPr>
        <w:t>:</w:t>
      </w:r>
      <w:r w:rsidRPr="00366155">
        <w:rPr>
          <w:szCs w:val="22"/>
        </w:rPr>
        <w:t xml:space="preserve"> 346</w:t>
      </w:r>
      <w:r w:rsidR="002B7F8E">
        <w:rPr>
          <w:szCs w:val="22"/>
        </w:rPr>
        <w:t>-</w:t>
      </w:r>
      <w:r w:rsidRPr="00366155">
        <w:rPr>
          <w:szCs w:val="22"/>
        </w:rPr>
        <w:t>359.</w:t>
      </w:r>
    </w:p>
    <w:p w14:paraId="029DB43E" w14:textId="17311B84" w:rsidR="00FA7920" w:rsidRDefault="00FA7920" w:rsidP="00FC703C">
      <w:pPr>
        <w:pStyle w:val="References"/>
        <w:rPr>
          <w:szCs w:val="22"/>
        </w:rPr>
      </w:pPr>
      <w:r w:rsidRPr="00366155">
        <w:rPr>
          <w:szCs w:val="22"/>
        </w:rPr>
        <w:t>Amir, E. and Lev, B.</w:t>
      </w:r>
      <w:r w:rsidR="00B62C73">
        <w:rPr>
          <w:szCs w:val="22"/>
        </w:rPr>
        <w:t xml:space="preserve"> </w:t>
      </w:r>
      <w:r w:rsidRPr="00366155">
        <w:rPr>
          <w:szCs w:val="22"/>
        </w:rPr>
        <w:t>1996, ‘Value</w:t>
      </w:r>
      <w:r w:rsidR="00355599">
        <w:rPr>
          <w:szCs w:val="22"/>
        </w:rPr>
        <w:t>-</w:t>
      </w:r>
      <w:r w:rsidRPr="00366155">
        <w:rPr>
          <w:szCs w:val="22"/>
        </w:rPr>
        <w:t>relevance of nonfinancial information</w:t>
      </w:r>
      <w:r w:rsidR="00984526">
        <w:rPr>
          <w:szCs w:val="22"/>
        </w:rPr>
        <w:t>:</w:t>
      </w:r>
      <w:r w:rsidRPr="00366155">
        <w:rPr>
          <w:szCs w:val="22"/>
        </w:rPr>
        <w:t xml:space="preserve"> the wireless communications industry’, </w:t>
      </w:r>
      <w:r w:rsidRPr="00635636">
        <w:rPr>
          <w:i/>
          <w:szCs w:val="22"/>
        </w:rPr>
        <w:t>Journal of Accounting and Economics</w:t>
      </w:r>
      <w:r w:rsidRPr="00366155">
        <w:rPr>
          <w:szCs w:val="22"/>
        </w:rPr>
        <w:t>, 22</w:t>
      </w:r>
      <w:r w:rsidR="00355599">
        <w:rPr>
          <w:szCs w:val="22"/>
        </w:rPr>
        <w:t>(1-3)</w:t>
      </w:r>
      <w:r w:rsidR="00824FF0">
        <w:rPr>
          <w:szCs w:val="22"/>
        </w:rPr>
        <w:t>:</w:t>
      </w:r>
      <w:r w:rsidRPr="00366155">
        <w:rPr>
          <w:szCs w:val="22"/>
        </w:rPr>
        <w:t xml:space="preserve"> 3-30.</w:t>
      </w:r>
    </w:p>
    <w:p w14:paraId="78333549" w14:textId="42248824" w:rsidR="009F19E5" w:rsidRDefault="009F19E5" w:rsidP="00FC703C">
      <w:pPr>
        <w:pStyle w:val="References"/>
        <w:rPr>
          <w:szCs w:val="22"/>
        </w:rPr>
      </w:pPr>
      <w:r>
        <w:rPr>
          <w:szCs w:val="22"/>
        </w:rPr>
        <w:t xml:space="preserve">Amir, E., Lev, B. and </w:t>
      </w:r>
      <w:proofErr w:type="spellStart"/>
      <w:r>
        <w:rPr>
          <w:szCs w:val="22"/>
        </w:rPr>
        <w:t>Sougiannis</w:t>
      </w:r>
      <w:proofErr w:type="spellEnd"/>
      <w:r>
        <w:rPr>
          <w:szCs w:val="22"/>
        </w:rPr>
        <w:t>, T.</w:t>
      </w:r>
      <w:r w:rsidR="00B62C73">
        <w:rPr>
          <w:szCs w:val="22"/>
        </w:rPr>
        <w:t xml:space="preserve"> </w:t>
      </w:r>
      <w:r>
        <w:rPr>
          <w:szCs w:val="22"/>
        </w:rPr>
        <w:t>2003</w:t>
      </w:r>
      <w:r w:rsidRPr="00366155">
        <w:rPr>
          <w:szCs w:val="22"/>
        </w:rPr>
        <w:t>,</w:t>
      </w:r>
      <w:r>
        <w:rPr>
          <w:szCs w:val="22"/>
        </w:rPr>
        <w:t xml:space="preserve"> ‘Do financial analysts get intangibles?</w:t>
      </w:r>
      <w:proofErr w:type="gramStart"/>
      <w:r>
        <w:rPr>
          <w:szCs w:val="22"/>
        </w:rPr>
        <w:t>’,</w:t>
      </w:r>
      <w:proofErr w:type="gramEnd"/>
      <w:r>
        <w:rPr>
          <w:szCs w:val="22"/>
        </w:rPr>
        <w:t xml:space="preserve"> </w:t>
      </w:r>
      <w:r w:rsidRPr="00635636">
        <w:rPr>
          <w:i/>
          <w:iCs/>
          <w:szCs w:val="22"/>
        </w:rPr>
        <w:t>European Accounting Review</w:t>
      </w:r>
      <w:r>
        <w:rPr>
          <w:szCs w:val="22"/>
        </w:rPr>
        <w:t>, 12(4)</w:t>
      </w:r>
      <w:r w:rsidR="00824FF0">
        <w:rPr>
          <w:szCs w:val="22"/>
        </w:rPr>
        <w:t>:</w:t>
      </w:r>
      <w:r>
        <w:rPr>
          <w:szCs w:val="22"/>
        </w:rPr>
        <w:t xml:space="preserve"> 635-659.</w:t>
      </w:r>
    </w:p>
    <w:p w14:paraId="040A5E6C" w14:textId="2696F949" w:rsidR="00901E2A" w:rsidRDefault="00901E2A" w:rsidP="00FC703C">
      <w:pPr>
        <w:pStyle w:val="References"/>
        <w:rPr>
          <w:szCs w:val="22"/>
        </w:rPr>
      </w:pPr>
      <w:r>
        <w:rPr>
          <w:szCs w:val="22"/>
        </w:rPr>
        <w:t xml:space="preserve">Ball, R. </w:t>
      </w:r>
      <w:r w:rsidR="00662BE7">
        <w:rPr>
          <w:szCs w:val="22"/>
        </w:rPr>
        <w:t xml:space="preserve">2016. ‘IFRS – 10 years later’, </w:t>
      </w:r>
      <w:r w:rsidR="00662BE7" w:rsidRPr="00635636">
        <w:rPr>
          <w:i/>
        </w:rPr>
        <w:t>Accounting and Business Research</w:t>
      </w:r>
      <w:r w:rsidR="00662BE7">
        <w:t>, 46</w:t>
      </w:r>
      <w:r w:rsidR="00662BE7" w:rsidRPr="00635636">
        <w:t>(</w:t>
      </w:r>
      <w:r w:rsidR="00662BE7">
        <w:t>5</w:t>
      </w:r>
      <w:r w:rsidR="00662BE7" w:rsidRPr="00635636">
        <w:t>):</w:t>
      </w:r>
      <w:r w:rsidR="00662BE7">
        <w:t xml:space="preserve"> 545-571</w:t>
      </w:r>
      <w:r w:rsidR="00662BE7" w:rsidRPr="00635636">
        <w:t>.</w:t>
      </w:r>
    </w:p>
    <w:p w14:paraId="73DF12EE" w14:textId="1CD4F767" w:rsidR="000B7D19" w:rsidRDefault="000B7D19" w:rsidP="00FC703C">
      <w:pPr>
        <w:pStyle w:val="References"/>
        <w:rPr>
          <w:szCs w:val="22"/>
        </w:rPr>
      </w:pPr>
      <w:proofErr w:type="spellStart"/>
      <w:r>
        <w:rPr>
          <w:szCs w:val="22"/>
        </w:rPr>
        <w:t>Basu</w:t>
      </w:r>
      <w:proofErr w:type="spellEnd"/>
      <w:r>
        <w:rPr>
          <w:szCs w:val="22"/>
        </w:rPr>
        <w:t>, S. 1997</w:t>
      </w:r>
      <w:r w:rsidR="00824FF0">
        <w:rPr>
          <w:szCs w:val="22"/>
        </w:rPr>
        <w:t>,</w:t>
      </w:r>
      <w:r>
        <w:rPr>
          <w:szCs w:val="22"/>
        </w:rPr>
        <w:t xml:space="preserve"> </w:t>
      </w:r>
      <w:r w:rsidR="00824FF0">
        <w:rPr>
          <w:szCs w:val="22"/>
        </w:rPr>
        <w:t>‘</w:t>
      </w:r>
      <w:r>
        <w:rPr>
          <w:szCs w:val="22"/>
        </w:rPr>
        <w:t>The conservatism principle and the asymmetric timeliness of earnings</w:t>
      </w:r>
      <w:r w:rsidR="00F103C4">
        <w:rPr>
          <w:szCs w:val="22"/>
        </w:rPr>
        <w:t>’</w:t>
      </w:r>
      <w:r>
        <w:rPr>
          <w:szCs w:val="22"/>
        </w:rPr>
        <w:t xml:space="preserve">, </w:t>
      </w:r>
      <w:r w:rsidRPr="00635636">
        <w:rPr>
          <w:i/>
          <w:szCs w:val="22"/>
        </w:rPr>
        <w:t>Journal of Accounting and Economics</w:t>
      </w:r>
      <w:r>
        <w:rPr>
          <w:szCs w:val="22"/>
        </w:rPr>
        <w:t xml:space="preserve">, </w:t>
      </w:r>
      <w:r w:rsidR="00824FF0">
        <w:rPr>
          <w:szCs w:val="22"/>
        </w:rPr>
        <w:t>24(1):</w:t>
      </w:r>
      <w:r>
        <w:rPr>
          <w:szCs w:val="22"/>
        </w:rPr>
        <w:t xml:space="preserve"> 3-37.</w:t>
      </w:r>
    </w:p>
    <w:p w14:paraId="097B672B" w14:textId="3F368736" w:rsidR="000B7D19" w:rsidRDefault="007B2DA6" w:rsidP="00CB1CA4">
      <w:pPr>
        <w:pStyle w:val="References"/>
      </w:pPr>
      <w:proofErr w:type="spellStart"/>
      <w:r w:rsidRPr="00635636">
        <w:t>Basu</w:t>
      </w:r>
      <w:proofErr w:type="spellEnd"/>
      <w:r w:rsidRPr="00635636">
        <w:t xml:space="preserve">, S. and </w:t>
      </w:r>
      <w:proofErr w:type="spellStart"/>
      <w:r w:rsidRPr="00635636">
        <w:t>Waymire</w:t>
      </w:r>
      <w:proofErr w:type="spellEnd"/>
      <w:r w:rsidRPr="00635636">
        <w:t>, G. 2008,</w:t>
      </w:r>
      <w:r w:rsidR="000B7D19" w:rsidRPr="00635636">
        <w:t xml:space="preserve"> ‘Has the importance of intangibles really grown? And if so, why?</w:t>
      </w:r>
      <w:proofErr w:type="gramStart"/>
      <w:r w:rsidR="000B7D19" w:rsidRPr="00635636">
        <w:t>’,</w:t>
      </w:r>
      <w:proofErr w:type="gramEnd"/>
      <w:r w:rsidR="000B7D19" w:rsidRPr="00635636">
        <w:t xml:space="preserve"> </w:t>
      </w:r>
      <w:r w:rsidR="000B7D19" w:rsidRPr="00635636">
        <w:rPr>
          <w:i/>
        </w:rPr>
        <w:t>Accounting and Business Research</w:t>
      </w:r>
      <w:r w:rsidRPr="00635636">
        <w:t>, 38(</w:t>
      </w:r>
      <w:r w:rsidR="000B7D19" w:rsidRPr="00635636">
        <w:t>3</w:t>
      </w:r>
      <w:r w:rsidRPr="00635636">
        <w:t>):</w:t>
      </w:r>
      <w:r w:rsidR="000B7D19" w:rsidRPr="00635636">
        <w:t xml:space="preserve"> 171-190.</w:t>
      </w:r>
    </w:p>
    <w:p w14:paraId="1A74A595" w14:textId="6F97C627" w:rsidR="008E675D" w:rsidRPr="00366155" w:rsidRDefault="008E675D" w:rsidP="00FC703C">
      <w:pPr>
        <w:pStyle w:val="References"/>
      </w:pPr>
      <w:r w:rsidRPr="00366155">
        <w:rPr>
          <w:szCs w:val="22"/>
        </w:rPr>
        <w:t>BDO</w:t>
      </w:r>
      <w:r w:rsidR="00B62C73">
        <w:rPr>
          <w:szCs w:val="22"/>
        </w:rPr>
        <w:t xml:space="preserve"> </w:t>
      </w:r>
      <w:r w:rsidRPr="00366155">
        <w:rPr>
          <w:szCs w:val="22"/>
        </w:rPr>
        <w:t>2013</w:t>
      </w:r>
      <w:r w:rsidR="00202836">
        <w:rPr>
          <w:szCs w:val="22"/>
        </w:rPr>
        <w:t>,</w:t>
      </w:r>
      <w:r w:rsidRPr="00366155">
        <w:rPr>
          <w:szCs w:val="22"/>
        </w:rPr>
        <w:t xml:space="preserve"> </w:t>
      </w:r>
      <w:r w:rsidRPr="00635636">
        <w:rPr>
          <w:i/>
          <w:szCs w:val="22"/>
        </w:rPr>
        <w:t>IFRS in Practice: An Overview of IFRS 6</w:t>
      </w:r>
      <w:r w:rsidRPr="00635636">
        <w:rPr>
          <w:i/>
          <w:iCs/>
          <w:szCs w:val="22"/>
          <w:lang w:val="en-US"/>
        </w:rPr>
        <w:t xml:space="preserve"> Exploration for and Evaluation of Mineral Resources</w:t>
      </w:r>
      <w:r w:rsidRPr="00366155">
        <w:rPr>
          <w:szCs w:val="22"/>
        </w:rPr>
        <w:t>, BDO, London.</w:t>
      </w:r>
    </w:p>
    <w:p w14:paraId="546DA7DC" w14:textId="51F96481" w:rsidR="002D0083" w:rsidRPr="002D0083" w:rsidRDefault="002D0083" w:rsidP="002D0083">
      <w:pPr>
        <w:pStyle w:val="References"/>
        <w:rPr>
          <w:rFonts w:cstheme="minorHAnsi"/>
          <w:lang w:val="en-US"/>
        </w:rPr>
      </w:pPr>
      <w:r>
        <w:rPr>
          <w:szCs w:val="22"/>
        </w:rPr>
        <w:t>Brady, G.</w:t>
      </w:r>
      <w:r w:rsidR="00662BE7">
        <w:rPr>
          <w:szCs w:val="22"/>
        </w:rPr>
        <w:t xml:space="preserve">, </w:t>
      </w:r>
      <w:proofErr w:type="spellStart"/>
      <w:r w:rsidR="00662BE7">
        <w:rPr>
          <w:szCs w:val="22"/>
        </w:rPr>
        <w:t>Davel</w:t>
      </w:r>
      <w:proofErr w:type="spellEnd"/>
      <w:r w:rsidR="00662BE7">
        <w:rPr>
          <w:szCs w:val="22"/>
        </w:rPr>
        <w:t xml:space="preserve">, R., </w:t>
      </w:r>
      <w:proofErr w:type="spellStart"/>
      <w:r w:rsidR="00662BE7">
        <w:rPr>
          <w:szCs w:val="22"/>
        </w:rPr>
        <w:t>Ludolph</w:t>
      </w:r>
      <w:proofErr w:type="spellEnd"/>
      <w:r w:rsidR="00662BE7">
        <w:rPr>
          <w:szCs w:val="22"/>
        </w:rPr>
        <w:t>, S.,</w:t>
      </w:r>
      <w:r w:rsidR="00732770">
        <w:rPr>
          <w:szCs w:val="22"/>
        </w:rPr>
        <w:t xml:space="preserve"> </w:t>
      </w:r>
      <w:proofErr w:type="spellStart"/>
      <w:r w:rsidR="00732770">
        <w:rPr>
          <w:szCs w:val="22"/>
        </w:rPr>
        <w:t>Lundgaard</w:t>
      </w:r>
      <w:proofErr w:type="spellEnd"/>
      <w:r w:rsidR="00732770">
        <w:rPr>
          <w:szCs w:val="22"/>
        </w:rPr>
        <w:t>, A.,</w:t>
      </w:r>
      <w:r w:rsidR="00662BE7">
        <w:rPr>
          <w:szCs w:val="22"/>
        </w:rPr>
        <w:t xml:space="preserve"> Spencer, J. and Walsh, M.</w:t>
      </w:r>
      <w:r>
        <w:rPr>
          <w:szCs w:val="22"/>
        </w:rPr>
        <w:t xml:space="preserve"> 2010,</w:t>
      </w:r>
      <w:r w:rsidRPr="002D0083">
        <w:rPr>
          <w:rFonts w:eastAsia="Calibri" w:cstheme="minorHAnsi"/>
          <w:i/>
          <w:szCs w:val="22"/>
        </w:rPr>
        <w:t xml:space="preserve"> </w:t>
      </w:r>
      <w:r w:rsidR="00732770" w:rsidRPr="00366155">
        <w:rPr>
          <w:rFonts w:eastAsia="Calibri" w:cstheme="minorHAnsi"/>
          <w:i/>
          <w:szCs w:val="22"/>
        </w:rPr>
        <w:t>Discussion Paper DP/2010/1</w:t>
      </w:r>
      <w:r w:rsidR="00732770">
        <w:rPr>
          <w:rFonts w:eastAsia="Calibri" w:cstheme="minorHAnsi"/>
          <w:i/>
          <w:szCs w:val="22"/>
        </w:rPr>
        <w:t xml:space="preserve">: </w:t>
      </w:r>
      <w:r w:rsidR="00662BE7">
        <w:rPr>
          <w:rFonts w:eastAsia="Calibri" w:cstheme="minorHAnsi"/>
          <w:i/>
          <w:szCs w:val="22"/>
        </w:rPr>
        <w:t>Extractive Activit</w:t>
      </w:r>
      <w:r w:rsidRPr="00366155">
        <w:rPr>
          <w:rFonts w:eastAsia="Calibri" w:cstheme="minorHAnsi"/>
          <w:i/>
          <w:szCs w:val="22"/>
        </w:rPr>
        <w:t>ies</w:t>
      </w:r>
      <w:r w:rsidRPr="00366155">
        <w:rPr>
          <w:rFonts w:eastAsia="Calibri" w:cstheme="minorHAnsi"/>
          <w:szCs w:val="22"/>
        </w:rPr>
        <w:t xml:space="preserve">, International Accounting Standards Board, </w:t>
      </w:r>
      <w:proofErr w:type="gramStart"/>
      <w:r w:rsidRPr="00366155">
        <w:rPr>
          <w:rFonts w:eastAsia="Calibri" w:cstheme="minorHAnsi"/>
          <w:szCs w:val="22"/>
        </w:rPr>
        <w:t>London</w:t>
      </w:r>
      <w:proofErr w:type="gramEnd"/>
      <w:r w:rsidRPr="00366155">
        <w:rPr>
          <w:rFonts w:eastAsia="Calibri" w:cstheme="minorHAnsi"/>
          <w:szCs w:val="22"/>
        </w:rPr>
        <w:t>.</w:t>
      </w:r>
    </w:p>
    <w:p w14:paraId="2A9AF464" w14:textId="7D461B9B" w:rsidR="00D53F39" w:rsidRPr="00366155" w:rsidRDefault="00D53F39" w:rsidP="00FC703C">
      <w:pPr>
        <w:pStyle w:val="References"/>
      </w:pPr>
      <w:proofErr w:type="spellStart"/>
      <w:r w:rsidRPr="00366155">
        <w:rPr>
          <w:szCs w:val="22"/>
        </w:rPr>
        <w:t>Cortese</w:t>
      </w:r>
      <w:proofErr w:type="spellEnd"/>
      <w:r w:rsidRPr="00366155">
        <w:rPr>
          <w:szCs w:val="22"/>
        </w:rPr>
        <w:t>, C.</w:t>
      </w:r>
      <w:r w:rsidR="00B22144">
        <w:rPr>
          <w:szCs w:val="22"/>
        </w:rPr>
        <w:t>L.</w:t>
      </w:r>
      <w:r w:rsidR="005A007D" w:rsidRPr="00366155">
        <w:rPr>
          <w:szCs w:val="22"/>
        </w:rPr>
        <w:t>, Irvine, H.</w:t>
      </w:r>
      <w:r w:rsidR="00B22144">
        <w:rPr>
          <w:szCs w:val="22"/>
        </w:rPr>
        <w:t>J.</w:t>
      </w:r>
      <w:r w:rsidR="005A007D" w:rsidRPr="00366155">
        <w:rPr>
          <w:szCs w:val="22"/>
        </w:rPr>
        <w:t xml:space="preserve"> and </w:t>
      </w:r>
      <w:proofErr w:type="spellStart"/>
      <w:r w:rsidR="005A007D" w:rsidRPr="00366155">
        <w:rPr>
          <w:szCs w:val="22"/>
        </w:rPr>
        <w:t>Kaidonis</w:t>
      </w:r>
      <w:proofErr w:type="spellEnd"/>
      <w:r w:rsidR="005A007D" w:rsidRPr="00366155">
        <w:rPr>
          <w:szCs w:val="22"/>
        </w:rPr>
        <w:t>, M.</w:t>
      </w:r>
      <w:r w:rsidR="00B22144">
        <w:rPr>
          <w:szCs w:val="22"/>
        </w:rPr>
        <w:t>A.</w:t>
      </w:r>
      <w:r w:rsidR="00B62C73">
        <w:rPr>
          <w:szCs w:val="22"/>
        </w:rPr>
        <w:t xml:space="preserve"> </w:t>
      </w:r>
      <w:r w:rsidRPr="00366155">
        <w:rPr>
          <w:szCs w:val="22"/>
        </w:rPr>
        <w:t xml:space="preserve">2010, </w:t>
      </w:r>
      <w:r w:rsidR="005A007D" w:rsidRPr="00366155">
        <w:rPr>
          <w:szCs w:val="22"/>
        </w:rPr>
        <w:t xml:space="preserve">‘Powerful players: how constituents captured the setting of IFRS 6, an </w:t>
      </w:r>
      <w:r w:rsidR="00B22144">
        <w:rPr>
          <w:szCs w:val="22"/>
        </w:rPr>
        <w:t>accounting</w:t>
      </w:r>
      <w:r w:rsidR="005A007D" w:rsidRPr="00366155">
        <w:rPr>
          <w:szCs w:val="22"/>
        </w:rPr>
        <w:t xml:space="preserve"> standard for the extractive industries’, </w:t>
      </w:r>
      <w:r w:rsidR="005A007D" w:rsidRPr="00635636">
        <w:rPr>
          <w:i/>
          <w:szCs w:val="22"/>
        </w:rPr>
        <w:t>Accounting Forum</w:t>
      </w:r>
      <w:r w:rsidR="005A007D" w:rsidRPr="00366155">
        <w:rPr>
          <w:szCs w:val="22"/>
        </w:rPr>
        <w:t>, 34</w:t>
      </w:r>
      <w:r w:rsidR="00B22144">
        <w:rPr>
          <w:szCs w:val="22"/>
        </w:rPr>
        <w:t>(2)</w:t>
      </w:r>
      <w:r w:rsidR="007B2DA6">
        <w:rPr>
          <w:szCs w:val="22"/>
        </w:rPr>
        <w:t>:</w:t>
      </w:r>
      <w:r w:rsidR="005A007D" w:rsidRPr="00366155">
        <w:rPr>
          <w:szCs w:val="22"/>
        </w:rPr>
        <w:t xml:space="preserve"> 76-88.</w:t>
      </w:r>
    </w:p>
    <w:p w14:paraId="7C63BB56" w14:textId="159370DB" w:rsidR="00D066C9" w:rsidRPr="00366155" w:rsidRDefault="00D066C9" w:rsidP="00FC703C">
      <w:pPr>
        <w:pStyle w:val="References"/>
      </w:pPr>
      <w:proofErr w:type="spellStart"/>
      <w:r w:rsidRPr="00366155">
        <w:rPr>
          <w:szCs w:val="22"/>
        </w:rPr>
        <w:t>Cortese</w:t>
      </w:r>
      <w:proofErr w:type="spellEnd"/>
      <w:r w:rsidRPr="00366155">
        <w:rPr>
          <w:szCs w:val="22"/>
        </w:rPr>
        <w:t>, C.</w:t>
      </w:r>
      <w:r w:rsidR="00CC0A70">
        <w:rPr>
          <w:szCs w:val="22"/>
        </w:rPr>
        <w:t>L.</w:t>
      </w:r>
      <w:r w:rsidR="00B62C73">
        <w:rPr>
          <w:szCs w:val="22"/>
        </w:rPr>
        <w:t xml:space="preserve"> </w:t>
      </w:r>
      <w:r w:rsidRPr="00366155">
        <w:rPr>
          <w:szCs w:val="22"/>
        </w:rPr>
        <w:t>2011</w:t>
      </w:r>
      <w:r w:rsidR="00202836">
        <w:rPr>
          <w:szCs w:val="22"/>
        </w:rPr>
        <w:t>,</w:t>
      </w:r>
      <w:r w:rsidRPr="00366155">
        <w:rPr>
          <w:szCs w:val="22"/>
        </w:rPr>
        <w:t xml:space="preserve"> ‘Standardizing oil and gas accounting in the US in the 1970s: insights from the perspective of regulatory capture’, </w:t>
      </w:r>
      <w:r w:rsidRPr="00635636">
        <w:rPr>
          <w:i/>
          <w:szCs w:val="22"/>
        </w:rPr>
        <w:t>Accounting History</w:t>
      </w:r>
      <w:r w:rsidRPr="00366155">
        <w:rPr>
          <w:szCs w:val="22"/>
        </w:rPr>
        <w:t>, 16(4)</w:t>
      </w:r>
      <w:r w:rsidR="007B2DA6">
        <w:rPr>
          <w:szCs w:val="22"/>
        </w:rPr>
        <w:t>:</w:t>
      </w:r>
      <w:r w:rsidRPr="00366155">
        <w:rPr>
          <w:szCs w:val="22"/>
        </w:rPr>
        <w:t xml:space="preserve"> 403-421.</w:t>
      </w:r>
    </w:p>
    <w:p w14:paraId="63EF924B" w14:textId="1FE150F3" w:rsidR="00E75D2A" w:rsidRDefault="00B62C73" w:rsidP="00E75D2A">
      <w:pPr>
        <w:pStyle w:val="References"/>
        <w:rPr>
          <w:szCs w:val="22"/>
        </w:rPr>
      </w:pPr>
      <w:proofErr w:type="spellStart"/>
      <w:r>
        <w:rPr>
          <w:szCs w:val="22"/>
        </w:rPr>
        <w:t>Deakin</w:t>
      </w:r>
      <w:proofErr w:type="spellEnd"/>
      <w:r>
        <w:rPr>
          <w:szCs w:val="22"/>
        </w:rPr>
        <w:t>, E.B. 1989</w:t>
      </w:r>
      <w:r w:rsidR="00E75D2A">
        <w:rPr>
          <w:szCs w:val="22"/>
        </w:rPr>
        <w:t xml:space="preserve">, ‘Rational economic </w:t>
      </w:r>
      <w:proofErr w:type="spellStart"/>
      <w:r w:rsidR="00E75D2A">
        <w:rPr>
          <w:szCs w:val="22"/>
        </w:rPr>
        <w:t>behavior</w:t>
      </w:r>
      <w:proofErr w:type="spellEnd"/>
      <w:r w:rsidR="00E75D2A">
        <w:rPr>
          <w:szCs w:val="22"/>
        </w:rPr>
        <w:t xml:space="preserve"> and lobbying on accounting issues: evidence from the oil and gas industry’, </w:t>
      </w:r>
      <w:r w:rsidR="00C82C3D" w:rsidRPr="00635636">
        <w:rPr>
          <w:i/>
          <w:szCs w:val="22"/>
        </w:rPr>
        <w:t xml:space="preserve">The </w:t>
      </w:r>
      <w:r w:rsidR="00E75D2A" w:rsidRPr="00635636">
        <w:rPr>
          <w:i/>
          <w:szCs w:val="22"/>
        </w:rPr>
        <w:t>Accounting Review</w:t>
      </w:r>
      <w:r w:rsidR="00E75D2A">
        <w:rPr>
          <w:szCs w:val="22"/>
        </w:rPr>
        <w:t>, 6</w:t>
      </w:r>
      <w:r w:rsidR="00C82C3D">
        <w:rPr>
          <w:szCs w:val="22"/>
        </w:rPr>
        <w:t>4</w:t>
      </w:r>
      <w:r w:rsidR="00E75D2A">
        <w:rPr>
          <w:szCs w:val="22"/>
        </w:rPr>
        <w:t>(1)</w:t>
      </w:r>
      <w:r w:rsidR="007B2DA6">
        <w:rPr>
          <w:szCs w:val="22"/>
        </w:rPr>
        <w:t>:</w:t>
      </w:r>
      <w:r w:rsidR="00E75D2A">
        <w:rPr>
          <w:szCs w:val="22"/>
        </w:rPr>
        <w:t xml:space="preserve"> 137-151.</w:t>
      </w:r>
    </w:p>
    <w:p w14:paraId="4AED30D4" w14:textId="544D2531" w:rsidR="00031E0E" w:rsidRPr="00366155" w:rsidRDefault="008E675D" w:rsidP="00FC703C">
      <w:pPr>
        <w:pStyle w:val="References"/>
        <w:rPr>
          <w:lang w:val="en-US"/>
        </w:rPr>
      </w:pPr>
      <w:r w:rsidRPr="00366155">
        <w:rPr>
          <w:szCs w:val="22"/>
        </w:rPr>
        <w:t>FASB</w:t>
      </w:r>
      <w:r w:rsidR="00B62C73">
        <w:rPr>
          <w:szCs w:val="22"/>
        </w:rPr>
        <w:t xml:space="preserve"> </w:t>
      </w:r>
      <w:r w:rsidRPr="00366155">
        <w:rPr>
          <w:szCs w:val="22"/>
        </w:rPr>
        <w:t xml:space="preserve">1977, </w:t>
      </w:r>
      <w:r w:rsidRPr="00635636">
        <w:rPr>
          <w:i/>
          <w:szCs w:val="22"/>
        </w:rPr>
        <w:t>SFAS 19</w:t>
      </w:r>
      <w:r w:rsidR="003741BA">
        <w:rPr>
          <w:i/>
          <w:szCs w:val="22"/>
        </w:rPr>
        <w:t>:</w:t>
      </w:r>
      <w:r w:rsidRPr="00635636">
        <w:rPr>
          <w:i/>
          <w:szCs w:val="22"/>
        </w:rPr>
        <w:t xml:space="preserve"> Financial Accounting and Reporting by Oil and Gas Producing Companies,</w:t>
      </w:r>
      <w:r w:rsidRPr="00366155">
        <w:rPr>
          <w:szCs w:val="22"/>
        </w:rPr>
        <w:t xml:space="preserve"> Financial Accounting Standards Board, Norwalk, C</w:t>
      </w:r>
      <w:r w:rsidR="003741BA">
        <w:rPr>
          <w:szCs w:val="22"/>
        </w:rPr>
        <w:t>T</w:t>
      </w:r>
      <w:r w:rsidRPr="00366155">
        <w:rPr>
          <w:szCs w:val="22"/>
        </w:rPr>
        <w:t>.</w:t>
      </w:r>
      <w:r w:rsidRPr="00366155">
        <w:rPr>
          <w:szCs w:val="22"/>
          <w:lang w:val="en-US"/>
        </w:rPr>
        <w:tab/>
      </w:r>
    </w:p>
    <w:p w14:paraId="7BB41DAD" w14:textId="38A5CA42" w:rsidR="00F90B0E" w:rsidRDefault="00F90B0E" w:rsidP="00FC703C">
      <w:pPr>
        <w:pStyle w:val="References"/>
        <w:rPr>
          <w:rFonts w:cstheme="minorHAnsi"/>
          <w:szCs w:val="22"/>
        </w:rPr>
      </w:pPr>
      <w:r w:rsidRPr="00366155">
        <w:rPr>
          <w:rFonts w:cstheme="minorHAnsi"/>
          <w:szCs w:val="22"/>
        </w:rPr>
        <w:t>G</w:t>
      </w:r>
      <w:r>
        <w:rPr>
          <w:rFonts w:cstheme="minorHAnsi"/>
          <w:szCs w:val="22"/>
        </w:rPr>
        <w:t>elb</w:t>
      </w:r>
      <w:r w:rsidRPr="00366155">
        <w:rPr>
          <w:rFonts w:cstheme="minorHAnsi"/>
          <w:szCs w:val="22"/>
        </w:rPr>
        <w:t>, D.</w:t>
      </w:r>
      <w:r>
        <w:rPr>
          <w:rFonts w:cstheme="minorHAnsi"/>
          <w:szCs w:val="22"/>
        </w:rPr>
        <w:t>S</w:t>
      </w:r>
      <w:r w:rsidRPr="00366155">
        <w:rPr>
          <w:rFonts w:cstheme="minorHAnsi"/>
          <w:szCs w:val="22"/>
        </w:rPr>
        <w:t>.</w:t>
      </w:r>
      <w:r>
        <w:rPr>
          <w:rFonts w:cstheme="minorHAnsi"/>
          <w:szCs w:val="22"/>
        </w:rPr>
        <w:t xml:space="preserve"> 2002</w:t>
      </w:r>
      <w:r w:rsidRPr="00366155">
        <w:rPr>
          <w:rFonts w:cstheme="minorHAnsi"/>
          <w:szCs w:val="22"/>
        </w:rPr>
        <w:t>, ‘</w:t>
      </w:r>
      <w:r w:rsidRPr="00F90B0E">
        <w:rPr>
          <w:rFonts w:cstheme="minorHAnsi"/>
          <w:szCs w:val="22"/>
        </w:rPr>
        <w:t>Intangible Assets and Firms' Disclosures: An Empirical Investigation</w:t>
      </w:r>
      <w:r w:rsidRPr="00366155">
        <w:rPr>
          <w:rFonts w:cstheme="minorHAnsi"/>
          <w:szCs w:val="22"/>
        </w:rPr>
        <w:t xml:space="preserve">’, </w:t>
      </w:r>
      <w:r>
        <w:rPr>
          <w:rFonts w:eastAsia="Calibri" w:cstheme="minorHAnsi"/>
          <w:i/>
          <w:szCs w:val="22"/>
        </w:rPr>
        <w:t>Journal of Business Finance &amp; A</w:t>
      </w:r>
      <w:r w:rsidRPr="00635636">
        <w:rPr>
          <w:rFonts w:eastAsia="Calibri" w:cstheme="minorHAnsi"/>
          <w:i/>
          <w:szCs w:val="22"/>
        </w:rPr>
        <w:t>ccounting</w:t>
      </w:r>
      <w:r w:rsidRPr="00366155">
        <w:rPr>
          <w:rFonts w:cstheme="minorHAnsi"/>
          <w:szCs w:val="22"/>
        </w:rPr>
        <w:t xml:space="preserve">, </w:t>
      </w:r>
      <w:r>
        <w:rPr>
          <w:rFonts w:cstheme="minorHAnsi"/>
          <w:szCs w:val="22"/>
        </w:rPr>
        <w:t>29</w:t>
      </w:r>
      <w:r w:rsidRPr="00366155">
        <w:rPr>
          <w:rFonts w:cstheme="minorHAnsi"/>
          <w:szCs w:val="22"/>
        </w:rPr>
        <w:t>(</w:t>
      </w:r>
      <w:r>
        <w:rPr>
          <w:rFonts w:cstheme="minorHAnsi"/>
          <w:szCs w:val="22"/>
        </w:rPr>
        <w:t>3-4</w:t>
      </w:r>
      <w:r w:rsidRPr="00366155">
        <w:rPr>
          <w:rFonts w:cstheme="minorHAnsi"/>
          <w:szCs w:val="22"/>
        </w:rPr>
        <w:t>)</w:t>
      </w:r>
      <w:r>
        <w:rPr>
          <w:rFonts w:cstheme="minorHAnsi"/>
          <w:szCs w:val="22"/>
        </w:rPr>
        <w:t>:</w:t>
      </w:r>
      <w:r w:rsidRPr="00366155">
        <w:rPr>
          <w:rFonts w:cstheme="minorHAnsi"/>
          <w:szCs w:val="22"/>
        </w:rPr>
        <w:t xml:space="preserve"> </w:t>
      </w:r>
      <w:r>
        <w:rPr>
          <w:rFonts w:cstheme="minorHAnsi"/>
          <w:szCs w:val="22"/>
        </w:rPr>
        <w:t>457</w:t>
      </w:r>
      <w:r w:rsidRPr="00366155">
        <w:rPr>
          <w:rFonts w:cstheme="minorHAnsi"/>
          <w:szCs w:val="22"/>
        </w:rPr>
        <w:t>-</w:t>
      </w:r>
      <w:r>
        <w:rPr>
          <w:rFonts w:cstheme="minorHAnsi"/>
          <w:szCs w:val="22"/>
        </w:rPr>
        <w:t>476</w:t>
      </w:r>
      <w:r w:rsidRPr="00366155">
        <w:rPr>
          <w:rFonts w:cstheme="minorHAnsi"/>
          <w:szCs w:val="22"/>
        </w:rPr>
        <w:t>.</w:t>
      </w:r>
    </w:p>
    <w:p w14:paraId="6F1F0F15" w14:textId="57E4B301" w:rsidR="00076EC2" w:rsidRPr="00366155" w:rsidRDefault="00076EC2" w:rsidP="00FC703C">
      <w:pPr>
        <w:pStyle w:val="References"/>
        <w:rPr>
          <w:rFonts w:cstheme="minorHAnsi"/>
        </w:rPr>
      </w:pPr>
      <w:r w:rsidRPr="00366155">
        <w:rPr>
          <w:rFonts w:cstheme="minorHAnsi"/>
          <w:szCs w:val="22"/>
        </w:rPr>
        <w:t>Gorton, D.E.</w:t>
      </w:r>
      <w:r w:rsidR="00B62C73">
        <w:rPr>
          <w:rFonts w:cstheme="minorHAnsi"/>
          <w:szCs w:val="22"/>
        </w:rPr>
        <w:t xml:space="preserve"> </w:t>
      </w:r>
      <w:r w:rsidRPr="00366155">
        <w:rPr>
          <w:rFonts w:cstheme="minorHAnsi"/>
          <w:szCs w:val="22"/>
        </w:rPr>
        <w:t>1991, ‘The SEC decision not to support SFAS 19</w:t>
      </w:r>
      <w:r w:rsidR="00445E84">
        <w:rPr>
          <w:rFonts w:cstheme="minorHAnsi"/>
          <w:szCs w:val="22"/>
        </w:rPr>
        <w:t>:</w:t>
      </w:r>
      <w:r w:rsidRPr="00366155">
        <w:rPr>
          <w:rFonts w:cstheme="minorHAnsi"/>
          <w:szCs w:val="22"/>
        </w:rPr>
        <w:t xml:space="preserve"> a case study of the effect of lobbying on standard setting’, </w:t>
      </w:r>
      <w:r w:rsidRPr="00635636">
        <w:rPr>
          <w:rFonts w:eastAsia="Calibri" w:cstheme="minorHAnsi"/>
          <w:i/>
          <w:szCs w:val="22"/>
        </w:rPr>
        <w:t>Accounting Horizons</w:t>
      </w:r>
      <w:r w:rsidRPr="00366155">
        <w:rPr>
          <w:rFonts w:cstheme="minorHAnsi"/>
          <w:szCs w:val="22"/>
        </w:rPr>
        <w:t>, 5(1)</w:t>
      </w:r>
      <w:r w:rsidR="007B2DA6">
        <w:rPr>
          <w:rFonts w:cstheme="minorHAnsi"/>
          <w:szCs w:val="22"/>
        </w:rPr>
        <w:t>:</w:t>
      </w:r>
      <w:r w:rsidRPr="00366155">
        <w:rPr>
          <w:rFonts w:cstheme="minorHAnsi"/>
          <w:szCs w:val="22"/>
        </w:rPr>
        <w:t xml:space="preserve"> 29-41.</w:t>
      </w:r>
    </w:p>
    <w:p w14:paraId="4C4C9E3C" w14:textId="416DC2C4" w:rsidR="00A827F6" w:rsidRPr="002C25F9" w:rsidRDefault="00516EF5" w:rsidP="002C25F9">
      <w:pPr>
        <w:pStyle w:val="References"/>
        <w:rPr>
          <w:rFonts w:cstheme="minorHAnsi"/>
        </w:rPr>
      </w:pPr>
      <w:r>
        <w:rPr>
          <w:rFonts w:cstheme="minorHAnsi"/>
          <w:lang w:val="en-US"/>
        </w:rPr>
        <w:t>Gray</w:t>
      </w:r>
      <w:r w:rsidR="00694B31">
        <w:rPr>
          <w:rFonts w:cstheme="minorHAnsi"/>
          <w:lang w:val="en-US"/>
        </w:rPr>
        <w:t>,</w:t>
      </w:r>
      <w:r>
        <w:rPr>
          <w:rFonts w:cstheme="minorHAnsi"/>
          <w:lang w:val="en-US"/>
        </w:rPr>
        <w:t xml:space="preserve"> S.</w:t>
      </w:r>
      <w:r w:rsidR="00F679AA">
        <w:rPr>
          <w:rFonts w:cstheme="minorHAnsi"/>
          <w:lang w:val="en-US"/>
        </w:rPr>
        <w:t>J.</w:t>
      </w:r>
      <w:r>
        <w:rPr>
          <w:rFonts w:cstheme="minorHAnsi"/>
          <w:lang w:val="en-US"/>
        </w:rPr>
        <w:t xml:space="preserve">, Hellman, N. and </w:t>
      </w:r>
      <w:proofErr w:type="spellStart"/>
      <w:r>
        <w:rPr>
          <w:rFonts w:cstheme="minorHAnsi"/>
          <w:lang w:val="en-US"/>
        </w:rPr>
        <w:t>Ivanova</w:t>
      </w:r>
      <w:proofErr w:type="spellEnd"/>
      <w:r>
        <w:rPr>
          <w:rFonts w:cstheme="minorHAnsi"/>
          <w:lang w:val="en-US"/>
        </w:rPr>
        <w:t>, M.</w:t>
      </w:r>
      <w:r w:rsidR="00F679AA">
        <w:rPr>
          <w:rFonts w:cstheme="minorHAnsi"/>
          <w:lang w:val="en-US"/>
        </w:rPr>
        <w:t>N.</w:t>
      </w:r>
      <w:r w:rsidR="00B62C73">
        <w:rPr>
          <w:rFonts w:cstheme="minorHAnsi"/>
          <w:lang w:val="en-US"/>
        </w:rPr>
        <w:t xml:space="preserve"> </w:t>
      </w:r>
      <w:r>
        <w:rPr>
          <w:rFonts w:cstheme="minorHAnsi"/>
          <w:lang w:val="en-US"/>
        </w:rPr>
        <w:t>2019, ‘</w:t>
      </w:r>
      <w:r>
        <w:rPr>
          <w:rFonts w:cstheme="minorHAnsi"/>
        </w:rPr>
        <w:t xml:space="preserve">Extractive industries reporting: a review of accounting challenges and the research literature’, </w:t>
      </w:r>
      <w:r w:rsidRPr="00635636">
        <w:rPr>
          <w:rFonts w:cstheme="minorHAnsi"/>
          <w:i/>
        </w:rPr>
        <w:t>Abacus,</w:t>
      </w:r>
      <w:r>
        <w:rPr>
          <w:rFonts w:cstheme="minorHAnsi"/>
        </w:rPr>
        <w:t xml:space="preserve"> 55(1)</w:t>
      </w:r>
      <w:r w:rsidR="007B2DA6">
        <w:rPr>
          <w:rFonts w:cstheme="minorHAnsi"/>
        </w:rPr>
        <w:t>:</w:t>
      </w:r>
      <w:r>
        <w:rPr>
          <w:rFonts w:cstheme="minorHAnsi"/>
        </w:rPr>
        <w:t xml:space="preserve"> 42-91.</w:t>
      </w:r>
    </w:p>
    <w:p w14:paraId="325F3F5C" w14:textId="145F9AFE" w:rsidR="00A827F6" w:rsidRDefault="00A827F6" w:rsidP="00FC703C">
      <w:pPr>
        <w:pStyle w:val="References"/>
        <w:rPr>
          <w:rFonts w:cstheme="minorHAnsi"/>
          <w:szCs w:val="22"/>
        </w:rPr>
      </w:pPr>
      <w:r w:rsidRPr="00366155">
        <w:rPr>
          <w:rFonts w:cstheme="minorHAnsi"/>
          <w:szCs w:val="22"/>
          <w:lang w:val="en-US"/>
        </w:rPr>
        <w:t>IASB</w:t>
      </w:r>
      <w:r w:rsidR="00B62C73">
        <w:rPr>
          <w:rFonts w:cstheme="minorHAnsi"/>
          <w:szCs w:val="22"/>
          <w:lang w:val="en-US"/>
        </w:rPr>
        <w:t xml:space="preserve"> </w:t>
      </w:r>
      <w:r w:rsidRPr="00366155">
        <w:rPr>
          <w:rFonts w:cstheme="minorHAnsi"/>
          <w:szCs w:val="22"/>
          <w:lang w:val="en-US"/>
        </w:rPr>
        <w:t>2016</w:t>
      </w:r>
      <w:r w:rsidRPr="00635636">
        <w:rPr>
          <w:rFonts w:cstheme="minorHAnsi"/>
          <w:i/>
          <w:szCs w:val="22"/>
          <w:lang w:val="en-US"/>
        </w:rPr>
        <w:t>,</w:t>
      </w:r>
      <w:r w:rsidRPr="007B2DA6">
        <w:rPr>
          <w:rFonts w:eastAsia="Calibri" w:cstheme="minorHAnsi"/>
          <w:i/>
          <w:szCs w:val="22"/>
        </w:rPr>
        <w:t xml:space="preserve"> </w:t>
      </w:r>
      <w:r w:rsidRPr="00635636">
        <w:rPr>
          <w:rFonts w:eastAsia="Calibri" w:cstheme="minorHAnsi"/>
          <w:i/>
          <w:szCs w:val="22"/>
        </w:rPr>
        <w:t>Work Plan 2017-2021</w:t>
      </w:r>
      <w:r w:rsidRPr="00366155">
        <w:rPr>
          <w:rFonts w:eastAsia="Calibri" w:cstheme="minorHAnsi"/>
          <w:szCs w:val="22"/>
        </w:rPr>
        <w:t>, International Accounting Standards Board</w:t>
      </w:r>
      <w:r w:rsidR="00C303FF">
        <w:rPr>
          <w:rFonts w:eastAsia="Calibri" w:cstheme="minorHAnsi"/>
          <w:szCs w:val="22"/>
        </w:rPr>
        <w:t>, London</w:t>
      </w:r>
      <w:r w:rsidRPr="00366155">
        <w:rPr>
          <w:rFonts w:eastAsia="Calibri" w:cstheme="minorHAnsi"/>
          <w:szCs w:val="22"/>
        </w:rPr>
        <w:t>.</w:t>
      </w:r>
    </w:p>
    <w:p w14:paraId="71775105" w14:textId="1CF38714" w:rsidR="0015752E" w:rsidRDefault="0015752E" w:rsidP="00FC703C">
      <w:pPr>
        <w:pStyle w:val="References"/>
        <w:rPr>
          <w:rFonts w:eastAsia="Calibri" w:cstheme="minorHAnsi"/>
          <w:szCs w:val="22"/>
        </w:rPr>
      </w:pPr>
      <w:r>
        <w:rPr>
          <w:rFonts w:cstheme="minorHAnsi"/>
          <w:szCs w:val="22"/>
        </w:rPr>
        <w:t xml:space="preserve">IASB 2018, </w:t>
      </w:r>
      <w:r w:rsidRPr="0015752E">
        <w:rPr>
          <w:rFonts w:cstheme="minorHAnsi"/>
          <w:i/>
          <w:szCs w:val="22"/>
        </w:rPr>
        <w:t xml:space="preserve">Conceptual </w:t>
      </w:r>
      <w:r>
        <w:rPr>
          <w:rFonts w:cstheme="minorHAnsi"/>
          <w:i/>
          <w:szCs w:val="22"/>
        </w:rPr>
        <w:t>F</w:t>
      </w:r>
      <w:r w:rsidRPr="0015752E">
        <w:rPr>
          <w:rFonts w:cstheme="minorHAnsi"/>
          <w:i/>
          <w:szCs w:val="22"/>
        </w:rPr>
        <w:t xml:space="preserve">ramework for </w:t>
      </w:r>
      <w:r>
        <w:rPr>
          <w:rFonts w:cstheme="minorHAnsi"/>
          <w:i/>
          <w:szCs w:val="22"/>
        </w:rPr>
        <w:t>F</w:t>
      </w:r>
      <w:r w:rsidRPr="0015752E">
        <w:rPr>
          <w:rFonts w:cstheme="minorHAnsi"/>
          <w:i/>
          <w:szCs w:val="22"/>
        </w:rPr>
        <w:t xml:space="preserve">inancial </w:t>
      </w:r>
      <w:r>
        <w:rPr>
          <w:rFonts w:cstheme="minorHAnsi"/>
          <w:i/>
          <w:szCs w:val="22"/>
        </w:rPr>
        <w:t>R</w:t>
      </w:r>
      <w:r w:rsidRPr="0015752E">
        <w:rPr>
          <w:rFonts w:cstheme="minorHAnsi"/>
          <w:i/>
          <w:szCs w:val="22"/>
        </w:rPr>
        <w:t>eporting</w:t>
      </w:r>
      <w:r>
        <w:rPr>
          <w:rFonts w:cstheme="minorHAnsi"/>
          <w:szCs w:val="22"/>
        </w:rPr>
        <w:t xml:space="preserve">, </w:t>
      </w:r>
      <w:r w:rsidRPr="00366155">
        <w:rPr>
          <w:rFonts w:eastAsia="Calibri" w:cstheme="minorHAnsi"/>
          <w:szCs w:val="22"/>
        </w:rPr>
        <w:t>International Accounting Standards Board</w:t>
      </w:r>
      <w:r>
        <w:rPr>
          <w:rFonts w:eastAsia="Calibri" w:cstheme="minorHAnsi"/>
          <w:szCs w:val="22"/>
        </w:rPr>
        <w:t>, London.</w:t>
      </w:r>
    </w:p>
    <w:p w14:paraId="4C5886FF" w14:textId="7F541829" w:rsidR="005D2D9F" w:rsidRDefault="005D2D9F" w:rsidP="005D2D9F">
      <w:pPr>
        <w:pStyle w:val="References"/>
        <w:rPr>
          <w:rFonts w:eastAsia="Calibri" w:cstheme="minorHAnsi"/>
          <w:szCs w:val="22"/>
        </w:rPr>
      </w:pPr>
      <w:r>
        <w:rPr>
          <w:rFonts w:cstheme="minorHAnsi"/>
          <w:szCs w:val="22"/>
        </w:rPr>
        <w:t>IASB 2021</w:t>
      </w:r>
      <w:r w:rsidR="004F679E">
        <w:rPr>
          <w:rFonts w:cstheme="minorHAnsi"/>
          <w:szCs w:val="22"/>
        </w:rPr>
        <w:t>a</w:t>
      </w:r>
      <w:r>
        <w:rPr>
          <w:rFonts w:cstheme="minorHAnsi"/>
          <w:szCs w:val="22"/>
        </w:rPr>
        <w:t xml:space="preserve">, </w:t>
      </w:r>
      <w:r>
        <w:rPr>
          <w:rFonts w:cstheme="minorHAnsi"/>
          <w:i/>
          <w:szCs w:val="22"/>
        </w:rPr>
        <w:t>Staff Paper</w:t>
      </w:r>
      <w:r w:rsidR="0083429C">
        <w:rPr>
          <w:rFonts w:cstheme="minorHAnsi"/>
          <w:i/>
          <w:szCs w:val="22"/>
        </w:rPr>
        <w:t>, February Board</w:t>
      </w:r>
      <w:r>
        <w:rPr>
          <w:rFonts w:cstheme="minorHAnsi"/>
          <w:i/>
          <w:szCs w:val="22"/>
        </w:rPr>
        <w:t>, Agenda ref 19</w:t>
      </w:r>
      <w:r>
        <w:rPr>
          <w:rFonts w:cstheme="minorHAnsi"/>
          <w:szCs w:val="22"/>
        </w:rPr>
        <w:t xml:space="preserve">, </w:t>
      </w:r>
      <w:r w:rsidRPr="00366155">
        <w:rPr>
          <w:rFonts w:eastAsia="Calibri" w:cstheme="minorHAnsi"/>
          <w:szCs w:val="22"/>
        </w:rPr>
        <w:t>International Accounting Standards Board</w:t>
      </w:r>
      <w:r>
        <w:rPr>
          <w:rFonts w:eastAsia="Calibri" w:cstheme="minorHAnsi"/>
          <w:szCs w:val="22"/>
        </w:rPr>
        <w:t>, London.</w:t>
      </w:r>
    </w:p>
    <w:p w14:paraId="2C1BB36F" w14:textId="30A220B1" w:rsidR="004F679E" w:rsidRPr="004F679E" w:rsidRDefault="004F679E" w:rsidP="004F679E">
      <w:pPr>
        <w:pStyle w:val="References"/>
        <w:rPr>
          <w:rFonts w:eastAsia="Calibri" w:cstheme="minorHAnsi"/>
          <w:szCs w:val="22"/>
        </w:rPr>
      </w:pPr>
      <w:r>
        <w:rPr>
          <w:rFonts w:cstheme="minorHAnsi"/>
          <w:szCs w:val="22"/>
        </w:rPr>
        <w:t xml:space="preserve">IASB 2021b, </w:t>
      </w:r>
      <w:r w:rsidR="005C7C10">
        <w:rPr>
          <w:rFonts w:cstheme="minorHAnsi"/>
          <w:i/>
          <w:iCs/>
          <w:szCs w:val="22"/>
        </w:rPr>
        <w:t>Exposure Draft ED/2021/3</w:t>
      </w:r>
      <w:r w:rsidRPr="00D93BB3">
        <w:rPr>
          <w:rFonts w:cstheme="minorHAnsi"/>
          <w:i/>
          <w:iCs/>
          <w:szCs w:val="22"/>
        </w:rPr>
        <w:t>:</w:t>
      </w:r>
      <w:r>
        <w:rPr>
          <w:rFonts w:cstheme="minorHAnsi"/>
          <w:szCs w:val="22"/>
        </w:rPr>
        <w:t xml:space="preserve"> </w:t>
      </w:r>
      <w:r w:rsidR="005C7C10">
        <w:rPr>
          <w:rFonts w:cstheme="minorHAnsi"/>
          <w:i/>
          <w:szCs w:val="22"/>
        </w:rPr>
        <w:t xml:space="preserve">Disclosure Requirements in IFRS Standards – A </w:t>
      </w:r>
      <w:r w:rsidR="00FC4D01">
        <w:rPr>
          <w:rFonts w:cstheme="minorHAnsi"/>
          <w:i/>
          <w:szCs w:val="22"/>
        </w:rPr>
        <w:t>Pilot Approa</w:t>
      </w:r>
      <w:r w:rsidR="005C7C10">
        <w:rPr>
          <w:rFonts w:cstheme="minorHAnsi"/>
          <w:i/>
          <w:szCs w:val="22"/>
        </w:rPr>
        <w:t>ch</w:t>
      </w:r>
      <w:r>
        <w:rPr>
          <w:rFonts w:cstheme="minorHAnsi"/>
          <w:szCs w:val="22"/>
        </w:rPr>
        <w:t xml:space="preserve">, </w:t>
      </w:r>
      <w:r w:rsidRPr="00366155">
        <w:rPr>
          <w:rFonts w:eastAsia="Calibri" w:cstheme="minorHAnsi"/>
          <w:szCs w:val="22"/>
        </w:rPr>
        <w:t>International Accounting Standards Board</w:t>
      </w:r>
      <w:r>
        <w:rPr>
          <w:rFonts w:eastAsia="Calibri" w:cstheme="minorHAnsi"/>
          <w:szCs w:val="22"/>
        </w:rPr>
        <w:t>, London.</w:t>
      </w:r>
    </w:p>
    <w:p w14:paraId="2BF760E3" w14:textId="7680A58F" w:rsidR="00A827F6" w:rsidRDefault="00A827F6" w:rsidP="00FC703C">
      <w:pPr>
        <w:pStyle w:val="References"/>
        <w:rPr>
          <w:rFonts w:eastAsia="Calibri" w:cstheme="minorHAnsi"/>
          <w:i/>
          <w:szCs w:val="22"/>
          <w:lang w:val="en-US"/>
        </w:rPr>
      </w:pPr>
      <w:r w:rsidRPr="00FC703C">
        <w:t>IASC</w:t>
      </w:r>
      <w:r w:rsidR="00B62C73">
        <w:t xml:space="preserve"> </w:t>
      </w:r>
      <w:r w:rsidRPr="00FC703C">
        <w:t xml:space="preserve">2000, </w:t>
      </w:r>
      <w:r w:rsidRPr="00635636">
        <w:rPr>
          <w:rFonts w:eastAsia="Calibri" w:cstheme="minorHAnsi"/>
          <w:i/>
          <w:szCs w:val="22"/>
          <w:lang w:val="en-US"/>
        </w:rPr>
        <w:t>Summary of Issues: Extractive Industries</w:t>
      </w:r>
      <w:r w:rsidRPr="00940120">
        <w:rPr>
          <w:rFonts w:eastAsia="Calibri" w:cstheme="minorHAnsi"/>
          <w:i/>
          <w:szCs w:val="22"/>
          <w:lang w:val="en-US"/>
        </w:rPr>
        <w:t xml:space="preserve">, </w:t>
      </w:r>
      <w:r w:rsidRPr="00940120">
        <w:rPr>
          <w:rFonts w:eastAsia="Calibri" w:cstheme="minorHAnsi"/>
          <w:szCs w:val="22"/>
          <w:lang w:val="en-US"/>
        </w:rPr>
        <w:t>International Accounting Standards Committee,</w:t>
      </w:r>
      <w:r w:rsidRPr="00366155">
        <w:rPr>
          <w:rFonts w:eastAsia="Calibri" w:cstheme="minorHAnsi"/>
          <w:i/>
          <w:szCs w:val="22"/>
          <w:lang w:val="en-US"/>
        </w:rPr>
        <w:t xml:space="preserve"> </w:t>
      </w:r>
      <w:r w:rsidRPr="00366155">
        <w:rPr>
          <w:rFonts w:eastAsia="Calibri" w:cstheme="minorHAnsi"/>
          <w:szCs w:val="22"/>
          <w:lang w:val="en-US"/>
        </w:rPr>
        <w:t>London</w:t>
      </w:r>
      <w:r w:rsidRPr="00366155">
        <w:rPr>
          <w:rFonts w:eastAsia="Calibri" w:cstheme="minorHAnsi"/>
          <w:i/>
          <w:szCs w:val="22"/>
          <w:lang w:val="en-US"/>
        </w:rPr>
        <w:t>.</w:t>
      </w:r>
    </w:p>
    <w:p w14:paraId="638DB7FA" w14:textId="405C618D" w:rsidR="0068208C" w:rsidRDefault="00B62C73" w:rsidP="00FC703C">
      <w:pPr>
        <w:pStyle w:val="References"/>
      </w:pPr>
      <w:r>
        <w:lastRenderedPageBreak/>
        <w:t>JORC 2012</w:t>
      </w:r>
      <w:r w:rsidR="0068208C">
        <w:t xml:space="preserve">, </w:t>
      </w:r>
      <w:r w:rsidR="0068208C" w:rsidRPr="00635636">
        <w:rPr>
          <w:i/>
        </w:rPr>
        <w:t>Australasian Code for Reporting of Exploration Results, Mineral Resources and Ore Reserves</w:t>
      </w:r>
      <w:r w:rsidR="0068208C">
        <w:t>, Joint Ore Reserves Committee, Melbourne.</w:t>
      </w:r>
    </w:p>
    <w:p w14:paraId="7A835078" w14:textId="041A0A2E" w:rsidR="00BC54D7" w:rsidRPr="00366155" w:rsidRDefault="00BC54D7" w:rsidP="00FC703C">
      <w:pPr>
        <w:pStyle w:val="References"/>
        <w:rPr>
          <w:rFonts w:eastAsia="Calibri" w:cstheme="minorHAnsi"/>
          <w:i/>
          <w:lang w:val="en-US"/>
        </w:rPr>
      </w:pPr>
      <w:r>
        <w:t xml:space="preserve">KPMG 2006, </w:t>
      </w:r>
      <w:r w:rsidRPr="005B5914">
        <w:rPr>
          <w:i/>
        </w:rPr>
        <w:t>Global Mining Reporting Survey 2006</w:t>
      </w:r>
      <w:r>
        <w:t>, KPMG, Melbourne.</w:t>
      </w:r>
    </w:p>
    <w:p w14:paraId="71539D1D" w14:textId="310C5568" w:rsidR="00C600E3" w:rsidRDefault="00C600E3" w:rsidP="00FC703C">
      <w:pPr>
        <w:pStyle w:val="References"/>
      </w:pPr>
      <w:r w:rsidRPr="00FC703C">
        <w:t>Luther, R.</w:t>
      </w:r>
      <w:r w:rsidR="00B62C73">
        <w:t xml:space="preserve"> </w:t>
      </w:r>
      <w:r w:rsidRPr="00FC703C">
        <w:t>1996</w:t>
      </w:r>
      <w:r w:rsidR="002B7F8E">
        <w:t>,</w:t>
      </w:r>
      <w:r w:rsidRPr="00FC703C">
        <w:t xml:space="preserve"> ‘</w:t>
      </w:r>
      <w:proofErr w:type="gramStart"/>
      <w:r w:rsidRPr="00FC703C">
        <w:t>The</w:t>
      </w:r>
      <w:proofErr w:type="gramEnd"/>
      <w:r w:rsidRPr="00FC703C">
        <w:t xml:space="preserve"> development of accounting regulation in the extractive industries</w:t>
      </w:r>
      <w:r w:rsidR="00B22144">
        <w:t>: an international review</w:t>
      </w:r>
      <w:r w:rsidRPr="00FC703C">
        <w:t xml:space="preserve">’, </w:t>
      </w:r>
      <w:r w:rsidRPr="00635636">
        <w:rPr>
          <w:i/>
          <w:iCs/>
        </w:rPr>
        <w:t>International Journal of Accounting</w:t>
      </w:r>
      <w:r w:rsidRPr="00FC703C">
        <w:t>, 31(1)</w:t>
      </w:r>
      <w:r w:rsidR="006E281D">
        <w:t>:</w:t>
      </w:r>
      <w:r w:rsidRPr="00FC703C">
        <w:t xml:space="preserve"> 67-93.</w:t>
      </w:r>
    </w:p>
    <w:p w14:paraId="2D9F8C3F" w14:textId="4DCDEA8C" w:rsidR="000424F8" w:rsidRDefault="00B62C73" w:rsidP="00FC703C">
      <w:pPr>
        <w:pStyle w:val="References"/>
      </w:pPr>
      <w:r>
        <w:t>Nobes, C.W. 201</w:t>
      </w:r>
      <w:r w:rsidR="004E1162">
        <w:t>5</w:t>
      </w:r>
      <w:r w:rsidR="005C1DBE">
        <w:t>,</w:t>
      </w:r>
      <w:r w:rsidR="000424F8">
        <w:t xml:space="preserve"> ‘IFRS ten years on: has the IASB imposed extensive use of fair value? Has the EU learnt to love IFRS? And does the use of fair value make IFRS illegal in the EU</w:t>
      </w:r>
      <w:proofErr w:type="gramStart"/>
      <w:r w:rsidR="000424F8">
        <w:t>?‘</w:t>
      </w:r>
      <w:proofErr w:type="gramEnd"/>
      <w:r w:rsidR="000424F8">
        <w:t xml:space="preserve">, </w:t>
      </w:r>
      <w:r w:rsidR="000424F8" w:rsidRPr="00635636">
        <w:rPr>
          <w:i/>
        </w:rPr>
        <w:t>Accounting in Europe</w:t>
      </w:r>
      <w:r w:rsidR="000424F8">
        <w:t>, 12(2)</w:t>
      </w:r>
      <w:r w:rsidR="006E281D">
        <w:t>:</w:t>
      </w:r>
      <w:r w:rsidR="000424F8">
        <w:t xml:space="preserve"> 153-170.</w:t>
      </w:r>
    </w:p>
    <w:p w14:paraId="46A9D40C" w14:textId="6FABE47C" w:rsidR="005C1DBE" w:rsidRDefault="00B62C73" w:rsidP="00FC703C">
      <w:pPr>
        <w:pStyle w:val="References"/>
      </w:pPr>
      <w:r>
        <w:t>OIAC 2001</w:t>
      </w:r>
      <w:r w:rsidR="005C1DBE">
        <w:t xml:space="preserve">, </w:t>
      </w:r>
      <w:r w:rsidR="005C1DBE" w:rsidRPr="00635636">
        <w:rPr>
          <w:i/>
        </w:rPr>
        <w:t>Accounting for Oil and Gas Exploration, Development, Production and Decommissioning Activities</w:t>
      </w:r>
      <w:r w:rsidR="005C1DBE">
        <w:t>, Oil Industry Accounting Committee, London.</w:t>
      </w:r>
    </w:p>
    <w:p w14:paraId="45A22563" w14:textId="3F999F8A" w:rsidR="006F3858" w:rsidRDefault="006F3858" w:rsidP="006F3858">
      <w:pPr>
        <w:pStyle w:val="References"/>
      </w:pPr>
      <w:r w:rsidRPr="00FC703C">
        <w:t>Penman, S.</w:t>
      </w:r>
      <w:r w:rsidR="004030C0">
        <w:t>H.</w:t>
      </w:r>
      <w:r>
        <w:t xml:space="preserve"> </w:t>
      </w:r>
      <w:r w:rsidRPr="00FC703C">
        <w:t>2009, ‘Accounting for intangible assets</w:t>
      </w:r>
      <w:r>
        <w:t>:</w:t>
      </w:r>
      <w:r w:rsidRPr="00FC703C">
        <w:t xml:space="preserve"> there is also an income statement’, </w:t>
      </w:r>
      <w:r w:rsidRPr="00635636">
        <w:rPr>
          <w:i/>
          <w:iCs/>
        </w:rPr>
        <w:t>Abacus</w:t>
      </w:r>
      <w:r w:rsidRPr="00B62C73">
        <w:t>, 45(3)</w:t>
      </w:r>
      <w:r>
        <w:t>:</w:t>
      </w:r>
      <w:r w:rsidRPr="00B62C73">
        <w:t xml:space="preserve"> 358-371.</w:t>
      </w:r>
    </w:p>
    <w:p w14:paraId="0A3A96DA" w14:textId="526B6273" w:rsidR="008D7AB7" w:rsidRPr="00F103C4" w:rsidRDefault="008D7AB7" w:rsidP="00F103C4">
      <w:pPr>
        <w:pStyle w:val="References"/>
        <w:rPr>
          <w:rStyle w:val="Hyperlink"/>
          <w:rFonts w:cstheme="minorHAnsi"/>
          <w:color w:val="auto"/>
          <w:u w:val="none"/>
        </w:rPr>
      </w:pPr>
      <w:r w:rsidRPr="00665FC4">
        <w:rPr>
          <w:rFonts w:cstheme="minorHAnsi"/>
        </w:rPr>
        <w:t>Power, S.B., Clear</w:t>
      </w:r>
      <w:r>
        <w:rPr>
          <w:rFonts w:cstheme="minorHAnsi"/>
        </w:rPr>
        <w:t>y, P.,</w:t>
      </w:r>
      <w:r w:rsidRPr="00665FC4">
        <w:rPr>
          <w:rFonts w:cstheme="minorHAnsi"/>
        </w:rPr>
        <w:t xml:space="preserve"> and Donnelly</w:t>
      </w:r>
      <w:r>
        <w:rPr>
          <w:rFonts w:cstheme="minorHAnsi"/>
        </w:rPr>
        <w:t xml:space="preserve">, R. </w:t>
      </w:r>
      <w:r w:rsidRPr="00665FC4">
        <w:rPr>
          <w:rFonts w:cstheme="minorHAnsi"/>
        </w:rPr>
        <w:t>2017</w:t>
      </w:r>
      <w:r>
        <w:rPr>
          <w:rFonts w:cstheme="minorHAnsi"/>
        </w:rPr>
        <w:t>, ‘</w:t>
      </w:r>
      <w:r w:rsidRPr="00665FC4">
        <w:rPr>
          <w:rFonts w:cstheme="minorHAnsi"/>
        </w:rPr>
        <w:t xml:space="preserve">Accounting in the London Stock Exchange's Extractive Industry: The Effect of Policy Diversity on the Value Relevance of Exploration-Related Disclosures’, </w:t>
      </w:r>
      <w:r w:rsidRPr="00635636">
        <w:rPr>
          <w:rFonts w:cstheme="minorHAnsi"/>
          <w:i/>
        </w:rPr>
        <w:t>British Accounting Review</w:t>
      </w:r>
      <w:r w:rsidRPr="00AC668A">
        <w:rPr>
          <w:rFonts w:cstheme="minorHAnsi"/>
        </w:rPr>
        <w:t>, 49(6)</w:t>
      </w:r>
      <w:r w:rsidR="006E281D">
        <w:rPr>
          <w:rFonts w:cstheme="minorHAnsi"/>
        </w:rPr>
        <w:t>:</w:t>
      </w:r>
      <w:r w:rsidR="00F103C4">
        <w:rPr>
          <w:rFonts w:cstheme="minorHAnsi"/>
        </w:rPr>
        <w:t xml:space="preserve"> 545-559.</w:t>
      </w:r>
    </w:p>
    <w:p w14:paraId="75639724" w14:textId="288A7C01" w:rsidR="000B7D19" w:rsidRDefault="000A1B3F" w:rsidP="00CB1CA4">
      <w:pPr>
        <w:pStyle w:val="References"/>
      </w:pPr>
      <w:r>
        <w:t xml:space="preserve">Skinner, D.J. </w:t>
      </w:r>
      <w:r w:rsidR="000B7D19">
        <w:t>2008</w:t>
      </w:r>
      <w:r>
        <w:t>,</w:t>
      </w:r>
      <w:r w:rsidR="000B7D19">
        <w:t xml:space="preserve"> ‘Accounting for intangibles – a critical review of policy recommendations’, </w:t>
      </w:r>
      <w:r w:rsidR="000B7D19" w:rsidRPr="00602402">
        <w:rPr>
          <w:i/>
        </w:rPr>
        <w:t>Accounting and Business Research</w:t>
      </w:r>
      <w:r w:rsidR="006E281D">
        <w:t xml:space="preserve">, 38(3): </w:t>
      </w:r>
      <w:r w:rsidR="000B7D19">
        <w:t>191-204.</w:t>
      </w:r>
    </w:p>
    <w:p w14:paraId="0C3EF3C1" w14:textId="4ECA1CDB" w:rsidR="00936A3A" w:rsidRDefault="00014BBE" w:rsidP="00CB1CA4">
      <w:pPr>
        <w:pStyle w:val="References"/>
      </w:pPr>
      <w:r>
        <w:t>Tarca, A. 2020</w:t>
      </w:r>
      <w:r w:rsidR="00936A3A">
        <w:t>, ‘</w:t>
      </w:r>
      <w:r>
        <w:t>The IASB and comparability of international financial reporting: research evidence and implications’</w:t>
      </w:r>
      <w:r w:rsidR="00936A3A">
        <w:t xml:space="preserve">, </w:t>
      </w:r>
      <w:r w:rsidR="00936A3A" w:rsidRPr="00635636">
        <w:rPr>
          <w:i/>
          <w:szCs w:val="22"/>
        </w:rPr>
        <w:t>Australian Accounting Review</w:t>
      </w:r>
      <w:r>
        <w:rPr>
          <w:szCs w:val="22"/>
        </w:rPr>
        <w:t>, 30</w:t>
      </w:r>
      <w:r w:rsidR="00936A3A" w:rsidRPr="00366155">
        <w:rPr>
          <w:szCs w:val="22"/>
        </w:rPr>
        <w:t>(4)</w:t>
      </w:r>
      <w:r w:rsidR="00936A3A">
        <w:rPr>
          <w:szCs w:val="22"/>
        </w:rPr>
        <w:t>:</w:t>
      </w:r>
      <w:r>
        <w:rPr>
          <w:szCs w:val="22"/>
        </w:rPr>
        <w:t xml:space="preserve"> 231</w:t>
      </w:r>
      <w:r w:rsidR="00936A3A">
        <w:rPr>
          <w:szCs w:val="22"/>
        </w:rPr>
        <w:t>-</w:t>
      </w:r>
      <w:r>
        <w:rPr>
          <w:szCs w:val="22"/>
        </w:rPr>
        <w:t>242</w:t>
      </w:r>
      <w:r w:rsidR="00936A3A" w:rsidRPr="00366155">
        <w:rPr>
          <w:szCs w:val="22"/>
        </w:rPr>
        <w:t>.</w:t>
      </w:r>
    </w:p>
    <w:p w14:paraId="6EB57ED0" w14:textId="6462C3B1" w:rsidR="000B7D19" w:rsidRDefault="000A1B3F" w:rsidP="00CB1CA4">
      <w:pPr>
        <w:pStyle w:val="References"/>
      </w:pPr>
      <w:r>
        <w:t>Wyatt, A. 2008,</w:t>
      </w:r>
      <w:r w:rsidR="000B7D19">
        <w:t xml:space="preserve"> ‘What ﬁnancial and non-ﬁnancial information on intangibles is value-relevant? A review of the evidence’, </w:t>
      </w:r>
      <w:r w:rsidR="000B7D19" w:rsidRPr="00602402">
        <w:rPr>
          <w:i/>
        </w:rPr>
        <w:t>Accounting and Business Research</w:t>
      </w:r>
      <w:r w:rsidR="006E281D">
        <w:t>, 38(3):</w:t>
      </w:r>
      <w:r w:rsidR="000B7D19">
        <w:t xml:space="preserve"> 217-</w:t>
      </w:r>
      <w:r w:rsidR="00675B7E">
        <w:t>2</w:t>
      </w:r>
      <w:r w:rsidR="000B7D19">
        <w:t>56.</w:t>
      </w:r>
    </w:p>
    <w:p w14:paraId="7490FFE1" w14:textId="685821EB" w:rsidR="00966439" w:rsidRPr="00C56E31" w:rsidRDefault="00E71AEC">
      <w:pPr>
        <w:pStyle w:val="References"/>
        <w:sectPr w:rsidR="00966439" w:rsidRPr="00C56E31" w:rsidSect="00DC4256">
          <w:headerReference w:type="default" r:id="rId8"/>
          <w:headerReference w:type="first" r:id="rId9"/>
          <w:pgSz w:w="11906" w:h="16838"/>
          <w:pgMar w:top="1440" w:right="1440" w:bottom="1440" w:left="1440" w:header="708" w:footer="708" w:gutter="0"/>
          <w:cols w:space="708"/>
          <w:titlePg/>
          <w:docGrid w:linePitch="360"/>
        </w:sectPr>
      </w:pPr>
      <w:proofErr w:type="spellStart"/>
      <w:r>
        <w:rPr>
          <w:rFonts w:cstheme="minorHAnsi"/>
          <w:szCs w:val="22"/>
        </w:rPr>
        <w:t>Zeff</w:t>
      </w:r>
      <w:proofErr w:type="spellEnd"/>
      <w:r>
        <w:rPr>
          <w:rFonts w:cstheme="minorHAnsi"/>
          <w:szCs w:val="22"/>
        </w:rPr>
        <w:t>, S.A. 2007, ‘The SEC rules historical cost accounting: 1934 to the 1970s’,</w:t>
      </w:r>
      <w:r w:rsidRPr="00E71AEC">
        <w:rPr>
          <w:i/>
        </w:rPr>
        <w:t xml:space="preserve"> </w:t>
      </w:r>
      <w:r w:rsidRPr="00602402">
        <w:rPr>
          <w:i/>
        </w:rPr>
        <w:t>Accounting and Business Research</w:t>
      </w:r>
      <w:r>
        <w:t>, 37(Supplement 1): 49-62.</w:t>
      </w:r>
    </w:p>
    <w:p w14:paraId="08010E90" w14:textId="2A6A4BDD" w:rsidR="008E675D" w:rsidRDefault="008E675D" w:rsidP="00556D4E">
      <w:pPr>
        <w:ind w:firstLine="0"/>
        <w:rPr>
          <w:b/>
          <w:bCs/>
          <w:lang w:val="en-US"/>
        </w:rPr>
      </w:pPr>
      <w:r>
        <w:rPr>
          <w:b/>
          <w:bCs/>
          <w:lang w:val="en-US"/>
        </w:rPr>
        <w:br w:type="page"/>
      </w:r>
    </w:p>
    <w:p w14:paraId="2B985E17" w14:textId="77777777" w:rsidR="008E675D" w:rsidRDefault="008E675D" w:rsidP="008E675D">
      <w:pPr>
        <w:rPr>
          <w:b/>
          <w:bCs/>
          <w:lang w:val="en-US"/>
        </w:rPr>
        <w:sectPr w:rsidR="008E675D" w:rsidSect="00031E0E">
          <w:type w:val="continuous"/>
          <w:pgSz w:w="11906" w:h="16838"/>
          <w:pgMar w:top="1440" w:right="1440" w:bottom="1440" w:left="1440" w:header="708" w:footer="708" w:gutter="0"/>
          <w:cols w:space="708"/>
          <w:titlePg/>
          <w:docGrid w:linePitch="360"/>
        </w:sectPr>
      </w:pPr>
    </w:p>
    <w:p w14:paraId="3EDAE971" w14:textId="0BE7606C" w:rsidR="00362C35" w:rsidRPr="0017406B" w:rsidRDefault="00362C35" w:rsidP="00516EF5">
      <w:pPr>
        <w:pStyle w:val="Heading1"/>
        <w:pageBreakBefore/>
      </w:pPr>
      <w:r w:rsidRPr="001043FD">
        <w:lastRenderedPageBreak/>
        <w:t xml:space="preserve">Appendix </w:t>
      </w:r>
      <w:r w:rsidR="0017406B">
        <w:t>A</w:t>
      </w:r>
      <w:r w:rsidR="004855A8">
        <w:t>.</w:t>
      </w:r>
      <w:r w:rsidRPr="001043FD">
        <w:t xml:space="preserve"> </w:t>
      </w:r>
      <w:r w:rsidRPr="00635636">
        <w:t xml:space="preserve">Definitions from </w:t>
      </w:r>
      <w:r w:rsidR="00DE23ED" w:rsidRPr="00635636">
        <w:t>accounting standards</w:t>
      </w:r>
      <w:r w:rsidRPr="00635636">
        <w:t xml:space="preserve"> (quotations in italics)</w:t>
      </w:r>
    </w:p>
    <w:p w14:paraId="2D28F124" w14:textId="62674810" w:rsidR="00DE23ED" w:rsidRPr="00FC703C" w:rsidRDefault="00DE23ED" w:rsidP="00DE23ED">
      <w:pPr>
        <w:pStyle w:val="Heading2"/>
        <w:rPr>
          <w:b w:val="0"/>
        </w:rPr>
      </w:pPr>
      <w:r>
        <w:t>From AASB 1022</w:t>
      </w:r>
      <w:r w:rsidR="00F103C4">
        <w:t xml:space="preserve"> and AASB 6</w:t>
      </w:r>
    </w:p>
    <w:p w14:paraId="7C9E365B" w14:textId="455D1453" w:rsidR="00DE23ED" w:rsidRDefault="00DE23ED" w:rsidP="00C56E31">
      <w:pPr>
        <w:ind w:left="567" w:hanging="567"/>
        <w:rPr>
          <w:i/>
        </w:rPr>
      </w:pPr>
      <w:r w:rsidRPr="00DE23ED">
        <w:rPr>
          <w:lang w:eastAsia="en-GB"/>
        </w:rPr>
        <w:t>Definition of ‘area of interest’ (</w:t>
      </w:r>
      <w:r w:rsidR="00F103C4">
        <w:rPr>
          <w:lang w:eastAsia="en-GB"/>
        </w:rPr>
        <w:t xml:space="preserve">AASB 1022, </w:t>
      </w:r>
      <w:r w:rsidRPr="00DE23ED">
        <w:rPr>
          <w:lang w:eastAsia="en-GB"/>
        </w:rPr>
        <w:t>para. 06)</w:t>
      </w:r>
      <w:r w:rsidR="00A12663">
        <w:rPr>
          <w:lang w:eastAsia="en-GB"/>
        </w:rPr>
        <w:t>:</w:t>
      </w:r>
      <w:r w:rsidR="00F716D2">
        <w:rPr>
          <w:lang w:eastAsia="en-GB"/>
        </w:rPr>
        <w:t xml:space="preserve"> </w:t>
      </w:r>
      <w:r w:rsidRPr="002B534A">
        <w:rPr>
          <w:i/>
        </w:rPr>
        <w:t>an individual geological area which is considered to constitute a favourable environment for the presence of a mineral deposit or an oil or natural gas field, or has been proved to contain such a deposit or field</w:t>
      </w:r>
      <w:r w:rsidR="00A12663">
        <w:rPr>
          <w:i/>
        </w:rPr>
        <w:t>;</w:t>
      </w:r>
    </w:p>
    <w:p w14:paraId="4F3A5982" w14:textId="26D63B4D" w:rsidR="00DD075B" w:rsidRDefault="00DD075B" w:rsidP="00C56E31">
      <w:pPr>
        <w:ind w:left="567" w:hanging="567"/>
        <w:rPr>
          <w:i/>
        </w:rPr>
      </w:pPr>
      <w:r w:rsidRPr="00A6138D">
        <w:t xml:space="preserve">A </w:t>
      </w:r>
      <w:r w:rsidRPr="002572EF">
        <w:rPr>
          <w:lang w:eastAsia="en-GB"/>
        </w:rPr>
        <w:t>similar</w:t>
      </w:r>
      <w:r w:rsidRPr="00DD075B">
        <w:t xml:space="preserve"> definition can now be found in AASB 6 (</w:t>
      </w:r>
      <w:r w:rsidRPr="00A6138D">
        <w:t>para. Aus7.3)</w:t>
      </w:r>
      <w:r>
        <w:t>:</w:t>
      </w:r>
      <w:r w:rsidR="00F716D2">
        <w:t xml:space="preserve"> </w:t>
      </w:r>
      <w:r w:rsidR="00A04F46">
        <w:rPr>
          <w:i/>
        </w:rPr>
        <w:t>a</w:t>
      </w:r>
      <w:r w:rsidRPr="00A6138D">
        <w:rPr>
          <w:i/>
        </w:rPr>
        <w:t>n individual geological area whereby the presence of a mineral deposit or an oil or natural gas field is considered favourable or has been proved to exist</w:t>
      </w:r>
      <w:r w:rsidR="00A04F46">
        <w:rPr>
          <w:i/>
        </w:rPr>
        <w:t>.</w:t>
      </w:r>
    </w:p>
    <w:p w14:paraId="01B9505D" w14:textId="77777777" w:rsidR="00BE66A0" w:rsidRPr="00FC703C" w:rsidRDefault="00BE66A0" w:rsidP="00BE66A0">
      <w:pPr>
        <w:pStyle w:val="Heading2"/>
        <w:rPr>
          <w:b w:val="0"/>
        </w:rPr>
      </w:pPr>
      <w:r w:rsidRPr="00FC703C">
        <w:t>From IFRS 6</w:t>
      </w:r>
    </w:p>
    <w:p w14:paraId="3D4CB177" w14:textId="77777777" w:rsidR="00BE66A0" w:rsidRPr="00DE23ED" w:rsidRDefault="00BE66A0" w:rsidP="00BE66A0">
      <w:pPr>
        <w:spacing w:after="0"/>
        <w:ind w:left="567" w:hanging="567"/>
        <w:rPr>
          <w:i/>
          <w:lang w:eastAsia="en-GB"/>
        </w:rPr>
      </w:pPr>
      <w:r w:rsidRPr="00170E28">
        <w:rPr>
          <w:rFonts w:eastAsia="Times New Roman" w:cstheme="minorHAnsi"/>
          <w:lang w:eastAsia="en-GB"/>
        </w:rPr>
        <w:t>Examples of E&amp;E costs (para. 9):</w:t>
      </w:r>
      <w:r w:rsidRPr="00C56E31">
        <w:rPr>
          <w:iCs/>
          <w:lang w:eastAsia="en-GB"/>
        </w:rPr>
        <w:t xml:space="preserve"> </w:t>
      </w:r>
      <w:r w:rsidRPr="00DE23ED">
        <w:rPr>
          <w:i/>
          <w:lang w:eastAsia="en-GB"/>
        </w:rPr>
        <w:t>(a)</w:t>
      </w:r>
      <w:r>
        <w:rPr>
          <w:i/>
          <w:lang w:eastAsia="en-GB"/>
        </w:rPr>
        <w:t xml:space="preserve"> </w:t>
      </w:r>
      <w:r w:rsidRPr="00DE23ED">
        <w:rPr>
          <w:i/>
          <w:lang w:eastAsia="en-GB"/>
        </w:rPr>
        <w:t>acquisition of rights to explore; (b) topographical, geological, geochemical and geophysical studies; (c) exploratory drilling; (d) trenching; (e) sampling; and (f) activities in relation to evaluating the technical feasibility and commercial viability of extracting a mineral resource.</w:t>
      </w:r>
    </w:p>
    <w:p w14:paraId="791852E5" w14:textId="77777777" w:rsidR="00BE66A0" w:rsidRDefault="00BE66A0" w:rsidP="00BE66A0">
      <w:pPr>
        <w:pStyle w:val="Heading2"/>
        <w:rPr>
          <w:lang w:val="en-US"/>
        </w:rPr>
      </w:pPr>
      <w:r>
        <w:rPr>
          <w:lang w:val="en-US"/>
        </w:rPr>
        <w:t>From IAS 38</w:t>
      </w:r>
    </w:p>
    <w:p w14:paraId="35310B49" w14:textId="77777777" w:rsidR="00BE66A0" w:rsidRPr="00170E28" w:rsidRDefault="00BE66A0" w:rsidP="00BE66A0">
      <w:pPr>
        <w:ind w:left="567" w:hanging="567"/>
        <w:rPr>
          <w:rFonts w:cstheme="minorHAnsi"/>
          <w:lang w:val="en-US"/>
        </w:rPr>
      </w:pPr>
      <w:r w:rsidRPr="00170E28">
        <w:rPr>
          <w:rFonts w:cstheme="minorHAnsi"/>
          <w:iCs/>
          <w:lang w:val="en-US"/>
        </w:rPr>
        <w:t xml:space="preserve">Research (para. </w:t>
      </w:r>
      <w:r>
        <w:rPr>
          <w:rFonts w:cstheme="minorHAnsi"/>
          <w:iCs/>
          <w:lang w:val="en-US"/>
        </w:rPr>
        <w:t>8</w:t>
      </w:r>
      <w:r w:rsidRPr="00170E28">
        <w:rPr>
          <w:rFonts w:cstheme="minorHAnsi"/>
          <w:iCs/>
          <w:lang w:val="en-US"/>
        </w:rPr>
        <w:t>)</w:t>
      </w:r>
      <w:r w:rsidRPr="00170E28">
        <w:rPr>
          <w:rFonts w:cstheme="minorHAnsi"/>
          <w:lang w:val="en-US"/>
        </w:rPr>
        <w:t>:</w:t>
      </w:r>
      <w:r w:rsidRPr="00170E28">
        <w:rPr>
          <w:rFonts w:cstheme="minorHAnsi"/>
        </w:rPr>
        <w:t xml:space="preserve"> </w:t>
      </w:r>
      <w:r w:rsidRPr="00170E28">
        <w:rPr>
          <w:rFonts w:cstheme="minorHAnsi"/>
          <w:i/>
        </w:rPr>
        <w:t>original and planned investigation undertaken with the prospect of gaining new scientific or technical knowledge and understanding</w:t>
      </w:r>
      <w:r>
        <w:rPr>
          <w:rFonts w:cstheme="minorHAnsi"/>
          <w:i/>
        </w:rPr>
        <w:t>.</w:t>
      </w:r>
    </w:p>
    <w:p w14:paraId="358ABF2B" w14:textId="77777777" w:rsidR="00BE66A0" w:rsidRPr="00170E28" w:rsidRDefault="00BE66A0" w:rsidP="00BE66A0">
      <w:pPr>
        <w:ind w:left="567" w:hanging="567"/>
        <w:rPr>
          <w:rFonts w:cstheme="minorHAnsi"/>
          <w:i/>
          <w:lang w:val="en-US"/>
        </w:rPr>
      </w:pPr>
      <w:r w:rsidRPr="00170E28">
        <w:rPr>
          <w:rFonts w:cstheme="minorHAnsi"/>
          <w:iCs/>
          <w:lang w:val="en-US"/>
        </w:rPr>
        <w:t>Development</w:t>
      </w:r>
      <w:r w:rsidRPr="00170E28">
        <w:rPr>
          <w:rFonts w:cstheme="minorHAnsi"/>
          <w:lang w:val="en-US"/>
        </w:rPr>
        <w:t xml:space="preserve"> (para. </w:t>
      </w:r>
      <w:r>
        <w:rPr>
          <w:rFonts w:cstheme="minorHAnsi"/>
          <w:lang w:val="en-US"/>
        </w:rPr>
        <w:t>8</w:t>
      </w:r>
      <w:r w:rsidRPr="00170E28">
        <w:rPr>
          <w:rFonts w:cstheme="minorHAnsi"/>
          <w:lang w:val="en-US"/>
        </w:rPr>
        <w:t>):</w:t>
      </w:r>
      <w:r w:rsidRPr="00170E28">
        <w:rPr>
          <w:rFonts w:cstheme="minorHAnsi"/>
        </w:rPr>
        <w:t xml:space="preserve"> </w:t>
      </w:r>
      <w:r w:rsidRPr="00170E28">
        <w:rPr>
          <w:rFonts w:cstheme="minorHAnsi"/>
          <w:i/>
        </w:rPr>
        <w:t>the application of research findings or other knowledge to a plan or design for the production of new or substantially improved materials, devices, products, processes, systems or services before the start of commercial production or use</w:t>
      </w:r>
      <w:r>
        <w:rPr>
          <w:rFonts w:cstheme="minorHAnsi"/>
          <w:i/>
        </w:rPr>
        <w:t>.</w:t>
      </w:r>
    </w:p>
    <w:p w14:paraId="424E7666" w14:textId="1EE19CD4" w:rsidR="00BE66A0" w:rsidRPr="00DE23ED" w:rsidRDefault="00BE66A0" w:rsidP="00BE66A0">
      <w:pPr>
        <w:ind w:left="567" w:hanging="567"/>
        <w:rPr>
          <w:i/>
          <w:lang w:eastAsia="en-GB"/>
        </w:rPr>
      </w:pPr>
      <w:r w:rsidRPr="00170E28">
        <w:rPr>
          <w:rFonts w:cstheme="minorHAnsi"/>
          <w:lang w:val="en-US"/>
        </w:rPr>
        <w:t>Criteria for</w:t>
      </w:r>
      <w:r w:rsidRPr="009F456A">
        <w:rPr>
          <w:rFonts w:cstheme="minorHAnsi"/>
        </w:rPr>
        <w:t xml:space="preserve"> capitalisation</w:t>
      </w:r>
      <w:r w:rsidRPr="00170E28">
        <w:rPr>
          <w:rFonts w:cstheme="minorHAnsi"/>
          <w:lang w:val="en-US"/>
        </w:rPr>
        <w:t xml:space="preserve"> of development costs (para. 57):</w:t>
      </w:r>
      <w:r w:rsidRPr="00C56E31">
        <w:rPr>
          <w:rFonts w:eastAsia="Times New Roman" w:cstheme="minorHAnsi"/>
          <w:iCs/>
          <w:lang w:val="en-US" w:eastAsia="en-GB"/>
        </w:rPr>
        <w:t xml:space="preserve"> </w:t>
      </w:r>
      <w:r w:rsidRPr="00170E28">
        <w:rPr>
          <w:rFonts w:eastAsia="Times New Roman" w:cstheme="minorHAnsi"/>
          <w:i/>
          <w:lang w:eastAsia="en-GB"/>
        </w:rPr>
        <w:t xml:space="preserve">An intangible asset arising from development (or from the development phase of an internal project) shall be recognised if, and only if, an entity can demonstrate all of the following: (a) the technical feasibility of completing the intangible asset so that it will be available for use or sale. (b) </w:t>
      </w:r>
      <w:proofErr w:type="gramStart"/>
      <w:r w:rsidRPr="00170E28">
        <w:rPr>
          <w:rFonts w:eastAsia="Times New Roman" w:cstheme="minorHAnsi"/>
          <w:i/>
          <w:lang w:eastAsia="en-GB"/>
        </w:rPr>
        <w:t>its</w:t>
      </w:r>
      <w:proofErr w:type="gramEnd"/>
      <w:r w:rsidRPr="00170E28">
        <w:rPr>
          <w:rFonts w:eastAsia="Times New Roman" w:cstheme="minorHAnsi"/>
          <w:i/>
          <w:lang w:eastAsia="en-GB"/>
        </w:rPr>
        <w:t xml:space="preserve"> intention to complete the </w:t>
      </w:r>
      <w:r w:rsidRPr="00170E28">
        <w:rPr>
          <w:rFonts w:eastAsia="Times New Roman" w:cstheme="minorHAnsi"/>
          <w:i/>
          <w:lang w:eastAsia="en-GB"/>
        </w:rPr>
        <w:lastRenderedPageBreak/>
        <w:t>intangible asset and use or sell it.</w:t>
      </w:r>
      <w:r>
        <w:rPr>
          <w:rFonts w:eastAsia="Times New Roman" w:cstheme="minorHAnsi"/>
          <w:i/>
          <w:lang w:eastAsia="en-GB"/>
        </w:rPr>
        <w:t xml:space="preserve"> </w:t>
      </w:r>
      <w:r w:rsidRPr="00170E28">
        <w:rPr>
          <w:rFonts w:eastAsia="Times New Roman" w:cstheme="minorHAnsi"/>
          <w:i/>
          <w:lang w:eastAsia="en-GB"/>
        </w:rPr>
        <w:t xml:space="preserve">(c) </w:t>
      </w:r>
      <w:proofErr w:type="gramStart"/>
      <w:r w:rsidRPr="00170E28">
        <w:rPr>
          <w:rFonts w:eastAsia="Times New Roman" w:cstheme="minorHAnsi"/>
          <w:i/>
          <w:lang w:eastAsia="en-GB"/>
        </w:rPr>
        <w:t>its</w:t>
      </w:r>
      <w:proofErr w:type="gramEnd"/>
      <w:r w:rsidRPr="00170E28">
        <w:rPr>
          <w:rFonts w:eastAsia="Times New Roman" w:cstheme="minorHAnsi"/>
          <w:i/>
          <w:lang w:eastAsia="en-GB"/>
        </w:rPr>
        <w:t xml:space="preserve"> ability to use or sell the intangible asset.</w:t>
      </w:r>
      <w:r>
        <w:rPr>
          <w:rFonts w:eastAsia="Times New Roman" w:cstheme="minorHAnsi"/>
          <w:i/>
          <w:lang w:eastAsia="en-GB"/>
        </w:rPr>
        <w:t xml:space="preserve"> </w:t>
      </w:r>
      <w:r w:rsidRPr="00170E28">
        <w:rPr>
          <w:rFonts w:eastAsia="Times New Roman" w:cstheme="minorHAnsi"/>
          <w:i/>
          <w:lang w:eastAsia="en-GB"/>
        </w:rPr>
        <w:t xml:space="preserve">(d) </w:t>
      </w:r>
      <w:proofErr w:type="gramStart"/>
      <w:r w:rsidRPr="00170E28">
        <w:rPr>
          <w:rFonts w:eastAsia="Times New Roman" w:cstheme="minorHAnsi"/>
          <w:i/>
          <w:lang w:eastAsia="en-GB"/>
        </w:rPr>
        <w:t>how</w:t>
      </w:r>
      <w:proofErr w:type="gramEnd"/>
      <w:r w:rsidRPr="00170E28">
        <w:rPr>
          <w:rFonts w:eastAsia="Times New Roman" w:cstheme="minorHAnsi"/>
          <w:i/>
          <w:lang w:eastAsia="en-GB"/>
        </w:rPr>
        <w:t xml:space="preserve"> the intangible asset will generate probable future economic benefits. Among other things, the entity can demonstrate the existence of a market for the output of the intangible asset or the intangible asset itself or, if it is to be used internally, the usefulness of the intangible asset.</w:t>
      </w:r>
      <w:r>
        <w:rPr>
          <w:rFonts w:eastAsia="Times New Roman" w:cstheme="minorHAnsi"/>
          <w:i/>
          <w:lang w:eastAsia="en-GB"/>
        </w:rPr>
        <w:t xml:space="preserve"> </w:t>
      </w:r>
      <w:r w:rsidRPr="00170E28">
        <w:rPr>
          <w:rFonts w:eastAsia="Times New Roman" w:cstheme="minorHAnsi"/>
          <w:i/>
          <w:lang w:eastAsia="en-GB"/>
        </w:rPr>
        <w:t xml:space="preserve">(e) </w:t>
      </w:r>
      <w:proofErr w:type="gramStart"/>
      <w:r w:rsidRPr="00170E28">
        <w:rPr>
          <w:rFonts w:eastAsia="Times New Roman" w:cstheme="minorHAnsi"/>
          <w:i/>
          <w:lang w:eastAsia="en-GB"/>
        </w:rPr>
        <w:t>the</w:t>
      </w:r>
      <w:proofErr w:type="gramEnd"/>
      <w:r w:rsidRPr="00170E28">
        <w:rPr>
          <w:rFonts w:eastAsia="Times New Roman" w:cstheme="minorHAnsi"/>
          <w:i/>
          <w:lang w:eastAsia="en-GB"/>
        </w:rPr>
        <w:t xml:space="preserve"> availability of adequate technical, financial and other resources to complete the development and to use or sell the intangible asset.</w:t>
      </w:r>
      <w:r>
        <w:rPr>
          <w:rFonts w:eastAsia="Times New Roman" w:cstheme="minorHAnsi"/>
          <w:i/>
          <w:lang w:eastAsia="en-GB"/>
        </w:rPr>
        <w:t xml:space="preserve"> </w:t>
      </w:r>
      <w:r w:rsidRPr="00170E28">
        <w:rPr>
          <w:rFonts w:eastAsia="Times New Roman" w:cstheme="minorHAnsi"/>
          <w:i/>
          <w:lang w:eastAsia="en-GB"/>
        </w:rPr>
        <w:t xml:space="preserve">(f) </w:t>
      </w:r>
      <w:proofErr w:type="gramStart"/>
      <w:r w:rsidRPr="00170E28">
        <w:rPr>
          <w:rFonts w:eastAsia="Times New Roman" w:cstheme="minorHAnsi"/>
          <w:i/>
          <w:lang w:eastAsia="en-GB"/>
        </w:rPr>
        <w:t>its</w:t>
      </w:r>
      <w:proofErr w:type="gramEnd"/>
      <w:r w:rsidRPr="00170E28">
        <w:rPr>
          <w:rFonts w:eastAsia="Times New Roman" w:cstheme="minorHAnsi"/>
          <w:i/>
          <w:lang w:eastAsia="en-GB"/>
        </w:rPr>
        <w:t xml:space="preserve"> ability to measure reliably the expenditure attributable to the intangible asset during its development.</w:t>
      </w:r>
    </w:p>
    <w:p w14:paraId="249A06E9" w14:textId="0379CF44" w:rsidR="002B0FEB" w:rsidRPr="0017406B" w:rsidRDefault="002B0FEB" w:rsidP="002B0FEB">
      <w:pPr>
        <w:pStyle w:val="Heading1"/>
        <w:pageBreakBefore/>
      </w:pPr>
      <w:r w:rsidRPr="001043FD">
        <w:lastRenderedPageBreak/>
        <w:t xml:space="preserve">Appendix </w:t>
      </w:r>
      <w:r w:rsidR="0039156A">
        <w:t>B</w:t>
      </w:r>
      <w:r>
        <w:t>.</w:t>
      </w:r>
      <w:r w:rsidRPr="001043FD">
        <w:t xml:space="preserve"> </w:t>
      </w:r>
      <w:r>
        <w:t>Sample of firms investigated</w:t>
      </w:r>
    </w:p>
    <w:p w14:paraId="499283D2" w14:textId="3A0B2E83" w:rsidR="000E6A99" w:rsidRDefault="00C8397B" w:rsidP="000E6A99">
      <w:pPr>
        <w:rPr>
          <w:lang w:val="en-US"/>
        </w:rPr>
      </w:pPr>
      <w:r>
        <w:rPr>
          <w:lang w:val="en-US"/>
        </w:rPr>
        <w:t xml:space="preserve">To </w:t>
      </w:r>
      <w:r w:rsidR="004E7B61">
        <w:rPr>
          <w:lang w:val="en-US"/>
        </w:rPr>
        <w:t>select a</w:t>
      </w:r>
      <w:r>
        <w:rPr>
          <w:lang w:val="en-US"/>
        </w:rPr>
        <w:t xml:space="preserve"> sample</w:t>
      </w:r>
      <w:r w:rsidR="004E7B61">
        <w:rPr>
          <w:lang w:val="en-US"/>
        </w:rPr>
        <w:t xml:space="preserve"> for our investigation</w:t>
      </w:r>
      <w:r>
        <w:rPr>
          <w:lang w:val="en-US"/>
        </w:rPr>
        <w:t>, w</w:t>
      </w:r>
      <w:r w:rsidR="000E6A99">
        <w:rPr>
          <w:lang w:val="en-US"/>
        </w:rPr>
        <w:t>e first identif</w:t>
      </w:r>
      <w:r w:rsidR="00014BBE">
        <w:rPr>
          <w:lang w:val="en-US"/>
        </w:rPr>
        <w:t>ied</w:t>
      </w:r>
      <w:r w:rsidR="000E6A99">
        <w:rPr>
          <w:lang w:val="en-US"/>
        </w:rPr>
        <w:t xml:space="preserve"> firms which satisf</w:t>
      </w:r>
      <w:r>
        <w:rPr>
          <w:lang w:val="en-US"/>
        </w:rPr>
        <w:t>ied</w:t>
      </w:r>
      <w:r w:rsidR="000E6A99">
        <w:rPr>
          <w:lang w:val="en-US"/>
        </w:rPr>
        <w:t xml:space="preserve"> </w:t>
      </w:r>
      <w:r>
        <w:rPr>
          <w:lang w:val="en-US"/>
        </w:rPr>
        <w:t xml:space="preserve">all </w:t>
      </w:r>
      <w:r w:rsidR="000E6A99">
        <w:rPr>
          <w:lang w:val="en-US"/>
        </w:rPr>
        <w:t xml:space="preserve">the following criteria: (1) </w:t>
      </w:r>
      <w:r>
        <w:rPr>
          <w:lang w:val="en-US"/>
        </w:rPr>
        <w:t xml:space="preserve">extractive </w:t>
      </w:r>
      <w:r w:rsidR="00011926">
        <w:rPr>
          <w:lang w:val="en-US"/>
        </w:rPr>
        <w:t>firm</w:t>
      </w:r>
      <w:r>
        <w:rPr>
          <w:lang w:val="en-US"/>
        </w:rPr>
        <w:t xml:space="preserve"> (see next sentence); (2) </w:t>
      </w:r>
      <w:r w:rsidR="00BF1711">
        <w:rPr>
          <w:lang w:val="en-US"/>
        </w:rPr>
        <w:t xml:space="preserve">allocated </w:t>
      </w:r>
      <w:r w:rsidR="000E6A99">
        <w:rPr>
          <w:lang w:val="en-US"/>
        </w:rPr>
        <w:t xml:space="preserve">by </w:t>
      </w:r>
      <w:proofErr w:type="spellStart"/>
      <w:r w:rsidR="000E6A99">
        <w:rPr>
          <w:lang w:val="en-US"/>
        </w:rPr>
        <w:t>Worldscope</w:t>
      </w:r>
      <w:proofErr w:type="spellEnd"/>
      <w:r w:rsidR="000E6A99">
        <w:rPr>
          <w:lang w:val="en-US"/>
        </w:rPr>
        <w:t xml:space="preserve"> </w:t>
      </w:r>
      <w:r w:rsidR="00BF1711">
        <w:rPr>
          <w:lang w:val="en-US"/>
        </w:rPr>
        <w:t>to</w:t>
      </w:r>
      <w:r w:rsidR="000E6A99">
        <w:rPr>
          <w:lang w:val="en-US"/>
        </w:rPr>
        <w:t xml:space="preserve"> one of the following 15</w:t>
      </w:r>
      <w:r w:rsidR="000E6A99">
        <w:rPr>
          <w:rStyle w:val="FootnoteReference"/>
          <w:lang w:val="en-US"/>
        </w:rPr>
        <w:footnoteReference w:id="32"/>
      </w:r>
      <w:r w:rsidR="000E6A99">
        <w:rPr>
          <w:lang w:val="en-US"/>
        </w:rPr>
        <w:t xml:space="preserve"> countries/jurisdictions:</w:t>
      </w:r>
      <w:r w:rsidR="000E6A99">
        <w:rPr>
          <w:rStyle w:val="FootnoteReference"/>
          <w:lang w:val="en-US"/>
        </w:rPr>
        <w:footnoteReference w:id="33"/>
      </w:r>
      <w:r w:rsidR="000E6A99">
        <w:rPr>
          <w:lang w:val="en-US"/>
        </w:rPr>
        <w:t xml:space="preserve"> Australia, Brazil, Canada, China, France, Germany, Hong Kong, Italy, Japan, Russia, South Africa, South Korea, Spain, Switzerland and UK; (3) active in 2017 (i.e. </w:t>
      </w:r>
      <w:proofErr w:type="spellStart"/>
      <w:r w:rsidR="000E6A99">
        <w:rPr>
          <w:lang w:val="en-US"/>
        </w:rPr>
        <w:t>Worldscope</w:t>
      </w:r>
      <w:proofErr w:type="spellEnd"/>
      <w:r w:rsidR="000E6A99">
        <w:rPr>
          <w:lang w:val="en-US"/>
        </w:rPr>
        <w:t xml:space="preserve"> contains accounting data); (4) </w:t>
      </w:r>
      <w:r>
        <w:rPr>
          <w:lang w:val="en-US"/>
        </w:rPr>
        <w:t>financial statement</w:t>
      </w:r>
      <w:r w:rsidR="00F34243">
        <w:rPr>
          <w:lang w:val="en-US"/>
        </w:rPr>
        <w:t>s</w:t>
      </w:r>
      <w:r>
        <w:rPr>
          <w:lang w:val="en-US"/>
        </w:rPr>
        <w:t xml:space="preserve"> prepared under</w:t>
      </w:r>
      <w:r w:rsidR="000E6A99">
        <w:rPr>
          <w:lang w:val="en-US"/>
        </w:rPr>
        <w:t xml:space="preserve"> IFRS</w:t>
      </w:r>
      <w:r w:rsidR="00772EED">
        <w:rPr>
          <w:lang w:val="en-US"/>
        </w:rPr>
        <w:t xml:space="preserve"> (according to </w:t>
      </w:r>
      <w:proofErr w:type="spellStart"/>
      <w:r w:rsidR="00772EED">
        <w:rPr>
          <w:lang w:val="en-US"/>
        </w:rPr>
        <w:t>Worldscope</w:t>
      </w:r>
      <w:proofErr w:type="spellEnd"/>
      <w:r w:rsidR="00772EED">
        <w:rPr>
          <w:lang w:val="en-US"/>
        </w:rPr>
        <w:t>)</w:t>
      </w:r>
      <w:r w:rsidR="000E6A99">
        <w:rPr>
          <w:lang w:val="en-US"/>
        </w:rPr>
        <w:t xml:space="preserve">; and (5) market </w:t>
      </w:r>
      <w:proofErr w:type="spellStart"/>
      <w:r w:rsidR="000E6A99">
        <w:rPr>
          <w:lang w:val="en-US"/>
        </w:rPr>
        <w:t>capitali</w:t>
      </w:r>
      <w:r>
        <w:rPr>
          <w:lang w:val="en-US"/>
        </w:rPr>
        <w:t>s</w:t>
      </w:r>
      <w:r w:rsidR="000E6A99">
        <w:rPr>
          <w:lang w:val="en-US"/>
        </w:rPr>
        <w:t>ation</w:t>
      </w:r>
      <w:proofErr w:type="spellEnd"/>
      <w:r w:rsidR="000E6A99">
        <w:rPr>
          <w:lang w:val="en-US"/>
        </w:rPr>
        <w:t xml:space="preserve"> and total assets available in </w:t>
      </w:r>
      <w:proofErr w:type="spellStart"/>
      <w:r w:rsidR="000E6A99">
        <w:rPr>
          <w:lang w:val="en-US"/>
        </w:rPr>
        <w:t>Worldscope</w:t>
      </w:r>
      <w:proofErr w:type="spellEnd"/>
      <w:r w:rsidR="000E6A99">
        <w:rPr>
          <w:lang w:val="en-US"/>
        </w:rPr>
        <w:t>. We identif</w:t>
      </w:r>
      <w:r>
        <w:rPr>
          <w:lang w:val="en-US"/>
        </w:rPr>
        <w:t>ied</w:t>
      </w:r>
      <w:r w:rsidR="000E6A99">
        <w:rPr>
          <w:lang w:val="en-US"/>
        </w:rPr>
        <w:t xml:space="preserve"> a firm as extractive if it </w:t>
      </w:r>
      <w:r>
        <w:rPr>
          <w:lang w:val="en-US"/>
        </w:rPr>
        <w:t>wa</w:t>
      </w:r>
      <w:r w:rsidR="000E6A99">
        <w:rPr>
          <w:lang w:val="en-US"/>
        </w:rPr>
        <w:t xml:space="preserve">s classified as such both by </w:t>
      </w:r>
      <w:proofErr w:type="spellStart"/>
      <w:r w:rsidR="000E6A99">
        <w:rPr>
          <w:lang w:val="en-US"/>
        </w:rPr>
        <w:t>Worldcope’s</w:t>
      </w:r>
      <w:proofErr w:type="spellEnd"/>
      <w:r w:rsidR="000E6A99">
        <w:rPr>
          <w:lang w:val="en-US"/>
        </w:rPr>
        <w:t xml:space="preserve"> </w:t>
      </w:r>
      <w:r w:rsidR="000E6A99" w:rsidRPr="00B16C09">
        <w:rPr>
          <w:lang w:val="en-US"/>
        </w:rPr>
        <w:t xml:space="preserve">Industry Classification Benchmark (ICB) code </w:t>
      </w:r>
      <w:r w:rsidR="000E6A99">
        <w:rPr>
          <w:lang w:val="en-US"/>
        </w:rPr>
        <w:t xml:space="preserve">(i.e. the code is </w:t>
      </w:r>
      <w:r w:rsidR="000E6A99" w:rsidRPr="00B16C09">
        <w:rPr>
          <w:lang w:val="en-US"/>
        </w:rPr>
        <w:t>0533</w:t>
      </w:r>
      <w:r w:rsidR="000E6A99">
        <w:rPr>
          <w:lang w:val="en-US"/>
        </w:rPr>
        <w:t xml:space="preserve"> or</w:t>
      </w:r>
      <w:r w:rsidR="000E6A99" w:rsidRPr="00B16C09">
        <w:rPr>
          <w:lang w:val="en-US"/>
        </w:rPr>
        <w:t xml:space="preserve"> 0537</w:t>
      </w:r>
      <w:r w:rsidR="000E6A99">
        <w:rPr>
          <w:lang w:val="en-US"/>
        </w:rPr>
        <w:t xml:space="preserve"> for oil</w:t>
      </w:r>
      <w:r w:rsidR="00EA6D7C">
        <w:rPr>
          <w:lang w:val="en-US"/>
        </w:rPr>
        <w:t xml:space="preserve"> &amp; </w:t>
      </w:r>
      <w:r w:rsidR="000E6A99">
        <w:rPr>
          <w:lang w:val="en-US"/>
        </w:rPr>
        <w:t>gas firms or</w:t>
      </w:r>
      <w:r w:rsidR="000E6A99" w:rsidRPr="00B16C09">
        <w:rPr>
          <w:lang w:val="en-US"/>
        </w:rPr>
        <w:t xml:space="preserve"> 1753</w:t>
      </w:r>
      <w:r w:rsidR="000E6A99">
        <w:rPr>
          <w:lang w:val="en-US"/>
        </w:rPr>
        <w:t xml:space="preserve"> to </w:t>
      </w:r>
      <w:r w:rsidR="000E6A99" w:rsidRPr="00B16C09">
        <w:rPr>
          <w:lang w:val="en-US"/>
        </w:rPr>
        <w:t>1779</w:t>
      </w:r>
      <w:r w:rsidR="000E6A99">
        <w:rPr>
          <w:lang w:val="en-US"/>
        </w:rPr>
        <w:t xml:space="preserve"> for mining firms) and by </w:t>
      </w:r>
      <w:proofErr w:type="spellStart"/>
      <w:r w:rsidR="009C2A38">
        <w:rPr>
          <w:lang w:val="en-US"/>
        </w:rPr>
        <w:t>Worldscope’s</w:t>
      </w:r>
      <w:proofErr w:type="spellEnd"/>
      <w:r w:rsidR="009C2A38">
        <w:rPr>
          <w:lang w:val="en-US"/>
        </w:rPr>
        <w:t xml:space="preserve"> </w:t>
      </w:r>
      <w:r w:rsidR="000E6A99">
        <w:rPr>
          <w:lang w:val="en-US"/>
        </w:rPr>
        <w:t>Standard Industrial Classification (SIC) code (i.e. the primary, secondary or tertiary SIC code is between 1000 and 1499). For Australia, Canada and the UK, we f</w:t>
      </w:r>
      <w:r>
        <w:rPr>
          <w:lang w:val="en-US"/>
        </w:rPr>
        <w:t>ou</w:t>
      </w:r>
      <w:r w:rsidR="000E6A99">
        <w:rPr>
          <w:lang w:val="en-US"/>
        </w:rPr>
        <w:t xml:space="preserve">nd more than 100 </w:t>
      </w:r>
      <w:r>
        <w:rPr>
          <w:lang w:val="en-US"/>
        </w:rPr>
        <w:t xml:space="preserve">such </w:t>
      </w:r>
      <w:r w:rsidR="000E6A99">
        <w:rPr>
          <w:lang w:val="en-US"/>
        </w:rPr>
        <w:t>firms</w:t>
      </w:r>
      <w:r>
        <w:rPr>
          <w:lang w:val="en-US"/>
        </w:rPr>
        <w:t>,</w:t>
      </w:r>
      <w:r w:rsidR="000E6A99">
        <w:rPr>
          <w:lang w:val="en-US"/>
        </w:rPr>
        <w:t xml:space="preserve"> and therefore select</w:t>
      </w:r>
      <w:r>
        <w:rPr>
          <w:lang w:val="en-US"/>
        </w:rPr>
        <w:t>ed</w:t>
      </w:r>
      <w:r w:rsidR="000E6A99">
        <w:rPr>
          <w:lang w:val="en-US"/>
        </w:rPr>
        <w:t xml:space="preserve"> an initial sample of 100 firms </w:t>
      </w:r>
      <w:r>
        <w:rPr>
          <w:lang w:val="en-US"/>
        </w:rPr>
        <w:t>(</w:t>
      </w:r>
      <w:r w:rsidRPr="00C6201F">
        <w:rPr>
          <w:lang w:val="en-US"/>
        </w:rPr>
        <w:t>50 oil</w:t>
      </w:r>
      <w:r>
        <w:rPr>
          <w:lang w:val="en-US"/>
        </w:rPr>
        <w:t xml:space="preserve"> &amp; </w:t>
      </w:r>
      <w:r w:rsidRPr="00C6201F">
        <w:rPr>
          <w:lang w:val="en-US"/>
        </w:rPr>
        <w:t>gas firms and 50 mining</w:t>
      </w:r>
      <w:r>
        <w:rPr>
          <w:lang w:val="en-US"/>
        </w:rPr>
        <w:t>)</w:t>
      </w:r>
      <w:r w:rsidRPr="00C6201F">
        <w:rPr>
          <w:lang w:val="en-US"/>
        </w:rPr>
        <w:t xml:space="preserve"> </w:t>
      </w:r>
      <w:r w:rsidR="000E6A99">
        <w:rPr>
          <w:lang w:val="en-US"/>
        </w:rPr>
        <w:t>from each countr</w:t>
      </w:r>
      <w:r w:rsidR="00F34243">
        <w:rPr>
          <w:lang w:val="en-US"/>
        </w:rPr>
        <w:t>y</w:t>
      </w:r>
      <w:r w:rsidR="000E6A99" w:rsidRPr="00C6201F">
        <w:rPr>
          <w:lang w:val="en-US"/>
        </w:rPr>
        <w:t>. For each</w:t>
      </w:r>
      <w:r w:rsidR="000E6A99">
        <w:rPr>
          <w:lang w:val="en-US"/>
        </w:rPr>
        <w:t xml:space="preserve"> of the two</w:t>
      </w:r>
      <w:r w:rsidR="000E6A99" w:rsidRPr="00C6201F">
        <w:rPr>
          <w:lang w:val="en-US"/>
        </w:rPr>
        <w:t xml:space="preserve"> industry group</w:t>
      </w:r>
      <w:r w:rsidR="000E6A99">
        <w:rPr>
          <w:lang w:val="en-US"/>
        </w:rPr>
        <w:t>s of each</w:t>
      </w:r>
      <w:r w:rsidR="00F34243">
        <w:rPr>
          <w:lang w:val="en-US"/>
        </w:rPr>
        <w:t xml:space="preserve"> of these</w:t>
      </w:r>
      <w:r w:rsidR="000E6A99">
        <w:rPr>
          <w:lang w:val="en-US"/>
        </w:rPr>
        <w:t xml:space="preserve"> countr</w:t>
      </w:r>
      <w:r w:rsidR="00F34243">
        <w:rPr>
          <w:lang w:val="en-US"/>
        </w:rPr>
        <w:t>ies</w:t>
      </w:r>
      <w:r w:rsidR="000E6A99" w:rsidRPr="00C6201F">
        <w:rPr>
          <w:lang w:val="en-US"/>
        </w:rPr>
        <w:t>, we select</w:t>
      </w:r>
      <w:r w:rsidR="00F34243">
        <w:rPr>
          <w:lang w:val="en-US"/>
        </w:rPr>
        <w:t>ed</w:t>
      </w:r>
      <w:r w:rsidR="000E6A99" w:rsidRPr="00C6201F">
        <w:rPr>
          <w:lang w:val="en-US"/>
        </w:rPr>
        <w:t xml:space="preserve"> the 25 largest firms by market </w:t>
      </w:r>
      <w:proofErr w:type="spellStart"/>
      <w:r w:rsidR="000E6A99" w:rsidRPr="00C6201F">
        <w:rPr>
          <w:lang w:val="en-US"/>
        </w:rPr>
        <w:t>capitali</w:t>
      </w:r>
      <w:r>
        <w:rPr>
          <w:lang w:val="en-US"/>
        </w:rPr>
        <w:t>s</w:t>
      </w:r>
      <w:r w:rsidR="000E6A99" w:rsidRPr="00C6201F">
        <w:rPr>
          <w:lang w:val="en-US"/>
        </w:rPr>
        <w:t>ation</w:t>
      </w:r>
      <w:proofErr w:type="spellEnd"/>
      <w:r w:rsidR="000E6A99" w:rsidRPr="00C6201F">
        <w:rPr>
          <w:lang w:val="en-US"/>
        </w:rPr>
        <w:t xml:space="preserve">. We </w:t>
      </w:r>
      <w:r w:rsidR="000E6A99">
        <w:rPr>
          <w:lang w:val="en-US"/>
        </w:rPr>
        <w:t xml:space="preserve">then </w:t>
      </w:r>
      <w:r w:rsidR="000E6A99" w:rsidRPr="00C6201F">
        <w:rPr>
          <w:lang w:val="en-US"/>
        </w:rPr>
        <w:t>rank</w:t>
      </w:r>
      <w:r w:rsidR="00F34243">
        <w:rPr>
          <w:lang w:val="en-US"/>
        </w:rPr>
        <w:t>ed</w:t>
      </w:r>
      <w:r w:rsidR="000E6A99" w:rsidRPr="00C6201F">
        <w:rPr>
          <w:lang w:val="en-US"/>
        </w:rPr>
        <w:t xml:space="preserve"> the remaining firms according to market </w:t>
      </w:r>
      <w:proofErr w:type="spellStart"/>
      <w:r w:rsidR="000E6A99">
        <w:rPr>
          <w:lang w:val="en-US"/>
        </w:rPr>
        <w:t>capitali</w:t>
      </w:r>
      <w:r w:rsidR="00F34243">
        <w:rPr>
          <w:lang w:val="en-US"/>
        </w:rPr>
        <w:t>s</w:t>
      </w:r>
      <w:r w:rsidR="000E6A99">
        <w:rPr>
          <w:lang w:val="en-US"/>
        </w:rPr>
        <w:t>ation</w:t>
      </w:r>
      <w:proofErr w:type="spellEnd"/>
      <w:r w:rsidR="000E6A99">
        <w:rPr>
          <w:lang w:val="en-US"/>
        </w:rPr>
        <w:t xml:space="preserve"> </w:t>
      </w:r>
      <w:r w:rsidR="000E6A99" w:rsidRPr="00C6201F">
        <w:rPr>
          <w:lang w:val="en-US"/>
        </w:rPr>
        <w:t>and randomly select</w:t>
      </w:r>
      <w:r w:rsidR="00F34243">
        <w:rPr>
          <w:lang w:val="en-US"/>
        </w:rPr>
        <w:t>ed</w:t>
      </w:r>
      <w:r w:rsidR="000E6A99" w:rsidRPr="00C6201F">
        <w:rPr>
          <w:lang w:val="en-US"/>
        </w:rPr>
        <w:t xml:space="preserve"> 5 firms from each size quintile</w:t>
      </w:r>
      <w:r w:rsidR="000E6A99">
        <w:rPr>
          <w:lang w:val="en-US"/>
        </w:rPr>
        <w:t>. For each of the other countries, we f</w:t>
      </w:r>
      <w:r w:rsidR="00F34243">
        <w:rPr>
          <w:lang w:val="en-US"/>
        </w:rPr>
        <w:t>ou</w:t>
      </w:r>
      <w:r w:rsidR="000E6A99">
        <w:rPr>
          <w:lang w:val="en-US"/>
        </w:rPr>
        <w:t>nd fewer than 30 firms which satisf</w:t>
      </w:r>
      <w:r w:rsidR="00F34243">
        <w:rPr>
          <w:lang w:val="en-US"/>
        </w:rPr>
        <w:t>ied</w:t>
      </w:r>
      <w:r w:rsidR="000E6A99">
        <w:rPr>
          <w:lang w:val="en-US"/>
        </w:rPr>
        <w:t xml:space="preserve"> our criteria and therefore select</w:t>
      </w:r>
      <w:r w:rsidR="00F34243">
        <w:rPr>
          <w:lang w:val="en-US"/>
        </w:rPr>
        <w:t>ed</w:t>
      </w:r>
      <w:r w:rsidR="000E6A99">
        <w:rPr>
          <w:lang w:val="en-US"/>
        </w:rPr>
        <w:t xml:space="preserve"> all available firms (106 firms in total). Therefore, our initial sample comprise</w:t>
      </w:r>
      <w:r w:rsidR="00F34243">
        <w:rPr>
          <w:lang w:val="en-US"/>
        </w:rPr>
        <w:t>d</w:t>
      </w:r>
      <w:r w:rsidR="000E6A99">
        <w:rPr>
          <w:lang w:val="en-US"/>
        </w:rPr>
        <w:t xml:space="preserve"> 406 firms.</w:t>
      </w:r>
    </w:p>
    <w:p w14:paraId="7D1151B2" w14:textId="2D2E55F8" w:rsidR="002B0FEB" w:rsidRDefault="000E6A99" w:rsidP="000E6A99">
      <w:pPr>
        <w:rPr>
          <w:lang w:val="en-US"/>
        </w:rPr>
      </w:pPr>
      <w:r>
        <w:rPr>
          <w:lang w:val="en-US"/>
        </w:rPr>
        <w:t xml:space="preserve">We </w:t>
      </w:r>
      <w:r w:rsidR="00940B13">
        <w:rPr>
          <w:lang w:val="en-US"/>
        </w:rPr>
        <w:t xml:space="preserve">then </w:t>
      </w:r>
      <w:r>
        <w:rPr>
          <w:lang w:val="en-US"/>
        </w:rPr>
        <w:t>download</w:t>
      </w:r>
      <w:r w:rsidR="00F34243">
        <w:rPr>
          <w:lang w:val="en-US"/>
        </w:rPr>
        <w:t>ed</w:t>
      </w:r>
      <w:r>
        <w:rPr>
          <w:lang w:val="en-US"/>
        </w:rPr>
        <w:t xml:space="preserve"> the annual reports of </w:t>
      </w:r>
      <w:r w:rsidR="00F34243">
        <w:rPr>
          <w:lang w:val="en-US"/>
        </w:rPr>
        <w:t>these</w:t>
      </w:r>
      <w:r>
        <w:rPr>
          <w:lang w:val="en-US"/>
        </w:rPr>
        <w:t xml:space="preserve"> firms from corporate websites, national filing systems (e.g. SEDAR in Canada) and Bloomberg for the accounting period ending on 31 December 2017 or nearest after. Our initial sample reduce</w:t>
      </w:r>
      <w:r w:rsidR="00F34243">
        <w:rPr>
          <w:lang w:val="en-US"/>
        </w:rPr>
        <w:t>d</w:t>
      </w:r>
      <w:r>
        <w:rPr>
          <w:lang w:val="en-US"/>
        </w:rPr>
        <w:t xml:space="preserve"> to 313 firms</w:t>
      </w:r>
      <w:r w:rsidR="00D11EF7">
        <w:rPr>
          <w:lang w:val="en-US"/>
        </w:rPr>
        <w:t xml:space="preserve"> (</w:t>
      </w:r>
      <w:r w:rsidR="0070655A">
        <w:rPr>
          <w:lang w:val="en-US"/>
        </w:rPr>
        <w:t>147</w:t>
      </w:r>
      <w:r w:rsidR="00D11EF7">
        <w:rPr>
          <w:lang w:val="en-US"/>
        </w:rPr>
        <w:t xml:space="preserve"> oil</w:t>
      </w:r>
      <w:r w:rsidR="009C2A38">
        <w:rPr>
          <w:lang w:val="en-US"/>
        </w:rPr>
        <w:t xml:space="preserve"> &amp; </w:t>
      </w:r>
      <w:r w:rsidR="00D11EF7">
        <w:rPr>
          <w:lang w:val="en-US"/>
        </w:rPr>
        <w:t xml:space="preserve">gas firms and </w:t>
      </w:r>
      <w:r w:rsidR="0070655A">
        <w:rPr>
          <w:lang w:val="en-US"/>
        </w:rPr>
        <w:t>166</w:t>
      </w:r>
      <w:r w:rsidR="00D11EF7">
        <w:rPr>
          <w:lang w:val="en-US"/>
        </w:rPr>
        <w:t xml:space="preserve"> mining firms)</w:t>
      </w:r>
      <w:r>
        <w:rPr>
          <w:lang w:val="en-US"/>
        </w:rPr>
        <w:t xml:space="preserve"> for the following reasons: (1) missing annual reports; (2) annual reports not available in English; (3) exclusion of firms where an inspection of the annual report shows that they are not extractive firms</w:t>
      </w:r>
      <w:r w:rsidR="00BC6A2E">
        <w:rPr>
          <w:lang w:val="en-US"/>
        </w:rPr>
        <w:t xml:space="preserve"> or</w:t>
      </w:r>
      <w:r w:rsidR="00772EED">
        <w:rPr>
          <w:lang w:val="en-US"/>
        </w:rPr>
        <w:t xml:space="preserve"> </w:t>
      </w:r>
      <w:r w:rsidR="008A454F">
        <w:rPr>
          <w:lang w:val="en-US"/>
        </w:rPr>
        <w:t xml:space="preserve">do not </w:t>
      </w:r>
      <w:r w:rsidR="00772EED">
        <w:rPr>
          <w:lang w:val="en-US"/>
        </w:rPr>
        <w:t>use IFRS</w:t>
      </w:r>
      <w:r>
        <w:rPr>
          <w:lang w:val="en-US"/>
        </w:rPr>
        <w:t>;</w:t>
      </w:r>
      <w:r w:rsidR="00BC6A2E">
        <w:rPr>
          <w:lang w:val="en-US"/>
        </w:rPr>
        <w:t xml:space="preserve"> (4) exclusion of firms where we disagree with </w:t>
      </w:r>
      <w:proofErr w:type="spellStart"/>
      <w:r w:rsidR="00BC6A2E">
        <w:rPr>
          <w:lang w:val="en-US"/>
        </w:rPr>
        <w:t>Worldscope’s</w:t>
      </w:r>
      <w:proofErr w:type="spellEnd"/>
      <w:r w:rsidR="00BC6A2E">
        <w:rPr>
          <w:lang w:val="en-US"/>
        </w:rPr>
        <w:t xml:space="preserve"> </w:t>
      </w:r>
      <w:r w:rsidR="004D2E27">
        <w:rPr>
          <w:lang w:val="en-US"/>
        </w:rPr>
        <w:lastRenderedPageBreak/>
        <w:t>allo</w:t>
      </w:r>
      <w:r w:rsidR="00BC6A2E">
        <w:rPr>
          <w:lang w:val="en-US"/>
        </w:rPr>
        <w:t xml:space="preserve">cation of a firm to a particular country; </w:t>
      </w:r>
      <w:r>
        <w:rPr>
          <w:lang w:val="en-US"/>
        </w:rPr>
        <w:t>(</w:t>
      </w:r>
      <w:r w:rsidR="00BC6A2E">
        <w:rPr>
          <w:lang w:val="en-US"/>
        </w:rPr>
        <w:t>5</w:t>
      </w:r>
      <w:r>
        <w:rPr>
          <w:lang w:val="en-US"/>
        </w:rPr>
        <w:t>) exclusion of firms which are subsidiaries of other firms included in the sample; and (</w:t>
      </w:r>
      <w:r w:rsidR="00BC6A2E">
        <w:rPr>
          <w:lang w:val="en-US"/>
        </w:rPr>
        <w:t>6</w:t>
      </w:r>
      <w:r>
        <w:rPr>
          <w:lang w:val="en-US"/>
        </w:rPr>
        <w:t>) exclusion of duplicate firms (i.e. we delete</w:t>
      </w:r>
      <w:r w:rsidR="00F34243">
        <w:rPr>
          <w:lang w:val="en-US"/>
        </w:rPr>
        <w:t>d</w:t>
      </w:r>
      <w:r>
        <w:rPr>
          <w:lang w:val="en-US"/>
        </w:rPr>
        <w:t xml:space="preserve"> Rio Tinto from the Australian sample and BHP Billiton from the UK sample because both firms were in both samples).</w:t>
      </w:r>
    </w:p>
    <w:p w14:paraId="4DD812FE" w14:textId="3151D901" w:rsidR="004C6B55" w:rsidRDefault="00F34243" w:rsidP="000E6A99">
      <w:pPr>
        <w:rPr>
          <w:lang w:val="en-US"/>
        </w:rPr>
        <w:sectPr w:rsidR="004C6B55" w:rsidSect="00A427FF">
          <w:headerReference w:type="default" r:id="rId10"/>
          <w:headerReference w:type="first" r:id="rId11"/>
          <w:pgSz w:w="11906" w:h="16838"/>
          <w:pgMar w:top="1440" w:right="1440" w:bottom="1440" w:left="1440" w:header="709" w:footer="709" w:gutter="0"/>
          <w:cols w:space="708"/>
          <w:titlePg/>
          <w:docGrid w:linePitch="360"/>
        </w:sectPr>
      </w:pPr>
      <w:r>
        <w:rPr>
          <w:lang w:val="en-US"/>
        </w:rPr>
        <w:t>To gain further insights</w:t>
      </w:r>
      <w:r w:rsidR="000E6A99">
        <w:rPr>
          <w:lang w:val="en-US"/>
        </w:rPr>
        <w:t>, we also download</w:t>
      </w:r>
      <w:r>
        <w:rPr>
          <w:lang w:val="en-US"/>
        </w:rPr>
        <w:t>ed</w:t>
      </w:r>
      <w:r w:rsidR="000E6A99">
        <w:rPr>
          <w:lang w:val="en-US"/>
        </w:rPr>
        <w:t xml:space="preserve"> the annual reports of our sample firms for the accounting periods ending on </w:t>
      </w:r>
      <w:r w:rsidR="00586DA4">
        <w:rPr>
          <w:lang w:val="en-US"/>
        </w:rPr>
        <w:t xml:space="preserve">31 December 2005 or nearest after and </w:t>
      </w:r>
      <w:r w:rsidR="00293D98">
        <w:rPr>
          <w:lang w:val="en-US"/>
        </w:rPr>
        <w:t>31 December 2011 or nearest after (if available)</w:t>
      </w:r>
      <w:r w:rsidR="000E6A99">
        <w:rPr>
          <w:lang w:val="en-US"/>
        </w:rPr>
        <w:t>.</w:t>
      </w:r>
    </w:p>
    <w:p w14:paraId="0789DE41" w14:textId="1834ED68" w:rsidR="00571F4B" w:rsidRPr="00635636" w:rsidRDefault="00571F4B" w:rsidP="004A1BC6">
      <w:pPr>
        <w:pStyle w:val="Heading1"/>
        <w:spacing w:line="240" w:lineRule="auto"/>
        <w:rPr>
          <w:noProof/>
          <w:lang w:eastAsia="en-GB"/>
        </w:rPr>
      </w:pPr>
      <w:r w:rsidRPr="00592B4C">
        <w:rPr>
          <w:lang w:val="en-US"/>
        </w:rPr>
        <w:lastRenderedPageBreak/>
        <w:t>Figure 1</w:t>
      </w:r>
      <w:r>
        <w:rPr>
          <w:lang w:val="en-US"/>
        </w:rPr>
        <w:t>. A classification of some possible t</w:t>
      </w:r>
      <w:r w:rsidRPr="00635636">
        <w:rPr>
          <w:lang w:val="en-US"/>
        </w:rPr>
        <w:t>reatments for E&amp;E costs</w:t>
      </w:r>
    </w:p>
    <w:p w14:paraId="4F200FD2" w14:textId="1BCE8F51" w:rsidR="00571F4B" w:rsidRPr="007D4D01" w:rsidRDefault="00F750AD" w:rsidP="00571F4B">
      <w:pPr>
        <w:ind w:firstLine="0"/>
        <w:rPr>
          <w:b/>
          <w:bCs/>
        </w:rPr>
      </w:pPr>
      <w:r>
        <w:rPr>
          <w:b/>
          <w:bCs/>
          <w:noProof/>
          <w:lang w:eastAsia="en-GB"/>
        </w:rPr>
        <w:drawing>
          <wp:inline distT="0" distB="0" distL="0" distR="0" wp14:anchorId="3DC5A9C1" wp14:editId="7EC505C7">
            <wp:extent cx="8864221" cy="41986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568" cy="4211575"/>
                    </a:xfrm>
                    <a:prstGeom prst="rect">
                      <a:avLst/>
                    </a:prstGeom>
                    <a:noFill/>
                  </pic:spPr>
                </pic:pic>
              </a:graphicData>
            </a:graphic>
          </wp:inline>
        </w:drawing>
      </w:r>
    </w:p>
    <w:p w14:paraId="1D4AAD90" w14:textId="0F4A092F" w:rsidR="004C6B55" w:rsidRDefault="00571F4B" w:rsidP="004A1BC6">
      <w:pPr>
        <w:pStyle w:val="TableFootnote"/>
        <w:sectPr w:rsidR="004C6B55" w:rsidSect="004A1BC6">
          <w:headerReference w:type="default" r:id="rId13"/>
          <w:headerReference w:type="first" r:id="rId14"/>
          <w:pgSz w:w="16838" w:h="11906" w:orient="landscape"/>
          <w:pgMar w:top="1440" w:right="1440" w:bottom="1440" w:left="1440" w:header="709" w:footer="709" w:gutter="0"/>
          <w:cols w:space="708"/>
          <w:titlePg/>
          <w:docGrid w:linePitch="360"/>
        </w:sectPr>
      </w:pPr>
      <w:r w:rsidRPr="00580825">
        <w:rPr>
          <w:noProof/>
          <w:lang w:val="en-GB" w:eastAsia="en-GB"/>
        </w:rPr>
        <mc:AlternateContent>
          <mc:Choice Requires="wps">
            <w:drawing>
              <wp:anchor distT="0" distB="0" distL="114300" distR="114300" simplePos="0" relativeHeight="251850752" behindDoc="0" locked="0" layoutInCell="1" allowOverlap="1" wp14:anchorId="363FCEAF" wp14:editId="48E8DF5F">
                <wp:simplePos x="0" y="0"/>
                <wp:positionH relativeFrom="column">
                  <wp:posOffset>5962650</wp:posOffset>
                </wp:positionH>
                <wp:positionV relativeFrom="paragraph">
                  <wp:posOffset>2952750</wp:posOffset>
                </wp:positionV>
                <wp:extent cx="828000" cy="1018800"/>
                <wp:effectExtent l="0" t="0" r="0" b="0"/>
                <wp:wrapNone/>
                <wp:docPr id="3" name="Rectangle 3"/>
                <wp:cNvGraphicFramePr/>
                <a:graphic xmlns:a="http://schemas.openxmlformats.org/drawingml/2006/main">
                  <a:graphicData uri="http://schemas.microsoft.com/office/word/2010/wordprocessingShape">
                    <wps:wsp>
                      <wps:cNvSpPr/>
                      <wps:spPr>
                        <a:xfrm>
                          <a:off x="0" y="0"/>
                          <a:ext cx="828000" cy="101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098F1E" id="Rectangle 3" o:spid="_x0000_s1026" style="position:absolute;margin-left:469.5pt;margin-top:232.5pt;width:65.2pt;height:80.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" filled="f" stroked="f" strokeweight="1pt"/>
            </w:pict>
          </mc:Fallback>
        </mc:AlternateContent>
      </w:r>
      <w:r w:rsidRPr="00580825">
        <w:t xml:space="preserve">Note: </w:t>
      </w:r>
      <w:bookmarkStart w:id="1" w:name="_Hlk65749266"/>
      <w:r w:rsidRPr="003573A2">
        <w:t>This classification is loosely based on decreasing conservatism, considering two dimensions: the scope of deferred costs and the size of pool for testing impairment</w:t>
      </w:r>
      <w:bookmarkEnd w:id="1"/>
      <w:r w:rsidRPr="003573A2">
        <w:t xml:space="preserve">. </w:t>
      </w:r>
    </w:p>
    <w:p w14:paraId="0E537AC2" w14:textId="264F1B3B" w:rsidR="00FD1ACB" w:rsidRPr="00406068" w:rsidRDefault="00936A3A" w:rsidP="00516EF5">
      <w:pPr>
        <w:pStyle w:val="Heading1"/>
        <w:pageBreakBefore/>
      </w:pPr>
      <w:r>
        <w:lastRenderedPageBreak/>
        <w:t>Table 1</w:t>
      </w:r>
      <w:r w:rsidR="00571F4B">
        <w:t>.</w:t>
      </w:r>
      <w:r>
        <w:t xml:space="preserve"> </w:t>
      </w:r>
      <w:r w:rsidR="00044132">
        <w:t>E</w:t>
      </w:r>
      <w:r w:rsidR="00FF10F6" w:rsidRPr="00406068">
        <w:t>xamples of policies</w:t>
      </w:r>
      <w:r w:rsidR="00AD0E99">
        <w:t xml:space="preserve"> for E&amp;E costs</w:t>
      </w:r>
      <w:r w:rsidR="00FF10F6" w:rsidRPr="00406068">
        <w:t xml:space="preserve"> from IFRS annual reports</w:t>
      </w:r>
    </w:p>
    <w:tbl>
      <w:tblPr>
        <w:tblStyle w:val="TableGridLigh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273"/>
        <w:gridCol w:w="5811"/>
      </w:tblGrid>
      <w:tr w:rsidR="00E4493A" w:rsidRPr="00E4493A" w14:paraId="33E17D51" w14:textId="77777777" w:rsidTr="00E4493A">
        <w:tc>
          <w:tcPr>
            <w:tcW w:w="988" w:type="dxa"/>
            <w:tcBorders>
              <w:top w:val="single" w:sz="4" w:space="0" w:color="auto"/>
              <w:bottom w:val="single" w:sz="4" w:space="0" w:color="auto"/>
            </w:tcBorders>
            <w:tcMar>
              <w:left w:w="57" w:type="dxa"/>
              <w:right w:w="57" w:type="dxa"/>
            </w:tcMar>
          </w:tcPr>
          <w:p w14:paraId="670B0098" w14:textId="77777777" w:rsidR="00FD1ACB" w:rsidRPr="00E355D3" w:rsidRDefault="00FD1ACB" w:rsidP="002001F7">
            <w:pPr>
              <w:pStyle w:val="Table"/>
              <w:rPr>
                <w:rFonts w:cstheme="minorHAnsi"/>
                <w:b/>
              </w:rPr>
            </w:pPr>
            <w:r w:rsidRPr="00E4493A">
              <w:rPr>
                <w:rFonts w:cstheme="minorHAnsi"/>
                <w:b/>
                <w:bCs w:val="0"/>
              </w:rPr>
              <w:t>Method</w:t>
            </w:r>
          </w:p>
        </w:tc>
        <w:tc>
          <w:tcPr>
            <w:tcW w:w="2273" w:type="dxa"/>
            <w:tcBorders>
              <w:top w:val="single" w:sz="4" w:space="0" w:color="auto"/>
              <w:bottom w:val="single" w:sz="4" w:space="0" w:color="auto"/>
            </w:tcBorders>
            <w:tcMar>
              <w:left w:w="57" w:type="dxa"/>
              <w:right w:w="57" w:type="dxa"/>
            </w:tcMar>
          </w:tcPr>
          <w:p w14:paraId="2C22B3CB" w14:textId="77777777" w:rsidR="00FD1ACB" w:rsidRPr="009A4391" w:rsidRDefault="00FD1ACB" w:rsidP="002001F7">
            <w:pPr>
              <w:pStyle w:val="Table"/>
              <w:rPr>
                <w:rFonts w:cstheme="minorHAnsi"/>
                <w:b/>
              </w:rPr>
            </w:pPr>
            <w:r w:rsidRPr="009A4391">
              <w:rPr>
                <w:rFonts w:cstheme="minorHAnsi"/>
                <w:b/>
                <w:bCs w:val="0"/>
              </w:rPr>
              <w:t>Policy</w:t>
            </w:r>
          </w:p>
        </w:tc>
        <w:tc>
          <w:tcPr>
            <w:tcW w:w="5811" w:type="dxa"/>
            <w:tcBorders>
              <w:top w:val="single" w:sz="4" w:space="0" w:color="auto"/>
              <w:bottom w:val="single" w:sz="4" w:space="0" w:color="auto"/>
            </w:tcBorders>
            <w:tcMar>
              <w:left w:w="57" w:type="dxa"/>
              <w:right w:w="57" w:type="dxa"/>
            </w:tcMar>
          </w:tcPr>
          <w:p w14:paraId="4A582DCA" w14:textId="0ED5FC11" w:rsidR="00FD1ACB" w:rsidRPr="004A405D" w:rsidRDefault="00062B34" w:rsidP="002001F7">
            <w:pPr>
              <w:pStyle w:val="Table"/>
              <w:rPr>
                <w:rFonts w:cstheme="minorHAnsi"/>
                <w:b/>
              </w:rPr>
            </w:pPr>
            <w:r w:rsidRPr="004A405D">
              <w:rPr>
                <w:rFonts w:cstheme="minorHAnsi"/>
                <w:b/>
                <w:bCs w:val="0"/>
              </w:rPr>
              <w:t>Example</w:t>
            </w:r>
          </w:p>
        </w:tc>
      </w:tr>
      <w:tr w:rsidR="00E4493A" w:rsidRPr="00E4493A" w14:paraId="63D64717" w14:textId="77777777" w:rsidTr="00E4493A">
        <w:tc>
          <w:tcPr>
            <w:tcW w:w="988" w:type="dxa"/>
            <w:tcBorders>
              <w:top w:val="single" w:sz="4" w:space="0" w:color="auto"/>
              <w:bottom w:val="single" w:sz="4" w:space="0" w:color="auto"/>
            </w:tcBorders>
            <w:tcMar>
              <w:left w:w="57" w:type="dxa"/>
              <w:right w:w="57" w:type="dxa"/>
            </w:tcMar>
          </w:tcPr>
          <w:p w14:paraId="21D92732" w14:textId="4E21DE65" w:rsidR="00FD1ACB" w:rsidRPr="009A4391" w:rsidRDefault="00FD1ACB" w:rsidP="002001F7">
            <w:pPr>
              <w:pStyle w:val="Table"/>
              <w:rPr>
                <w:rFonts w:cstheme="minorHAnsi"/>
              </w:rPr>
            </w:pPr>
            <w:r w:rsidRPr="009A4391">
              <w:rPr>
                <w:rFonts w:cstheme="minorHAnsi"/>
              </w:rPr>
              <w:t>1.</w:t>
            </w:r>
          </w:p>
        </w:tc>
        <w:tc>
          <w:tcPr>
            <w:tcW w:w="2273" w:type="dxa"/>
            <w:tcBorders>
              <w:top w:val="single" w:sz="4" w:space="0" w:color="auto"/>
              <w:bottom w:val="single" w:sz="4" w:space="0" w:color="auto"/>
            </w:tcBorders>
            <w:tcMar>
              <w:left w:w="57" w:type="dxa"/>
              <w:right w:w="57" w:type="dxa"/>
            </w:tcMar>
          </w:tcPr>
          <w:p w14:paraId="71227931" w14:textId="045D950C" w:rsidR="00FD1ACB" w:rsidRPr="004E11BF" w:rsidRDefault="00FD1ACB" w:rsidP="002001F7">
            <w:pPr>
              <w:pStyle w:val="Table"/>
              <w:rPr>
                <w:rFonts w:cstheme="minorHAnsi"/>
              </w:rPr>
            </w:pPr>
            <w:r w:rsidRPr="004A405D">
              <w:rPr>
                <w:rFonts w:cstheme="minorHAnsi"/>
              </w:rPr>
              <w:t>Expense all costs related to E&amp;E</w:t>
            </w:r>
          </w:p>
        </w:tc>
        <w:tc>
          <w:tcPr>
            <w:tcW w:w="5811" w:type="dxa"/>
            <w:tcBorders>
              <w:top w:val="single" w:sz="4" w:space="0" w:color="auto"/>
              <w:bottom w:val="single" w:sz="4" w:space="0" w:color="auto"/>
            </w:tcBorders>
            <w:tcMar>
              <w:left w:w="57" w:type="dxa"/>
              <w:right w:w="57" w:type="dxa"/>
            </w:tcMar>
          </w:tcPr>
          <w:p w14:paraId="51B15F3B" w14:textId="459B2508" w:rsidR="00E4493A" w:rsidRPr="009A4391" w:rsidRDefault="00BE407C" w:rsidP="002001F7">
            <w:pPr>
              <w:pStyle w:val="Table"/>
              <w:rPr>
                <w:rFonts w:cstheme="minorHAnsi"/>
              </w:rPr>
            </w:pPr>
            <w:r>
              <w:rPr>
                <w:rFonts w:cstheme="minorHAnsi"/>
              </w:rPr>
              <w:t>‘</w:t>
            </w:r>
            <w:r w:rsidR="00185560" w:rsidRPr="00E4493A">
              <w:rPr>
                <w:rFonts w:cstheme="minorHAnsi"/>
              </w:rPr>
              <w:t>The expenditures include acquisition of rights to explore, topographical, geological, geochemical and geophysical studies, exploratory drilling, trenching, sampling, activities in relation to evaluating the technical feasibility and commercial viability of extracting mineral resources. These costs are expensed as incurred.</w:t>
            </w:r>
            <w:r>
              <w:rPr>
                <w:rFonts w:cstheme="minorHAnsi"/>
              </w:rPr>
              <w:t>’</w:t>
            </w:r>
          </w:p>
          <w:p w14:paraId="04F27099" w14:textId="44173BBB" w:rsidR="00FD1ACB" w:rsidRPr="00516EF5" w:rsidRDefault="002B7F8E" w:rsidP="002001F7">
            <w:pPr>
              <w:pStyle w:val="Table"/>
              <w:rPr>
                <w:rFonts w:cstheme="minorHAnsi"/>
              </w:rPr>
            </w:pPr>
            <w:r w:rsidRPr="004A405D">
              <w:rPr>
                <w:rFonts w:cstheme="minorHAnsi"/>
              </w:rPr>
              <w:t>(</w:t>
            </w:r>
            <w:proofErr w:type="spellStart"/>
            <w:r w:rsidR="00185560" w:rsidRPr="004A405D">
              <w:rPr>
                <w:rFonts w:cstheme="minorHAnsi"/>
              </w:rPr>
              <w:t>Evraz</w:t>
            </w:r>
            <w:proofErr w:type="spellEnd"/>
            <w:r w:rsidR="00185560" w:rsidRPr="00516EF5">
              <w:rPr>
                <w:rFonts w:cstheme="minorHAnsi"/>
              </w:rPr>
              <w:t>, 2017</w:t>
            </w:r>
            <w:r w:rsidR="00FA54B7">
              <w:rPr>
                <w:rFonts w:cstheme="minorHAnsi"/>
              </w:rPr>
              <w:t xml:space="preserve"> Annual Report &amp; Accounts</w:t>
            </w:r>
            <w:r w:rsidR="00185560" w:rsidRPr="00516EF5">
              <w:rPr>
                <w:rFonts w:cstheme="minorHAnsi"/>
              </w:rPr>
              <w:t>, p.172</w:t>
            </w:r>
            <w:r w:rsidR="00ED3F07">
              <w:rPr>
                <w:rFonts w:cstheme="minorHAnsi"/>
              </w:rPr>
              <w:t>;</w:t>
            </w:r>
            <w:r w:rsidR="00DD4AB3" w:rsidRPr="004E11BF">
              <w:rPr>
                <w:rFonts w:cstheme="minorHAnsi"/>
              </w:rPr>
              <w:t xml:space="preserve"> </w:t>
            </w:r>
            <w:r w:rsidR="00DD4AB3" w:rsidRPr="00516EF5">
              <w:rPr>
                <w:rFonts w:cstheme="minorHAnsi"/>
              </w:rPr>
              <w:t>UK</w:t>
            </w:r>
            <w:r w:rsidR="00185560" w:rsidRPr="00516EF5">
              <w:rPr>
                <w:rFonts w:cstheme="minorHAnsi"/>
              </w:rPr>
              <w:t>)</w:t>
            </w:r>
          </w:p>
        </w:tc>
      </w:tr>
      <w:tr w:rsidR="00E4493A" w:rsidRPr="00E4493A" w14:paraId="1AE6B836" w14:textId="77777777" w:rsidTr="00E4493A">
        <w:tc>
          <w:tcPr>
            <w:tcW w:w="988" w:type="dxa"/>
            <w:tcBorders>
              <w:top w:val="single" w:sz="4" w:space="0" w:color="auto"/>
              <w:bottom w:val="single" w:sz="4" w:space="0" w:color="auto"/>
            </w:tcBorders>
            <w:tcMar>
              <w:left w:w="57" w:type="dxa"/>
              <w:right w:w="57" w:type="dxa"/>
            </w:tcMar>
          </w:tcPr>
          <w:p w14:paraId="2E722F53" w14:textId="77777777" w:rsidR="00FD1ACB" w:rsidRPr="009A4391" w:rsidRDefault="00FD1ACB" w:rsidP="002001F7">
            <w:pPr>
              <w:pStyle w:val="Table"/>
              <w:rPr>
                <w:rFonts w:cstheme="minorHAnsi"/>
              </w:rPr>
            </w:pPr>
            <w:r w:rsidRPr="009A4391">
              <w:rPr>
                <w:rFonts w:cstheme="minorHAnsi"/>
              </w:rPr>
              <w:t>2.</w:t>
            </w:r>
          </w:p>
        </w:tc>
        <w:tc>
          <w:tcPr>
            <w:tcW w:w="2273" w:type="dxa"/>
            <w:tcBorders>
              <w:top w:val="single" w:sz="4" w:space="0" w:color="auto"/>
              <w:bottom w:val="single" w:sz="4" w:space="0" w:color="auto"/>
            </w:tcBorders>
            <w:tcMar>
              <w:left w:w="57" w:type="dxa"/>
              <w:right w:w="57" w:type="dxa"/>
            </w:tcMar>
          </w:tcPr>
          <w:p w14:paraId="0567DDEE" w14:textId="464D1D56" w:rsidR="00FD1ACB" w:rsidRPr="004E11BF" w:rsidRDefault="00FD1ACB" w:rsidP="002001F7">
            <w:pPr>
              <w:pStyle w:val="Table"/>
              <w:rPr>
                <w:rFonts w:cstheme="minorHAnsi"/>
              </w:rPr>
            </w:pPr>
            <w:r w:rsidRPr="004A405D">
              <w:rPr>
                <w:rFonts w:cstheme="minorHAnsi"/>
              </w:rPr>
              <w:t>Expense all costs except acquisitions</w:t>
            </w:r>
          </w:p>
        </w:tc>
        <w:tc>
          <w:tcPr>
            <w:tcW w:w="5811" w:type="dxa"/>
            <w:tcBorders>
              <w:top w:val="single" w:sz="4" w:space="0" w:color="auto"/>
              <w:bottom w:val="single" w:sz="4" w:space="0" w:color="auto"/>
            </w:tcBorders>
            <w:tcMar>
              <w:left w:w="57" w:type="dxa"/>
              <w:right w:w="57" w:type="dxa"/>
            </w:tcMar>
          </w:tcPr>
          <w:p w14:paraId="25C72F06" w14:textId="4FEDC86A" w:rsidR="00E4493A" w:rsidRPr="00516EF5" w:rsidRDefault="00BE407C" w:rsidP="002001F7">
            <w:pPr>
              <w:pStyle w:val="Table"/>
              <w:rPr>
                <w:rFonts w:cstheme="minorHAnsi"/>
              </w:rPr>
            </w:pPr>
            <w:r>
              <w:rPr>
                <w:rFonts w:cstheme="minorHAnsi"/>
              </w:rPr>
              <w:t>‘</w:t>
            </w:r>
            <w:r w:rsidR="00185560" w:rsidRPr="00F979C7">
              <w:rPr>
                <w:rFonts w:cstheme="minorHAnsi"/>
              </w:rPr>
              <w:t xml:space="preserve">The exploration and evaluation expenditure accounting policy is to expense expenditure as incurred other than for the </w:t>
            </w:r>
            <w:proofErr w:type="spellStart"/>
            <w:r w:rsidR="00185560" w:rsidRPr="00F979C7">
              <w:rPr>
                <w:rFonts w:cstheme="minorHAnsi"/>
              </w:rPr>
              <w:t>capitalisation</w:t>
            </w:r>
            <w:proofErr w:type="spellEnd"/>
            <w:r w:rsidR="00185560" w:rsidRPr="00F979C7">
              <w:rPr>
                <w:rFonts w:cstheme="minorHAnsi"/>
              </w:rPr>
              <w:t xml:space="preserve"> of acquisition costs.</w:t>
            </w:r>
            <w:r>
              <w:rPr>
                <w:rFonts w:cstheme="minorHAnsi"/>
              </w:rPr>
              <w:t>’</w:t>
            </w:r>
          </w:p>
          <w:p w14:paraId="78602134" w14:textId="2AD30026" w:rsidR="00FD1ACB" w:rsidRPr="00516EF5" w:rsidRDefault="002B7F8E" w:rsidP="002001F7">
            <w:pPr>
              <w:pStyle w:val="Table"/>
              <w:rPr>
                <w:rFonts w:cstheme="minorHAnsi"/>
              </w:rPr>
            </w:pPr>
            <w:r w:rsidRPr="00516EF5">
              <w:rPr>
                <w:rFonts w:cstheme="minorHAnsi"/>
              </w:rPr>
              <w:t>(</w:t>
            </w:r>
            <w:r w:rsidR="00FD1ACB" w:rsidRPr="00516EF5">
              <w:rPr>
                <w:rFonts w:cstheme="minorHAnsi"/>
              </w:rPr>
              <w:t>Emer</w:t>
            </w:r>
            <w:r w:rsidR="00185560" w:rsidRPr="00516EF5">
              <w:rPr>
                <w:rFonts w:cstheme="minorHAnsi"/>
              </w:rPr>
              <w:t>ald Resources, 201</w:t>
            </w:r>
            <w:r w:rsidR="00733B44">
              <w:rPr>
                <w:rFonts w:cstheme="minorHAnsi"/>
              </w:rPr>
              <w:t>8 Annual Report</w:t>
            </w:r>
            <w:r w:rsidR="00185560" w:rsidRPr="00516EF5">
              <w:rPr>
                <w:rFonts w:cstheme="minorHAnsi"/>
              </w:rPr>
              <w:t>,</w:t>
            </w:r>
            <w:r w:rsidR="000C66EF" w:rsidRPr="00516EF5">
              <w:rPr>
                <w:rFonts w:cstheme="minorHAnsi"/>
              </w:rPr>
              <w:t xml:space="preserve"> p.</w:t>
            </w:r>
            <w:r w:rsidR="00185560" w:rsidRPr="00516EF5">
              <w:rPr>
                <w:rFonts w:cstheme="minorHAnsi"/>
              </w:rPr>
              <w:t>35</w:t>
            </w:r>
            <w:r w:rsidR="00ED3F07">
              <w:rPr>
                <w:rFonts w:cstheme="minorHAnsi"/>
              </w:rPr>
              <w:t>;</w:t>
            </w:r>
            <w:r w:rsidR="00DD4AB3" w:rsidRPr="00516EF5">
              <w:rPr>
                <w:rFonts w:cstheme="minorHAnsi"/>
              </w:rPr>
              <w:t xml:space="preserve"> Australia</w:t>
            </w:r>
            <w:r w:rsidR="00FD1ACB" w:rsidRPr="00516EF5">
              <w:rPr>
                <w:rFonts w:cstheme="minorHAnsi"/>
              </w:rPr>
              <w:t>)</w:t>
            </w:r>
          </w:p>
        </w:tc>
      </w:tr>
      <w:tr w:rsidR="00E4493A" w:rsidRPr="00E4493A" w14:paraId="6A36426D" w14:textId="77777777" w:rsidTr="00E4493A">
        <w:tc>
          <w:tcPr>
            <w:tcW w:w="988" w:type="dxa"/>
            <w:tcBorders>
              <w:top w:val="single" w:sz="4" w:space="0" w:color="auto"/>
              <w:bottom w:val="single" w:sz="4" w:space="0" w:color="auto"/>
            </w:tcBorders>
            <w:tcMar>
              <w:left w:w="57" w:type="dxa"/>
              <w:right w:w="57" w:type="dxa"/>
            </w:tcMar>
          </w:tcPr>
          <w:p w14:paraId="2035ADE3" w14:textId="77777777" w:rsidR="00FD1ACB" w:rsidRPr="009A4391" w:rsidRDefault="00FD1ACB" w:rsidP="002001F7">
            <w:pPr>
              <w:pStyle w:val="Table"/>
              <w:rPr>
                <w:rFonts w:cstheme="minorHAnsi"/>
              </w:rPr>
            </w:pPr>
            <w:r w:rsidRPr="009A4391">
              <w:rPr>
                <w:rFonts w:cstheme="minorHAnsi"/>
              </w:rPr>
              <w:t>3.</w:t>
            </w:r>
          </w:p>
        </w:tc>
        <w:tc>
          <w:tcPr>
            <w:tcW w:w="2273" w:type="dxa"/>
            <w:tcBorders>
              <w:top w:val="single" w:sz="4" w:space="0" w:color="auto"/>
              <w:bottom w:val="single" w:sz="4" w:space="0" w:color="auto"/>
            </w:tcBorders>
            <w:tcMar>
              <w:left w:w="57" w:type="dxa"/>
              <w:right w:w="57" w:type="dxa"/>
            </w:tcMar>
          </w:tcPr>
          <w:p w14:paraId="67DDE2F9" w14:textId="6C3485E7" w:rsidR="00FD1ACB" w:rsidRPr="004E11BF" w:rsidRDefault="00FD1ACB" w:rsidP="002001F7">
            <w:pPr>
              <w:pStyle w:val="Table"/>
              <w:rPr>
                <w:rFonts w:cstheme="minorHAnsi"/>
              </w:rPr>
            </w:pPr>
            <w:r w:rsidRPr="004A405D">
              <w:rPr>
                <w:rFonts w:cstheme="minorHAnsi"/>
              </w:rPr>
              <w:t xml:space="preserve">Expense exploration, but </w:t>
            </w:r>
            <w:proofErr w:type="spellStart"/>
            <w:r w:rsidRPr="004A405D">
              <w:rPr>
                <w:rFonts w:cstheme="minorHAnsi"/>
              </w:rPr>
              <w:t>capitali</w:t>
            </w:r>
            <w:r w:rsidR="000A1B3F">
              <w:rPr>
                <w:rFonts w:cstheme="minorHAnsi"/>
              </w:rPr>
              <w:t>s</w:t>
            </w:r>
            <w:r w:rsidRPr="004A405D">
              <w:rPr>
                <w:rFonts w:cstheme="minorHAnsi"/>
              </w:rPr>
              <w:t>e</w:t>
            </w:r>
            <w:proofErr w:type="spellEnd"/>
            <w:r w:rsidRPr="004A405D">
              <w:rPr>
                <w:rFonts w:cstheme="minorHAnsi"/>
              </w:rPr>
              <w:t xml:space="preserve"> costs incurred after an E&amp;E asset is appraised as viable</w:t>
            </w:r>
          </w:p>
        </w:tc>
        <w:tc>
          <w:tcPr>
            <w:tcW w:w="5811" w:type="dxa"/>
            <w:tcBorders>
              <w:top w:val="single" w:sz="4" w:space="0" w:color="auto"/>
              <w:bottom w:val="single" w:sz="4" w:space="0" w:color="auto"/>
            </w:tcBorders>
            <w:tcMar>
              <w:left w:w="57" w:type="dxa"/>
              <w:right w:w="57" w:type="dxa"/>
            </w:tcMar>
          </w:tcPr>
          <w:p w14:paraId="7539B8CE" w14:textId="3E4E01B2" w:rsidR="00DB35A2" w:rsidRDefault="00BE407C" w:rsidP="00C56E31">
            <w:pPr>
              <w:pStyle w:val="Table"/>
            </w:pPr>
            <w:r>
              <w:t>‘</w:t>
            </w:r>
            <w:r w:rsidR="00DB35A2" w:rsidRPr="00DB35A2">
              <w:t>Expenditure incurred on activities that precede exploration for and evaluation of mineral r</w:t>
            </w:r>
            <w:r w:rsidR="00DB35A2">
              <w:t xml:space="preserve">esources, being all expenditure </w:t>
            </w:r>
            <w:r w:rsidR="00DB35A2" w:rsidRPr="00DB35A2">
              <w:t>incurred prior to securing the legal rights to explore an area, is expensed i</w:t>
            </w:r>
            <w:r w:rsidR="00DB35A2">
              <w:t xml:space="preserve">mmediately. </w:t>
            </w:r>
            <w:r w:rsidR="00DB35A2" w:rsidRPr="00DB35A2">
              <w:t>Expenditure towards in-house exploration for and evaluation of potential mineral reserves for ea</w:t>
            </w:r>
            <w:r w:rsidR="00DB35A2">
              <w:t xml:space="preserve">ch area of interest is expensed </w:t>
            </w:r>
            <w:r w:rsidR="00DB35A2" w:rsidRPr="00DB35A2">
              <w:t>until it is considered probable that future economic ben</w:t>
            </w:r>
            <w:r w:rsidR="00DB35A2">
              <w:t xml:space="preserve">efit will arise through further </w:t>
            </w:r>
            <w:r w:rsidR="00DB35A2" w:rsidRPr="00DB35A2">
              <w:t>exploration and subsequent d</w:t>
            </w:r>
            <w:r w:rsidR="00DB35A2">
              <w:t xml:space="preserve">evelopment of the area of </w:t>
            </w:r>
            <w:r w:rsidR="00DB35A2" w:rsidRPr="00DB35A2">
              <w:t>interest or, alternatively, by its sale.</w:t>
            </w:r>
            <w:r>
              <w:t>’</w:t>
            </w:r>
          </w:p>
          <w:p w14:paraId="46594844" w14:textId="14C811CD" w:rsidR="00FD1ACB" w:rsidRPr="00516EF5" w:rsidRDefault="002B7F8E" w:rsidP="00C56E31">
            <w:pPr>
              <w:pStyle w:val="Table"/>
            </w:pPr>
            <w:r w:rsidRPr="00DB35A2">
              <w:t>(</w:t>
            </w:r>
            <w:proofErr w:type="spellStart"/>
            <w:r w:rsidR="00DB35A2" w:rsidRPr="00DB35A2">
              <w:t>Lonmin</w:t>
            </w:r>
            <w:proofErr w:type="spellEnd"/>
            <w:r w:rsidR="00DB35A2" w:rsidRPr="00DB35A2">
              <w:t>,</w:t>
            </w:r>
            <w:r w:rsidR="00FD1ACB" w:rsidRPr="00DB35A2">
              <w:t xml:space="preserve"> </w:t>
            </w:r>
            <w:r w:rsidR="00062B34" w:rsidRPr="00DB35A2">
              <w:t>201</w:t>
            </w:r>
            <w:r w:rsidR="00FA54B7">
              <w:t>8 Annual Report and Accounts</w:t>
            </w:r>
            <w:r w:rsidR="00062B34" w:rsidRPr="00DB35A2">
              <w:t xml:space="preserve">, </w:t>
            </w:r>
            <w:r w:rsidR="00DB35A2" w:rsidRPr="00DB35A2">
              <w:t>p.12</w:t>
            </w:r>
            <w:r w:rsidR="00062B34" w:rsidRPr="00DB35A2">
              <w:t>7</w:t>
            </w:r>
            <w:r w:rsidR="00ED3F07">
              <w:t>;</w:t>
            </w:r>
            <w:r w:rsidR="00DD4AB3" w:rsidRPr="00DB35A2">
              <w:t xml:space="preserve"> UK</w:t>
            </w:r>
            <w:r w:rsidR="00062B34" w:rsidRPr="00DB35A2">
              <w:t>)</w:t>
            </w:r>
            <w:r w:rsidR="00FD1ACB" w:rsidRPr="00516EF5">
              <w:t xml:space="preserve"> </w:t>
            </w:r>
          </w:p>
        </w:tc>
      </w:tr>
      <w:tr w:rsidR="00E4493A" w:rsidRPr="00E4493A" w14:paraId="0ECC22B1" w14:textId="77777777" w:rsidTr="00E4493A">
        <w:tc>
          <w:tcPr>
            <w:tcW w:w="988" w:type="dxa"/>
            <w:tcBorders>
              <w:top w:val="single" w:sz="4" w:space="0" w:color="auto"/>
              <w:bottom w:val="single" w:sz="4" w:space="0" w:color="auto"/>
            </w:tcBorders>
            <w:tcMar>
              <w:left w:w="57" w:type="dxa"/>
              <w:right w:w="57" w:type="dxa"/>
            </w:tcMar>
          </w:tcPr>
          <w:p w14:paraId="3E9F34C0" w14:textId="77777777" w:rsidR="00FD1ACB" w:rsidRPr="009A4391" w:rsidRDefault="00FD1ACB" w:rsidP="002001F7">
            <w:pPr>
              <w:pStyle w:val="Table"/>
              <w:rPr>
                <w:rFonts w:cstheme="minorHAnsi"/>
              </w:rPr>
            </w:pPr>
            <w:r w:rsidRPr="009A4391">
              <w:rPr>
                <w:rFonts w:cstheme="minorHAnsi"/>
              </w:rPr>
              <w:t>4.</w:t>
            </w:r>
          </w:p>
        </w:tc>
        <w:tc>
          <w:tcPr>
            <w:tcW w:w="2273" w:type="dxa"/>
            <w:tcBorders>
              <w:top w:val="single" w:sz="4" w:space="0" w:color="auto"/>
              <w:bottom w:val="single" w:sz="4" w:space="0" w:color="auto"/>
            </w:tcBorders>
            <w:tcMar>
              <w:left w:w="57" w:type="dxa"/>
              <w:right w:w="57" w:type="dxa"/>
            </w:tcMar>
          </w:tcPr>
          <w:p w14:paraId="7B766B81" w14:textId="608783D4" w:rsidR="00FD1ACB" w:rsidRPr="003C44E2" w:rsidRDefault="008412DE" w:rsidP="008E4581">
            <w:pPr>
              <w:pStyle w:val="Table"/>
              <w:rPr>
                <w:rFonts w:cstheme="minorHAnsi"/>
              </w:rPr>
            </w:pPr>
            <w:r>
              <w:rPr>
                <w:rFonts w:cstheme="minorHAnsi"/>
              </w:rPr>
              <w:t xml:space="preserve">Expense </w:t>
            </w:r>
            <w:r w:rsidR="00FD1ACB" w:rsidRPr="004A405D">
              <w:rPr>
                <w:rFonts w:cstheme="minorHAnsi"/>
              </w:rPr>
              <w:t xml:space="preserve">E&amp;E costs except drilling and evaluation, which are deferred until appraised for </w:t>
            </w:r>
            <w:r w:rsidR="00FD1ACB" w:rsidRPr="004E11BF">
              <w:rPr>
                <w:rFonts w:cstheme="minorHAnsi"/>
              </w:rPr>
              <w:t>viability; then expense the deferred costs unless related to a successful project</w:t>
            </w:r>
            <w:r w:rsidR="00FF10F6" w:rsidRPr="00F979C7">
              <w:rPr>
                <w:rFonts w:cstheme="minorHAnsi"/>
              </w:rPr>
              <w:t xml:space="preserve"> of mine/well or field/licen</w:t>
            </w:r>
            <w:r w:rsidR="00764D47">
              <w:rPr>
                <w:rFonts w:cstheme="minorHAnsi"/>
              </w:rPr>
              <w:t>s</w:t>
            </w:r>
            <w:r w:rsidR="00FF10F6" w:rsidRPr="00F979C7">
              <w:rPr>
                <w:rFonts w:cstheme="minorHAnsi"/>
              </w:rPr>
              <w:t>e</w:t>
            </w:r>
            <w:r w:rsidR="00FD1ACB" w:rsidRPr="00F979C7">
              <w:rPr>
                <w:rFonts w:cstheme="minorHAnsi"/>
              </w:rPr>
              <w:t xml:space="preserve"> [US ‘successful efforts’ method]</w:t>
            </w:r>
          </w:p>
        </w:tc>
        <w:tc>
          <w:tcPr>
            <w:tcW w:w="5811" w:type="dxa"/>
            <w:tcBorders>
              <w:top w:val="single" w:sz="4" w:space="0" w:color="auto"/>
              <w:bottom w:val="single" w:sz="4" w:space="0" w:color="auto"/>
            </w:tcBorders>
            <w:tcMar>
              <w:left w:w="57" w:type="dxa"/>
              <w:right w:w="57" w:type="dxa"/>
            </w:tcMar>
          </w:tcPr>
          <w:p w14:paraId="7B36923B" w14:textId="15BDB029" w:rsidR="00E4493A" w:rsidRPr="000234E4" w:rsidRDefault="000234E4" w:rsidP="00C56E31">
            <w:pPr>
              <w:pStyle w:val="Table"/>
            </w:pPr>
            <w:r>
              <w:t xml:space="preserve"> </w:t>
            </w:r>
            <w:r w:rsidR="00BE407C">
              <w:t>‘</w:t>
            </w:r>
            <w:r w:rsidRPr="000234E4">
              <w:t xml:space="preserve">Oil and natural gas exploration, appraisal and development expenditure is accounted for using the principles of the successful efforts method of accounting […] Exploration </w:t>
            </w:r>
            <w:proofErr w:type="spellStart"/>
            <w:r w:rsidRPr="000234E4">
              <w:t>licence</w:t>
            </w:r>
            <w:proofErr w:type="spellEnd"/>
            <w:r w:rsidRPr="000234E4">
              <w:t xml:space="preserve"> and leasehold property acquisition costs are capitalized within intangible assets […] Geological and geophysical exploration costs are recognized as an expense as incurred. Costs directly associated with an exploration well are initially capitalized as an intangible asset until the drilling of the well is complete and the results have been evaluated.</w:t>
            </w:r>
            <w:r w:rsidR="00BE407C">
              <w:t>’</w:t>
            </w:r>
          </w:p>
          <w:p w14:paraId="018963F3" w14:textId="2394D042" w:rsidR="00FD1ACB" w:rsidRPr="00516EF5" w:rsidRDefault="002B7F8E" w:rsidP="00E6221C">
            <w:pPr>
              <w:pStyle w:val="Table"/>
            </w:pPr>
            <w:r w:rsidRPr="00E4493A">
              <w:t>(</w:t>
            </w:r>
            <w:r w:rsidR="008412DE">
              <w:t>BP</w:t>
            </w:r>
            <w:r w:rsidR="009F19E5" w:rsidRPr="00516EF5">
              <w:t>, 2017</w:t>
            </w:r>
            <w:r w:rsidR="00FA54B7">
              <w:t xml:space="preserve"> Annual Report and Form 20-F</w:t>
            </w:r>
            <w:r w:rsidR="009F19E5" w:rsidRPr="00516EF5">
              <w:t>, p.</w:t>
            </w:r>
            <w:r w:rsidR="000C66EF" w:rsidRPr="00516EF5">
              <w:t>1</w:t>
            </w:r>
            <w:r w:rsidR="00FA54B7">
              <w:t>32</w:t>
            </w:r>
            <w:r w:rsidR="00ED3F07">
              <w:t>;</w:t>
            </w:r>
            <w:r w:rsidR="00DD4AB3" w:rsidRPr="00516EF5">
              <w:t xml:space="preserve"> UK</w:t>
            </w:r>
            <w:r w:rsidR="00FD1ACB" w:rsidRPr="00516EF5">
              <w:t>)</w:t>
            </w:r>
          </w:p>
        </w:tc>
      </w:tr>
      <w:tr w:rsidR="00E4493A" w:rsidRPr="00E4493A" w14:paraId="176E9018" w14:textId="77777777" w:rsidTr="00E4493A">
        <w:tc>
          <w:tcPr>
            <w:tcW w:w="988" w:type="dxa"/>
            <w:tcBorders>
              <w:top w:val="single" w:sz="4" w:space="0" w:color="auto"/>
              <w:bottom w:val="single" w:sz="4" w:space="0" w:color="auto"/>
            </w:tcBorders>
            <w:tcMar>
              <w:left w:w="57" w:type="dxa"/>
              <w:right w:w="57" w:type="dxa"/>
            </w:tcMar>
          </w:tcPr>
          <w:p w14:paraId="485BA9BB" w14:textId="77777777" w:rsidR="00FD1ACB" w:rsidRPr="009A4391" w:rsidRDefault="00FD1ACB" w:rsidP="002001F7">
            <w:pPr>
              <w:pStyle w:val="Table"/>
              <w:rPr>
                <w:rFonts w:cstheme="minorHAnsi"/>
              </w:rPr>
            </w:pPr>
            <w:r w:rsidRPr="009A4391">
              <w:rPr>
                <w:rFonts w:cstheme="minorHAnsi"/>
              </w:rPr>
              <w:t>5.</w:t>
            </w:r>
          </w:p>
        </w:tc>
        <w:tc>
          <w:tcPr>
            <w:tcW w:w="2273" w:type="dxa"/>
            <w:tcBorders>
              <w:top w:val="single" w:sz="4" w:space="0" w:color="auto"/>
              <w:bottom w:val="single" w:sz="4" w:space="0" w:color="auto"/>
            </w:tcBorders>
            <w:tcMar>
              <w:left w:w="57" w:type="dxa"/>
              <w:right w:w="57" w:type="dxa"/>
            </w:tcMar>
          </w:tcPr>
          <w:p w14:paraId="1E9EED46" w14:textId="43F041C0" w:rsidR="00FD1ACB" w:rsidRPr="004E11BF" w:rsidRDefault="00FD1ACB" w:rsidP="002001F7">
            <w:pPr>
              <w:pStyle w:val="Table"/>
              <w:rPr>
                <w:rFonts w:cstheme="minorHAnsi"/>
              </w:rPr>
            </w:pPr>
            <w:r w:rsidRPr="004A405D">
              <w:rPr>
                <w:rFonts w:cstheme="minorHAnsi"/>
              </w:rPr>
              <w:t>As 4, but widen the asset tested to geological area</w:t>
            </w:r>
          </w:p>
        </w:tc>
        <w:tc>
          <w:tcPr>
            <w:tcW w:w="5811" w:type="dxa"/>
            <w:tcBorders>
              <w:top w:val="single" w:sz="4" w:space="0" w:color="auto"/>
              <w:bottom w:val="single" w:sz="4" w:space="0" w:color="auto"/>
            </w:tcBorders>
            <w:tcMar>
              <w:left w:w="57" w:type="dxa"/>
              <w:right w:w="57" w:type="dxa"/>
            </w:tcMar>
          </w:tcPr>
          <w:p w14:paraId="533BC8C6" w14:textId="2C8357EC" w:rsidR="00186866" w:rsidRPr="00516EF5" w:rsidRDefault="00BE407C" w:rsidP="00C56E31">
            <w:pPr>
              <w:pStyle w:val="Table"/>
            </w:pPr>
            <w:r>
              <w:t>‘</w:t>
            </w:r>
            <w:r w:rsidR="00901D00" w:rsidRPr="00901D00">
              <w:t xml:space="preserve">The costs to acquire non-producing oil and gas properties or </w:t>
            </w:r>
            <w:proofErr w:type="spellStart"/>
            <w:r w:rsidR="00901D00" w:rsidRPr="00901D00">
              <w:t>licences</w:t>
            </w:r>
            <w:proofErr w:type="spellEnd"/>
            <w:r w:rsidR="00901D00" w:rsidRPr="00901D00">
              <w:t xml:space="preserve"> to explore, drill exploratory wells and the costs to</w:t>
            </w:r>
            <w:r w:rsidR="00901D00">
              <w:t xml:space="preserve"> </w:t>
            </w:r>
            <w:r w:rsidR="00901D00" w:rsidRPr="00901D00">
              <w:t>evaluate the commercial potential of underlying resources, including related borrowing costs, are initially capitalized as</w:t>
            </w:r>
            <w:r w:rsidR="00901D00">
              <w:t xml:space="preserve"> </w:t>
            </w:r>
            <w:r w:rsidR="00901D00" w:rsidRPr="00901D00">
              <w:t>Exploration and Evaluation assets. Certain exploration costs, including geological, geophysical and seismic expenditures and</w:t>
            </w:r>
            <w:r w:rsidR="00901D00">
              <w:t xml:space="preserve"> </w:t>
            </w:r>
            <w:r w:rsidR="00901D00" w:rsidRPr="00901D00">
              <w:t>delineation on oil sands properties, are charged to Exploration expense as incurred.</w:t>
            </w:r>
            <w:r w:rsidR="00901D00">
              <w:t xml:space="preserve"> […] </w:t>
            </w:r>
            <w:r w:rsidR="00901D00" w:rsidRPr="00901D00">
              <w:t>If an area or exploration well is no longer considered commercially</w:t>
            </w:r>
            <w:r w:rsidR="00901D00">
              <w:t xml:space="preserve"> </w:t>
            </w:r>
            <w:r w:rsidR="00901D00" w:rsidRPr="00901D00">
              <w:t>viable, the related capitalized costs are charged to Exploration expense.</w:t>
            </w:r>
            <w:r>
              <w:t>’</w:t>
            </w:r>
          </w:p>
          <w:p w14:paraId="52015033" w14:textId="4C18884F" w:rsidR="00186866" w:rsidRPr="00516EF5" w:rsidRDefault="00186866" w:rsidP="00C56E31">
            <w:pPr>
              <w:pStyle w:val="Table"/>
            </w:pPr>
            <w:r w:rsidRPr="00516EF5">
              <w:t>(</w:t>
            </w:r>
            <w:r w:rsidR="00901D00">
              <w:t>Suncor Energy</w:t>
            </w:r>
            <w:r w:rsidRPr="00516EF5">
              <w:t>, 201</w:t>
            </w:r>
            <w:r>
              <w:t>7 Annual Report</w:t>
            </w:r>
            <w:r w:rsidRPr="00516EF5">
              <w:t>, p.</w:t>
            </w:r>
            <w:r w:rsidR="00901D00">
              <w:t>87</w:t>
            </w:r>
            <w:r w:rsidR="00ED3F07">
              <w:t>;</w:t>
            </w:r>
            <w:r w:rsidR="00DD4AB3" w:rsidRPr="00E355D3">
              <w:t xml:space="preserve"> </w:t>
            </w:r>
            <w:r w:rsidR="00DD4AB3" w:rsidRPr="00516EF5">
              <w:t>Canada</w:t>
            </w:r>
            <w:r w:rsidRPr="00516EF5">
              <w:t>)</w:t>
            </w:r>
          </w:p>
        </w:tc>
      </w:tr>
      <w:tr w:rsidR="00E4493A" w:rsidRPr="00E4493A" w14:paraId="7AA53CF3" w14:textId="77777777" w:rsidTr="00E4493A">
        <w:tc>
          <w:tcPr>
            <w:tcW w:w="988" w:type="dxa"/>
            <w:tcBorders>
              <w:top w:val="single" w:sz="4" w:space="0" w:color="auto"/>
              <w:bottom w:val="single" w:sz="4" w:space="0" w:color="auto"/>
            </w:tcBorders>
            <w:tcMar>
              <w:left w:w="57" w:type="dxa"/>
              <w:right w:w="57" w:type="dxa"/>
            </w:tcMar>
          </w:tcPr>
          <w:p w14:paraId="079A9AD9" w14:textId="77777777" w:rsidR="00FD1ACB" w:rsidRPr="009A4391" w:rsidRDefault="00FD1ACB" w:rsidP="002001F7">
            <w:pPr>
              <w:pStyle w:val="Table"/>
              <w:rPr>
                <w:rFonts w:cstheme="minorHAnsi"/>
              </w:rPr>
            </w:pPr>
            <w:r w:rsidRPr="009A4391">
              <w:rPr>
                <w:rFonts w:cstheme="minorHAnsi"/>
              </w:rPr>
              <w:t>6.</w:t>
            </w:r>
          </w:p>
        </w:tc>
        <w:tc>
          <w:tcPr>
            <w:tcW w:w="2273" w:type="dxa"/>
            <w:tcBorders>
              <w:top w:val="single" w:sz="4" w:space="0" w:color="auto"/>
              <w:bottom w:val="single" w:sz="4" w:space="0" w:color="auto"/>
            </w:tcBorders>
            <w:tcMar>
              <w:left w:w="57" w:type="dxa"/>
              <w:right w:w="57" w:type="dxa"/>
            </w:tcMar>
          </w:tcPr>
          <w:p w14:paraId="51333E2A" w14:textId="443A4F16" w:rsidR="00FD1ACB" w:rsidRPr="004E11BF" w:rsidRDefault="00FD1ACB" w:rsidP="002001F7">
            <w:pPr>
              <w:pStyle w:val="Table"/>
              <w:rPr>
                <w:rFonts w:cstheme="minorHAnsi"/>
              </w:rPr>
            </w:pPr>
            <w:r w:rsidRPr="004A405D">
              <w:rPr>
                <w:rFonts w:cstheme="minorHAnsi"/>
              </w:rPr>
              <w:t xml:space="preserve">Defer all E&amp;E costs (incurred after obtaining legal rights) </w:t>
            </w:r>
            <w:r w:rsidRPr="004A405D">
              <w:rPr>
                <w:rFonts w:cstheme="minorHAnsi"/>
              </w:rPr>
              <w:lastRenderedPageBreak/>
              <w:t xml:space="preserve">until appraised for viability; then expense the deferred costs unless related to a successful </w:t>
            </w:r>
            <w:r w:rsidR="00FF10F6" w:rsidRPr="004E11BF">
              <w:rPr>
                <w:rFonts w:cstheme="minorHAnsi"/>
              </w:rPr>
              <w:t>project</w:t>
            </w:r>
          </w:p>
          <w:p w14:paraId="5F596659" w14:textId="77777777" w:rsidR="00FD1ACB" w:rsidRPr="00F979C7" w:rsidRDefault="00FD1ACB" w:rsidP="002001F7">
            <w:pPr>
              <w:pStyle w:val="Table"/>
              <w:rPr>
                <w:rFonts w:cstheme="minorHAnsi"/>
              </w:rPr>
            </w:pPr>
          </w:p>
        </w:tc>
        <w:tc>
          <w:tcPr>
            <w:tcW w:w="5811" w:type="dxa"/>
            <w:tcBorders>
              <w:top w:val="single" w:sz="4" w:space="0" w:color="auto"/>
              <w:bottom w:val="single" w:sz="4" w:space="0" w:color="auto"/>
            </w:tcBorders>
            <w:tcMar>
              <w:left w:w="57" w:type="dxa"/>
              <w:right w:w="57" w:type="dxa"/>
            </w:tcMar>
          </w:tcPr>
          <w:p w14:paraId="6F0401AE" w14:textId="7650ACE6" w:rsidR="00E4493A" w:rsidRPr="00E4493A" w:rsidRDefault="00BE407C" w:rsidP="00C56E31">
            <w:pPr>
              <w:pStyle w:val="Table"/>
            </w:pPr>
            <w:r>
              <w:lastRenderedPageBreak/>
              <w:t>‘</w:t>
            </w:r>
            <w:r w:rsidR="006363A9" w:rsidRPr="00E4493A">
              <w:t xml:space="preserve">Exploration and evaluation costs are </w:t>
            </w:r>
            <w:proofErr w:type="spellStart"/>
            <w:r w:rsidR="006363A9" w:rsidRPr="00E4493A">
              <w:t>capitalised</w:t>
            </w:r>
            <w:proofErr w:type="spellEnd"/>
            <w:r w:rsidR="006363A9" w:rsidRPr="00E4493A">
              <w:t xml:space="preserve"> on a project-by-project basis, pending determination of the technical feasibility and the commercial viability of the project. In </w:t>
            </w:r>
            <w:r w:rsidR="006363A9" w:rsidRPr="00E4493A">
              <w:lastRenderedPageBreak/>
              <w:t xml:space="preserve">accordance with IFRS 6, ‘Exploration for and Evaluation of Mineral Resources’, the Group allocates costs incurred to cash generating units (CGUs), which are projects, or groups of projects, which share a consistent profile and proximity. </w:t>
            </w:r>
            <w:r w:rsidR="00E4493A" w:rsidRPr="00E4493A">
              <w:t>[</w:t>
            </w:r>
            <w:r w:rsidR="006363A9" w:rsidRPr="00E4493A">
              <w:t>…</w:t>
            </w:r>
            <w:r w:rsidR="00E4493A" w:rsidRPr="00E4493A">
              <w:t>]</w:t>
            </w:r>
            <w:r w:rsidR="006363A9" w:rsidRPr="00E4493A">
              <w:t xml:space="preserve"> </w:t>
            </w:r>
            <w:proofErr w:type="spellStart"/>
            <w:r w:rsidR="006363A9" w:rsidRPr="00E4493A">
              <w:t>Capitalised</w:t>
            </w:r>
            <w:proofErr w:type="spellEnd"/>
            <w:r w:rsidR="006363A9" w:rsidRPr="00E4493A">
              <w:t xml:space="preserve"> costs include costs directly related to the exploration and evaluation activities in the CGU.</w:t>
            </w:r>
            <w:r w:rsidR="00733B44">
              <w:t xml:space="preserve"> […]</w:t>
            </w:r>
            <w:r w:rsidR="00E4493A" w:rsidRPr="00E4493A">
              <w:t xml:space="preserve"> </w:t>
            </w:r>
            <w:r w:rsidR="006363A9" w:rsidRPr="00E4493A">
              <w:t xml:space="preserve">Costs incurred before the legal rights are obtained to explore an area and costs relating to a relinquished or abandoned </w:t>
            </w:r>
            <w:proofErr w:type="spellStart"/>
            <w:r w:rsidR="006363A9" w:rsidRPr="00E4493A">
              <w:t>licence</w:t>
            </w:r>
            <w:proofErr w:type="spellEnd"/>
            <w:r w:rsidR="006363A9" w:rsidRPr="00E4493A">
              <w:t xml:space="preserve"> are </w:t>
            </w:r>
            <w:proofErr w:type="spellStart"/>
            <w:r w:rsidR="006363A9" w:rsidRPr="00E4493A">
              <w:t>recognised</w:t>
            </w:r>
            <w:proofErr w:type="spellEnd"/>
            <w:r w:rsidR="006363A9" w:rsidRPr="00E4493A">
              <w:t xml:space="preserve"> in profit or loss.</w:t>
            </w:r>
            <w:r>
              <w:t>’</w:t>
            </w:r>
          </w:p>
          <w:p w14:paraId="6251E403" w14:textId="72992425" w:rsidR="00FD1ACB" w:rsidRPr="00E4493A" w:rsidRDefault="00E4493A" w:rsidP="00C56E31">
            <w:pPr>
              <w:pStyle w:val="Table"/>
            </w:pPr>
            <w:r w:rsidRPr="00E4493A">
              <w:t>(</w:t>
            </w:r>
            <w:proofErr w:type="spellStart"/>
            <w:r w:rsidR="00362C35" w:rsidRPr="009A4391">
              <w:t>Uru</w:t>
            </w:r>
            <w:proofErr w:type="spellEnd"/>
            <w:r w:rsidR="00362C35" w:rsidRPr="009A4391">
              <w:t xml:space="preserve"> M</w:t>
            </w:r>
            <w:r w:rsidR="006363A9" w:rsidRPr="009A4391">
              <w:t>etals</w:t>
            </w:r>
            <w:r w:rsidR="006363A9" w:rsidRPr="00516EF5">
              <w:t>, 2018</w:t>
            </w:r>
            <w:r w:rsidR="00733B44">
              <w:t xml:space="preserve"> Annual Report</w:t>
            </w:r>
            <w:r w:rsidR="006363A9" w:rsidRPr="00516EF5">
              <w:t>, p.31</w:t>
            </w:r>
            <w:r w:rsidR="00ED3F07">
              <w:t>;</w:t>
            </w:r>
            <w:r w:rsidR="00DD4AB3" w:rsidRPr="004E11BF">
              <w:t xml:space="preserve"> </w:t>
            </w:r>
            <w:r w:rsidR="00DD4AB3" w:rsidRPr="00516EF5">
              <w:t>South Africa</w:t>
            </w:r>
            <w:r w:rsidR="006363A9" w:rsidRPr="00516EF5">
              <w:t>)</w:t>
            </w:r>
          </w:p>
        </w:tc>
      </w:tr>
      <w:tr w:rsidR="00E4493A" w:rsidRPr="00E4493A" w14:paraId="4193F85A" w14:textId="77777777" w:rsidTr="00E4493A">
        <w:tc>
          <w:tcPr>
            <w:tcW w:w="988" w:type="dxa"/>
            <w:tcBorders>
              <w:top w:val="single" w:sz="4" w:space="0" w:color="auto"/>
              <w:bottom w:val="single" w:sz="4" w:space="0" w:color="auto"/>
            </w:tcBorders>
            <w:tcMar>
              <w:left w:w="57" w:type="dxa"/>
              <w:right w:w="57" w:type="dxa"/>
            </w:tcMar>
          </w:tcPr>
          <w:p w14:paraId="30202BC4" w14:textId="77777777" w:rsidR="00FD1ACB" w:rsidRPr="009A4391" w:rsidRDefault="00FD1ACB" w:rsidP="002001F7">
            <w:pPr>
              <w:pStyle w:val="Table"/>
              <w:rPr>
                <w:rFonts w:cstheme="minorHAnsi"/>
              </w:rPr>
            </w:pPr>
            <w:r w:rsidRPr="009A4391">
              <w:rPr>
                <w:rFonts w:cstheme="minorHAnsi"/>
              </w:rPr>
              <w:lastRenderedPageBreak/>
              <w:t>7.</w:t>
            </w:r>
          </w:p>
        </w:tc>
        <w:tc>
          <w:tcPr>
            <w:tcW w:w="2273" w:type="dxa"/>
            <w:tcBorders>
              <w:top w:val="single" w:sz="4" w:space="0" w:color="auto"/>
              <w:bottom w:val="single" w:sz="4" w:space="0" w:color="auto"/>
            </w:tcBorders>
            <w:tcMar>
              <w:left w:w="57" w:type="dxa"/>
              <w:right w:w="57" w:type="dxa"/>
            </w:tcMar>
          </w:tcPr>
          <w:p w14:paraId="5AC7FC15" w14:textId="73174BB9" w:rsidR="00FD1ACB" w:rsidRPr="00F979C7" w:rsidRDefault="00FD1ACB" w:rsidP="002001F7">
            <w:pPr>
              <w:pStyle w:val="Table"/>
              <w:rPr>
                <w:rFonts w:cstheme="minorHAnsi"/>
              </w:rPr>
            </w:pPr>
            <w:r w:rsidRPr="004A405D">
              <w:rPr>
                <w:rFonts w:cstheme="minorHAnsi"/>
              </w:rPr>
              <w:t xml:space="preserve">As 6, but widen the pool </w:t>
            </w:r>
            <w:r w:rsidRPr="004E11BF">
              <w:rPr>
                <w:rFonts w:cstheme="minorHAnsi"/>
              </w:rPr>
              <w:t>tested to geological area</w:t>
            </w:r>
          </w:p>
        </w:tc>
        <w:tc>
          <w:tcPr>
            <w:tcW w:w="5811" w:type="dxa"/>
            <w:tcBorders>
              <w:top w:val="single" w:sz="4" w:space="0" w:color="auto"/>
              <w:bottom w:val="single" w:sz="4" w:space="0" w:color="auto"/>
            </w:tcBorders>
            <w:tcMar>
              <w:left w:w="57" w:type="dxa"/>
              <w:right w:w="57" w:type="dxa"/>
            </w:tcMar>
          </w:tcPr>
          <w:p w14:paraId="522C4DB1" w14:textId="1005F99B" w:rsidR="00E355D3" w:rsidRDefault="00BE407C" w:rsidP="00C56E31">
            <w:pPr>
              <w:pStyle w:val="Table"/>
            </w:pPr>
            <w:r>
              <w:t>‘</w:t>
            </w:r>
            <w:r w:rsidR="009F6E53" w:rsidRPr="00516EF5">
              <w:t>Exploration and evaluat</w:t>
            </w:r>
            <w:r w:rsidR="00B40283" w:rsidRPr="00516EF5">
              <w:t xml:space="preserve">ion </w:t>
            </w:r>
            <w:r w:rsidR="009F6E53" w:rsidRPr="00516EF5">
              <w:t>expenditure in respect of each area of interest is accounted for under the successful effo</w:t>
            </w:r>
            <w:r w:rsidR="00B40283" w:rsidRPr="00516EF5">
              <w:t xml:space="preserve">rts method. An area of interest </w:t>
            </w:r>
            <w:r w:rsidR="009F6E53" w:rsidRPr="00516EF5">
              <w:t xml:space="preserve">is an individual geological area which is considered to constitute a </w:t>
            </w:r>
            <w:proofErr w:type="spellStart"/>
            <w:r w:rsidR="009F6E53" w:rsidRPr="00516EF5">
              <w:t>favourable</w:t>
            </w:r>
            <w:proofErr w:type="spellEnd"/>
            <w:r w:rsidR="009F6E53" w:rsidRPr="00516EF5">
              <w:t xml:space="preserve"> environment for the presence of hydrocarbon</w:t>
            </w:r>
            <w:r w:rsidR="00E4493A" w:rsidRPr="00516EF5">
              <w:t xml:space="preserve"> </w:t>
            </w:r>
            <w:r w:rsidR="009F6E53" w:rsidRPr="00516EF5">
              <w:t>resources or has been pr</w:t>
            </w:r>
            <w:r w:rsidR="00B40283" w:rsidRPr="00516EF5">
              <w:t xml:space="preserve">oven to contain such resources. </w:t>
            </w:r>
            <w:r w:rsidR="009F6E53" w:rsidRPr="00516EF5">
              <w:t xml:space="preserve">Expenditure incurred prior to securing legal rights to explore an area is expensed. Exploration </w:t>
            </w:r>
            <w:proofErr w:type="spellStart"/>
            <w:r w:rsidR="009F6E53" w:rsidRPr="00516EF5">
              <w:t>lic</w:t>
            </w:r>
            <w:r w:rsidR="00BA5C7B" w:rsidRPr="00516EF5">
              <w:t>ence</w:t>
            </w:r>
            <w:proofErr w:type="spellEnd"/>
            <w:r w:rsidR="00BA5C7B" w:rsidRPr="00516EF5">
              <w:t xml:space="preserve"> acquisition costs relating </w:t>
            </w:r>
            <w:r w:rsidR="009F6E53" w:rsidRPr="00516EF5">
              <w:t>to established oil and gas exp</w:t>
            </w:r>
            <w:r w:rsidR="00B40283" w:rsidRPr="00516EF5">
              <w:t xml:space="preserve">loration areas are </w:t>
            </w:r>
            <w:proofErr w:type="spellStart"/>
            <w:r w:rsidR="00B40283" w:rsidRPr="00516EF5">
              <w:t>capitalised</w:t>
            </w:r>
            <w:proofErr w:type="spellEnd"/>
            <w:r w:rsidR="00B40283" w:rsidRPr="00516EF5">
              <w:t xml:space="preserve">. </w:t>
            </w:r>
            <w:r w:rsidR="009F6E53" w:rsidRPr="00516EF5">
              <w:t xml:space="preserve">The costs of drilling exploration wells are initially </w:t>
            </w:r>
            <w:proofErr w:type="spellStart"/>
            <w:r w:rsidR="009F6E53" w:rsidRPr="00516EF5">
              <w:t>capitalised</w:t>
            </w:r>
            <w:proofErr w:type="spellEnd"/>
            <w:r w:rsidR="009F6E53" w:rsidRPr="00516EF5">
              <w:t xml:space="preserve"> pending the results of the well. </w:t>
            </w:r>
            <w:r w:rsidR="00E4493A" w:rsidRPr="00516EF5">
              <w:t>[</w:t>
            </w:r>
            <w:r w:rsidR="00B40283" w:rsidRPr="00516EF5">
              <w:t>…</w:t>
            </w:r>
            <w:r w:rsidR="00E355D3">
              <w:t>]</w:t>
            </w:r>
            <w:r w:rsidR="00B40283" w:rsidRPr="00516EF5">
              <w:t xml:space="preserve"> </w:t>
            </w:r>
            <w:r w:rsidR="009F6E53" w:rsidRPr="00516EF5">
              <w:t>All other exploration and evaluation expenditure, including general administration costs, geological and geophysical costs and new</w:t>
            </w:r>
            <w:r w:rsidR="00E4493A" w:rsidRPr="00516EF5">
              <w:t xml:space="preserve"> </w:t>
            </w:r>
            <w:r w:rsidR="009F6E53" w:rsidRPr="00516EF5">
              <w:t>venture expenditure is expe</w:t>
            </w:r>
            <w:r w:rsidR="00B40283" w:rsidRPr="00516EF5">
              <w:t>nsed as incurred, except where:</w:t>
            </w:r>
          </w:p>
          <w:p w14:paraId="39F0727C" w14:textId="1DAABA43" w:rsidR="00E355D3" w:rsidRDefault="00E355D3" w:rsidP="00C56E31">
            <w:pPr>
              <w:pStyle w:val="Table"/>
            </w:pPr>
            <w:r w:rsidRPr="00A91E72">
              <w:t>•</w:t>
            </w:r>
            <w:r>
              <w:t xml:space="preserve"> </w:t>
            </w:r>
            <w:r w:rsidR="009F6E53" w:rsidRPr="00516EF5">
              <w:t>The expenditure relates to an exploration discovery for which, at balance date, an assessment of the existence or otherwise</w:t>
            </w:r>
            <w:r w:rsidR="00733B44">
              <w:t xml:space="preserve"> </w:t>
            </w:r>
            <w:r w:rsidR="009F6E53" w:rsidRPr="00516EF5">
              <w:t>of economically recoverable reserves is not yet complete; or</w:t>
            </w:r>
          </w:p>
          <w:p w14:paraId="204ACF18" w14:textId="50456123" w:rsidR="00E4493A" w:rsidRPr="00516EF5" w:rsidRDefault="00E355D3" w:rsidP="00C56E31">
            <w:pPr>
              <w:pStyle w:val="Table"/>
            </w:pPr>
            <w:r w:rsidRPr="00A91E72">
              <w:t>•</w:t>
            </w:r>
            <w:r w:rsidR="009F6E53" w:rsidRPr="00516EF5">
              <w:t xml:space="preserve"> The expenditure relates to an area of interest under which it is expected that the expenditure will</w:t>
            </w:r>
            <w:r w:rsidR="00B40283" w:rsidRPr="00516EF5">
              <w:t xml:space="preserve"> be recouped through successful </w:t>
            </w:r>
            <w:r w:rsidR="009F6E53" w:rsidRPr="00516EF5">
              <w:t>development and exploitation, or by sale.</w:t>
            </w:r>
            <w:r w:rsidR="00BE407C">
              <w:t>’</w:t>
            </w:r>
          </w:p>
          <w:p w14:paraId="451E9702" w14:textId="15612532" w:rsidR="00FD1ACB" w:rsidRPr="00516EF5" w:rsidRDefault="00E4493A" w:rsidP="00C56E31">
            <w:pPr>
              <w:pStyle w:val="Table"/>
            </w:pPr>
            <w:r w:rsidRPr="00516EF5">
              <w:t>(</w:t>
            </w:r>
            <w:proofErr w:type="spellStart"/>
            <w:r w:rsidR="00362C35" w:rsidRPr="00516EF5">
              <w:t>Oilex</w:t>
            </w:r>
            <w:proofErr w:type="spellEnd"/>
            <w:r w:rsidR="009F6E53" w:rsidRPr="00516EF5">
              <w:t>, 201</w:t>
            </w:r>
            <w:r w:rsidR="00733B44">
              <w:t>8 Annual Report</w:t>
            </w:r>
            <w:r w:rsidR="009F6E53" w:rsidRPr="00516EF5">
              <w:t>, p.50</w:t>
            </w:r>
            <w:r w:rsidR="00ED3F07">
              <w:t>;</w:t>
            </w:r>
            <w:r w:rsidR="00DD4AB3" w:rsidRPr="00516EF5">
              <w:t xml:space="preserve"> Australia</w:t>
            </w:r>
            <w:r w:rsidR="009F6E53" w:rsidRPr="00516EF5">
              <w:t>)</w:t>
            </w:r>
            <w:r w:rsidR="009F6E53" w:rsidRPr="00E4493A">
              <w:t xml:space="preserve"> </w:t>
            </w:r>
          </w:p>
        </w:tc>
      </w:tr>
      <w:tr w:rsidR="00E4493A" w:rsidRPr="00E4493A" w14:paraId="5CF3BEC0" w14:textId="77777777" w:rsidTr="00E4493A">
        <w:tc>
          <w:tcPr>
            <w:tcW w:w="988" w:type="dxa"/>
            <w:tcBorders>
              <w:top w:val="single" w:sz="4" w:space="0" w:color="auto"/>
              <w:bottom w:val="single" w:sz="4" w:space="0" w:color="auto"/>
            </w:tcBorders>
            <w:tcMar>
              <w:left w:w="57" w:type="dxa"/>
              <w:right w:w="57" w:type="dxa"/>
            </w:tcMar>
          </w:tcPr>
          <w:p w14:paraId="64AB5941" w14:textId="77777777" w:rsidR="00FD1ACB" w:rsidRPr="009A4391" w:rsidRDefault="00FD1ACB" w:rsidP="002001F7">
            <w:pPr>
              <w:pStyle w:val="Table"/>
              <w:rPr>
                <w:rFonts w:cstheme="minorHAnsi"/>
              </w:rPr>
            </w:pPr>
            <w:r w:rsidRPr="009A4391">
              <w:rPr>
                <w:rFonts w:cstheme="minorHAnsi"/>
              </w:rPr>
              <w:t>8.</w:t>
            </w:r>
          </w:p>
        </w:tc>
        <w:tc>
          <w:tcPr>
            <w:tcW w:w="2273" w:type="dxa"/>
            <w:tcBorders>
              <w:top w:val="single" w:sz="4" w:space="0" w:color="auto"/>
              <w:bottom w:val="single" w:sz="4" w:space="0" w:color="auto"/>
            </w:tcBorders>
            <w:tcMar>
              <w:left w:w="57" w:type="dxa"/>
              <w:right w:w="57" w:type="dxa"/>
            </w:tcMar>
          </w:tcPr>
          <w:p w14:paraId="4023027E" w14:textId="5FC0E467" w:rsidR="00FD1ACB" w:rsidRPr="004E11BF" w:rsidRDefault="00FD1ACB" w:rsidP="002001F7">
            <w:pPr>
              <w:pStyle w:val="Table"/>
              <w:rPr>
                <w:rFonts w:cstheme="minorHAnsi"/>
              </w:rPr>
            </w:pPr>
            <w:r w:rsidRPr="004A405D">
              <w:rPr>
                <w:rFonts w:cstheme="minorHAnsi"/>
              </w:rPr>
              <w:t xml:space="preserve">As 6, but widen the pool </w:t>
            </w:r>
            <w:r w:rsidR="00FF10F6" w:rsidRPr="004E11BF">
              <w:rPr>
                <w:rFonts w:cstheme="minorHAnsi"/>
              </w:rPr>
              <w:t>to country</w:t>
            </w:r>
          </w:p>
        </w:tc>
        <w:tc>
          <w:tcPr>
            <w:tcW w:w="5811" w:type="dxa"/>
            <w:tcBorders>
              <w:top w:val="single" w:sz="4" w:space="0" w:color="auto"/>
              <w:bottom w:val="single" w:sz="4" w:space="0" w:color="auto"/>
            </w:tcBorders>
            <w:tcMar>
              <w:left w:w="57" w:type="dxa"/>
              <w:right w:w="57" w:type="dxa"/>
            </w:tcMar>
          </w:tcPr>
          <w:p w14:paraId="62A389A7" w14:textId="3D276819" w:rsidR="00E4493A" w:rsidRPr="009A4391" w:rsidRDefault="00BE407C" w:rsidP="00C56E31">
            <w:pPr>
              <w:pStyle w:val="Table"/>
            </w:pPr>
            <w:r>
              <w:t>‘</w:t>
            </w:r>
            <w:r w:rsidR="00B40283" w:rsidRPr="00E4493A">
              <w:t xml:space="preserve">The costs of exploring for and evaluating oil and gas properties, including the costs of acquiring rights to explore, geological and geophysical studies, exploratory drilling and directly related overheads, are </w:t>
            </w:r>
            <w:proofErr w:type="spellStart"/>
            <w:r w:rsidR="00B40283" w:rsidRPr="00E4493A">
              <w:t>capitalised</w:t>
            </w:r>
            <w:proofErr w:type="spellEnd"/>
            <w:r w:rsidR="00B40283" w:rsidRPr="00E4493A">
              <w:t xml:space="preserve"> and classified as intangible E&amp;E assets. These costs are </w:t>
            </w:r>
            <w:r w:rsidR="00FA54B7">
              <w:t xml:space="preserve">directly </w:t>
            </w:r>
            <w:r w:rsidR="00FA54B7" w:rsidRPr="00FA54B7">
              <w:t>attributed to regional CGUs for the purposes of impairment testing; UK</w:t>
            </w:r>
            <w:r w:rsidR="00FA54B7">
              <w:t xml:space="preserve"> </w:t>
            </w:r>
            <w:r w:rsidR="00FA54B7" w:rsidRPr="00FA54B7">
              <w:t>&amp; Ireland and Africa</w:t>
            </w:r>
            <w:r w:rsidR="00B40283" w:rsidRPr="00E4493A">
              <w:t>.</w:t>
            </w:r>
            <w:r>
              <w:t>’</w:t>
            </w:r>
          </w:p>
          <w:p w14:paraId="1A2372B1" w14:textId="0C8F084E" w:rsidR="00FD1ACB" w:rsidRPr="00E4493A" w:rsidRDefault="00E4493A" w:rsidP="00C56E31">
            <w:pPr>
              <w:pStyle w:val="Table"/>
            </w:pPr>
            <w:r w:rsidRPr="004A405D">
              <w:t>(</w:t>
            </w:r>
            <w:proofErr w:type="spellStart"/>
            <w:r w:rsidR="00B40283" w:rsidRPr="004E11BF">
              <w:t>Serica</w:t>
            </w:r>
            <w:proofErr w:type="spellEnd"/>
            <w:r w:rsidR="00B40283" w:rsidRPr="004E11BF">
              <w:t xml:space="preserve"> Energy</w:t>
            </w:r>
            <w:r w:rsidR="00B40283" w:rsidRPr="00516EF5">
              <w:t>, 2017</w:t>
            </w:r>
            <w:r w:rsidR="00FA54B7">
              <w:t xml:space="preserve"> Annual Report &amp; Financial Statements</w:t>
            </w:r>
            <w:r w:rsidR="00B40283" w:rsidRPr="00516EF5">
              <w:t>, p.4</w:t>
            </w:r>
            <w:r w:rsidR="00FA54B7">
              <w:t>6</w:t>
            </w:r>
            <w:r w:rsidR="00ED3F07">
              <w:t>;</w:t>
            </w:r>
            <w:r w:rsidR="00DD4AB3" w:rsidRPr="004E11BF">
              <w:t xml:space="preserve"> </w:t>
            </w:r>
            <w:r w:rsidR="00DD4AB3" w:rsidRPr="00516EF5">
              <w:t>UK</w:t>
            </w:r>
            <w:r w:rsidR="00FD1ACB" w:rsidRPr="00516EF5">
              <w:t>)</w:t>
            </w:r>
          </w:p>
        </w:tc>
      </w:tr>
      <w:tr w:rsidR="00E4493A" w:rsidRPr="00E4493A" w14:paraId="7443CE27" w14:textId="77777777" w:rsidTr="00E4493A">
        <w:tc>
          <w:tcPr>
            <w:tcW w:w="988" w:type="dxa"/>
            <w:tcBorders>
              <w:top w:val="single" w:sz="4" w:space="0" w:color="auto"/>
              <w:bottom w:val="single" w:sz="4" w:space="0" w:color="auto"/>
            </w:tcBorders>
            <w:tcMar>
              <w:left w:w="57" w:type="dxa"/>
              <w:right w:w="57" w:type="dxa"/>
            </w:tcMar>
          </w:tcPr>
          <w:p w14:paraId="5887F7C2" w14:textId="0607285A" w:rsidR="00FD1ACB" w:rsidRPr="009A4391" w:rsidRDefault="00FD1ACB" w:rsidP="002001F7">
            <w:pPr>
              <w:pStyle w:val="Table"/>
              <w:rPr>
                <w:rFonts w:cstheme="minorHAnsi"/>
              </w:rPr>
            </w:pPr>
            <w:r w:rsidRPr="009A4391">
              <w:rPr>
                <w:rFonts w:cstheme="minorHAnsi"/>
              </w:rPr>
              <w:t>9.</w:t>
            </w:r>
          </w:p>
          <w:p w14:paraId="7338AF7B" w14:textId="77777777" w:rsidR="00FD1ACB" w:rsidRPr="004A405D" w:rsidRDefault="00FD1ACB" w:rsidP="002001F7">
            <w:pPr>
              <w:pStyle w:val="Table"/>
              <w:rPr>
                <w:rFonts w:cstheme="minorHAnsi"/>
              </w:rPr>
            </w:pPr>
          </w:p>
        </w:tc>
        <w:tc>
          <w:tcPr>
            <w:tcW w:w="2273" w:type="dxa"/>
            <w:tcBorders>
              <w:top w:val="single" w:sz="4" w:space="0" w:color="auto"/>
              <w:bottom w:val="single" w:sz="4" w:space="0" w:color="auto"/>
            </w:tcBorders>
            <w:tcMar>
              <w:left w:w="57" w:type="dxa"/>
              <w:right w:w="57" w:type="dxa"/>
            </w:tcMar>
          </w:tcPr>
          <w:p w14:paraId="60B0F200" w14:textId="7082CF0E" w:rsidR="00FD1ACB" w:rsidRPr="00F979C7" w:rsidRDefault="00FD1ACB" w:rsidP="002001F7">
            <w:pPr>
              <w:pStyle w:val="Table"/>
              <w:rPr>
                <w:rFonts w:cstheme="minorHAnsi"/>
              </w:rPr>
            </w:pPr>
            <w:r w:rsidRPr="004E11BF">
              <w:rPr>
                <w:rFonts w:cstheme="minorHAnsi"/>
              </w:rPr>
              <w:t>As 6, but widen to segment</w:t>
            </w:r>
          </w:p>
        </w:tc>
        <w:tc>
          <w:tcPr>
            <w:tcW w:w="5811" w:type="dxa"/>
            <w:tcBorders>
              <w:top w:val="single" w:sz="4" w:space="0" w:color="auto"/>
              <w:bottom w:val="single" w:sz="4" w:space="0" w:color="auto"/>
            </w:tcBorders>
            <w:tcMar>
              <w:left w:w="57" w:type="dxa"/>
              <w:right w:w="57" w:type="dxa"/>
            </w:tcMar>
          </w:tcPr>
          <w:p w14:paraId="7EC4E5D7" w14:textId="178651AE" w:rsidR="00E4493A" w:rsidRPr="00516EF5" w:rsidRDefault="00BE407C" w:rsidP="00C56E31">
            <w:pPr>
              <w:pStyle w:val="Table"/>
            </w:pPr>
            <w:r>
              <w:t>‘</w:t>
            </w:r>
            <w:r w:rsidR="00B40283" w:rsidRPr="00516EF5">
              <w:t xml:space="preserve">Exploration and evaluation costs are </w:t>
            </w:r>
            <w:proofErr w:type="spellStart"/>
            <w:r w:rsidR="00B40283" w:rsidRPr="00516EF5">
              <w:t>capitalised</w:t>
            </w:r>
            <w:proofErr w:type="spellEnd"/>
            <w:r w:rsidR="00B40283" w:rsidRPr="00516EF5">
              <w:t xml:space="preserve"> as exploration and evaluation assets on a project by project basis pending determination of the technical feasibility and commercial viability of the project. </w:t>
            </w:r>
            <w:r w:rsidR="00E4493A" w:rsidRPr="00516EF5">
              <w:t>[</w:t>
            </w:r>
            <w:r w:rsidR="007E07B6" w:rsidRPr="00516EF5">
              <w:t>…</w:t>
            </w:r>
            <w:r w:rsidR="00E4493A" w:rsidRPr="00516EF5">
              <w:t>]</w:t>
            </w:r>
            <w:r w:rsidR="007E07B6" w:rsidRPr="00516EF5">
              <w:t xml:space="preserve"> </w:t>
            </w:r>
            <w:r w:rsidR="00B40283" w:rsidRPr="00516EF5">
              <w:t>Exploration and evaluation assets are assessed for impairment if (</w:t>
            </w:r>
            <w:proofErr w:type="spellStart"/>
            <w:r w:rsidR="00B40283" w:rsidRPr="00516EF5">
              <w:t>i</w:t>
            </w:r>
            <w:proofErr w:type="spellEnd"/>
            <w:r w:rsidR="00B40283" w:rsidRPr="00516EF5">
              <w:t>) sufficient data exists to determine technical feasibility and commercial viability, and (ii) facts and circumstances suggest that the carrying amount exceeds the recoverable amount. For the purposes of impairment testing, exploration and evaluation assets are allocated to cash-generating units consistent with the determination of reportable segments.</w:t>
            </w:r>
            <w:r>
              <w:t>’</w:t>
            </w:r>
          </w:p>
          <w:p w14:paraId="7F40CEA0" w14:textId="01DA9A9D" w:rsidR="00FD1ACB" w:rsidRPr="00516EF5" w:rsidRDefault="00E4493A" w:rsidP="00C56E31">
            <w:pPr>
              <w:pStyle w:val="Table"/>
            </w:pPr>
            <w:r w:rsidRPr="00516EF5">
              <w:lastRenderedPageBreak/>
              <w:t>(</w:t>
            </w:r>
            <w:r w:rsidR="007E07B6" w:rsidRPr="00516EF5">
              <w:t>Greenvale Energy, 2018</w:t>
            </w:r>
            <w:r w:rsidR="00733B44">
              <w:t xml:space="preserve"> Annual Report</w:t>
            </w:r>
            <w:r w:rsidR="007E07B6" w:rsidRPr="00516EF5">
              <w:t>, p.38</w:t>
            </w:r>
            <w:r w:rsidR="00ED3F07">
              <w:t>;</w:t>
            </w:r>
            <w:r w:rsidR="00DD4AB3" w:rsidRPr="00516EF5">
              <w:t xml:space="preserve"> Australia</w:t>
            </w:r>
            <w:r w:rsidR="007E07B6" w:rsidRPr="00516EF5">
              <w:t>)</w:t>
            </w:r>
          </w:p>
        </w:tc>
      </w:tr>
      <w:tr w:rsidR="00E4493A" w:rsidRPr="00E4493A" w14:paraId="7E2B4666" w14:textId="77777777" w:rsidTr="00E4493A">
        <w:tc>
          <w:tcPr>
            <w:tcW w:w="988" w:type="dxa"/>
            <w:tcBorders>
              <w:top w:val="single" w:sz="4" w:space="0" w:color="auto"/>
              <w:bottom w:val="single" w:sz="4" w:space="0" w:color="auto"/>
            </w:tcBorders>
            <w:tcMar>
              <w:left w:w="57" w:type="dxa"/>
              <w:right w:w="57" w:type="dxa"/>
            </w:tcMar>
          </w:tcPr>
          <w:p w14:paraId="6CBC6410" w14:textId="65BE1AFF" w:rsidR="002A4BDC" w:rsidRPr="004A405D" w:rsidRDefault="002A4BDC">
            <w:pPr>
              <w:pStyle w:val="Table"/>
              <w:rPr>
                <w:rFonts w:cstheme="minorHAnsi"/>
              </w:rPr>
            </w:pPr>
            <w:r w:rsidRPr="009A4391">
              <w:rPr>
                <w:rFonts w:cstheme="minorHAnsi"/>
              </w:rPr>
              <w:lastRenderedPageBreak/>
              <w:t xml:space="preserve">10. </w:t>
            </w:r>
          </w:p>
        </w:tc>
        <w:tc>
          <w:tcPr>
            <w:tcW w:w="2273" w:type="dxa"/>
            <w:tcBorders>
              <w:top w:val="single" w:sz="4" w:space="0" w:color="auto"/>
              <w:bottom w:val="single" w:sz="4" w:space="0" w:color="auto"/>
            </w:tcBorders>
            <w:tcMar>
              <w:left w:w="57" w:type="dxa"/>
              <w:right w:w="57" w:type="dxa"/>
            </w:tcMar>
          </w:tcPr>
          <w:p w14:paraId="1257A0FE" w14:textId="5B2C33E7" w:rsidR="002A4BDC" w:rsidRPr="00F979C7" w:rsidRDefault="002A4BDC">
            <w:pPr>
              <w:pStyle w:val="Table"/>
              <w:rPr>
                <w:rFonts w:cstheme="minorHAnsi"/>
              </w:rPr>
            </w:pPr>
            <w:r w:rsidRPr="004E11BF">
              <w:rPr>
                <w:rFonts w:cstheme="minorHAnsi"/>
              </w:rPr>
              <w:t>As 6, but widen to single pool C</w:t>
            </w:r>
            <w:r w:rsidR="00430FE2">
              <w:rPr>
                <w:rFonts w:cstheme="minorHAnsi"/>
              </w:rPr>
              <w:t>G</w:t>
            </w:r>
            <w:r w:rsidRPr="004E11BF">
              <w:rPr>
                <w:rFonts w:cstheme="minorHAnsi"/>
              </w:rPr>
              <w:t>U</w:t>
            </w:r>
          </w:p>
        </w:tc>
        <w:tc>
          <w:tcPr>
            <w:tcW w:w="5811" w:type="dxa"/>
            <w:tcBorders>
              <w:top w:val="single" w:sz="4" w:space="0" w:color="auto"/>
              <w:bottom w:val="single" w:sz="4" w:space="0" w:color="auto"/>
            </w:tcBorders>
            <w:tcMar>
              <w:left w:w="57" w:type="dxa"/>
              <w:right w:w="57" w:type="dxa"/>
            </w:tcMar>
          </w:tcPr>
          <w:p w14:paraId="718A4CED" w14:textId="4D817A7A" w:rsidR="00E4493A" w:rsidRPr="00516EF5" w:rsidRDefault="00BE407C" w:rsidP="00C56E31">
            <w:pPr>
              <w:pStyle w:val="Table"/>
            </w:pPr>
            <w:r>
              <w:t>‘</w:t>
            </w:r>
            <w:r w:rsidR="007E07B6" w:rsidRPr="00516EF5">
              <w:t xml:space="preserve">Pre-acquisition costs on oil and gas assets are </w:t>
            </w:r>
            <w:proofErr w:type="spellStart"/>
            <w:r w:rsidR="007E07B6" w:rsidRPr="00516EF5">
              <w:t>recognised</w:t>
            </w:r>
            <w:proofErr w:type="spellEnd"/>
            <w:r w:rsidR="007E07B6" w:rsidRPr="00516EF5">
              <w:t xml:space="preserve"> in the Income Statement when incurred. Costs incurred after rights to explore</w:t>
            </w:r>
            <w:r w:rsidR="00E4493A" w:rsidRPr="00516EF5">
              <w:t xml:space="preserve"> </w:t>
            </w:r>
            <w:r w:rsidR="007E07B6" w:rsidRPr="00516EF5">
              <w:t xml:space="preserve">have been obtained, such as geological and geophysical surveys, drilling and commercial appraisal costs and other directly attributable costs of exploration and appraisal including technical and administrative costs, are </w:t>
            </w:r>
            <w:proofErr w:type="spellStart"/>
            <w:r w:rsidR="007E07B6" w:rsidRPr="00516EF5">
              <w:t>capitalised</w:t>
            </w:r>
            <w:proofErr w:type="spellEnd"/>
            <w:r w:rsidR="007E07B6" w:rsidRPr="00516EF5">
              <w:t xml:space="preserve"> as intangible exploration and evaluation (“E&amp;E”) assets. The assessment of what constitutes an individual E&amp;E asset is based on technical criteria but essentially either a single </w:t>
            </w:r>
            <w:proofErr w:type="spellStart"/>
            <w:r w:rsidR="007E07B6" w:rsidRPr="00516EF5">
              <w:t>licence</w:t>
            </w:r>
            <w:proofErr w:type="spellEnd"/>
            <w:r w:rsidR="007E07B6" w:rsidRPr="00516EF5">
              <w:t xml:space="preserve"> area or contiguous </w:t>
            </w:r>
            <w:proofErr w:type="spellStart"/>
            <w:r w:rsidR="007E07B6" w:rsidRPr="00516EF5">
              <w:t>licence</w:t>
            </w:r>
            <w:proofErr w:type="spellEnd"/>
            <w:r w:rsidR="007E07B6" w:rsidRPr="00516EF5">
              <w:t xml:space="preserve"> areas with consistent geological features are designated as individual E&amp;E assets. </w:t>
            </w:r>
            <w:r w:rsidR="00E4493A" w:rsidRPr="00516EF5">
              <w:t>[</w:t>
            </w:r>
            <w:r w:rsidR="007E07B6" w:rsidRPr="00516EF5">
              <w:t>…</w:t>
            </w:r>
            <w:r w:rsidR="00E4493A" w:rsidRPr="00516EF5">
              <w:t>]</w:t>
            </w:r>
            <w:r w:rsidR="007E07B6" w:rsidRPr="00516EF5">
              <w:t xml:space="preserve"> Once active exploration is completed the asset is assessed for impairment. </w:t>
            </w:r>
            <w:r w:rsidR="00E4493A" w:rsidRPr="00516EF5">
              <w:t>[</w:t>
            </w:r>
            <w:r w:rsidR="007E07B6" w:rsidRPr="00516EF5">
              <w:t>…</w:t>
            </w:r>
            <w:r w:rsidR="00E4493A" w:rsidRPr="00516EF5">
              <w:t>]</w:t>
            </w:r>
            <w:r w:rsidR="007E07B6" w:rsidRPr="00516EF5">
              <w:t xml:space="preserve"> The Group’s oil and gas assets are </w:t>
            </w:r>
            <w:proofErr w:type="spellStart"/>
            <w:r w:rsidR="007E07B6" w:rsidRPr="00516EF5">
              <w:t>analysed</w:t>
            </w:r>
            <w:proofErr w:type="spellEnd"/>
            <w:r w:rsidR="007E07B6" w:rsidRPr="00516EF5">
              <w:t xml:space="preserve"> into cash generating units (“CGU”) for impairment review purposes, with E&amp;E asset impairment testing being performed at a grouped CGU level. The current CGU consists of the Group’s whole E&amp;E portfolio.</w:t>
            </w:r>
            <w:r>
              <w:t>’</w:t>
            </w:r>
          </w:p>
          <w:p w14:paraId="46C7E865" w14:textId="1690AB63" w:rsidR="002A4BDC" w:rsidRPr="00516EF5" w:rsidRDefault="00E4493A" w:rsidP="00C56E31">
            <w:pPr>
              <w:pStyle w:val="Table"/>
            </w:pPr>
            <w:r w:rsidRPr="00516EF5">
              <w:t>(</w:t>
            </w:r>
            <w:r w:rsidR="00406068" w:rsidRPr="00516EF5">
              <w:t>Faroe Petroleum, 2017</w:t>
            </w:r>
            <w:r w:rsidR="00733B44">
              <w:t xml:space="preserve"> Annual Report and Accounts</w:t>
            </w:r>
            <w:r w:rsidR="00406068" w:rsidRPr="00516EF5">
              <w:t>, p.89</w:t>
            </w:r>
            <w:r w:rsidR="00ED3F07">
              <w:t>;</w:t>
            </w:r>
            <w:r w:rsidR="00DD4AB3" w:rsidRPr="00516EF5">
              <w:t xml:space="preserve"> UK</w:t>
            </w:r>
            <w:r w:rsidR="00406068" w:rsidRPr="00516EF5">
              <w:t>)</w:t>
            </w:r>
          </w:p>
        </w:tc>
      </w:tr>
      <w:tr w:rsidR="00E4493A" w:rsidRPr="00E4493A" w14:paraId="1731ED6D" w14:textId="77777777" w:rsidTr="00E4493A">
        <w:tc>
          <w:tcPr>
            <w:tcW w:w="988" w:type="dxa"/>
            <w:tcBorders>
              <w:top w:val="single" w:sz="4" w:space="0" w:color="auto"/>
              <w:bottom w:val="single" w:sz="4" w:space="0" w:color="auto"/>
            </w:tcBorders>
            <w:tcMar>
              <w:left w:w="57" w:type="dxa"/>
              <w:right w:w="57" w:type="dxa"/>
            </w:tcMar>
          </w:tcPr>
          <w:p w14:paraId="68489C16" w14:textId="33356BD9" w:rsidR="00FD1ACB" w:rsidRPr="004E11BF" w:rsidRDefault="002A4BDC" w:rsidP="002001F7">
            <w:pPr>
              <w:pStyle w:val="Table"/>
              <w:rPr>
                <w:rFonts w:cstheme="minorHAnsi"/>
              </w:rPr>
            </w:pPr>
            <w:r w:rsidRPr="009A4391">
              <w:rPr>
                <w:rFonts w:cstheme="minorHAnsi"/>
              </w:rPr>
              <w:t>11</w:t>
            </w:r>
            <w:r w:rsidR="00FD1ACB" w:rsidRPr="004A405D">
              <w:rPr>
                <w:rFonts w:cstheme="minorHAnsi"/>
              </w:rPr>
              <w:t>.</w:t>
            </w:r>
          </w:p>
        </w:tc>
        <w:tc>
          <w:tcPr>
            <w:tcW w:w="2273" w:type="dxa"/>
            <w:tcBorders>
              <w:top w:val="single" w:sz="4" w:space="0" w:color="auto"/>
              <w:bottom w:val="single" w:sz="4" w:space="0" w:color="auto"/>
            </w:tcBorders>
            <w:tcMar>
              <w:left w:w="57" w:type="dxa"/>
              <w:right w:w="57" w:type="dxa"/>
            </w:tcMar>
          </w:tcPr>
          <w:p w14:paraId="38688B03" w14:textId="3601E1B6" w:rsidR="00FD1ACB" w:rsidRPr="00F979C7" w:rsidRDefault="00FD1ACB" w:rsidP="002001F7">
            <w:pPr>
              <w:pStyle w:val="Table"/>
              <w:rPr>
                <w:rFonts w:cstheme="minorHAnsi"/>
              </w:rPr>
            </w:pPr>
            <w:proofErr w:type="spellStart"/>
            <w:r w:rsidRPr="00F979C7">
              <w:rPr>
                <w:rFonts w:cstheme="minorHAnsi"/>
              </w:rPr>
              <w:t>Capitali</w:t>
            </w:r>
            <w:r w:rsidR="000A1B3F">
              <w:rPr>
                <w:rFonts w:cstheme="minorHAnsi"/>
              </w:rPr>
              <w:t>s</w:t>
            </w:r>
            <w:r w:rsidRPr="00F979C7">
              <w:rPr>
                <w:rFonts w:cstheme="minorHAnsi"/>
              </w:rPr>
              <w:t>e</w:t>
            </w:r>
            <w:proofErr w:type="spellEnd"/>
            <w:r w:rsidRPr="00F979C7">
              <w:rPr>
                <w:rFonts w:cstheme="minorHAnsi"/>
              </w:rPr>
              <w:t xml:space="preserve"> all E&amp;E costs including those before legal rights are obtained; ceiling test on a country basis [US ‘full cost’ method]</w:t>
            </w:r>
          </w:p>
        </w:tc>
        <w:tc>
          <w:tcPr>
            <w:tcW w:w="5811" w:type="dxa"/>
            <w:tcBorders>
              <w:top w:val="single" w:sz="4" w:space="0" w:color="auto"/>
              <w:bottom w:val="single" w:sz="4" w:space="0" w:color="auto"/>
            </w:tcBorders>
            <w:tcMar>
              <w:left w:w="57" w:type="dxa"/>
              <w:right w:w="57" w:type="dxa"/>
            </w:tcMar>
          </w:tcPr>
          <w:p w14:paraId="2183ACFF" w14:textId="0BECBD49" w:rsidR="00E4493A" w:rsidRPr="009A4391" w:rsidRDefault="00BE407C" w:rsidP="00C56E31">
            <w:pPr>
              <w:pStyle w:val="Table"/>
            </w:pPr>
            <w:r>
              <w:t>‘</w:t>
            </w:r>
            <w:r w:rsidR="002A4BDC" w:rsidRPr="00E4493A">
              <w:t>Costs associated with exploratory activ</w:t>
            </w:r>
            <w:r w:rsidR="000C66EF" w:rsidRPr="00E4493A">
              <w:t xml:space="preserve">ities for oil and gas producing </w:t>
            </w:r>
            <w:r w:rsidR="002A4BDC" w:rsidRPr="00E4493A">
              <w:t>properties incurred both before and after the acquisition of mineral rights</w:t>
            </w:r>
            <w:r w:rsidR="00E4493A" w:rsidRPr="00E4493A">
              <w:t xml:space="preserve"> </w:t>
            </w:r>
            <w:r w:rsidR="002A4BDC" w:rsidRPr="00E4493A">
              <w:t>(such as acquisition of seismic data fro</w:t>
            </w:r>
            <w:r w:rsidR="000C66EF" w:rsidRPr="00E4493A">
              <w:t xml:space="preserve">m third parties, test wells and </w:t>
            </w:r>
            <w:r w:rsidR="002A4BDC" w:rsidRPr="00E4493A">
              <w:t>geophysical surveys) are initially capitalized</w:t>
            </w:r>
            <w:r w:rsidR="00733B44">
              <w:t xml:space="preserve"> […]</w:t>
            </w:r>
            <w:r w:rsidR="000C66EF" w:rsidRPr="00E4493A">
              <w:t>.</w:t>
            </w:r>
            <w:r>
              <w:t>’</w:t>
            </w:r>
          </w:p>
          <w:p w14:paraId="4658664D" w14:textId="2763508A" w:rsidR="00E4493A" w:rsidRPr="00516EF5" w:rsidRDefault="00E4493A" w:rsidP="00C56E31">
            <w:pPr>
              <w:pStyle w:val="Table"/>
            </w:pPr>
            <w:r w:rsidRPr="004E11BF">
              <w:t>(</w:t>
            </w:r>
            <w:proofErr w:type="spellStart"/>
            <w:r w:rsidR="00362C35" w:rsidRPr="00516EF5">
              <w:t>Eni</w:t>
            </w:r>
            <w:proofErr w:type="spellEnd"/>
            <w:r w:rsidR="002A4BDC" w:rsidRPr="00516EF5">
              <w:t xml:space="preserve">, </w:t>
            </w:r>
            <w:r w:rsidR="00FD1ACB" w:rsidRPr="00516EF5">
              <w:t>2011</w:t>
            </w:r>
            <w:r w:rsidR="00733B44">
              <w:t xml:space="preserve"> Annual Report</w:t>
            </w:r>
            <w:r w:rsidR="002A4BDC" w:rsidRPr="00516EF5">
              <w:t>, p.125</w:t>
            </w:r>
            <w:r w:rsidR="00ED3F07">
              <w:t>;</w:t>
            </w:r>
            <w:r w:rsidR="00DD4AB3" w:rsidRPr="00516EF5">
              <w:t xml:space="preserve"> Italy</w:t>
            </w:r>
            <w:r w:rsidR="002A4BDC" w:rsidRPr="00516EF5">
              <w:t>)</w:t>
            </w:r>
          </w:p>
          <w:p w14:paraId="1DA9D3E0" w14:textId="462CFEF8" w:rsidR="00FD1ACB" w:rsidRPr="00E4493A" w:rsidRDefault="00E4493A" w:rsidP="00C56E31">
            <w:pPr>
              <w:pStyle w:val="Table"/>
            </w:pPr>
            <w:r w:rsidRPr="00516EF5">
              <w:t xml:space="preserve">Note: </w:t>
            </w:r>
            <w:r w:rsidR="002A4BDC" w:rsidRPr="00516EF5">
              <w:t>The pooling basis used is not clear.</w:t>
            </w:r>
          </w:p>
        </w:tc>
      </w:tr>
    </w:tbl>
    <w:p w14:paraId="63B5F0E6" w14:textId="77777777" w:rsidR="00E4493A" w:rsidRDefault="00E4493A" w:rsidP="00362C35">
      <w:pPr>
        <w:pStyle w:val="TableFootnote"/>
      </w:pPr>
    </w:p>
    <w:p w14:paraId="0F42CEB9" w14:textId="22A86250" w:rsidR="00936A3A" w:rsidRDefault="00293C71" w:rsidP="00C56E31">
      <w:pPr>
        <w:pStyle w:val="TableFootnote"/>
      </w:pPr>
      <w:r>
        <w:t xml:space="preserve">Notes: </w:t>
      </w:r>
      <w:r w:rsidR="00E4493A">
        <w:t>Our examples</w:t>
      </w:r>
      <w:r w:rsidR="00AD0E99">
        <w:t xml:space="preserve"> </w:t>
      </w:r>
      <w:r w:rsidR="00AD0E99" w:rsidRPr="00AD0E99">
        <w:t>of policies for E&amp;E costs</w:t>
      </w:r>
      <w:r w:rsidR="00E4493A">
        <w:t xml:space="preserve"> are drawn from a review of the annual reports of IFRS firms. </w:t>
      </w:r>
      <w:r w:rsidR="002B0FEB">
        <w:t>See Appendix B for information on the sample of firms investigated</w:t>
      </w:r>
      <w:r w:rsidR="00E4493A">
        <w:t xml:space="preserve">. </w:t>
      </w:r>
      <w:r w:rsidR="00AD0E99">
        <w:t>We distinguish different policies/methods by</w:t>
      </w:r>
      <w:r w:rsidR="007E532F" w:rsidRPr="007E532F">
        <w:t xml:space="preserve"> considering two dimensions: the scope of deferred costs and the size of pool for testing impairment</w:t>
      </w:r>
      <w:r w:rsidR="007E532F">
        <w:t>.</w:t>
      </w:r>
      <w:r w:rsidR="007E532F" w:rsidRPr="007E532F">
        <w:t xml:space="preserve"> </w:t>
      </w:r>
      <w:r w:rsidR="00E4493A">
        <w:t xml:space="preserve">Our examples relate to year ends of 31 December 2017 </w:t>
      </w:r>
      <w:r w:rsidR="004E11BF">
        <w:t xml:space="preserve">or </w:t>
      </w:r>
      <w:r w:rsidR="00E4493A">
        <w:t>nearest after. An exception is that this did not produce an example of the US full cost method (or an approximation of it), called Method 11 here. For that we</w:t>
      </w:r>
      <w:r w:rsidR="00B06FD1">
        <w:t xml:space="preserve"> provide an example from 2011</w:t>
      </w:r>
      <w:r w:rsidR="00E4493A">
        <w:t>.</w:t>
      </w:r>
      <w:r w:rsidR="00936A3A">
        <w:br w:type="page"/>
      </w:r>
    </w:p>
    <w:p w14:paraId="7BC93E51" w14:textId="07DBAE79" w:rsidR="00936A3A" w:rsidRPr="00635636" w:rsidRDefault="00936A3A" w:rsidP="004A1BC6">
      <w:pPr>
        <w:pStyle w:val="Heading1"/>
        <w:rPr>
          <w:lang w:val="en-US"/>
        </w:rPr>
      </w:pPr>
      <w:r w:rsidRPr="00572744">
        <w:rPr>
          <w:lang w:val="en-US"/>
        </w:rPr>
        <w:lastRenderedPageBreak/>
        <w:t xml:space="preserve">Table </w:t>
      </w:r>
      <w:r>
        <w:rPr>
          <w:lang w:val="en-US"/>
        </w:rPr>
        <w:t>2</w:t>
      </w:r>
      <w:r w:rsidR="00571F4B">
        <w:rPr>
          <w:lang w:val="en-US"/>
        </w:rPr>
        <w:t xml:space="preserve">. </w:t>
      </w:r>
      <w:r w:rsidRPr="00635636">
        <w:rPr>
          <w:lang w:val="en-US"/>
        </w:rPr>
        <w:t>Stages of expenditure on a successful project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082"/>
        <w:gridCol w:w="4083"/>
      </w:tblGrid>
      <w:tr w:rsidR="00936A3A" w14:paraId="473D9382" w14:textId="77777777" w:rsidTr="00C8397B">
        <w:tc>
          <w:tcPr>
            <w:tcW w:w="851" w:type="dxa"/>
            <w:tcBorders>
              <w:top w:val="single" w:sz="4" w:space="0" w:color="auto"/>
              <w:bottom w:val="single" w:sz="4" w:space="0" w:color="auto"/>
            </w:tcBorders>
            <w:tcMar>
              <w:left w:w="57" w:type="dxa"/>
              <w:right w:w="57" w:type="dxa"/>
            </w:tcMar>
          </w:tcPr>
          <w:p w14:paraId="72689C5D" w14:textId="77777777" w:rsidR="00936A3A" w:rsidRPr="00FC703C" w:rsidRDefault="00936A3A" w:rsidP="00C8397B">
            <w:pPr>
              <w:pStyle w:val="Table"/>
              <w:rPr>
                <w:b/>
                <w:bCs w:val="0"/>
              </w:rPr>
            </w:pPr>
            <w:r w:rsidRPr="00FC703C">
              <w:rPr>
                <w:b/>
                <w:bCs w:val="0"/>
              </w:rPr>
              <w:t>Stage</w:t>
            </w:r>
          </w:p>
        </w:tc>
        <w:tc>
          <w:tcPr>
            <w:tcW w:w="4082" w:type="dxa"/>
            <w:tcBorders>
              <w:top w:val="single" w:sz="4" w:space="0" w:color="auto"/>
              <w:bottom w:val="single" w:sz="4" w:space="0" w:color="auto"/>
            </w:tcBorders>
            <w:tcMar>
              <w:left w:w="57" w:type="dxa"/>
              <w:right w:w="57" w:type="dxa"/>
            </w:tcMar>
          </w:tcPr>
          <w:p w14:paraId="32438E34" w14:textId="77777777" w:rsidR="00936A3A" w:rsidRPr="00FC703C" w:rsidRDefault="00936A3A" w:rsidP="00C8397B">
            <w:pPr>
              <w:pStyle w:val="Table"/>
              <w:rPr>
                <w:b/>
                <w:bCs w:val="0"/>
              </w:rPr>
            </w:pPr>
            <w:r w:rsidRPr="00FC703C">
              <w:rPr>
                <w:b/>
                <w:bCs w:val="0"/>
              </w:rPr>
              <w:t>R&amp;D Costs, under IAS 38</w:t>
            </w:r>
          </w:p>
        </w:tc>
        <w:tc>
          <w:tcPr>
            <w:tcW w:w="4083" w:type="dxa"/>
            <w:tcBorders>
              <w:top w:val="single" w:sz="4" w:space="0" w:color="auto"/>
              <w:bottom w:val="single" w:sz="4" w:space="0" w:color="auto"/>
            </w:tcBorders>
            <w:tcMar>
              <w:left w:w="57" w:type="dxa"/>
              <w:right w:w="57" w:type="dxa"/>
            </w:tcMar>
          </w:tcPr>
          <w:p w14:paraId="64B32273" w14:textId="1697BCB5" w:rsidR="00936A3A" w:rsidRPr="00FC703C" w:rsidRDefault="00936A3A" w:rsidP="00C8397B">
            <w:pPr>
              <w:pStyle w:val="Table"/>
              <w:rPr>
                <w:b/>
                <w:bCs w:val="0"/>
              </w:rPr>
            </w:pPr>
            <w:r w:rsidRPr="00FC703C">
              <w:rPr>
                <w:b/>
                <w:bCs w:val="0"/>
              </w:rPr>
              <w:t>E</w:t>
            </w:r>
            <w:r>
              <w:rPr>
                <w:b/>
                <w:bCs w:val="0"/>
              </w:rPr>
              <w:t>&amp;E</w:t>
            </w:r>
            <w:r w:rsidRPr="00FC703C">
              <w:rPr>
                <w:b/>
                <w:bCs w:val="0"/>
              </w:rPr>
              <w:t xml:space="preserve"> costs</w:t>
            </w:r>
            <w:r w:rsidR="00F40FE0">
              <w:rPr>
                <w:b/>
                <w:bCs w:val="0"/>
              </w:rPr>
              <w:t>, under IFRS 6</w:t>
            </w:r>
          </w:p>
        </w:tc>
      </w:tr>
      <w:tr w:rsidR="00936A3A" w14:paraId="7B17FA70" w14:textId="77777777" w:rsidTr="00C8397B">
        <w:tc>
          <w:tcPr>
            <w:tcW w:w="851" w:type="dxa"/>
            <w:tcBorders>
              <w:top w:val="single" w:sz="4" w:space="0" w:color="auto"/>
              <w:bottom w:val="single" w:sz="4" w:space="0" w:color="auto"/>
            </w:tcBorders>
            <w:tcMar>
              <w:left w:w="57" w:type="dxa"/>
              <w:right w:w="57" w:type="dxa"/>
            </w:tcMar>
          </w:tcPr>
          <w:p w14:paraId="2050B420" w14:textId="77777777" w:rsidR="00936A3A" w:rsidRPr="00E15DD7" w:rsidRDefault="00936A3A" w:rsidP="00C8397B">
            <w:pPr>
              <w:pStyle w:val="Table"/>
            </w:pPr>
            <w:r>
              <w:t>A.</w:t>
            </w:r>
          </w:p>
        </w:tc>
        <w:tc>
          <w:tcPr>
            <w:tcW w:w="4082" w:type="dxa"/>
            <w:tcBorders>
              <w:top w:val="single" w:sz="4" w:space="0" w:color="auto"/>
              <w:bottom w:val="single" w:sz="4" w:space="0" w:color="auto"/>
            </w:tcBorders>
            <w:tcMar>
              <w:left w:w="57" w:type="dxa"/>
              <w:right w:w="57" w:type="dxa"/>
            </w:tcMar>
          </w:tcPr>
          <w:p w14:paraId="531AF78E" w14:textId="0B728278" w:rsidR="00936A3A" w:rsidRPr="00E15DD7" w:rsidRDefault="00936A3A" w:rsidP="00C8397B">
            <w:pPr>
              <w:pStyle w:val="Table"/>
            </w:pPr>
            <w:r>
              <w:t>Original and planned investigation for new scientific or technical knowledge [</w:t>
            </w:r>
            <w:r w:rsidR="00F40FE0" w:rsidRPr="00561A10">
              <w:rPr>
                <w:i/>
              </w:rPr>
              <w:t xml:space="preserve">called </w:t>
            </w:r>
            <w:r w:rsidR="00F40FE0">
              <w:t>‘</w:t>
            </w:r>
            <w:r w:rsidR="00F40FE0">
              <w:rPr>
                <w:i/>
                <w:iCs/>
              </w:rPr>
              <w:t>r</w:t>
            </w:r>
            <w:r w:rsidRPr="00E15DD7">
              <w:rPr>
                <w:i/>
                <w:iCs/>
              </w:rPr>
              <w:t>esearch</w:t>
            </w:r>
            <w:r w:rsidR="00F40FE0">
              <w:rPr>
                <w:i/>
                <w:iCs/>
              </w:rPr>
              <w:t>’</w:t>
            </w:r>
            <w:r>
              <w:rPr>
                <w:i/>
                <w:iCs/>
              </w:rPr>
              <w:t>; expensed</w:t>
            </w:r>
            <w:r w:rsidR="00F40FE0">
              <w:rPr>
                <w:i/>
                <w:iCs/>
              </w:rPr>
              <w:t xml:space="preserve"> under this standard</w:t>
            </w:r>
            <w:r>
              <w:t>]</w:t>
            </w:r>
          </w:p>
        </w:tc>
        <w:tc>
          <w:tcPr>
            <w:tcW w:w="4083" w:type="dxa"/>
            <w:tcBorders>
              <w:top w:val="single" w:sz="4" w:space="0" w:color="auto"/>
              <w:bottom w:val="single" w:sz="4" w:space="0" w:color="auto"/>
            </w:tcBorders>
            <w:tcMar>
              <w:left w:w="57" w:type="dxa"/>
              <w:right w:w="57" w:type="dxa"/>
            </w:tcMar>
          </w:tcPr>
          <w:p w14:paraId="4C97EAD0" w14:textId="77777777" w:rsidR="00936A3A" w:rsidRPr="00E15DD7" w:rsidRDefault="00936A3A" w:rsidP="00C8397B">
            <w:pPr>
              <w:pStyle w:val="Table"/>
            </w:pPr>
            <w:r>
              <w:t>-</w:t>
            </w:r>
          </w:p>
        </w:tc>
      </w:tr>
      <w:tr w:rsidR="00936A3A" w14:paraId="05E1A9D9" w14:textId="77777777" w:rsidTr="00C8397B">
        <w:tc>
          <w:tcPr>
            <w:tcW w:w="851" w:type="dxa"/>
            <w:tcBorders>
              <w:top w:val="single" w:sz="4" w:space="0" w:color="auto"/>
              <w:bottom w:val="single" w:sz="4" w:space="0" w:color="auto"/>
            </w:tcBorders>
            <w:tcMar>
              <w:left w:w="57" w:type="dxa"/>
              <w:right w:w="57" w:type="dxa"/>
            </w:tcMar>
          </w:tcPr>
          <w:p w14:paraId="61EF8276" w14:textId="77777777" w:rsidR="00936A3A" w:rsidRPr="00E15DD7" w:rsidRDefault="00936A3A" w:rsidP="00C8397B">
            <w:pPr>
              <w:pStyle w:val="Table"/>
            </w:pPr>
            <w:r>
              <w:t>B.</w:t>
            </w:r>
          </w:p>
        </w:tc>
        <w:tc>
          <w:tcPr>
            <w:tcW w:w="4082" w:type="dxa"/>
            <w:tcBorders>
              <w:top w:val="single" w:sz="4" w:space="0" w:color="auto"/>
              <w:bottom w:val="single" w:sz="4" w:space="0" w:color="auto"/>
            </w:tcBorders>
            <w:tcMar>
              <w:left w:w="57" w:type="dxa"/>
              <w:right w:w="57" w:type="dxa"/>
            </w:tcMar>
          </w:tcPr>
          <w:p w14:paraId="3C6CD8BC" w14:textId="4303FC54" w:rsidR="00936A3A" w:rsidRPr="00E15DD7" w:rsidRDefault="00936A3A" w:rsidP="00C8397B">
            <w:pPr>
              <w:pStyle w:val="Table"/>
            </w:pPr>
            <w:r>
              <w:t>Application of knowledge to new or improved materials, devices, products, processes, systems or services; up to the point of confirming probable future benefits [</w:t>
            </w:r>
            <w:r w:rsidR="00F40FE0">
              <w:rPr>
                <w:i/>
                <w:iCs/>
              </w:rPr>
              <w:t>called ‘d</w:t>
            </w:r>
            <w:r w:rsidRPr="00E15DD7">
              <w:rPr>
                <w:i/>
                <w:iCs/>
              </w:rPr>
              <w:t>evelopment</w:t>
            </w:r>
            <w:r w:rsidR="00F40FE0">
              <w:rPr>
                <w:i/>
                <w:iCs/>
              </w:rPr>
              <w:t>’</w:t>
            </w:r>
            <w:r>
              <w:rPr>
                <w:i/>
                <w:iCs/>
              </w:rPr>
              <w:t>; expensed</w:t>
            </w:r>
            <w:r>
              <w:t>]</w:t>
            </w:r>
          </w:p>
        </w:tc>
        <w:tc>
          <w:tcPr>
            <w:tcW w:w="4083" w:type="dxa"/>
            <w:tcBorders>
              <w:top w:val="single" w:sz="4" w:space="0" w:color="auto"/>
              <w:bottom w:val="single" w:sz="4" w:space="0" w:color="auto"/>
            </w:tcBorders>
            <w:tcMar>
              <w:left w:w="57" w:type="dxa"/>
              <w:right w:w="57" w:type="dxa"/>
            </w:tcMar>
          </w:tcPr>
          <w:p w14:paraId="36C38568" w14:textId="0CC4561F" w:rsidR="00936A3A" w:rsidRPr="00E15DD7" w:rsidRDefault="00936A3A" w:rsidP="00C8397B">
            <w:pPr>
              <w:pStyle w:val="Table"/>
            </w:pPr>
            <w:r>
              <w:t xml:space="preserve">Geological studies; exploratory drilling; evaluating viability </w:t>
            </w:r>
            <w:r w:rsidRPr="00E15DD7">
              <w:t>[</w:t>
            </w:r>
            <w:r w:rsidR="00F40FE0" w:rsidRPr="00561A10">
              <w:rPr>
                <w:i/>
              </w:rPr>
              <w:t>called</w:t>
            </w:r>
            <w:r w:rsidR="00F40FE0">
              <w:t xml:space="preserve"> </w:t>
            </w:r>
            <w:r w:rsidRPr="00E15DD7">
              <w:rPr>
                <w:i/>
                <w:iCs/>
              </w:rPr>
              <w:t>E&amp;E</w:t>
            </w:r>
            <w:r>
              <w:rPr>
                <w:i/>
                <w:iCs/>
              </w:rPr>
              <w:t xml:space="preserve">; some </w:t>
            </w:r>
            <w:proofErr w:type="spellStart"/>
            <w:r>
              <w:rPr>
                <w:i/>
                <w:iCs/>
              </w:rPr>
              <w:t>capitalised</w:t>
            </w:r>
            <w:proofErr w:type="spellEnd"/>
            <w:r>
              <w:t>]</w:t>
            </w:r>
          </w:p>
        </w:tc>
      </w:tr>
      <w:tr w:rsidR="00936A3A" w14:paraId="2E82C955" w14:textId="77777777" w:rsidTr="00C8397B">
        <w:tc>
          <w:tcPr>
            <w:tcW w:w="851" w:type="dxa"/>
            <w:tcBorders>
              <w:top w:val="single" w:sz="4" w:space="0" w:color="auto"/>
              <w:bottom w:val="single" w:sz="4" w:space="0" w:color="auto"/>
            </w:tcBorders>
            <w:tcMar>
              <w:left w:w="57" w:type="dxa"/>
              <w:right w:w="57" w:type="dxa"/>
            </w:tcMar>
          </w:tcPr>
          <w:p w14:paraId="3D3D8CC0" w14:textId="77777777" w:rsidR="00936A3A" w:rsidRPr="00E15DD7" w:rsidRDefault="00936A3A" w:rsidP="00C8397B">
            <w:pPr>
              <w:pStyle w:val="Table"/>
            </w:pPr>
            <w:r>
              <w:t>C.</w:t>
            </w:r>
          </w:p>
        </w:tc>
        <w:tc>
          <w:tcPr>
            <w:tcW w:w="4082" w:type="dxa"/>
            <w:tcBorders>
              <w:top w:val="single" w:sz="4" w:space="0" w:color="auto"/>
              <w:bottom w:val="single" w:sz="4" w:space="0" w:color="auto"/>
            </w:tcBorders>
            <w:tcMar>
              <w:left w:w="57" w:type="dxa"/>
              <w:right w:w="57" w:type="dxa"/>
            </w:tcMar>
          </w:tcPr>
          <w:p w14:paraId="7D4D6DF3" w14:textId="79ED4F77" w:rsidR="00936A3A" w:rsidRPr="00E15DD7" w:rsidRDefault="00936A3A" w:rsidP="00C8397B">
            <w:pPr>
              <w:pStyle w:val="Table"/>
            </w:pPr>
            <w:r>
              <w:t>Continued development of a viable project [</w:t>
            </w:r>
            <w:r w:rsidR="0084210D" w:rsidRPr="00561A10">
              <w:rPr>
                <w:i/>
              </w:rPr>
              <w:t>called</w:t>
            </w:r>
            <w:r w:rsidR="0084210D">
              <w:t xml:space="preserve"> </w:t>
            </w:r>
            <w:r w:rsidR="00F40FE0">
              <w:rPr>
                <w:i/>
                <w:iCs/>
              </w:rPr>
              <w:t>‘d</w:t>
            </w:r>
            <w:r w:rsidRPr="00E15DD7">
              <w:rPr>
                <w:i/>
                <w:iCs/>
              </w:rPr>
              <w:t>evelopment</w:t>
            </w:r>
            <w:r w:rsidR="00F40FE0">
              <w:rPr>
                <w:i/>
                <w:iCs/>
              </w:rPr>
              <w:t>’</w:t>
            </w:r>
            <w:r>
              <w:rPr>
                <w:i/>
                <w:iCs/>
              </w:rPr>
              <w:t xml:space="preserve">; </w:t>
            </w:r>
            <w:proofErr w:type="spellStart"/>
            <w:r>
              <w:rPr>
                <w:i/>
                <w:iCs/>
              </w:rPr>
              <w:t>capitalised</w:t>
            </w:r>
            <w:proofErr w:type="spellEnd"/>
            <w:r>
              <w:t>]</w:t>
            </w:r>
          </w:p>
        </w:tc>
        <w:tc>
          <w:tcPr>
            <w:tcW w:w="4083" w:type="dxa"/>
            <w:tcBorders>
              <w:top w:val="single" w:sz="4" w:space="0" w:color="auto"/>
              <w:bottom w:val="single" w:sz="4" w:space="0" w:color="auto"/>
            </w:tcBorders>
            <w:tcMar>
              <w:left w:w="57" w:type="dxa"/>
              <w:right w:w="57" w:type="dxa"/>
            </w:tcMar>
          </w:tcPr>
          <w:p w14:paraId="1E7FF911" w14:textId="4A1723E8" w:rsidR="00936A3A" w:rsidRPr="00E15DD7" w:rsidRDefault="00936A3A" w:rsidP="00C8397B">
            <w:pPr>
              <w:pStyle w:val="Table"/>
            </w:pPr>
            <w:r>
              <w:t>Continued work on a viable project [</w:t>
            </w:r>
            <w:r w:rsidR="00F40FE0">
              <w:rPr>
                <w:i/>
                <w:iCs/>
              </w:rPr>
              <w:t>called ‘d</w:t>
            </w:r>
            <w:r>
              <w:rPr>
                <w:i/>
                <w:iCs/>
              </w:rPr>
              <w:t>evelopment</w:t>
            </w:r>
            <w:r w:rsidR="00F40FE0">
              <w:rPr>
                <w:i/>
                <w:iCs/>
              </w:rPr>
              <w:t>’</w:t>
            </w:r>
            <w:r>
              <w:rPr>
                <w:i/>
                <w:iCs/>
              </w:rPr>
              <w:t xml:space="preserve">; </w:t>
            </w:r>
            <w:proofErr w:type="spellStart"/>
            <w:r>
              <w:rPr>
                <w:i/>
                <w:iCs/>
              </w:rPr>
              <w:t>capitalised</w:t>
            </w:r>
            <w:proofErr w:type="spellEnd"/>
            <w:r>
              <w:t>]</w:t>
            </w:r>
          </w:p>
        </w:tc>
      </w:tr>
      <w:tr w:rsidR="00936A3A" w14:paraId="65812DE1" w14:textId="77777777" w:rsidTr="00C8397B">
        <w:tc>
          <w:tcPr>
            <w:tcW w:w="851" w:type="dxa"/>
            <w:tcBorders>
              <w:top w:val="single" w:sz="4" w:space="0" w:color="auto"/>
              <w:bottom w:val="single" w:sz="4" w:space="0" w:color="auto"/>
            </w:tcBorders>
            <w:tcMar>
              <w:left w:w="57" w:type="dxa"/>
              <w:right w:w="57" w:type="dxa"/>
            </w:tcMar>
          </w:tcPr>
          <w:p w14:paraId="6A7298A5" w14:textId="77777777" w:rsidR="00936A3A" w:rsidRPr="00E15DD7" w:rsidRDefault="00936A3A" w:rsidP="00C8397B">
            <w:pPr>
              <w:pStyle w:val="Table"/>
            </w:pPr>
            <w:r>
              <w:t>D.</w:t>
            </w:r>
          </w:p>
        </w:tc>
        <w:tc>
          <w:tcPr>
            <w:tcW w:w="4082" w:type="dxa"/>
            <w:tcBorders>
              <w:top w:val="single" w:sz="4" w:space="0" w:color="auto"/>
              <w:bottom w:val="single" w:sz="4" w:space="0" w:color="auto"/>
            </w:tcBorders>
            <w:tcMar>
              <w:left w:w="57" w:type="dxa"/>
              <w:right w:w="57" w:type="dxa"/>
            </w:tcMar>
          </w:tcPr>
          <w:p w14:paraId="4956D8D1" w14:textId="56633516" w:rsidR="00936A3A" w:rsidRPr="00E15DD7" w:rsidRDefault="00936A3A" w:rsidP="00C8397B">
            <w:pPr>
              <w:pStyle w:val="Table"/>
            </w:pPr>
            <w:r>
              <w:t>Asset available for use [</w:t>
            </w:r>
            <w:proofErr w:type="spellStart"/>
            <w:r w:rsidR="004A1BC6">
              <w:rPr>
                <w:i/>
                <w:iCs/>
              </w:rPr>
              <w:t>r</w:t>
            </w:r>
            <w:r>
              <w:rPr>
                <w:i/>
                <w:iCs/>
              </w:rPr>
              <w:t>ecognised</w:t>
            </w:r>
            <w:proofErr w:type="spellEnd"/>
            <w:r>
              <w:rPr>
                <w:i/>
                <w:iCs/>
              </w:rPr>
              <w:t xml:space="preserve"> as other intangible</w:t>
            </w:r>
            <w:r>
              <w:t>]</w:t>
            </w:r>
          </w:p>
        </w:tc>
        <w:tc>
          <w:tcPr>
            <w:tcW w:w="4083" w:type="dxa"/>
            <w:tcBorders>
              <w:top w:val="single" w:sz="4" w:space="0" w:color="auto"/>
              <w:bottom w:val="single" w:sz="4" w:space="0" w:color="auto"/>
            </w:tcBorders>
            <w:tcMar>
              <w:left w:w="57" w:type="dxa"/>
              <w:right w:w="57" w:type="dxa"/>
            </w:tcMar>
          </w:tcPr>
          <w:p w14:paraId="23C8B2D4" w14:textId="74C95D0F" w:rsidR="00936A3A" w:rsidRPr="00E15DD7" w:rsidRDefault="00936A3A" w:rsidP="00C8397B">
            <w:pPr>
              <w:pStyle w:val="Table"/>
            </w:pPr>
            <w:r>
              <w:t>Asset available for use [</w:t>
            </w:r>
            <w:r w:rsidR="00F40FE0">
              <w:rPr>
                <w:i/>
                <w:iCs/>
              </w:rPr>
              <w:t>called ‘p</w:t>
            </w:r>
            <w:r>
              <w:rPr>
                <w:i/>
                <w:iCs/>
              </w:rPr>
              <w:t>roduction</w:t>
            </w:r>
            <w:r w:rsidR="00F40FE0">
              <w:rPr>
                <w:i/>
                <w:iCs/>
              </w:rPr>
              <w:t>’</w:t>
            </w:r>
            <w:r>
              <w:rPr>
                <w:i/>
                <w:iCs/>
              </w:rPr>
              <w:t>; asset transferred to PPE or intangible</w:t>
            </w:r>
            <w:r w:rsidR="00F40FE0">
              <w:rPr>
                <w:i/>
                <w:iCs/>
              </w:rPr>
              <w:t>s</w:t>
            </w:r>
            <w:r>
              <w:t>]</w:t>
            </w:r>
          </w:p>
        </w:tc>
      </w:tr>
    </w:tbl>
    <w:p w14:paraId="3958253E" w14:textId="531439B3" w:rsidR="00461031" w:rsidRDefault="00461031" w:rsidP="00ED3F07">
      <w:pPr>
        <w:pStyle w:val="TableFootnote"/>
      </w:pPr>
      <w:r>
        <w:br w:type="page"/>
      </w:r>
    </w:p>
    <w:p w14:paraId="2C9A377C" w14:textId="0E46EB13" w:rsidR="00461031" w:rsidRPr="00733ADC" w:rsidRDefault="00044132" w:rsidP="00ED3F07">
      <w:pPr>
        <w:pStyle w:val="Heading1"/>
        <w:rPr>
          <w:lang w:val="en-US"/>
        </w:rPr>
      </w:pPr>
      <w:r>
        <w:rPr>
          <w:lang w:val="en-US"/>
        </w:rPr>
        <w:lastRenderedPageBreak/>
        <w:t>Table 3</w:t>
      </w:r>
      <w:r w:rsidR="00571F4B">
        <w:rPr>
          <w:lang w:val="en-US"/>
        </w:rPr>
        <w:t>.</w:t>
      </w:r>
      <w:r w:rsidR="00461031" w:rsidRPr="00733ADC">
        <w:rPr>
          <w:lang w:val="en-US"/>
        </w:rPr>
        <w:t xml:space="preserve"> Examples of confusing policy notes</w:t>
      </w:r>
    </w:p>
    <w:tbl>
      <w:tblPr>
        <w:tblStyle w:val="TableGridLight"/>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4825"/>
        <w:gridCol w:w="2361"/>
      </w:tblGrid>
      <w:tr w:rsidR="00461031" w14:paraId="167DDB36" w14:textId="77777777" w:rsidTr="00E7268F">
        <w:tc>
          <w:tcPr>
            <w:tcW w:w="1891" w:type="dxa"/>
            <w:tcBorders>
              <w:top w:val="single" w:sz="4" w:space="0" w:color="auto"/>
              <w:bottom w:val="single" w:sz="4" w:space="0" w:color="auto"/>
            </w:tcBorders>
            <w:tcMar>
              <w:left w:w="57" w:type="dxa"/>
              <w:right w:w="57" w:type="dxa"/>
            </w:tcMar>
          </w:tcPr>
          <w:p w14:paraId="334F48B2" w14:textId="77777777" w:rsidR="00461031" w:rsidRPr="00D4207A" w:rsidRDefault="00461031" w:rsidP="007B2DA6">
            <w:pPr>
              <w:pStyle w:val="Table"/>
              <w:rPr>
                <w:b/>
                <w:bCs w:val="0"/>
              </w:rPr>
            </w:pPr>
            <w:r w:rsidRPr="00D4207A">
              <w:rPr>
                <w:b/>
                <w:bCs w:val="0"/>
              </w:rPr>
              <w:t>Firm/year</w:t>
            </w:r>
          </w:p>
        </w:tc>
        <w:tc>
          <w:tcPr>
            <w:tcW w:w="4825" w:type="dxa"/>
            <w:tcBorders>
              <w:top w:val="single" w:sz="4" w:space="0" w:color="auto"/>
              <w:bottom w:val="single" w:sz="4" w:space="0" w:color="auto"/>
            </w:tcBorders>
            <w:tcMar>
              <w:left w:w="57" w:type="dxa"/>
              <w:right w:w="57" w:type="dxa"/>
            </w:tcMar>
          </w:tcPr>
          <w:p w14:paraId="03A4946F" w14:textId="77777777" w:rsidR="00461031" w:rsidRPr="00D4207A" w:rsidRDefault="00461031" w:rsidP="007B2DA6">
            <w:pPr>
              <w:pStyle w:val="Table"/>
              <w:rPr>
                <w:b/>
                <w:bCs w:val="0"/>
              </w:rPr>
            </w:pPr>
            <w:r w:rsidRPr="00D4207A">
              <w:rPr>
                <w:b/>
                <w:bCs w:val="0"/>
              </w:rPr>
              <w:t>Quotation from firm’s Note</w:t>
            </w:r>
          </w:p>
        </w:tc>
        <w:tc>
          <w:tcPr>
            <w:tcW w:w="2361" w:type="dxa"/>
            <w:tcBorders>
              <w:top w:val="single" w:sz="4" w:space="0" w:color="auto"/>
              <w:bottom w:val="single" w:sz="4" w:space="0" w:color="auto"/>
            </w:tcBorders>
            <w:tcMar>
              <w:left w:w="57" w:type="dxa"/>
              <w:right w:w="57" w:type="dxa"/>
            </w:tcMar>
          </w:tcPr>
          <w:p w14:paraId="5BDF098A" w14:textId="77777777" w:rsidR="00461031" w:rsidRPr="00D4207A" w:rsidRDefault="00461031" w:rsidP="007B2DA6">
            <w:pPr>
              <w:pStyle w:val="Table"/>
              <w:rPr>
                <w:b/>
                <w:bCs w:val="0"/>
              </w:rPr>
            </w:pPr>
            <w:r w:rsidRPr="00D4207A">
              <w:rPr>
                <w:b/>
                <w:bCs w:val="0"/>
              </w:rPr>
              <w:t>Our comment</w:t>
            </w:r>
          </w:p>
        </w:tc>
      </w:tr>
      <w:tr w:rsidR="00461031" w14:paraId="46C3BCA4" w14:textId="77777777" w:rsidTr="00E7268F">
        <w:tc>
          <w:tcPr>
            <w:tcW w:w="1891" w:type="dxa"/>
            <w:tcBorders>
              <w:top w:val="single" w:sz="4" w:space="0" w:color="auto"/>
              <w:bottom w:val="single" w:sz="4" w:space="0" w:color="auto"/>
            </w:tcBorders>
            <w:tcMar>
              <w:left w:w="57" w:type="dxa"/>
              <w:right w:w="57" w:type="dxa"/>
            </w:tcMar>
          </w:tcPr>
          <w:p w14:paraId="754F658E" w14:textId="72BB1883" w:rsidR="00461031" w:rsidRDefault="00461031" w:rsidP="007B2DA6">
            <w:pPr>
              <w:pStyle w:val="Table"/>
            </w:pPr>
            <w:r>
              <w:t>Alamos</w:t>
            </w:r>
            <w:r w:rsidR="00184AC1">
              <w:t xml:space="preserve"> Gold</w:t>
            </w:r>
            <w:r>
              <w:t>, 2011</w:t>
            </w:r>
            <w:r w:rsidR="00184AC1">
              <w:t xml:space="preserve"> Financial Report</w:t>
            </w:r>
            <w:r>
              <w:t>, p.12</w:t>
            </w:r>
          </w:p>
          <w:p w14:paraId="01F7E89C" w14:textId="77777777" w:rsidR="00461031" w:rsidRPr="00830EE6" w:rsidRDefault="00461031" w:rsidP="007B2DA6">
            <w:pPr>
              <w:pStyle w:val="Table"/>
            </w:pPr>
            <w:r>
              <w:t>(Canada)</w:t>
            </w:r>
          </w:p>
        </w:tc>
        <w:tc>
          <w:tcPr>
            <w:tcW w:w="4825" w:type="dxa"/>
            <w:tcBorders>
              <w:top w:val="single" w:sz="4" w:space="0" w:color="auto"/>
              <w:bottom w:val="single" w:sz="4" w:space="0" w:color="auto"/>
            </w:tcBorders>
            <w:tcMar>
              <w:left w:w="57" w:type="dxa"/>
              <w:right w:w="57" w:type="dxa"/>
            </w:tcMar>
          </w:tcPr>
          <w:p w14:paraId="1EA34B11" w14:textId="77777777" w:rsidR="00461031" w:rsidRPr="00D97835" w:rsidRDefault="00461031" w:rsidP="007B2DA6">
            <w:pPr>
              <w:pStyle w:val="Table"/>
              <w:rPr>
                <w:rFonts w:cstheme="minorHAnsi"/>
              </w:rPr>
            </w:pPr>
            <w:r w:rsidRPr="00D97835">
              <w:rPr>
                <w:rFonts w:cstheme="minorHAnsi"/>
              </w:rPr>
              <w:t>Exploration expenditures on non-producing properties, including drilling and related costs, identified as having development potential, as evidenced by a positive economic analysis of the project, are treated as mine development costs and capitalized.</w:t>
            </w:r>
          </w:p>
        </w:tc>
        <w:tc>
          <w:tcPr>
            <w:tcW w:w="2361" w:type="dxa"/>
            <w:tcBorders>
              <w:top w:val="single" w:sz="4" w:space="0" w:color="auto"/>
              <w:bottom w:val="single" w:sz="4" w:space="0" w:color="auto"/>
            </w:tcBorders>
            <w:tcMar>
              <w:left w:w="57" w:type="dxa"/>
              <w:right w:w="57" w:type="dxa"/>
            </w:tcMar>
          </w:tcPr>
          <w:p w14:paraId="79838CF6" w14:textId="08FCD8C7" w:rsidR="00461031" w:rsidRPr="00830EE6" w:rsidRDefault="00307DB0" w:rsidP="007B2DA6">
            <w:pPr>
              <w:pStyle w:val="Table"/>
            </w:pPr>
            <w:r>
              <w:t>If the expenditures relate to positively appraised development projects, it is confusing to refer to them as exploration.</w:t>
            </w:r>
          </w:p>
        </w:tc>
      </w:tr>
      <w:tr w:rsidR="00461031" w14:paraId="12E38DD7" w14:textId="77777777" w:rsidTr="00E7268F">
        <w:tc>
          <w:tcPr>
            <w:tcW w:w="1891" w:type="dxa"/>
            <w:tcBorders>
              <w:top w:val="single" w:sz="4" w:space="0" w:color="auto"/>
              <w:bottom w:val="single" w:sz="4" w:space="0" w:color="auto"/>
            </w:tcBorders>
            <w:tcMar>
              <w:left w:w="57" w:type="dxa"/>
              <w:right w:w="57" w:type="dxa"/>
            </w:tcMar>
          </w:tcPr>
          <w:p w14:paraId="5E28C268" w14:textId="66717DC5" w:rsidR="00461031" w:rsidRDefault="00461031" w:rsidP="007B2DA6">
            <w:pPr>
              <w:pStyle w:val="Table"/>
            </w:pPr>
            <w:r>
              <w:t>Antofagasta, 2011</w:t>
            </w:r>
            <w:r w:rsidR="00184AC1">
              <w:t xml:space="preserve"> Annual Report and Financial Statements</w:t>
            </w:r>
            <w:r>
              <w:t>, p.</w:t>
            </w:r>
            <w:r w:rsidR="0040070D">
              <w:t>99</w:t>
            </w:r>
          </w:p>
          <w:p w14:paraId="5CB70006" w14:textId="77777777" w:rsidR="00461031" w:rsidRPr="00830EE6" w:rsidRDefault="00461031" w:rsidP="007B2DA6">
            <w:pPr>
              <w:pStyle w:val="Table"/>
            </w:pPr>
            <w:r>
              <w:t>(UK)</w:t>
            </w:r>
          </w:p>
        </w:tc>
        <w:tc>
          <w:tcPr>
            <w:tcW w:w="4825" w:type="dxa"/>
            <w:tcBorders>
              <w:top w:val="single" w:sz="4" w:space="0" w:color="auto"/>
              <w:bottom w:val="single" w:sz="4" w:space="0" w:color="auto"/>
            </w:tcBorders>
            <w:tcMar>
              <w:left w:w="57" w:type="dxa"/>
              <w:right w:w="57" w:type="dxa"/>
            </w:tcMar>
          </w:tcPr>
          <w:p w14:paraId="7388C3C3" w14:textId="2AF2E6FA" w:rsidR="00461031" w:rsidRDefault="00461031" w:rsidP="007B2DA6">
            <w:pPr>
              <w:pStyle w:val="Table"/>
              <w:rPr>
                <w:rFonts w:cstheme="minorHAnsi"/>
              </w:rPr>
            </w:pPr>
            <w:r w:rsidRPr="00D26188">
              <w:rPr>
                <w:rFonts w:cstheme="minorHAnsi"/>
                <w:bCs w:val="0"/>
              </w:rPr>
              <w:t>g) Exploration and evaluation expenditure</w:t>
            </w:r>
            <w:r w:rsidR="000625E0">
              <w:rPr>
                <w:rFonts w:cstheme="minorHAnsi"/>
                <w:bCs w:val="0"/>
              </w:rPr>
              <w:t xml:space="preserve"> […]</w:t>
            </w:r>
          </w:p>
          <w:p w14:paraId="60CB0B05" w14:textId="77777777" w:rsidR="00461031" w:rsidRPr="00D97835" w:rsidRDefault="00461031" w:rsidP="007B2DA6">
            <w:pPr>
              <w:pStyle w:val="Table"/>
              <w:rPr>
                <w:rFonts w:cstheme="minorHAnsi"/>
              </w:rPr>
            </w:pPr>
            <w:r w:rsidRPr="00D97835">
              <w:rPr>
                <w:rFonts w:cstheme="minorHAnsi"/>
              </w:rPr>
              <w:t>Exploration and evaluation are expensed in the year in which it is incurred. When a decision is taken</w:t>
            </w:r>
            <w:r>
              <w:rPr>
                <w:rFonts w:cstheme="minorHAnsi"/>
              </w:rPr>
              <w:t xml:space="preserve"> </w:t>
            </w:r>
            <w:r w:rsidRPr="00D97835">
              <w:rPr>
                <w:rFonts w:cstheme="minorHAnsi"/>
              </w:rPr>
              <w:t>that a mining project is commercially viable (normally when the project has reached the feasibility</w:t>
            </w:r>
            <w:r>
              <w:rPr>
                <w:rFonts w:cstheme="minorHAnsi"/>
              </w:rPr>
              <w:t xml:space="preserve"> </w:t>
            </w:r>
            <w:r w:rsidRPr="00D97835">
              <w:rPr>
                <w:rFonts w:cstheme="minorHAnsi"/>
              </w:rPr>
              <w:t xml:space="preserve">stage) all further directly attributable pre-production expenditure is </w:t>
            </w:r>
            <w:proofErr w:type="spellStart"/>
            <w:r w:rsidRPr="00D97835">
              <w:rPr>
                <w:rFonts w:cstheme="minorHAnsi"/>
              </w:rPr>
              <w:t>capitalised</w:t>
            </w:r>
            <w:proofErr w:type="spellEnd"/>
            <w:r w:rsidRPr="00D97835">
              <w:rPr>
                <w:rFonts w:cstheme="minorHAnsi"/>
              </w:rPr>
              <w:t>.</w:t>
            </w:r>
          </w:p>
        </w:tc>
        <w:tc>
          <w:tcPr>
            <w:tcW w:w="2361" w:type="dxa"/>
            <w:tcBorders>
              <w:top w:val="single" w:sz="4" w:space="0" w:color="auto"/>
              <w:bottom w:val="single" w:sz="4" w:space="0" w:color="auto"/>
            </w:tcBorders>
            <w:tcMar>
              <w:left w:w="57" w:type="dxa"/>
              <w:right w:w="57" w:type="dxa"/>
            </w:tcMar>
          </w:tcPr>
          <w:p w14:paraId="6872B055" w14:textId="77777777" w:rsidR="00461031" w:rsidRPr="00830EE6" w:rsidRDefault="00461031" w:rsidP="007B2DA6">
            <w:pPr>
              <w:pStyle w:val="Table"/>
            </w:pPr>
            <w:r>
              <w:t>Despite its heading, the second sentence of the note is about development costs.</w:t>
            </w:r>
          </w:p>
        </w:tc>
      </w:tr>
      <w:tr w:rsidR="00461031" w14:paraId="2CC51342" w14:textId="77777777" w:rsidTr="00E7268F">
        <w:tc>
          <w:tcPr>
            <w:tcW w:w="1891" w:type="dxa"/>
            <w:tcBorders>
              <w:top w:val="single" w:sz="4" w:space="0" w:color="auto"/>
              <w:bottom w:val="single" w:sz="4" w:space="0" w:color="auto"/>
            </w:tcBorders>
            <w:tcMar>
              <w:left w:w="57" w:type="dxa"/>
              <w:right w:w="57" w:type="dxa"/>
            </w:tcMar>
          </w:tcPr>
          <w:p w14:paraId="2BCBFEF7" w14:textId="28D4385D" w:rsidR="00461031" w:rsidRDefault="00461031" w:rsidP="007B2DA6">
            <w:pPr>
              <w:pStyle w:val="Table"/>
            </w:pPr>
            <w:r>
              <w:t>Great Western</w:t>
            </w:r>
            <w:r w:rsidR="00D15304">
              <w:t xml:space="preserve"> Exploration</w:t>
            </w:r>
            <w:r>
              <w:t>, 2018</w:t>
            </w:r>
            <w:r w:rsidR="00040014">
              <w:t xml:space="preserve"> Annual Report</w:t>
            </w:r>
            <w:r>
              <w:t xml:space="preserve">, </w:t>
            </w:r>
            <w:r w:rsidRPr="00CF2D08">
              <w:t>pp.40</w:t>
            </w:r>
            <w:r w:rsidR="00D15304" w:rsidRPr="00CF2D08">
              <w:t>+</w:t>
            </w:r>
            <w:r w:rsidRPr="00CF2D08">
              <w:t>45</w:t>
            </w:r>
          </w:p>
          <w:p w14:paraId="4C010E11" w14:textId="77777777" w:rsidR="00461031" w:rsidRPr="00830EE6" w:rsidRDefault="00461031" w:rsidP="007B2DA6">
            <w:pPr>
              <w:pStyle w:val="Table"/>
            </w:pPr>
            <w:r>
              <w:t>(Australia)</w:t>
            </w:r>
          </w:p>
        </w:tc>
        <w:tc>
          <w:tcPr>
            <w:tcW w:w="4825" w:type="dxa"/>
            <w:tcBorders>
              <w:top w:val="single" w:sz="4" w:space="0" w:color="auto"/>
              <w:bottom w:val="single" w:sz="4" w:space="0" w:color="auto"/>
            </w:tcBorders>
            <w:tcMar>
              <w:left w:w="57" w:type="dxa"/>
              <w:right w:w="57" w:type="dxa"/>
            </w:tcMar>
          </w:tcPr>
          <w:p w14:paraId="5F856ED3" w14:textId="6CF67F1C" w:rsidR="00461031" w:rsidRPr="00D97835" w:rsidRDefault="00461031" w:rsidP="007B2DA6">
            <w:pPr>
              <w:pStyle w:val="Table"/>
              <w:rPr>
                <w:rFonts w:cstheme="minorHAnsi"/>
              </w:rPr>
            </w:pPr>
            <w:r w:rsidRPr="00D97835">
              <w:rPr>
                <w:rFonts w:cstheme="minorHAnsi"/>
              </w:rPr>
              <w:t xml:space="preserve">Exploration and evaluation costs are </w:t>
            </w:r>
            <w:proofErr w:type="spellStart"/>
            <w:r w:rsidRPr="00D97835">
              <w:rPr>
                <w:rFonts w:cstheme="minorHAnsi"/>
              </w:rPr>
              <w:t>capitalised</w:t>
            </w:r>
            <w:proofErr w:type="spellEnd"/>
            <w:r w:rsidRPr="00D97835">
              <w:rPr>
                <w:rFonts w:cstheme="minorHAnsi"/>
              </w:rPr>
              <w:t xml:space="preserve"> as exploration and evaluation assets on a project by project basis</w:t>
            </w:r>
            <w:r>
              <w:rPr>
                <w:rFonts w:cstheme="minorHAnsi"/>
              </w:rPr>
              <w:t xml:space="preserve"> </w:t>
            </w:r>
            <w:r w:rsidRPr="00D97835">
              <w:rPr>
                <w:rFonts w:cstheme="minorHAnsi"/>
              </w:rPr>
              <w:t>pending determination of the technical feasibility and comm</w:t>
            </w:r>
            <w:r>
              <w:rPr>
                <w:rFonts w:cstheme="minorHAnsi"/>
              </w:rPr>
              <w:t>ercial viability of the project.</w:t>
            </w:r>
            <w:r w:rsidRPr="00D97835">
              <w:rPr>
                <w:rFonts w:cstheme="minorHAnsi"/>
              </w:rPr>
              <w:t xml:space="preserve"> (p.</w:t>
            </w:r>
            <w:r w:rsidR="00D15304">
              <w:rPr>
                <w:rFonts w:cstheme="minorHAnsi"/>
              </w:rPr>
              <w:t>40</w:t>
            </w:r>
            <w:r w:rsidRPr="00D97835">
              <w:rPr>
                <w:rFonts w:cstheme="minorHAnsi"/>
              </w:rPr>
              <w:t>)</w:t>
            </w:r>
            <w:r>
              <w:rPr>
                <w:rFonts w:cstheme="minorHAnsi"/>
              </w:rPr>
              <w:t>.</w:t>
            </w:r>
            <w:r w:rsidRPr="00D97835">
              <w:rPr>
                <w:rFonts w:cstheme="minorHAnsi"/>
              </w:rPr>
              <w:t xml:space="preserve"> Acquisition, exploration and evaluation expenditure incurred is accumulated in respect of each identifiable area of</w:t>
            </w:r>
            <w:r>
              <w:rPr>
                <w:rFonts w:cstheme="minorHAnsi"/>
              </w:rPr>
              <w:t xml:space="preserve"> </w:t>
            </w:r>
            <w:r w:rsidRPr="00D97835">
              <w:rPr>
                <w:rFonts w:cstheme="minorHAnsi"/>
              </w:rPr>
              <w:t>interest. These costs are carried forward in respect of an area that has not at balance sheet date reached a stage which</w:t>
            </w:r>
            <w:r>
              <w:rPr>
                <w:rFonts w:cstheme="minorHAnsi"/>
              </w:rPr>
              <w:t xml:space="preserve"> </w:t>
            </w:r>
            <w:r w:rsidRPr="00D97835">
              <w:rPr>
                <w:rFonts w:cstheme="minorHAnsi"/>
              </w:rPr>
              <w:t>permits a reasonable assessment of the existence or otherwise of economically recoverable reserves</w:t>
            </w:r>
            <w:r w:rsidR="003403D5">
              <w:rPr>
                <w:rFonts w:cstheme="minorHAnsi"/>
              </w:rPr>
              <w:t xml:space="preserve"> [</w:t>
            </w:r>
            <w:r w:rsidRPr="00D97835">
              <w:rPr>
                <w:rFonts w:cstheme="minorHAnsi"/>
              </w:rPr>
              <w:t>…</w:t>
            </w:r>
            <w:r w:rsidR="003403D5">
              <w:rPr>
                <w:rFonts w:cstheme="minorHAnsi"/>
              </w:rPr>
              <w:t>]</w:t>
            </w:r>
            <w:r w:rsidRPr="00D97835">
              <w:rPr>
                <w:rFonts w:cstheme="minorHAnsi"/>
              </w:rPr>
              <w:t xml:space="preserve"> (p.</w:t>
            </w:r>
            <w:r w:rsidR="00D15304">
              <w:rPr>
                <w:rFonts w:cstheme="minorHAnsi"/>
              </w:rPr>
              <w:t>45</w:t>
            </w:r>
            <w:r w:rsidRPr="00D97835">
              <w:rPr>
                <w:rFonts w:cstheme="minorHAnsi"/>
              </w:rPr>
              <w:t>)</w:t>
            </w:r>
          </w:p>
        </w:tc>
        <w:tc>
          <w:tcPr>
            <w:tcW w:w="2361" w:type="dxa"/>
            <w:tcBorders>
              <w:top w:val="single" w:sz="4" w:space="0" w:color="auto"/>
              <w:bottom w:val="single" w:sz="4" w:space="0" w:color="auto"/>
            </w:tcBorders>
            <w:tcMar>
              <w:left w:w="57" w:type="dxa"/>
              <w:right w:w="57" w:type="dxa"/>
            </w:tcMar>
          </w:tcPr>
          <w:p w14:paraId="1CF98DE4" w14:textId="77777777" w:rsidR="00461031" w:rsidRPr="00830EE6" w:rsidRDefault="00461031" w:rsidP="007B2DA6">
            <w:pPr>
              <w:pStyle w:val="Table"/>
            </w:pPr>
            <w:r>
              <w:t>The first note implies ‘successful efforts’; the second refers to ‘area of interest’.</w:t>
            </w:r>
          </w:p>
        </w:tc>
      </w:tr>
      <w:tr w:rsidR="00461031" w14:paraId="6C61B344" w14:textId="77777777" w:rsidTr="00E7268F">
        <w:tc>
          <w:tcPr>
            <w:tcW w:w="1891" w:type="dxa"/>
            <w:tcBorders>
              <w:top w:val="single" w:sz="4" w:space="0" w:color="auto"/>
              <w:bottom w:val="single" w:sz="4" w:space="0" w:color="auto"/>
            </w:tcBorders>
            <w:tcMar>
              <w:left w:w="57" w:type="dxa"/>
              <w:right w:w="57" w:type="dxa"/>
            </w:tcMar>
          </w:tcPr>
          <w:p w14:paraId="1F80A3FE" w14:textId="3E987EFF" w:rsidR="00461031" w:rsidRDefault="00461031" w:rsidP="007B2DA6">
            <w:pPr>
              <w:pStyle w:val="Table"/>
            </w:pPr>
            <w:r>
              <w:t>Horizon Oil, 201</w:t>
            </w:r>
            <w:r w:rsidR="00D15304">
              <w:t>2</w:t>
            </w:r>
            <w:r w:rsidR="00040014">
              <w:t xml:space="preserve"> Annual Report</w:t>
            </w:r>
            <w:r>
              <w:t xml:space="preserve">, </w:t>
            </w:r>
            <w:r w:rsidRPr="00CF2D08">
              <w:t>p.</w:t>
            </w:r>
            <w:r>
              <w:t>5</w:t>
            </w:r>
            <w:r w:rsidR="00040014">
              <w:t>2</w:t>
            </w:r>
          </w:p>
          <w:p w14:paraId="25201906" w14:textId="77777777" w:rsidR="00461031" w:rsidRPr="00830EE6" w:rsidRDefault="00461031" w:rsidP="007B2DA6">
            <w:pPr>
              <w:pStyle w:val="Table"/>
            </w:pPr>
            <w:r>
              <w:t>(Australia)</w:t>
            </w:r>
          </w:p>
        </w:tc>
        <w:tc>
          <w:tcPr>
            <w:tcW w:w="4825" w:type="dxa"/>
            <w:tcBorders>
              <w:top w:val="single" w:sz="4" w:space="0" w:color="auto"/>
              <w:bottom w:val="single" w:sz="4" w:space="0" w:color="auto"/>
            </w:tcBorders>
            <w:tcMar>
              <w:left w:w="57" w:type="dxa"/>
              <w:right w:w="57" w:type="dxa"/>
            </w:tcMar>
          </w:tcPr>
          <w:p w14:paraId="5B6CB52C" w14:textId="77777777" w:rsidR="00461031" w:rsidRPr="00830EE6" w:rsidRDefault="00461031" w:rsidP="007B2DA6">
            <w:pPr>
              <w:pStyle w:val="Table"/>
            </w:pPr>
            <w:r w:rsidRPr="009F2073">
              <w:rPr>
                <w:rFonts w:cstheme="minorHAnsi"/>
              </w:rPr>
              <w:t>Exploration phase expenditure in respect of each area of</w:t>
            </w:r>
            <w:r>
              <w:rPr>
                <w:rFonts w:cstheme="minorHAnsi"/>
              </w:rPr>
              <w:t xml:space="preserve"> </w:t>
            </w:r>
            <w:r w:rsidRPr="009F2073">
              <w:rPr>
                <w:rFonts w:cstheme="minorHAnsi"/>
              </w:rPr>
              <w:t>interest is accounted for using the successful efforts method</w:t>
            </w:r>
            <w:r>
              <w:rPr>
                <w:rFonts w:cstheme="minorHAnsi"/>
              </w:rPr>
              <w:t xml:space="preserve"> </w:t>
            </w:r>
            <w:r w:rsidRPr="009F2073">
              <w:rPr>
                <w:rFonts w:cstheme="minorHAnsi"/>
              </w:rPr>
              <w:t>of accounting. The successful efforts method requires all</w:t>
            </w:r>
            <w:r>
              <w:rPr>
                <w:rFonts w:cstheme="minorHAnsi"/>
              </w:rPr>
              <w:t xml:space="preserve"> </w:t>
            </w:r>
            <w:r w:rsidRPr="009F2073">
              <w:rPr>
                <w:rFonts w:cstheme="minorHAnsi"/>
              </w:rPr>
              <w:t>expl</w:t>
            </w:r>
            <w:r>
              <w:rPr>
                <w:rFonts w:cstheme="minorHAnsi"/>
              </w:rPr>
              <w:t xml:space="preserve">oration phase expenditure to be </w:t>
            </w:r>
            <w:r w:rsidRPr="009F2073">
              <w:rPr>
                <w:rFonts w:cstheme="minorHAnsi"/>
              </w:rPr>
              <w:t>expensed in the period</w:t>
            </w:r>
            <w:r>
              <w:rPr>
                <w:rFonts w:cstheme="minorHAnsi"/>
              </w:rPr>
              <w:t xml:space="preserve"> </w:t>
            </w:r>
            <w:r w:rsidRPr="009F2073">
              <w:rPr>
                <w:rFonts w:cstheme="minorHAnsi"/>
              </w:rPr>
              <w:t>it is incurred, except the costs of successful wells, the costs</w:t>
            </w:r>
            <w:r>
              <w:rPr>
                <w:rFonts w:cstheme="minorHAnsi"/>
              </w:rPr>
              <w:t xml:space="preserve"> </w:t>
            </w:r>
            <w:r w:rsidRPr="009F2073">
              <w:rPr>
                <w:rFonts w:cstheme="minorHAnsi"/>
              </w:rPr>
              <w:t>of acquiring interests in new exploration assets and predevelopment</w:t>
            </w:r>
            <w:r>
              <w:rPr>
                <w:rFonts w:cstheme="minorHAnsi"/>
              </w:rPr>
              <w:t xml:space="preserve"> </w:t>
            </w:r>
            <w:r w:rsidRPr="009F2073">
              <w:rPr>
                <w:rFonts w:cstheme="minorHAnsi"/>
              </w:rPr>
              <w:t>costs where there is a high degree of probability</w:t>
            </w:r>
            <w:r>
              <w:rPr>
                <w:rFonts w:cstheme="minorHAnsi"/>
              </w:rPr>
              <w:t xml:space="preserve"> </w:t>
            </w:r>
            <w:r w:rsidRPr="009F2073">
              <w:rPr>
                <w:rFonts w:cstheme="minorHAnsi"/>
              </w:rPr>
              <w:t xml:space="preserve">that the development will go ahead, which are </w:t>
            </w:r>
            <w:proofErr w:type="spellStart"/>
            <w:r w:rsidRPr="009F2073">
              <w:rPr>
                <w:rFonts w:cstheme="minorHAnsi"/>
              </w:rPr>
              <w:t>capitalised</w:t>
            </w:r>
            <w:proofErr w:type="spellEnd"/>
            <w:r w:rsidRPr="009F2073">
              <w:rPr>
                <w:rFonts w:cstheme="minorHAnsi"/>
              </w:rPr>
              <w:t>.</w:t>
            </w:r>
          </w:p>
        </w:tc>
        <w:tc>
          <w:tcPr>
            <w:tcW w:w="2361" w:type="dxa"/>
            <w:tcBorders>
              <w:top w:val="single" w:sz="4" w:space="0" w:color="auto"/>
              <w:bottom w:val="single" w:sz="4" w:space="0" w:color="auto"/>
            </w:tcBorders>
            <w:tcMar>
              <w:left w:w="57" w:type="dxa"/>
              <w:right w:w="57" w:type="dxa"/>
            </w:tcMar>
          </w:tcPr>
          <w:p w14:paraId="746F4973" w14:textId="77777777" w:rsidR="00461031" w:rsidRPr="00830EE6" w:rsidRDefault="00461031" w:rsidP="007B2DA6">
            <w:pPr>
              <w:pStyle w:val="Table"/>
            </w:pPr>
            <w:r>
              <w:t>Refers to both ‘area of interest’ and ‘successful efforts’ at the well level.</w:t>
            </w:r>
          </w:p>
        </w:tc>
      </w:tr>
      <w:tr w:rsidR="00551285" w14:paraId="2AE649C0" w14:textId="77777777" w:rsidTr="00E7268F">
        <w:tc>
          <w:tcPr>
            <w:tcW w:w="1891" w:type="dxa"/>
            <w:tcBorders>
              <w:top w:val="single" w:sz="4" w:space="0" w:color="auto"/>
              <w:bottom w:val="single" w:sz="4" w:space="0" w:color="auto"/>
            </w:tcBorders>
            <w:tcMar>
              <w:left w:w="57" w:type="dxa"/>
              <w:right w:w="57" w:type="dxa"/>
            </w:tcMar>
          </w:tcPr>
          <w:p w14:paraId="4D5C5E21" w14:textId="77777777" w:rsidR="00551285" w:rsidRDefault="00551285" w:rsidP="00551285">
            <w:pPr>
              <w:pStyle w:val="Table"/>
            </w:pPr>
            <w:r>
              <w:t>Merlin Diamonds, 2018 Annual Report, p.30</w:t>
            </w:r>
          </w:p>
          <w:p w14:paraId="50430D91" w14:textId="6B93E7DC" w:rsidR="00551285" w:rsidRDefault="00551285" w:rsidP="00551285">
            <w:pPr>
              <w:pStyle w:val="Table"/>
            </w:pPr>
            <w:r>
              <w:t>(Australia)</w:t>
            </w:r>
          </w:p>
        </w:tc>
        <w:tc>
          <w:tcPr>
            <w:tcW w:w="4825" w:type="dxa"/>
            <w:tcBorders>
              <w:top w:val="single" w:sz="4" w:space="0" w:color="auto"/>
              <w:bottom w:val="single" w:sz="4" w:space="0" w:color="auto"/>
            </w:tcBorders>
            <w:tcMar>
              <w:left w:w="57" w:type="dxa"/>
              <w:right w:w="57" w:type="dxa"/>
            </w:tcMar>
          </w:tcPr>
          <w:p w14:paraId="376C493F" w14:textId="2432D4E4" w:rsidR="00551285" w:rsidRPr="009F2073" w:rsidRDefault="00551285" w:rsidP="00551285">
            <w:pPr>
              <w:pStyle w:val="Table"/>
              <w:rPr>
                <w:rFonts w:cstheme="minorHAnsi"/>
              </w:rPr>
            </w:pPr>
            <w:r w:rsidRPr="009F2073">
              <w:t xml:space="preserve">Exploration and evaluation expenditure is charged against earnings as incurred and included as part of cash flows from operating activities. </w:t>
            </w:r>
            <w:r>
              <w:t xml:space="preserve">[…] </w:t>
            </w:r>
            <w:r w:rsidRPr="009F2073">
              <w:t xml:space="preserve">Accounting for exploration and evaluation expenditures is assessed separately for each ‘area of interest’ to determine whether expenditure is expensed as incurred or </w:t>
            </w:r>
            <w:proofErr w:type="spellStart"/>
            <w:r w:rsidRPr="009F2073">
              <w:t>capitalised</w:t>
            </w:r>
            <w:proofErr w:type="spellEnd"/>
            <w:r w:rsidRPr="009F2073">
              <w:t xml:space="preserve"> as an asset. </w:t>
            </w:r>
          </w:p>
        </w:tc>
        <w:tc>
          <w:tcPr>
            <w:tcW w:w="2361" w:type="dxa"/>
            <w:tcBorders>
              <w:top w:val="single" w:sz="4" w:space="0" w:color="auto"/>
              <w:bottom w:val="single" w:sz="4" w:space="0" w:color="auto"/>
            </w:tcBorders>
            <w:tcMar>
              <w:left w:w="57" w:type="dxa"/>
              <w:right w:w="57" w:type="dxa"/>
            </w:tcMar>
          </w:tcPr>
          <w:p w14:paraId="5042B9FF" w14:textId="4D1DECF1" w:rsidR="00551285" w:rsidRDefault="00551285" w:rsidP="00551285">
            <w:pPr>
              <w:pStyle w:val="Table"/>
            </w:pPr>
            <w:r>
              <w:t>The first sentence is presumably wrong because it is contradicted by the second.</w:t>
            </w:r>
          </w:p>
        </w:tc>
      </w:tr>
      <w:tr w:rsidR="00551285" w14:paraId="13A6D798" w14:textId="77777777" w:rsidTr="00E7268F">
        <w:tc>
          <w:tcPr>
            <w:tcW w:w="1891" w:type="dxa"/>
            <w:tcBorders>
              <w:top w:val="single" w:sz="4" w:space="0" w:color="auto"/>
              <w:bottom w:val="single" w:sz="4" w:space="0" w:color="auto"/>
            </w:tcBorders>
            <w:tcMar>
              <w:left w:w="57" w:type="dxa"/>
              <w:right w:w="57" w:type="dxa"/>
            </w:tcMar>
          </w:tcPr>
          <w:p w14:paraId="7B272685" w14:textId="703DDA4A" w:rsidR="00551285" w:rsidRDefault="00551285" w:rsidP="00551285">
            <w:pPr>
              <w:pStyle w:val="Table"/>
            </w:pPr>
            <w:r>
              <w:t>North American Palladium, 2011 Annual Report, p.43</w:t>
            </w:r>
          </w:p>
          <w:p w14:paraId="27FDAF09" w14:textId="77777777" w:rsidR="00551285" w:rsidRDefault="00551285" w:rsidP="00551285">
            <w:pPr>
              <w:pStyle w:val="Table"/>
            </w:pPr>
            <w:r>
              <w:t>(Canada)</w:t>
            </w:r>
          </w:p>
        </w:tc>
        <w:tc>
          <w:tcPr>
            <w:tcW w:w="4825" w:type="dxa"/>
            <w:tcBorders>
              <w:top w:val="single" w:sz="4" w:space="0" w:color="auto"/>
              <w:bottom w:val="single" w:sz="4" w:space="0" w:color="auto"/>
            </w:tcBorders>
            <w:tcMar>
              <w:left w:w="57" w:type="dxa"/>
              <w:right w:w="57" w:type="dxa"/>
            </w:tcMar>
          </w:tcPr>
          <w:p w14:paraId="4A30A357" w14:textId="77777777" w:rsidR="00551285" w:rsidRDefault="00551285" w:rsidP="00551285">
            <w:pPr>
              <w:pStyle w:val="Table"/>
            </w:pPr>
            <w:r w:rsidRPr="0042388C">
              <w:t>Exploration costs relating to properties are charged to earnings in the year in which they are incurred. When it is determined that a mining property can be economically developed as a result of reserve potential, subsequent exploration expenditures are capitalized.</w:t>
            </w:r>
          </w:p>
        </w:tc>
        <w:tc>
          <w:tcPr>
            <w:tcW w:w="2361" w:type="dxa"/>
            <w:tcBorders>
              <w:top w:val="single" w:sz="4" w:space="0" w:color="auto"/>
              <w:bottom w:val="single" w:sz="4" w:space="0" w:color="auto"/>
            </w:tcBorders>
            <w:tcMar>
              <w:left w:w="57" w:type="dxa"/>
              <w:right w:w="57" w:type="dxa"/>
            </w:tcMar>
          </w:tcPr>
          <w:p w14:paraId="46F72DDA" w14:textId="77777777" w:rsidR="00551285" w:rsidRDefault="00551285" w:rsidP="00551285">
            <w:pPr>
              <w:pStyle w:val="Table"/>
            </w:pPr>
            <w:r>
              <w:t>The ‘subsequent exploration expenditures’ are actually ‘development’.</w:t>
            </w:r>
          </w:p>
        </w:tc>
      </w:tr>
      <w:tr w:rsidR="00551285" w14:paraId="22144280" w14:textId="77777777" w:rsidTr="00E7268F">
        <w:tc>
          <w:tcPr>
            <w:tcW w:w="1891" w:type="dxa"/>
            <w:tcBorders>
              <w:top w:val="single" w:sz="4" w:space="0" w:color="auto"/>
              <w:bottom w:val="single" w:sz="4" w:space="0" w:color="auto"/>
            </w:tcBorders>
            <w:tcMar>
              <w:left w:w="57" w:type="dxa"/>
              <w:right w:w="57" w:type="dxa"/>
            </w:tcMar>
          </w:tcPr>
          <w:p w14:paraId="17AB7647" w14:textId="0CD0D663" w:rsidR="00551285" w:rsidRDefault="00551285" w:rsidP="00551285">
            <w:pPr>
              <w:pStyle w:val="Table"/>
            </w:pPr>
            <w:proofErr w:type="spellStart"/>
            <w:r>
              <w:lastRenderedPageBreak/>
              <w:t>Oilex</w:t>
            </w:r>
            <w:proofErr w:type="spellEnd"/>
            <w:r>
              <w:t>, 2006 Annual Report, p.41</w:t>
            </w:r>
          </w:p>
          <w:p w14:paraId="27E54228" w14:textId="77777777" w:rsidR="00551285" w:rsidRDefault="00551285" w:rsidP="00551285">
            <w:pPr>
              <w:pStyle w:val="Table"/>
            </w:pPr>
            <w:r>
              <w:t>(Australia)</w:t>
            </w:r>
          </w:p>
        </w:tc>
        <w:tc>
          <w:tcPr>
            <w:tcW w:w="4825" w:type="dxa"/>
            <w:tcBorders>
              <w:top w:val="single" w:sz="4" w:space="0" w:color="auto"/>
              <w:bottom w:val="single" w:sz="4" w:space="0" w:color="auto"/>
            </w:tcBorders>
            <w:tcMar>
              <w:left w:w="57" w:type="dxa"/>
              <w:right w:w="57" w:type="dxa"/>
            </w:tcMar>
          </w:tcPr>
          <w:p w14:paraId="2127D37F" w14:textId="77777777" w:rsidR="00551285" w:rsidRPr="00C5275A" w:rsidRDefault="00551285" w:rsidP="00551285">
            <w:pPr>
              <w:pStyle w:val="Table"/>
              <w:rPr>
                <w:rFonts w:cstheme="minorHAnsi"/>
              </w:rPr>
            </w:pPr>
            <w:r w:rsidRPr="00C5275A">
              <w:rPr>
                <w:rFonts w:cstheme="minorHAnsi"/>
              </w:rPr>
              <w:t>Exploration and evaluation expenditure in respect of each area of interest is accounted for using the successful efforts method of</w:t>
            </w:r>
            <w:r>
              <w:rPr>
                <w:rFonts w:cstheme="minorHAnsi"/>
              </w:rPr>
              <w:t xml:space="preserve"> </w:t>
            </w:r>
            <w:r w:rsidRPr="00C5275A">
              <w:rPr>
                <w:rFonts w:cstheme="minorHAnsi"/>
              </w:rPr>
              <w:t>accounting. The successful efforts method requires all exploration and evaluation expenditure to be expensed in the period it is incurred,</w:t>
            </w:r>
            <w:r>
              <w:rPr>
                <w:rFonts w:cstheme="minorHAnsi"/>
              </w:rPr>
              <w:t xml:space="preserve"> </w:t>
            </w:r>
            <w:r w:rsidRPr="00C5275A">
              <w:rPr>
                <w:rFonts w:cstheme="minorHAnsi"/>
              </w:rPr>
              <w:t>until an economic commercial discovery has been delineated.</w:t>
            </w:r>
            <w:r>
              <w:rPr>
                <w:rFonts w:cstheme="minorHAnsi"/>
              </w:rPr>
              <w:t xml:space="preserve"> </w:t>
            </w:r>
            <w:r w:rsidRPr="00C5275A">
              <w:rPr>
                <w:rFonts w:cstheme="minorHAnsi"/>
              </w:rPr>
              <w:t xml:space="preserve">The costs of drilling exploration wells are initially expensed pending the results of the well. Costs are </w:t>
            </w:r>
            <w:proofErr w:type="spellStart"/>
            <w:r w:rsidRPr="00C5275A">
              <w:rPr>
                <w:rFonts w:cstheme="minorHAnsi"/>
              </w:rPr>
              <w:t>capitalised</w:t>
            </w:r>
            <w:proofErr w:type="spellEnd"/>
            <w:r w:rsidRPr="00C5275A">
              <w:rPr>
                <w:rFonts w:cstheme="minorHAnsi"/>
              </w:rPr>
              <w:t xml:space="preserve"> where the well does result</w:t>
            </w:r>
            <w:r>
              <w:rPr>
                <w:rFonts w:cstheme="minorHAnsi"/>
              </w:rPr>
              <w:t xml:space="preserve"> </w:t>
            </w:r>
            <w:r w:rsidRPr="00C5275A">
              <w:rPr>
                <w:rFonts w:cstheme="minorHAnsi"/>
              </w:rPr>
              <w:t>in the successful discovery of economically recoverable hydrocarbons.</w:t>
            </w:r>
          </w:p>
        </w:tc>
        <w:tc>
          <w:tcPr>
            <w:tcW w:w="2361" w:type="dxa"/>
            <w:tcBorders>
              <w:top w:val="single" w:sz="4" w:space="0" w:color="auto"/>
              <w:bottom w:val="single" w:sz="4" w:space="0" w:color="auto"/>
            </w:tcBorders>
            <w:tcMar>
              <w:left w:w="57" w:type="dxa"/>
              <w:right w:w="57" w:type="dxa"/>
            </w:tcMar>
          </w:tcPr>
          <w:p w14:paraId="0FE9763F" w14:textId="77777777" w:rsidR="00551285" w:rsidRDefault="00551285" w:rsidP="00551285">
            <w:pPr>
              <w:pStyle w:val="Table"/>
              <w:numPr>
                <w:ilvl w:val="0"/>
                <w:numId w:val="18"/>
              </w:numPr>
              <w:ind w:left="377" w:hanging="377"/>
            </w:pPr>
            <w:r>
              <w:t>Conflates ‘area of interest’ with ‘successful efforts’.</w:t>
            </w:r>
          </w:p>
          <w:p w14:paraId="0A6A10D4" w14:textId="69C69357" w:rsidR="00551285" w:rsidRDefault="00551285" w:rsidP="00551285">
            <w:pPr>
              <w:pStyle w:val="Table"/>
              <w:numPr>
                <w:ilvl w:val="0"/>
                <w:numId w:val="18"/>
              </w:numPr>
              <w:ind w:left="377" w:hanging="377"/>
            </w:pPr>
            <w:r>
              <w:t xml:space="preserve">Incorrectly says (twice) that costs are initially expensed rather than being deferred; whereas this has been corrected in the </w:t>
            </w:r>
            <w:r w:rsidRPr="00CF2D08">
              <w:t>2018 Annual Report, p.50.</w:t>
            </w:r>
          </w:p>
        </w:tc>
      </w:tr>
      <w:tr w:rsidR="00551285" w14:paraId="0998D845" w14:textId="77777777" w:rsidTr="00E7268F">
        <w:tc>
          <w:tcPr>
            <w:tcW w:w="1891" w:type="dxa"/>
            <w:tcBorders>
              <w:top w:val="single" w:sz="4" w:space="0" w:color="auto"/>
              <w:bottom w:val="single" w:sz="4" w:space="0" w:color="auto"/>
            </w:tcBorders>
            <w:tcMar>
              <w:left w:w="57" w:type="dxa"/>
              <w:right w:w="57" w:type="dxa"/>
            </w:tcMar>
          </w:tcPr>
          <w:p w14:paraId="715DE5EA" w14:textId="77777777" w:rsidR="00551285" w:rsidRDefault="00551285" w:rsidP="00551285">
            <w:pPr>
              <w:pStyle w:val="Table"/>
            </w:pPr>
            <w:r>
              <w:t>Oil Search, 2005 Annual Report, p.59</w:t>
            </w:r>
          </w:p>
          <w:p w14:paraId="6027547A" w14:textId="3A4A35C6" w:rsidR="00551285" w:rsidRDefault="00551285" w:rsidP="00551285">
            <w:pPr>
              <w:pStyle w:val="Table"/>
            </w:pPr>
            <w:r>
              <w:t>(Papua New Guinea but with a CFO and auditors based in Australia)</w:t>
            </w:r>
          </w:p>
        </w:tc>
        <w:tc>
          <w:tcPr>
            <w:tcW w:w="4825" w:type="dxa"/>
            <w:tcBorders>
              <w:top w:val="single" w:sz="4" w:space="0" w:color="auto"/>
              <w:bottom w:val="single" w:sz="4" w:space="0" w:color="auto"/>
            </w:tcBorders>
            <w:tcMar>
              <w:left w:w="57" w:type="dxa"/>
              <w:right w:w="57" w:type="dxa"/>
            </w:tcMar>
          </w:tcPr>
          <w:p w14:paraId="4BFDB8D5" w14:textId="77777777" w:rsidR="00551285" w:rsidRPr="0042388C" w:rsidRDefault="00551285" w:rsidP="00551285">
            <w:pPr>
              <w:pStyle w:val="Table"/>
            </w:pPr>
            <w:r w:rsidRPr="0042388C">
              <w:rPr>
                <w:bCs w:val="0"/>
              </w:rPr>
              <w:t>This change in accounting policy</w:t>
            </w:r>
            <w:r>
              <w:t xml:space="preserve"> </w:t>
            </w:r>
            <w:r w:rsidRPr="0042388C">
              <w:rPr>
                <w:bCs w:val="0"/>
              </w:rPr>
              <w:t>represents a voluntary change under</w:t>
            </w:r>
            <w:r>
              <w:t xml:space="preserve"> </w:t>
            </w:r>
            <w:r w:rsidRPr="0042388C">
              <w:rPr>
                <w:bCs w:val="0"/>
              </w:rPr>
              <w:t>IFRS 8 ‘Accounting Policies, Changes</w:t>
            </w:r>
            <w:r>
              <w:t xml:space="preserve"> </w:t>
            </w:r>
            <w:r w:rsidRPr="0042388C">
              <w:t xml:space="preserve">in Accounting Estimates and Errors’ </w:t>
            </w:r>
            <w:r>
              <w:t>[</w:t>
            </w:r>
            <w:r w:rsidRPr="0042388C">
              <w:t>…</w:t>
            </w:r>
            <w:r>
              <w:t>]</w:t>
            </w:r>
          </w:p>
          <w:p w14:paraId="5FE0C16E" w14:textId="77777777" w:rsidR="00551285" w:rsidRPr="00C5275A" w:rsidRDefault="00551285" w:rsidP="00551285">
            <w:pPr>
              <w:pStyle w:val="Table"/>
              <w:rPr>
                <w:rFonts w:cstheme="minorHAnsi"/>
              </w:rPr>
            </w:pPr>
          </w:p>
        </w:tc>
        <w:tc>
          <w:tcPr>
            <w:tcW w:w="2361" w:type="dxa"/>
            <w:tcBorders>
              <w:top w:val="single" w:sz="4" w:space="0" w:color="auto"/>
              <w:bottom w:val="single" w:sz="4" w:space="0" w:color="auto"/>
            </w:tcBorders>
            <w:tcMar>
              <w:left w:w="57" w:type="dxa"/>
              <w:right w:w="57" w:type="dxa"/>
            </w:tcMar>
          </w:tcPr>
          <w:p w14:paraId="4C69957E" w14:textId="5FA89D4B" w:rsidR="00551285" w:rsidRDefault="00551285" w:rsidP="00551285">
            <w:pPr>
              <w:pStyle w:val="Table"/>
            </w:pPr>
            <w:r>
              <w:t>The firm means IAS 8 not IFRS 8.</w:t>
            </w:r>
          </w:p>
        </w:tc>
      </w:tr>
      <w:tr w:rsidR="00551285" w14:paraId="43FA0D68" w14:textId="77777777" w:rsidTr="00E7268F">
        <w:tc>
          <w:tcPr>
            <w:tcW w:w="1891" w:type="dxa"/>
            <w:tcBorders>
              <w:top w:val="single" w:sz="4" w:space="0" w:color="auto"/>
              <w:bottom w:val="single" w:sz="4" w:space="0" w:color="auto"/>
            </w:tcBorders>
            <w:tcMar>
              <w:left w:w="57" w:type="dxa"/>
              <w:right w:w="57" w:type="dxa"/>
            </w:tcMar>
          </w:tcPr>
          <w:p w14:paraId="169BE96E" w14:textId="77777777" w:rsidR="00551285" w:rsidRDefault="00551285" w:rsidP="00551285">
            <w:pPr>
              <w:pStyle w:val="Table"/>
            </w:pPr>
            <w:r>
              <w:t>Range Resources, 2012 Annual Report, p.30</w:t>
            </w:r>
          </w:p>
          <w:p w14:paraId="4EED739B" w14:textId="7656DF73" w:rsidR="00551285" w:rsidRDefault="00551285" w:rsidP="00551285">
            <w:pPr>
              <w:pStyle w:val="Table"/>
            </w:pPr>
            <w:r>
              <w:t>(Australia)</w:t>
            </w:r>
          </w:p>
        </w:tc>
        <w:tc>
          <w:tcPr>
            <w:tcW w:w="4825" w:type="dxa"/>
            <w:tcBorders>
              <w:top w:val="single" w:sz="4" w:space="0" w:color="auto"/>
              <w:bottom w:val="single" w:sz="4" w:space="0" w:color="auto"/>
            </w:tcBorders>
            <w:tcMar>
              <w:left w:w="57" w:type="dxa"/>
              <w:right w:w="57" w:type="dxa"/>
            </w:tcMar>
          </w:tcPr>
          <w:p w14:paraId="0678EA70" w14:textId="7DC72B58" w:rsidR="00551285" w:rsidRPr="00C5275A" w:rsidRDefault="00551285" w:rsidP="00551285">
            <w:pPr>
              <w:pStyle w:val="Table"/>
              <w:rPr>
                <w:rFonts w:cstheme="minorHAnsi"/>
              </w:rPr>
            </w:pPr>
            <w:r w:rsidRPr="0042388C">
              <w:rPr>
                <w:bCs w:val="0"/>
              </w:rPr>
              <w:t>Range Resources Limited is applying AASB 6 Exploration for and Evaluation of Mineral Resources which is equivalent to AASB 6.</w:t>
            </w:r>
          </w:p>
        </w:tc>
        <w:tc>
          <w:tcPr>
            <w:tcW w:w="2361" w:type="dxa"/>
            <w:tcBorders>
              <w:top w:val="single" w:sz="4" w:space="0" w:color="auto"/>
              <w:bottom w:val="single" w:sz="4" w:space="0" w:color="auto"/>
            </w:tcBorders>
            <w:tcMar>
              <w:left w:w="57" w:type="dxa"/>
              <w:right w:w="57" w:type="dxa"/>
            </w:tcMar>
          </w:tcPr>
          <w:p w14:paraId="67C67818" w14:textId="5CD6D6D0" w:rsidR="00551285" w:rsidRDefault="00551285" w:rsidP="00551285">
            <w:pPr>
              <w:pStyle w:val="Table"/>
            </w:pPr>
            <w:r>
              <w:t>At the end of the sentence, the firm means IFRS 6 not AASB 6.</w:t>
            </w:r>
          </w:p>
        </w:tc>
      </w:tr>
      <w:tr w:rsidR="00551285" w14:paraId="5082B585" w14:textId="77777777" w:rsidTr="00E7268F">
        <w:tc>
          <w:tcPr>
            <w:tcW w:w="1891" w:type="dxa"/>
            <w:tcBorders>
              <w:top w:val="single" w:sz="4" w:space="0" w:color="auto"/>
              <w:bottom w:val="single" w:sz="4" w:space="0" w:color="auto"/>
            </w:tcBorders>
            <w:tcMar>
              <w:left w:w="57" w:type="dxa"/>
              <w:right w:w="57" w:type="dxa"/>
            </w:tcMar>
          </w:tcPr>
          <w:p w14:paraId="18FAC066" w14:textId="161CEB5F" w:rsidR="00551285" w:rsidRDefault="00551285" w:rsidP="00551285">
            <w:pPr>
              <w:pStyle w:val="Table"/>
            </w:pPr>
            <w:r>
              <w:t>Santos, 2005 Annual Report, p.74</w:t>
            </w:r>
          </w:p>
          <w:p w14:paraId="66B3CF43" w14:textId="77777777" w:rsidR="00551285" w:rsidRDefault="00551285" w:rsidP="00551285">
            <w:pPr>
              <w:pStyle w:val="Table"/>
            </w:pPr>
            <w:r>
              <w:t>(Australia)</w:t>
            </w:r>
          </w:p>
        </w:tc>
        <w:tc>
          <w:tcPr>
            <w:tcW w:w="4825" w:type="dxa"/>
            <w:tcBorders>
              <w:top w:val="single" w:sz="4" w:space="0" w:color="auto"/>
              <w:bottom w:val="single" w:sz="4" w:space="0" w:color="auto"/>
            </w:tcBorders>
            <w:tcMar>
              <w:left w:w="57" w:type="dxa"/>
              <w:right w:w="57" w:type="dxa"/>
            </w:tcMar>
          </w:tcPr>
          <w:p w14:paraId="1B231EC0" w14:textId="77777777" w:rsidR="00551285" w:rsidRPr="00C5275A" w:rsidRDefault="00551285" w:rsidP="00551285">
            <w:pPr>
              <w:pStyle w:val="Table"/>
              <w:rPr>
                <w:rFonts w:cstheme="minorHAnsi"/>
              </w:rPr>
            </w:pPr>
            <w:r w:rsidRPr="0042388C">
              <w:t xml:space="preserve">Exploration and evaluation expenditure in respect of each area of interest is accounted for using the successful efforts method of accounting. The successful efforts method requires all exploration and evaluation expenditure to be expensed in the period it is incurred, except the costs of successful wells and the costs of acquiring interests in new exploration assets, which are </w:t>
            </w:r>
            <w:proofErr w:type="spellStart"/>
            <w:r w:rsidRPr="0042388C">
              <w:t>capitalised</w:t>
            </w:r>
            <w:proofErr w:type="spellEnd"/>
            <w:r w:rsidRPr="0042388C">
              <w:t xml:space="preserve"> as intangible exploration and evaluation. The costs of wells are initially </w:t>
            </w:r>
            <w:proofErr w:type="spellStart"/>
            <w:r w:rsidRPr="0042388C">
              <w:t>capitalised</w:t>
            </w:r>
            <w:proofErr w:type="spellEnd"/>
            <w:r w:rsidRPr="0042388C">
              <w:t xml:space="preserve"> pending the results of the well. An area of interest refers to an individual geological area where the presence of oil or a natural gas field is considered </w:t>
            </w:r>
            <w:proofErr w:type="spellStart"/>
            <w:r w:rsidRPr="0042388C">
              <w:t>favourable</w:t>
            </w:r>
            <w:proofErr w:type="spellEnd"/>
            <w:r w:rsidRPr="0042388C">
              <w:t xml:space="preserve"> or has been proved to exist, and in most cases will comprise an individual oil or gas field.</w:t>
            </w:r>
          </w:p>
        </w:tc>
        <w:tc>
          <w:tcPr>
            <w:tcW w:w="2361" w:type="dxa"/>
            <w:tcBorders>
              <w:top w:val="single" w:sz="4" w:space="0" w:color="auto"/>
              <w:bottom w:val="single" w:sz="4" w:space="0" w:color="auto"/>
            </w:tcBorders>
            <w:tcMar>
              <w:left w:w="57" w:type="dxa"/>
              <w:right w:w="57" w:type="dxa"/>
            </w:tcMar>
          </w:tcPr>
          <w:p w14:paraId="2D5F6453" w14:textId="77777777" w:rsidR="00551285" w:rsidRDefault="00551285" w:rsidP="00551285">
            <w:pPr>
              <w:pStyle w:val="Table"/>
              <w:numPr>
                <w:ilvl w:val="0"/>
                <w:numId w:val="17"/>
              </w:numPr>
              <w:ind w:left="377" w:hanging="377"/>
            </w:pPr>
            <w:r>
              <w:t>Conflates ‘area of interest’ with ‘successful efforts’.</w:t>
            </w:r>
          </w:p>
          <w:p w14:paraId="3F987CF3" w14:textId="77777777" w:rsidR="00551285" w:rsidRDefault="00551285" w:rsidP="00551285">
            <w:pPr>
              <w:pStyle w:val="Table"/>
              <w:numPr>
                <w:ilvl w:val="0"/>
                <w:numId w:val="17"/>
              </w:numPr>
              <w:ind w:left="377" w:hanging="377"/>
            </w:pPr>
            <w:r>
              <w:t xml:space="preserve">The firm would not immediately </w:t>
            </w:r>
            <w:proofErr w:type="spellStart"/>
            <w:r>
              <w:t>know</w:t>
            </w:r>
            <w:proofErr w:type="spellEnd"/>
            <w:r>
              <w:t xml:space="preserve"> whether E&amp;E is successful so the word ‘expensed’ is misleading.</w:t>
            </w:r>
          </w:p>
          <w:p w14:paraId="57FE43FA" w14:textId="77777777" w:rsidR="00551285" w:rsidRDefault="00551285" w:rsidP="00551285">
            <w:pPr>
              <w:pStyle w:val="Table"/>
              <w:numPr>
                <w:ilvl w:val="0"/>
                <w:numId w:val="17"/>
              </w:numPr>
              <w:ind w:left="377" w:hanging="377"/>
            </w:pPr>
            <w:r>
              <w:t>The terms change from ‘area’ to ‘wells’ to ‘field’.</w:t>
            </w:r>
          </w:p>
        </w:tc>
      </w:tr>
    </w:tbl>
    <w:p w14:paraId="0193B883" w14:textId="77777777" w:rsidR="00461031" w:rsidRPr="00B9323E" w:rsidRDefault="00461031" w:rsidP="00E072A5">
      <w:pPr>
        <w:pStyle w:val="TableFootnote"/>
        <w:rPr>
          <w:lang w:eastAsia="en-GB"/>
        </w:rPr>
      </w:pPr>
    </w:p>
    <w:sectPr w:rsidR="00461031" w:rsidRPr="00B9323E" w:rsidSect="00A427FF">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B6D93" w16cex:dateUtc="2021-07-03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A8572" w16cid:durableId="248B6D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56F91" w14:textId="77777777" w:rsidR="0018445F" w:rsidRDefault="0018445F" w:rsidP="006645C7">
      <w:pPr>
        <w:spacing w:after="0" w:line="240" w:lineRule="auto"/>
      </w:pPr>
      <w:r>
        <w:separator/>
      </w:r>
    </w:p>
  </w:endnote>
  <w:endnote w:type="continuationSeparator" w:id="0">
    <w:p w14:paraId="75DE6AC2" w14:textId="77777777" w:rsidR="0018445F" w:rsidRDefault="0018445F" w:rsidP="0066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A870B" w14:textId="77777777" w:rsidR="0018445F" w:rsidRDefault="0018445F" w:rsidP="006645C7">
      <w:pPr>
        <w:spacing w:after="0" w:line="240" w:lineRule="auto"/>
      </w:pPr>
      <w:r>
        <w:separator/>
      </w:r>
    </w:p>
  </w:footnote>
  <w:footnote w:type="continuationSeparator" w:id="0">
    <w:p w14:paraId="37DD7C9F" w14:textId="77777777" w:rsidR="0018445F" w:rsidRDefault="0018445F" w:rsidP="006645C7">
      <w:pPr>
        <w:spacing w:after="0" w:line="240" w:lineRule="auto"/>
      </w:pPr>
      <w:r>
        <w:continuationSeparator/>
      </w:r>
    </w:p>
  </w:footnote>
  <w:footnote w:id="1">
    <w:p w14:paraId="50AF49AE" w14:textId="69AC3F2F" w:rsidR="004F679E" w:rsidRDefault="004F679E">
      <w:pPr>
        <w:pStyle w:val="FootnoteText"/>
      </w:pPr>
      <w:r>
        <w:rPr>
          <w:rStyle w:val="FootnoteReference"/>
        </w:rPr>
        <w:footnoteRef/>
      </w:r>
      <w:r>
        <w:t xml:space="preserve"> </w:t>
      </w:r>
      <w:r>
        <w:tab/>
      </w:r>
      <w:r w:rsidR="00A609A9">
        <w:t xml:space="preserve">ED/2021/1: </w:t>
      </w:r>
      <w:r w:rsidRPr="005B5914">
        <w:rPr>
          <w:i/>
        </w:rPr>
        <w:t>Regulatory Assets and Regulatory Liabilities</w:t>
      </w:r>
      <w:r>
        <w:t>.</w:t>
      </w:r>
    </w:p>
  </w:footnote>
  <w:footnote w:id="2">
    <w:p w14:paraId="1D095C02" w14:textId="1000EF8E" w:rsidR="004F679E" w:rsidRDefault="004F679E">
      <w:pPr>
        <w:pStyle w:val="FootnoteText"/>
      </w:pPr>
      <w:r>
        <w:rPr>
          <w:rStyle w:val="FootnoteReference"/>
        </w:rPr>
        <w:footnoteRef/>
      </w:r>
      <w:r>
        <w:t xml:space="preserve"> </w:t>
      </w:r>
      <w:r>
        <w:tab/>
      </w:r>
      <w:r w:rsidR="00A609A9">
        <w:t xml:space="preserve">DP/2020/2: </w:t>
      </w:r>
      <w:r w:rsidRPr="005B5914">
        <w:rPr>
          <w:i/>
        </w:rPr>
        <w:t>Business Combinations under Common Control</w:t>
      </w:r>
      <w:r>
        <w:t>.</w:t>
      </w:r>
    </w:p>
  </w:footnote>
  <w:footnote w:id="3">
    <w:p w14:paraId="7803A561" w14:textId="61C9667B" w:rsidR="004F679E" w:rsidRDefault="004F679E">
      <w:pPr>
        <w:pStyle w:val="FootnoteText"/>
      </w:pPr>
      <w:r>
        <w:rPr>
          <w:rStyle w:val="FootnoteReference"/>
        </w:rPr>
        <w:footnoteRef/>
      </w:r>
      <w:r>
        <w:t xml:space="preserve"> </w:t>
      </w:r>
      <w:r>
        <w:tab/>
        <w:t xml:space="preserve">Based on 2017 data from </w:t>
      </w:r>
      <w:proofErr w:type="spellStart"/>
      <w:r>
        <w:t>Worldscope</w:t>
      </w:r>
      <w:proofErr w:type="spellEnd"/>
      <w:r>
        <w:t xml:space="preserve"> on extractive firms with the following </w:t>
      </w:r>
      <w:r w:rsidRPr="00583013">
        <w:t xml:space="preserve">Industry Classification Benchmark </w:t>
      </w:r>
      <w:r>
        <w:t>(</w:t>
      </w:r>
      <w:r w:rsidRPr="00583013">
        <w:t>ICB</w:t>
      </w:r>
      <w:r>
        <w:t>)</w:t>
      </w:r>
      <w:r w:rsidRPr="00583013">
        <w:t xml:space="preserve"> codes</w:t>
      </w:r>
      <w:r>
        <w:t>:</w:t>
      </w:r>
      <w:r w:rsidRPr="00583013">
        <w:t xml:space="preserve"> 0533, 0537, 175</w:t>
      </w:r>
      <w:r>
        <w:t>3, 1755, 1771, 1773, 1775, 1777 and</w:t>
      </w:r>
      <w:r w:rsidRPr="00583013">
        <w:t xml:space="preserve"> 1779</w:t>
      </w:r>
      <w:r>
        <w:t>.</w:t>
      </w:r>
    </w:p>
  </w:footnote>
  <w:footnote w:id="4">
    <w:p w14:paraId="534E6391" w14:textId="536EEF56" w:rsidR="004F679E" w:rsidRPr="00690A1C" w:rsidRDefault="004F679E">
      <w:pPr>
        <w:pStyle w:val="FootnoteText"/>
      </w:pPr>
      <w:r>
        <w:rPr>
          <w:rStyle w:val="FootnoteReference"/>
        </w:rPr>
        <w:footnoteRef/>
      </w:r>
      <w:r>
        <w:t xml:space="preserve"> </w:t>
      </w:r>
      <w:r>
        <w:tab/>
        <w:t>See BP’s 2019 Annual Report and Form 20-F. The capitalised E&amp;E costs are shown as ‘Exploration and appraisal expenditure’ in Note 15 on intangible assets (p.188). Capitalised E&amp;E costs during the year are shown as ‘Additions’ in Note 15. We calculate total E&amp;E expenditure as the sum of (</w:t>
      </w:r>
      <w:proofErr w:type="spellStart"/>
      <w:r>
        <w:t>i</w:t>
      </w:r>
      <w:proofErr w:type="spellEnd"/>
      <w:r>
        <w:t>) capitalised E&amp;E costs during the year (</w:t>
      </w:r>
      <w:r>
        <w:rPr>
          <w:lang w:val="en-US"/>
        </w:rPr>
        <w:t>US$1,268 million</w:t>
      </w:r>
      <w:r>
        <w:t>) and (ii) E&amp;E costs during the year that are immediately expensed (</w:t>
      </w:r>
      <w:r>
        <w:rPr>
          <w:lang w:val="en-US"/>
        </w:rPr>
        <w:t>US$333 million, see ‘Other exploration costs’ in Note 8 on p.181).</w:t>
      </w:r>
    </w:p>
  </w:footnote>
  <w:footnote w:id="5">
    <w:p w14:paraId="5CC81518" w14:textId="2D047430" w:rsidR="004F679E" w:rsidRDefault="004F679E">
      <w:pPr>
        <w:pStyle w:val="FootnoteText"/>
      </w:pPr>
      <w:r>
        <w:rPr>
          <w:rStyle w:val="FootnoteReference"/>
        </w:rPr>
        <w:footnoteRef/>
      </w:r>
      <w:r>
        <w:t xml:space="preserve"> </w:t>
      </w:r>
      <w:r>
        <w:tab/>
        <w:t>See Strike Energy’s 2019 Annual Report. The capitalised E&amp;E costs are shown as ‘Exploration and evaluation assets’ on the face of the balance sheet (p.25).</w:t>
      </w:r>
    </w:p>
  </w:footnote>
  <w:footnote w:id="6">
    <w:p w14:paraId="0DC6F932" w14:textId="70BBB7DB" w:rsidR="00D45B9A" w:rsidRDefault="00D45B9A">
      <w:pPr>
        <w:pStyle w:val="FootnoteText"/>
      </w:pPr>
      <w:r>
        <w:rPr>
          <w:rStyle w:val="FootnoteReference"/>
        </w:rPr>
        <w:footnoteRef/>
      </w:r>
      <w:r>
        <w:t xml:space="preserve"> </w:t>
      </w:r>
      <w:r>
        <w:tab/>
        <w:t xml:space="preserve">See BP’s 2020 </w:t>
      </w:r>
      <w:r w:rsidR="00A61688">
        <w:t xml:space="preserve">Annual Report and Form 20-F </w:t>
      </w:r>
      <w:r>
        <w:t>(pp.184+191) and Strike Energy’s 2020 Annual Report (p.30).</w:t>
      </w:r>
    </w:p>
  </w:footnote>
  <w:footnote w:id="7">
    <w:p w14:paraId="2E367078" w14:textId="0EF2C945" w:rsidR="004F679E" w:rsidRDefault="004F679E">
      <w:pPr>
        <w:pStyle w:val="FootnoteText"/>
      </w:pPr>
      <w:r>
        <w:rPr>
          <w:rStyle w:val="FootnoteReference"/>
        </w:rPr>
        <w:footnoteRef/>
      </w:r>
      <w:r>
        <w:t xml:space="preserve"> </w:t>
      </w:r>
      <w:r>
        <w:tab/>
        <w:t>IFRS 6, para. BC3.</w:t>
      </w:r>
    </w:p>
  </w:footnote>
  <w:footnote w:id="8">
    <w:p w14:paraId="38479FE9" w14:textId="132015C4" w:rsidR="004F679E" w:rsidRDefault="004F679E">
      <w:pPr>
        <w:pStyle w:val="FootnoteText"/>
      </w:pPr>
      <w:r>
        <w:rPr>
          <w:rStyle w:val="FootnoteReference"/>
        </w:rPr>
        <w:footnoteRef/>
      </w:r>
      <w:r>
        <w:t xml:space="preserve"> </w:t>
      </w:r>
      <w:r>
        <w:tab/>
        <w:t xml:space="preserve">IASB’s </w:t>
      </w:r>
      <w:r w:rsidRPr="009F456A">
        <w:rPr>
          <w:i/>
        </w:rPr>
        <w:t>Conceptual Framework</w:t>
      </w:r>
      <w:r>
        <w:t xml:space="preserve"> of 2018, para. SP1.5 and para. 2.4.</w:t>
      </w:r>
    </w:p>
  </w:footnote>
  <w:footnote w:id="9">
    <w:p w14:paraId="202201B1" w14:textId="2EA5C85B" w:rsidR="004F679E" w:rsidRDefault="004F679E">
      <w:pPr>
        <w:pStyle w:val="FootnoteText"/>
      </w:pPr>
      <w:r>
        <w:rPr>
          <w:rStyle w:val="FootnoteReference"/>
        </w:rPr>
        <w:footnoteRef/>
      </w:r>
      <w:r>
        <w:t xml:space="preserve"> </w:t>
      </w:r>
      <w:r>
        <w:tab/>
        <w:t>Leading to SFAS 69 (</w:t>
      </w:r>
      <w:r w:rsidRPr="005B5914">
        <w:rPr>
          <w:i/>
        </w:rPr>
        <w:t>Disclosures about Oil and Gas Producing Activities</w:t>
      </w:r>
      <w:r>
        <w:t xml:space="preserve">) of November 1982; now found in </w:t>
      </w:r>
      <w:r w:rsidRPr="005B5914">
        <w:rPr>
          <w:i/>
        </w:rPr>
        <w:t>Accounting Standards Codification</w:t>
      </w:r>
      <w:r>
        <w:t xml:space="preserve"> </w:t>
      </w:r>
      <w:r w:rsidR="00D0783E">
        <w:t xml:space="preserve">(ASC) </w:t>
      </w:r>
      <w:r>
        <w:t>932-235-50.</w:t>
      </w:r>
    </w:p>
  </w:footnote>
  <w:footnote w:id="10">
    <w:p w14:paraId="3DFC8D96" w14:textId="0EC95F76" w:rsidR="004F679E" w:rsidRDefault="004F679E">
      <w:pPr>
        <w:pStyle w:val="FootnoteText"/>
      </w:pPr>
      <w:r>
        <w:rPr>
          <w:rStyle w:val="FootnoteReference"/>
        </w:rPr>
        <w:footnoteRef/>
      </w:r>
      <w:r>
        <w:t xml:space="preserve"> </w:t>
      </w:r>
      <w:r>
        <w:tab/>
        <w:t>AASB 1022 (</w:t>
      </w:r>
      <w:r w:rsidRPr="002001F7">
        <w:rPr>
          <w:i/>
        </w:rPr>
        <w:t>Accounting for the Extractive Industries</w:t>
      </w:r>
      <w:r>
        <w:t>) was issued in 19</w:t>
      </w:r>
      <w:r w:rsidR="00DF5743">
        <w:t>89</w:t>
      </w:r>
      <w:r w:rsidR="0000182E">
        <w:t xml:space="preserve"> </w:t>
      </w:r>
      <w:r w:rsidR="00DF5743">
        <w:t xml:space="preserve">(originally as </w:t>
      </w:r>
      <w:r>
        <w:t>ASRB 1022</w:t>
      </w:r>
      <w:r w:rsidR="00DF5743">
        <w:t>)</w:t>
      </w:r>
      <w:r>
        <w:t>.</w:t>
      </w:r>
    </w:p>
  </w:footnote>
  <w:footnote w:id="11">
    <w:p w14:paraId="3A15BC74" w14:textId="0D753988" w:rsidR="004F679E" w:rsidRDefault="004F679E" w:rsidP="0056441F">
      <w:pPr>
        <w:pStyle w:val="FootnoteText"/>
      </w:pPr>
      <w:r>
        <w:rPr>
          <w:rStyle w:val="FootnoteReference"/>
        </w:rPr>
        <w:footnoteRef/>
      </w:r>
      <w:r>
        <w:t xml:space="preserve"> </w:t>
      </w:r>
      <w:r>
        <w:tab/>
        <w:t>IASB (2018), para</w:t>
      </w:r>
      <w:r w:rsidR="00127A1D">
        <w:t>.</w:t>
      </w:r>
      <w:r>
        <w:t xml:space="preserve"> 4.48.</w:t>
      </w:r>
    </w:p>
  </w:footnote>
  <w:footnote w:id="12">
    <w:p w14:paraId="64C2C6FC" w14:textId="50EFAE6F" w:rsidR="005C7C10" w:rsidRDefault="005C7C10">
      <w:pPr>
        <w:pStyle w:val="FootnoteText"/>
      </w:pPr>
      <w:r>
        <w:rPr>
          <w:rStyle w:val="FootnoteReference"/>
        </w:rPr>
        <w:footnoteRef/>
      </w:r>
      <w:r>
        <w:t xml:space="preserve"> </w:t>
      </w:r>
      <w:r w:rsidR="001238BE">
        <w:tab/>
      </w:r>
      <w:r>
        <w:t>At the time of writing, March 2021.</w:t>
      </w:r>
    </w:p>
  </w:footnote>
  <w:footnote w:id="13">
    <w:p w14:paraId="2D6A87BA" w14:textId="02F36FE1" w:rsidR="004F679E" w:rsidRDefault="004F679E">
      <w:pPr>
        <w:pStyle w:val="FootnoteText"/>
      </w:pPr>
      <w:r>
        <w:rPr>
          <w:rStyle w:val="FootnoteReference"/>
        </w:rPr>
        <w:footnoteRef/>
      </w:r>
      <w:r>
        <w:t xml:space="preserve"> </w:t>
      </w:r>
      <w:r>
        <w:tab/>
        <w:t xml:space="preserve">By treating more costs as expenses rather than as assets, or by writing off assets (by depreciation or impairment) more quickly. This fits with the focus in </w:t>
      </w:r>
      <w:proofErr w:type="spellStart"/>
      <w:r>
        <w:t>Basu</w:t>
      </w:r>
      <w:proofErr w:type="spellEnd"/>
      <w:r>
        <w:t xml:space="preserve"> (1997) on asymmetric policies, later called ‘conditional conservatism’.</w:t>
      </w:r>
    </w:p>
  </w:footnote>
  <w:footnote w:id="14">
    <w:p w14:paraId="7240113D" w14:textId="590A3CA9" w:rsidR="004F679E" w:rsidRDefault="004F679E">
      <w:pPr>
        <w:pStyle w:val="FootnoteText"/>
      </w:pPr>
      <w:r>
        <w:rPr>
          <w:rStyle w:val="FootnoteReference"/>
        </w:rPr>
        <w:footnoteRef/>
      </w:r>
      <w:r>
        <w:t xml:space="preserve"> </w:t>
      </w:r>
      <w:r>
        <w:tab/>
        <w:t>For example, Method 3 could be sub-divided into different approaches to pooling for impairment tests.</w:t>
      </w:r>
    </w:p>
  </w:footnote>
  <w:footnote w:id="15">
    <w:p w14:paraId="4EEB0081" w14:textId="72161DEC" w:rsidR="004F679E" w:rsidRDefault="004F679E">
      <w:pPr>
        <w:pStyle w:val="FootnoteText"/>
      </w:pPr>
      <w:r>
        <w:rPr>
          <w:rStyle w:val="FootnoteReference"/>
        </w:rPr>
        <w:footnoteRef/>
      </w:r>
      <w:r>
        <w:t xml:space="preserve"> </w:t>
      </w:r>
      <w:r>
        <w:tab/>
        <w:t>See ASC 932.</w:t>
      </w:r>
    </w:p>
  </w:footnote>
  <w:footnote w:id="16">
    <w:p w14:paraId="77F82EB6" w14:textId="78C60AC3" w:rsidR="004F679E" w:rsidRDefault="004F679E">
      <w:pPr>
        <w:pStyle w:val="FootnoteText"/>
      </w:pPr>
      <w:r>
        <w:rPr>
          <w:rStyle w:val="FootnoteReference"/>
        </w:rPr>
        <w:footnoteRef/>
      </w:r>
      <w:r>
        <w:t xml:space="preserve"> </w:t>
      </w:r>
      <w:r>
        <w:tab/>
        <w:t>ASC 932-360-35-8 allows another ‘logical grouping of assets if there is significant shared infrastructure (for example, platform)’.</w:t>
      </w:r>
    </w:p>
  </w:footnote>
  <w:footnote w:id="17">
    <w:p w14:paraId="14EB5F89" w14:textId="6097E634" w:rsidR="004F679E" w:rsidRDefault="004F679E">
      <w:pPr>
        <w:pStyle w:val="FootnoteText"/>
      </w:pPr>
      <w:r>
        <w:rPr>
          <w:rStyle w:val="FootnoteReference"/>
        </w:rPr>
        <w:footnoteRef/>
      </w:r>
      <w:r>
        <w:t xml:space="preserve"> </w:t>
      </w:r>
      <w:r>
        <w:tab/>
        <w:t>The SORP was withdrawn for 2015 onwards.</w:t>
      </w:r>
    </w:p>
  </w:footnote>
  <w:footnote w:id="18">
    <w:p w14:paraId="430CDCB2" w14:textId="03637BC8" w:rsidR="004F679E" w:rsidRDefault="004F679E">
      <w:pPr>
        <w:pStyle w:val="FootnoteText"/>
      </w:pPr>
      <w:r>
        <w:rPr>
          <w:rStyle w:val="FootnoteReference"/>
        </w:rPr>
        <w:footnoteRef/>
      </w:r>
      <w:r>
        <w:t xml:space="preserve"> </w:t>
      </w:r>
      <w:r>
        <w:tab/>
        <w:t>See Regulation S-X, Rule 4-10 (c) (4).</w:t>
      </w:r>
    </w:p>
  </w:footnote>
  <w:footnote w:id="19">
    <w:p w14:paraId="7CAB91BC" w14:textId="5A69E162" w:rsidR="004F679E" w:rsidRDefault="004F679E">
      <w:pPr>
        <w:pStyle w:val="FootnoteText"/>
      </w:pPr>
      <w:r>
        <w:rPr>
          <w:rStyle w:val="FootnoteReference"/>
        </w:rPr>
        <w:footnoteRef/>
      </w:r>
      <w:r>
        <w:t xml:space="preserve"> </w:t>
      </w:r>
      <w:r>
        <w:tab/>
        <w:t>See the heading above para. 6 of IFRS 6.</w:t>
      </w:r>
    </w:p>
  </w:footnote>
  <w:footnote w:id="20">
    <w:p w14:paraId="2CFAF8BD" w14:textId="5586C9A4" w:rsidR="004F679E" w:rsidRDefault="004F679E">
      <w:pPr>
        <w:pStyle w:val="FootnoteText"/>
      </w:pPr>
      <w:r>
        <w:rPr>
          <w:rStyle w:val="FootnoteReference"/>
        </w:rPr>
        <w:footnoteRef/>
      </w:r>
      <w:r>
        <w:t xml:space="preserve"> </w:t>
      </w:r>
      <w:r>
        <w:tab/>
        <w:t xml:space="preserve">IFRS 6, Dissenting Opinions, </w:t>
      </w:r>
      <w:proofErr w:type="spellStart"/>
      <w:r>
        <w:t>para</w:t>
      </w:r>
      <w:r w:rsidR="00127A1D">
        <w:t>.</w:t>
      </w:r>
      <w:r>
        <w:t>s</w:t>
      </w:r>
      <w:proofErr w:type="spellEnd"/>
      <w:r>
        <w:t xml:space="preserve"> DO2 and DO4.</w:t>
      </w:r>
    </w:p>
  </w:footnote>
  <w:footnote w:id="21">
    <w:p w14:paraId="74071AFE" w14:textId="1A906999" w:rsidR="004F679E" w:rsidRDefault="004F679E">
      <w:pPr>
        <w:pStyle w:val="FootnoteText"/>
      </w:pPr>
      <w:r>
        <w:rPr>
          <w:rStyle w:val="FootnoteReference"/>
        </w:rPr>
        <w:footnoteRef/>
      </w:r>
      <w:r>
        <w:t xml:space="preserve"> </w:t>
      </w:r>
      <w:r>
        <w:tab/>
        <w:t xml:space="preserve">For example, under IAS 38, </w:t>
      </w:r>
      <w:proofErr w:type="spellStart"/>
      <w:r>
        <w:t>para.s</w:t>
      </w:r>
      <w:proofErr w:type="spellEnd"/>
      <w:r>
        <w:t xml:space="preserve"> 25 and 33.</w:t>
      </w:r>
    </w:p>
  </w:footnote>
  <w:footnote w:id="22">
    <w:p w14:paraId="7FBC8635" w14:textId="2EF2696D" w:rsidR="004F679E" w:rsidRDefault="004F679E">
      <w:pPr>
        <w:pStyle w:val="FootnoteText"/>
      </w:pPr>
      <w:r>
        <w:rPr>
          <w:rStyle w:val="FootnoteReference"/>
        </w:rPr>
        <w:footnoteRef/>
      </w:r>
      <w:r>
        <w:t xml:space="preserve"> </w:t>
      </w:r>
      <w:r>
        <w:tab/>
        <w:t xml:space="preserve">Donner Metals, 2012 </w:t>
      </w:r>
      <w:r w:rsidR="005E1853">
        <w:t>Consolidated Financial Statements</w:t>
      </w:r>
      <w:r>
        <w:t>, p.10.</w:t>
      </w:r>
    </w:p>
  </w:footnote>
  <w:footnote w:id="23">
    <w:p w14:paraId="7ED87C3C" w14:textId="4D799352" w:rsidR="004F679E" w:rsidRDefault="004F679E">
      <w:pPr>
        <w:pStyle w:val="FootnoteText"/>
      </w:pPr>
      <w:r>
        <w:rPr>
          <w:rStyle w:val="FootnoteReference"/>
        </w:rPr>
        <w:footnoteRef/>
      </w:r>
      <w:r>
        <w:t xml:space="preserve"> </w:t>
      </w:r>
      <w:r>
        <w:tab/>
        <w:t>Because of the capitalisation of pre-licence costs and because of the special impairment test.</w:t>
      </w:r>
    </w:p>
  </w:footnote>
  <w:footnote w:id="24">
    <w:p w14:paraId="39DB4FE0" w14:textId="778D2EA3" w:rsidR="004F679E" w:rsidRPr="00E97E84" w:rsidRDefault="004F679E">
      <w:pPr>
        <w:pStyle w:val="FootnoteText"/>
        <w:rPr>
          <w:lang w:val="en-US"/>
        </w:rPr>
      </w:pPr>
      <w:r>
        <w:rPr>
          <w:rStyle w:val="FootnoteReference"/>
        </w:rPr>
        <w:footnoteRef/>
      </w:r>
      <w:r>
        <w:t xml:space="preserve"> </w:t>
      </w:r>
      <w:r>
        <w:tab/>
      </w:r>
      <w:proofErr w:type="spellStart"/>
      <w:r>
        <w:rPr>
          <w:lang w:val="en-US"/>
        </w:rPr>
        <w:t>Eni</w:t>
      </w:r>
      <w:proofErr w:type="spellEnd"/>
      <w:r>
        <w:rPr>
          <w:lang w:val="en-US"/>
        </w:rPr>
        <w:t xml:space="preserve"> in 2005 and 2011, and Gas Plus in 2011.</w:t>
      </w:r>
    </w:p>
  </w:footnote>
  <w:footnote w:id="25">
    <w:p w14:paraId="7E431BFD" w14:textId="7E430FC8" w:rsidR="004F679E" w:rsidRDefault="004F679E">
      <w:pPr>
        <w:pStyle w:val="FootnoteText"/>
      </w:pPr>
      <w:r>
        <w:rPr>
          <w:rStyle w:val="FootnoteReference"/>
        </w:rPr>
        <w:footnoteRef/>
      </w:r>
      <w:r>
        <w:t xml:space="preserve"> </w:t>
      </w:r>
      <w:r>
        <w:tab/>
        <w:t>For example, Indus Gas, 2018 Annual Report, p.29.</w:t>
      </w:r>
    </w:p>
  </w:footnote>
  <w:footnote w:id="26">
    <w:p w14:paraId="2851F73B" w14:textId="6D45AE53" w:rsidR="004F679E" w:rsidRDefault="004F679E">
      <w:pPr>
        <w:pStyle w:val="FootnoteText"/>
      </w:pPr>
      <w:r>
        <w:rPr>
          <w:rStyle w:val="FootnoteReference"/>
        </w:rPr>
        <w:footnoteRef/>
      </w:r>
      <w:r>
        <w:t xml:space="preserve"> </w:t>
      </w:r>
      <w:r>
        <w:tab/>
      </w:r>
      <w:proofErr w:type="spellStart"/>
      <w:r>
        <w:t>Cadogan</w:t>
      </w:r>
      <w:proofErr w:type="spellEnd"/>
      <w:r>
        <w:t xml:space="preserve"> Petroleum, 2017 Annual </w:t>
      </w:r>
      <w:r w:rsidR="005E1853">
        <w:t xml:space="preserve">Financial </w:t>
      </w:r>
      <w:r>
        <w:t>Report, p.62.</w:t>
      </w:r>
    </w:p>
  </w:footnote>
  <w:footnote w:id="27">
    <w:p w14:paraId="4AEC6B46" w14:textId="2E1FA144" w:rsidR="004F679E" w:rsidRDefault="004F679E">
      <w:pPr>
        <w:pStyle w:val="FootnoteText"/>
      </w:pPr>
      <w:r>
        <w:rPr>
          <w:rStyle w:val="FootnoteReference"/>
        </w:rPr>
        <w:footnoteRef/>
      </w:r>
      <w:r>
        <w:t xml:space="preserve"> </w:t>
      </w:r>
      <w:r>
        <w:tab/>
        <w:t xml:space="preserve">There are no scope exclusions </w:t>
      </w:r>
      <w:r w:rsidRPr="00A6138D">
        <w:t xml:space="preserve">in </w:t>
      </w:r>
      <w:r w:rsidRPr="002572EF">
        <w:rPr>
          <w:rFonts w:eastAsia="Times New Roman"/>
        </w:rPr>
        <w:t>ASC 835-20-15-1</w:t>
      </w:r>
      <w:r>
        <w:t>.</w:t>
      </w:r>
    </w:p>
  </w:footnote>
  <w:footnote w:id="28">
    <w:p w14:paraId="1C60074F" w14:textId="24C35410" w:rsidR="004F679E" w:rsidRDefault="004F679E">
      <w:pPr>
        <w:pStyle w:val="FootnoteText"/>
      </w:pPr>
      <w:r>
        <w:rPr>
          <w:rStyle w:val="FootnoteReference"/>
        </w:rPr>
        <w:footnoteRef/>
      </w:r>
      <w:r>
        <w:t xml:space="preserve"> </w:t>
      </w:r>
      <w:r>
        <w:tab/>
        <w:t>See BC55 of IFRS 6.</w:t>
      </w:r>
    </w:p>
  </w:footnote>
  <w:footnote w:id="29">
    <w:p w14:paraId="270418BD" w14:textId="77777777" w:rsidR="004F679E" w:rsidRDefault="004F679E" w:rsidP="00B76869">
      <w:pPr>
        <w:pStyle w:val="FootnoteText"/>
      </w:pPr>
      <w:r>
        <w:rPr>
          <w:rStyle w:val="FootnoteReference"/>
        </w:rPr>
        <w:footnoteRef/>
      </w:r>
      <w:r>
        <w:t xml:space="preserve"> </w:t>
      </w:r>
      <w:r>
        <w:tab/>
        <w:t>Reserve recognition accounting was briefly required by the SEC in 1977 to 1978.</w:t>
      </w:r>
    </w:p>
  </w:footnote>
  <w:footnote w:id="30">
    <w:p w14:paraId="6335DE81" w14:textId="747CBF01" w:rsidR="004F679E" w:rsidRDefault="004F679E" w:rsidP="00B76869">
      <w:pPr>
        <w:pStyle w:val="FootnoteText"/>
      </w:pPr>
      <w:r>
        <w:rPr>
          <w:rStyle w:val="FootnoteReference"/>
        </w:rPr>
        <w:footnoteRef/>
      </w:r>
      <w:r>
        <w:t xml:space="preserve"> </w:t>
      </w:r>
      <w:r>
        <w:tab/>
        <w:t xml:space="preserve">Nobes (2015, </w:t>
      </w:r>
      <w:r w:rsidR="004613D2">
        <w:t>S</w:t>
      </w:r>
      <w:r>
        <w:t>ection 2) examines this in detail, showing that the IASB has not introduced ‘subsequent measurement at fair value’ for any new types of asset. Since that date, two standards have been issued. IFRS 16 (</w:t>
      </w:r>
      <w:r w:rsidRPr="003573A2">
        <w:rPr>
          <w:i/>
        </w:rPr>
        <w:t>Leases</w:t>
      </w:r>
      <w:r>
        <w:t>) requires the cost basis except to achieve consistency with any non-lease assets under IASs 16 and 40. IFRS 17 (</w:t>
      </w:r>
      <w:r w:rsidRPr="003573A2">
        <w:rPr>
          <w:i/>
        </w:rPr>
        <w:t>Insurance Contracts</w:t>
      </w:r>
      <w:r>
        <w:t>) does not involve the measurement of assets at fair value.</w:t>
      </w:r>
    </w:p>
  </w:footnote>
  <w:footnote w:id="31">
    <w:p w14:paraId="24A5DE85" w14:textId="77777777" w:rsidR="004F679E" w:rsidRDefault="004F679E" w:rsidP="00B76869">
      <w:pPr>
        <w:pStyle w:val="FootnoteText"/>
      </w:pPr>
      <w:r>
        <w:rPr>
          <w:rStyle w:val="FootnoteReference"/>
        </w:rPr>
        <w:footnoteRef/>
      </w:r>
      <w:r>
        <w:t xml:space="preserve"> </w:t>
      </w:r>
      <w:r>
        <w:tab/>
        <w:t>For example, para. 6.44.</w:t>
      </w:r>
    </w:p>
  </w:footnote>
  <w:footnote w:id="32">
    <w:p w14:paraId="5619AEEA" w14:textId="711FC3B6" w:rsidR="004F679E" w:rsidRDefault="004F679E" w:rsidP="000E6A99">
      <w:pPr>
        <w:pStyle w:val="FootnoteText"/>
      </w:pPr>
      <w:r>
        <w:rPr>
          <w:rStyle w:val="FootnoteReference"/>
        </w:rPr>
        <w:footnoteRef/>
      </w:r>
      <w:r>
        <w:t xml:space="preserve"> </w:t>
      </w:r>
      <w:r>
        <w:tab/>
        <w:t>These are chosen because they have large stock markets and at least some firms which use IFRS. In the case of China, we use annual reports prepared under IFRS (e.g. because the firm is listed in Hong Kong).</w:t>
      </w:r>
    </w:p>
  </w:footnote>
  <w:footnote w:id="33">
    <w:p w14:paraId="325839CD" w14:textId="77777777" w:rsidR="004F679E" w:rsidRDefault="004F679E" w:rsidP="000E6A99">
      <w:pPr>
        <w:pStyle w:val="FootnoteText"/>
      </w:pPr>
      <w:r>
        <w:rPr>
          <w:rStyle w:val="FootnoteReference"/>
        </w:rPr>
        <w:footnoteRef/>
      </w:r>
      <w:r>
        <w:t xml:space="preserve"> </w:t>
      </w:r>
      <w:r>
        <w:tab/>
        <w:t>Since we include Hong Kong, ‘jurisdiction’ is more appropriate. However, for brevity, we use ‘country’ hereafter.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16541"/>
      <w:docPartObj>
        <w:docPartGallery w:val="Page Numbers (Top of Page)"/>
        <w:docPartUnique/>
      </w:docPartObj>
    </w:sdtPr>
    <w:sdtEndPr>
      <w:rPr>
        <w:noProof/>
      </w:rPr>
    </w:sdtEndPr>
    <w:sdtContent>
      <w:p w14:paraId="3B046780" w14:textId="30EF7688" w:rsidR="004F679E" w:rsidRDefault="004F679E">
        <w:pPr>
          <w:pStyle w:val="Header"/>
          <w:jc w:val="right"/>
        </w:pPr>
        <w:r>
          <w:fldChar w:fldCharType="begin"/>
        </w:r>
        <w:r>
          <w:instrText xml:space="preserve"> PAGE   \* MERGEFORMAT </w:instrText>
        </w:r>
        <w:r>
          <w:fldChar w:fldCharType="separate"/>
        </w:r>
        <w:r w:rsidR="00F03287">
          <w:rPr>
            <w:noProof/>
          </w:rPr>
          <w:t>2</w:t>
        </w:r>
        <w:r>
          <w:rPr>
            <w:noProof/>
          </w:rPr>
          <w:fldChar w:fldCharType="end"/>
        </w:r>
      </w:p>
    </w:sdtContent>
  </w:sdt>
  <w:p w14:paraId="33036F72" w14:textId="77777777" w:rsidR="004F679E" w:rsidRDefault="004F6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86647"/>
      <w:docPartObj>
        <w:docPartGallery w:val="Page Numbers (Top of Page)"/>
        <w:docPartUnique/>
      </w:docPartObj>
    </w:sdtPr>
    <w:sdtEndPr>
      <w:rPr>
        <w:noProof/>
      </w:rPr>
    </w:sdtEndPr>
    <w:sdtContent>
      <w:p w14:paraId="4A4CD4DE" w14:textId="2D221A95" w:rsidR="004F679E" w:rsidRDefault="004F679E">
        <w:pPr>
          <w:pStyle w:val="Header"/>
          <w:jc w:val="right"/>
        </w:pPr>
        <w:r>
          <w:fldChar w:fldCharType="begin"/>
        </w:r>
        <w:r>
          <w:instrText xml:space="preserve"> PAGE   \* MERGEFORMAT </w:instrText>
        </w:r>
        <w:r>
          <w:fldChar w:fldCharType="separate"/>
        </w:r>
        <w:r w:rsidR="00F03287">
          <w:rPr>
            <w:noProof/>
          </w:rPr>
          <w:t>1</w:t>
        </w:r>
        <w:r>
          <w:rPr>
            <w:noProof/>
          </w:rPr>
          <w:fldChar w:fldCharType="end"/>
        </w:r>
      </w:p>
    </w:sdtContent>
  </w:sdt>
  <w:p w14:paraId="008F29C2" w14:textId="77777777" w:rsidR="004F679E" w:rsidRDefault="004F6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38168"/>
      <w:docPartObj>
        <w:docPartGallery w:val="Page Numbers (Top of Page)"/>
        <w:docPartUnique/>
      </w:docPartObj>
    </w:sdtPr>
    <w:sdtEndPr>
      <w:rPr>
        <w:noProof/>
      </w:rPr>
    </w:sdtEndPr>
    <w:sdtContent>
      <w:p w14:paraId="000FC877" w14:textId="6E4C0A49" w:rsidR="004F679E" w:rsidRDefault="004F679E">
        <w:pPr>
          <w:pStyle w:val="Header"/>
          <w:jc w:val="right"/>
        </w:pPr>
        <w:r>
          <w:fldChar w:fldCharType="begin"/>
        </w:r>
        <w:r>
          <w:instrText xml:space="preserve"> PAGE   \* MERGEFORMAT </w:instrText>
        </w:r>
        <w:r>
          <w:fldChar w:fldCharType="separate"/>
        </w:r>
        <w:r w:rsidR="00F03287">
          <w:rPr>
            <w:noProof/>
          </w:rPr>
          <w:t>26</w:t>
        </w:r>
        <w:r>
          <w:rPr>
            <w:noProof/>
          </w:rPr>
          <w:fldChar w:fldCharType="end"/>
        </w:r>
      </w:p>
    </w:sdtContent>
  </w:sdt>
  <w:p w14:paraId="042FF212" w14:textId="77777777" w:rsidR="004F679E" w:rsidRDefault="004F67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55907"/>
      <w:docPartObj>
        <w:docPartGallery w:val="Page Numbers (Top of Page)"/>
        <w:docPartUnique/>
      </w:docPartObj>
    </w:sdtPr>
    <w:sdtEndPr>
      <w:rPr>
        <w:noProof/>
      </w:rPr>
    </w:sdtEndPr>
    <w:sdtContent>
      <w:p w14:paraId="65C8A84E" w14:textId="46D502BF" w:rsidR="004F679E" w:rsidRDefault="004F679E">
        <w:pPr>
          <w:pStyle w:val="Header"/>
          <w:jc w:val="right"/>
        </w:pPr>
        <w:r>
          <w:fldChar w:fldCharType="begin"/>
        </w:r>
        <w:r>
          <w:instrText xml:space="preserve"> PAGE   \* MERGEFORMAT </w:instrText>
        </w:r>
        <w:r>
          <w:fldChar w:fldCharType="separate"/>
        </w:r>
        <w:r w:rsidR="00F03287">
          <w:rPr>
            <w:noProof/>
          </w:rPr>
          <w:t>23</w:t>
        </w:r>
        <w:r>
          <w:rPr>
            <w:noProof/>
          </w:rPr>
          <w:fldChar w:fldCharType="end"/>
        </w:r>
      </w:p>
    </w:sdtContent>
  </w:sdt>
  <w:p w14:paraId="7934338B" w14:textId="77777777" w:rsidR="004F679E" w:rsidRDefault="004F67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316102"/>
      <w:docPartObj>
        <w:docPartGallery w:val="Page Numbers (Top of Page)"/>
        <w:docPartUnique/>
      </w:docPartObj>
    </w:sdtPr>
    <w:sdtEndPr>
      <w:rPr>
        <w:noProof/>
      </w:rPr>
    </w:sdtEndPr>
    <w:sdtContent>
      <w:p w14:paraId="1A6BAC5A" w14:textId="77777777" w:rsidR="004F679E" w:rsidRDefault="004F679E">
        <w:pPr>
          <w:pStyle w:val="Header"/>
          <w:jc w:val="right"/>
        </w:pPr>
        <w:r>
          <w:fldChar w:fldCharType="begin"/>
        </w:r>
        <w:r>
          <w:instrText xml:space="preserve"> PAGE   \* MERGEFORMAT </w:instrText>
        </w:r>
        <w:r>
          <w:fldChar w:fldCharType="separate"/>
        </w:r>
        <w:r w:rsidR="00F03287">
          <w:rPr>
            <w:noProof/>
          </w:rPr>
          <w:t>33</w:t>
        </w:r>
        <w:r>
          <w:rPr>
            <w:noProof/>
          </w:rPr>
          <w:fldChar w:fldCharType="end"/>
        </w:r>
      </w:p>
    </w:sdtContent>
  </w:sdt>
  <w:p w14:paraId="2FBFC44D" w14:textId="77777777" w:rsidR="004F679E" w:rsidRDefault="004F67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289"/>
      <w:docPartObj>
        <w:docPartGallery w:val="Page Numbers (Top of Page)"/>
        <w:docPartUnique/>
      </w:docPartObj>
    </w:sdtPr>
    <w:sdtEndPr>
      <w:rPr>
        <w:noProof/>
      </w:rPr>
    </w:sdtEndPr>
    <w:sdtContent>
      <w:p w14:paraId="5AD46837" w14:textId="77777777" w:rsidR="004F679E" w:rsidRDefault="004F679E">
        <w:pPr>
          <w:pStyle w:val="Header"/>
          <w:jc w:val="right"/>
        </w:pPr>
        <w:r>
          <w:fldChar w:fldCharType="begin"/>
        </w:r>
        <w:r>
          <w:instrText xml:space="preserve"> PAGE   \* MERGEFORMAT </w:instrText>
        </w:r>
        <w:r>
          <w:fldChar w:fldCharType="separate"/>
        </w:r>
        <w:r w:rsidR="00F03287">
          <w:rPr>
            <w:noProof/>
          </w:rPr>
          <w:t>28</w:t>
        </w:r>
        <w:r>
          <w:rPr>
            <w:noProof/>
          </w:rPr>
          <w:fldChar w:fldCharType="end"/>
        </w:r>
      </w:p>
    </w:sdtContent>
  </w:sdt>
  <w:p w14:paraId="21AED9D4" w14:textId="77777777" w:rsidR="004F679E" w:rsidRDefault="004F6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1162A"/>
    <w:multiLevelType w:val="hybridMultilevel"/>
    <w:tmpl w:val="322E89A8"/>
    <w:lvl w:ilvl="0" w:tplc="D44E6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3B26FD"/>
    <w:multiLevelType w:val="hybridMultilevel"/>
    <w:tmpl w:val="214E0F72"/>
    <w:lvl w:ilvl="0" w:tplc="F69669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26680"/>
    <w:multiLevelType w:val="hybridMultilevel"/>
    <w:tmpl w:val="602CF57A"/>
    <w:lvl w:ilvl="0" w:tplc="DABAD2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506B8"/>
    <w:multiLevelType w:val="hybridMultilevel"/>
    <w:tmpl w:val="4B8ED6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7495E"/>
    <w:multiLevelType w:val="hybridMultilevel"/>
    <w:tmpl w:val="1F5C8FEC"/>
    <w:lvl w:ilvl="0" w:tplc="90907AD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C6FE8"/>
    <w:multiLevelType w:val="hybridMultilevel"/>
    <w:tmpl w:val="F6F47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35BBB"/>
    <w:multiLevelType w:val="hybridMultilevel"/>
    <w:tmpl w:val="87F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2182D"/>
    <w:multiLevelType w:val="hybridMultilevel"/>
    <w:tmpl w:val="7AFEF5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90E86"/>
    <w:multiLevelType w:val="hybridMultilevel"/>
    <w:tmpl w:val="BFBAC7BC"/>
    <w:lvl w:ilvl="0" w:tplc="81C60AAC">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2D67FF"/>
    <w:multiLevelType w:val="hybridMultilevel"/>
    <w:tmpl w:val="5690309C"/>
    <w:lvl w:ilvl="0" w:tplc="B5AC0A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82A57"/>
    <w:multiLevelType w:val="hybridMultilevel"/>
    <w:tmpl w:val="393E5A28"/>
    <w:lvl w:ilvl="0" w:tplc="23946A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E5679"/>
    <w:multiLevelType w:val="hybridMultilevel"/>
    <w:tmpl w:val="5D388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426E5A"/>
    <w:multiLevelType w:val="hybridMultilevel"/>
    <w:tmpl w:val="31D05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D962C8"/>
    <w:multiLevelType w:val="hybridMultilevel"/>
    <w:tmpl w:val="D8D4DCDC"/>
    <w:lvl w:ilvl="0" w:tplc="0ED8DB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23563"/>
    <w:multiLevelType w:val="hybridMultilevel"/>
    <w:tmpl w:val="BF5A58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9CC0622"/>
    <w:multiLevelType w:val="hybridMultilevel"/>
    <w:tmpl w:val="BE404F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7D64BF"/>
    <w:multiLevelType w:val="hybridMultilevel"/>
    <w:tmpl w:val="9A04168C"/>
    <w:lvl w:ilvl="0" w:tplc="FBD002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6131D1"/>
    <w:multiLevelType w:val="hybridMultilevel"/>
    <w:tmpl w:val="2BC480F8"/>
    <w:lvl w:ilvl="0" w:tplc="9B243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D1989"/>
    <w:multiLevelType w:val="hybridMultilevel"/>
    <w:tmpl w:val="03FE8CA0"/>
    <w:lvl w:ilvl="0" w:tplc="F080E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5"/>
  </w:num>
  <w:num w:numId="5">
    <w:abstractNumId w:val="15"/>
  </w:num>
  <w:num w:numId="6">
    <w:abstractNumId w:val="16"/>
  </w:num>
  <w:num w:numId="7">
    <w:abstractNumId w:val="11"/>
  </w:num>
  <w:num w:numId="8">
    <w:abstractNumId w:val="12"/>
  </w:num>
  <w:num w:numId="9">
    <w:abstractNumId w:val="1"/>
  </w:num>
  <w:num w:numId="10">
    <w:abstractNumId w:val="7"/>
  </w:num>
  <w:num w:numId="11">
    <w:abstractNumId w:val="3"/>
  </w:num>
  <w:num w:numId="12">
    <w:abstractNumId w:val="14"/>
  </w:num>
  <w:num w:numId="13">
    <w:abstractNumId w:val="0"/>
  </w:num>
  <w:num w:numId="14">
    <w:abstractNumId w:val="18"/>
  </w:num>
  <w:num w:numId="15">
    <w:abstractNumId w:val="1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7A"/>
    <w:rsid w:val="0000182E"/>
    <w:rsid w:val="00004579"/>
    <w:rsid w:val="0000482B"/>
    <w:rsid w:val="000053C8"/>
    <w:rsid w:val="00006036"/>
    <w:rsid w:val="00007736"/>
    <w:rsid w:val="000108E3"/>
    <w:rsid w:val="000108EB"/>
    <w:rsid w:val="00011926"/>
    <w:rsid w:val="0001351C"/>
    <w:rsid w:val="00013A12"/>
    <w:rsid w:val="00014BBE"/>
    <w:rsid w:val="0002185F"/>
    <w:rsid w:val="000218AC"/>
    <w:rsid w:val="000234E4"/>
    <w:rsid w:val="00024541"/>
    <w:rsid w:val="00030567"/>
    <w:rsid w:val="00031194"/>
    <w:rsid w:val="00031E0E"/>
    <w:rsid w:val="000371A3"/>
    <w:rsid w:val="00040014"/>
    <w:rsid w:val="00040D62"/>
    <w:rsid w:val="00041DF0"/>
    <w:rsid w:val="000424F8"/>
    <w:rsid w:val="0004281D"/>
    <w:rsid w:val="000429F5"/>
    <w:rsid w:val="00044132"/>
    <w:rsid w:val="00045A4D"/>
    <w:rsid w:val="000502FA"/>
    <w:rsid w:val="00052378"/>
    <w:rsid w:val="00055241"/>
    <w:rsid w:val="00055B4E"/>
    <w:rsid w:val="00056AAD"/>
    <w:rsid w:val="00061D4B"/>
    <w:rsid w:val="000625E0"/>
    <w:rsid w:val="00062B34"/>
    <w:rsid w:val="00063EE8"/>
    <w:rsid w:val="00067793"/>
    <w:rsid w:val="000703B7"/>
    <w:rsid w:val="00071D77"/>
    <w:rsid w:val="00073B0C"/>
    <w:rsid w:val="00074139"/>
    <w:rsid w:val="00076EC2"/>
    <w:rsid w:val="00082DE5"/>
    <w:rsid w:val="00085C28"/>
    <w:rsid w:val="0008719C"/>
    <w:rsid w:val="000910AB"/>
    <w:rsid w:val="00091E8C"/>
    <w:rsid w:val="00092E1F"/>
    <w:rsid w:val="00094FBE"/>
    <w:rsid w:val="00095FAD"/>
    <w:rsid w:val="000A087E"/>
    <w:rsid w:val="000A1643"/>
    <w:rsid w:val="000A1B3F"/>
    <w:rsid w:val="000A290C"/>
    <w:rsid w:val="000A4784"/>
    <w:rsid w:val="000A5B5A"/>
    <w:rsid w:val="000A6C89"/>
    <w:rsid w:val="000A7B56"/>
    <w:rsid w:val="000A7B98"/>
    <w:rsid w:val="000B13C4"/>
    <w:rsid w:val="000B5722"/>
    <w:rsid w:val="000B6038"/>
    <w:rsid w:val="000B61B1"/>
    <w:rsid w:val="000B7D19"/>
    <w:rsid w:val="000C176E"/>
    <w:rsid w:val="000C409C"/>
    <w:rsid w:val="000C5849"/>
    <w:rsid w:val="000C66EF"/>
    <w:rsid w:val="000C77A7"/>
    <w:rsid w:val="000D17E2"/>
    <w:rsid w:val="000D208F"/>
    <w:rsid w:val="000D5D87"/>
    <w:rsid w:val="000E6A99"/>
    <w:rsid w:val="000F599B"/>
    <w:rsid w:val="000F5A23"/>
    <w:rsid w:val="000F7E8A"/>
    <w:rsid w:val="00101A51"/>
    <w:rsid w:val="001031D3"/>
    <w:rsid w:val="00103206"/>
    <w:rsid w:val="001043FD"/>
    <w:rsid w:val="00105AB9"/>
    <w:rsid w:val="00105C98"/>
    <w:rsid w:val="001109E7"/>
    <w:rsid w:val="001110D7"/>
    <w:rsid w:val="001112D7"/>
    <w:rsid w:val="00113448"/>
    <w:rsid w:val="00114A8E"/>
    <w:rsid w:val="00114B51"/>
    <w:rsid w:val="00114C40"/>
    <w:rsid w:val="001152C0"/>
    <w:rsid w:val="00115F75"/>
    <w:rsid w:val="00120D93"/>
    <w:rsid w:val="00123391"/>
    <w:rsid w:val="00123456"/>
    <w:rsid w:val="001238BE"/>
    <w:rsid w:val="0012519E"/>
    <w:rsid w:val="00126B78"/>
    <w:rsid w:val="00127A1D"/>
    <w:rsid w:val="00130140"/>
    <w:rsid w:val="00131172"/>
    <w:rsid w:val="00131CED"/>
    <w:rsid w:val="00132893"/>
    <w:rsid w:val="00132C59"/>
    <w:rsid w:val="00144C5E"/>
    <w:rsid w:val="001465D7"/>
    <w:rsid w:val="0015054F"/>
    <w:rsid w:val="00150920"/>
    <w:rsid w:val="0015111C"/>
    <w:rsid w:val="00151FD4"/>
    <w:rsid w:val="001542A2"/>
    <w:rsid w:val="0015752E"/>
    <w:rsid w:val="001601B9"/>
    <w:rsid w:val="001617F3"/>
    <w:rsid w:val="0016293D"/>
    <w:rsid w:val="00170A7C"/>
    <w:rsid w:val="00170B7F"/>
    <w:rsid w:val="00170E28"/>
    <w:rsid w:val="001726F9"/>
    <w:rsid w:val="0017357E"/>
    <w:rsid w:val="0017406B"/>
    <w:rsid w:val="00174752"/>
    <w:rsid w:val="001803CB"/>
    <w:rsid w:val="001810AA"/>
    <w:rsid w:val="001813D8"/>
    <w:rsid w:val="00183653"/>
    <w:rsid w:val="0018445F"/>
    <w:rsid w:val="00184AC1"/>
    <w:rsid w:val="00185560"/>
    <w:rsid w:val="0018613D"/>
    <w:rsid w:val="001861CC"/>
    <w:rsid w:val="00186866"/>
    <w:rsid w:val="00192637"/>
    <w:rsid w:val="00194533"/>
    <w:rsid w:val="00194BFA"/>
    <w:rsid w:val="001970E0"/>
    <w:rsid w:val="001A048D"/>
    <w:rsid w:val="001A0E2B"/>
    <w:rsid w:val="001A1363"/>
    <w:rsid w:val="001A2EA5"/>
    <w:rsid w:val="001B022E"/>
    <w:rsid w:val="001B0E52"/>
    <w:rsid w:val="001B1D53"/>
    <w:rsid w:val="001B4CC8"/>
    <w:rsid w:val="001B6136"/>
    <w:rsid w:val="001C0BBA"/>
    <w:rsid w:val="001C20E5"/>
    <w:rsid w:val="001C23A9"/>
    <w:rsid w:val="001D0681"/>
    <w:rsid w:val="001D19E7"/>
    <w:rsid w:val="001D1C34"/>
    <w:rsid w:val="001D2F35"/>
    <w:rsid w:val="001D4A1C"/>
    <w:rsid w:val="001D6F5A"/>
    <w:rsid w:val="001D7677"/>
    <w:rsid w:val="001E25FC"/>
    <w:rsid w:val="001E536D"/>
    <w:rsid w:val="001E782E"/>
    <w:rsid w:val="001F109F"/>
    <w:rsid w:val="001F130E"/>
    <w:rsid w:val="001F5D6A"/>
    <w:rsid w:val="001F642E"/>
    <w:rsid w:val="001F7773"/>
    <w:rsid w:val="002001F7"/>
    <w:rsid w:val="00200B89"/>
    <w:rsid w:val="00202836"/>
    <w:rsid w:val="00203D06"/>
    <w:rsid w:val="00210296"/>
    <w:rsid w:val="00210CA2"/>
    <w:rsid w:val="00210F2A"/>
    <w:rsid w:val="002127AB"/>
    <w:rsid w:val="00214FFB"/>
    <w:rsid w:val="002153F3"/>
    <w:rsid w:val="002159E6"/>
    <w:rsid w:val="002172A5"/>
    <w:rsid w:val="0022224D"/>
    <w:rsid w:val="0022235D"/>
    <w:rsid w:val="002252E0"/>
    <w:rsid w:val="00225D6E"/>
    <w:rsid w:val="00225D95"/>
    <w:rsid w:val="00227CC6"/>
    <w:rsid w:val="00240C66"/>
    <w:rsid w:val="00246E81"/>
    <w:rsid w:val="00251E20"/>
    <w:rsid w:val="00253615"/>
    <w:rsid w:val="00254960"/>
    <w:rsid w:val="00256693"/>
    <w:rsid w:val="002572EF"/>
    <w:rsid w:val="00260502"/>
    <w:rsid w:val="0026172B"/>
    <w:rsid w:val="002631A0"/>
    <w:rsid w:val="00265AE8"/>
    <w:rsid w:val="00266868"/>
    <w:rsid w:val="0026691A"/>
    <w:rsid w:val="00267DBD"/>
    <w:rsid w:val="002700E7"/>
    <w:rsid w:val="00270899"/>
    <w:rsid w:val="002714B6"/>
    <w:rsid w:val="0027304A"/>
    <w:rsid w:val="002741C5"/>
    <w:rsid w:val="00274247"/>
    <w:rsid w:val="00280318"/>
    <w:rsid w:val="0028729B"/>
    <w:rsid w:val="002873F2"/>
    <w:rsid w:val="002877BF"/>
    <w:rsid w:val="00290D43"/>
    <w:rsid w:val="00293C71"/>
    <w:rsid w:val="00293D98"/>
    <w:rsid w:val="00293E65"/>
    <w:rsid w:val="0029486D"/>
    <w:rsid w:val="0029670B"/>
    <w:rsid w:val="002A0A52"/>
    <w:rsid w:val="002A242C"/>
    <w:rsid w:val="002A4BDC"/>
    <w:rsid w:val="002A4E24"/>
    <w:rsid w:val="002A70A3"/>
    <w:rsid w:val="002B01B3"/>
    <w:rsid w:val="002B0FEB"/>
    <w:rsid w:val="002B4034"/>
    <w:rsid w:val="002B4CB9"/>
    <w:rsid w:val="002B534A"/>
    <w:rsid w:val="002B5EB5"/>
    <w:rsid w:val="002B7F8E"/>
    <w:rsid w:val="002C2391"/>
    <w:rsid w:val="002C25F9"/>
    <w:rsid w:val="002C402C"/>
    <w:rsid w:val="002C43A7"/>
    <w:rsid w:val="002C49EF"/>
    <w:rsid w:val="002C50F5"/>
    <w:rsid w:val="002D0083"/>
    <w:rsid w:val="002D0806"/>
    <w:rsid w:val="002D4CE0"/>
    <w:rsid w:val="002E354F"/>
    <w:rsid w:val="002E4651"/>
    <w:rsid w:val="002E73D1"/>
    <w:rsid w:val="002F02DB"/>
    <w:rsid w:val="002F70DE"/>
    <w:rsid w:val="00304FCA"/>
    <w:rsid w:val="00305CAE"/>
    <w:rsid w:val="00307DB0"/>
    <w:rsid w:val="00310FDC"/>
    <w:rsid w:val="0031163E"/>
    <w:rsid w:val="00312915"/>
    <w:rsid w:val="00315DC0"/>
    <w:rsid w:val="00315E44"/>
    <w:rsid w:val="003169F2"/>
    <w:rsid w:val="00321CEB"/>
    <w:rsid w:val="00322C5E"/>
    <w:rsid w:val="00323F05"/>
    <w:rsid w:val="003253DA"/>
    <w:rsid w:val="003271BB"/>
    <w:rsid w:val="00330667"/>
    <w:rsid w:val="00330CC2"/>
    <w:rsid w:val="00332E8F"/>
    <w:rsid w:val="00335699"/>
    <w:rsid w:val="00336830"/>
    <w:rsid w:val="00337D48"/>
    <w:rsid w:val="003403D5"/>
    <w:rsid w:val="0034136F"/>
    <w:rsid w:val="00341A6D"/>
    <w:rsid w:val="00342161"/>
    <w:rsid w:val="00343D27"/>
    <w:rsid w:val="00345657"/>
    <w:rsid w:val="003501DD"/>
    <w:rsid w:val="00353F4F"/>
    <w:rsid w:val="00355599"/>
    <w:rsid w:val="0035579F"/>
    <w:rsid w:val="003573A2"/>
    <w:rsid w:val="0036198C"/>
    <w:rsid w:val="00362C35"/>
    <w:rsid w:val="0036364F"/>
    <w:rsid w:val="003643A6"/>
    <w:rsid w:val="00364A98"/>
    <w:rsid w:val="00366155"/>
    <w:rsid w:val="00371D19"/>
    <w:rsid w:val="00371E2B"/>
    <w:rsid w:val="00373360"/>
    <w:rsid w:val="003741BA"/>
    <w:rsid w:val="00374AFB"/>
    <w:rsid w:val="0037612D"/>
    <w:rsid w:val="003774B8"/>
    <w:rsid w:val="003820BC"/>
    <w:rsid w:val="003820EE"/>
    <w:rsid w:val="0038230B"/>
    <w:rsid w:val="0038475D"/>
    <w:rsid w:val="0039156A"/>
    <w:rsid w:val="00391A02"/>
    <w:rsid w:val="00392201"/>
    <w:rsid w:val="003961C5"/>
    <w:rsid w:val="003A16A1"/>
    <w:rsid w:val="003A1E71"/>
    <w:rsid w:val="003A369A"/>
    <w:rsid w:val="003A3CAE"/>
    <w:rsid w:val="003B56BC"/>
    <w:rsid w:val="003B5D5A"/>
    <w:rsid w:val="003B7923"/>
    <w:rsid w:val="003B796F"/>
    <w:rsid w:val="003C19C1"/>
    <w:rsid w:val="003C44E2"/>
    <w:rsid w:val="003D1B8D"/>
    <w:rsid w:val="003D1FAE"/>
    <w:rsid w:val="003D3859"/>
    <w:rsid w:val="003D459C"/>
    <w:rsid w:val="003D528A"/>
    <w:rsid w:val="003D5D56"/>
    <w:rsid w:val="003D612F"/>
    <w:rsid w:val="003E1153"/>
    <w:rsid w:val="003E16FE"/>
    <w:rsid w:val="003E30F1"/>
    <w:rsid w:val="003E5746"/>
    <w:rsid w:val="003F7376"/>
    <w:rsid w:val="0040070D"/>
    <w:rsid w:val="00400BB3"/>
    <w:rsid w:val="00401FD5"/>
    <w:rsid w:val="004030C0"/>
    <w:rsid w:val="00406068"/>
    <w:rsid w:val="00406499"/>
    <w:rsid w:val="0040795F"/>
    <w:rsid w:val="00411C6D"/>
    <w:rsid w:val="00420B6C"/>
    <w:rsid w:val="00421637"/>
    <w:rsid w:val="004217CE"/>
    <w:rsid w:val="00424901"/>
    <w:rsid w:val="004263C4"/>
    <w:rsid w:val="00427B96"/>
    <w:rsid w:val="00430FE2"/>
    <w:rsid w:val="004331D0"/>
    <w:rsid w:val="004338A6"/>
    <w:rsid w:val="004409E5"/>
    <w:rsid w:val="004428A6"/>
    <w:rsid w:val="00442EA6"/>
    <w:rsid w:val="00442F2D"/>
    <w:rsid w:val="00443922"/>
    <w:rsid w:val="00444C93"/>
    <w:rsid w:val="00445E84"/>
    <w:rsid w:val="004500F3"/>
    <w:rsid w:val="00450400"/>
    <w:rsid w:val="00450532"/>
    <w:rsid w:val="00461031"/>
    <w:rsid w:val="004613D2"/>
    <w:rsid w:val="00467BF3"/>
    <w:rsid w:val="004855A8"/>
    <w:rsid w:val="004859E9"/>
    <w:rsid w:val="00485DA5"/>
    <w:rsid w:val="00493833"/>
    <w:rsid w:val="004943A5"/>
    <w:rsid w:val="004A057D"/>
    <w:rsid w:val="004A06DD"/>
    <w:rsid w:val="004A098A"/>
    <w:rsid w:val="004A1BC6"/>
    <w:rsid w:val="004A405D"/>
    <w:rsid w:val="004B0AD2"/>
    <w:rsid w:val="004B7C9E"/>
    <w:rsid w:val="004C3699"/>
    <w:rsid w:val="004C5446"/>
    <w:rsid w:val="004C6B55"/>
    <w:rsid w:val="004C7531"/>
    <w:rsid w:val="004C7E86"/>
    <w:rsid w:val="004D2D01"/>
    <w:rsid w:val="004D2E27"/>
    <w:rsid w:val="004E0E18"/>
    <w:rsid w:val="004E1162"/>
    <w:rsid w:val="004E11BF"/>
    <w:rsid w:val="004E1C24"/>
    <w:rsid w:val="004E33D9"/>
    <w:rsid w:val="004E4FB7"/>
    <w:rsid w:val="004E73A8"/>
    <w:rsid w:val="004E7B61"/>
    <w:rsid w:val="004F0D49"/>
    <w:rsid w:val="004F3175"/>
    <w:rsid w:val="004F565F"/>
    <w:rsid w:val="004F679E"/>
    <w:rsid w:val="004F6FBB"/>
    <w:rsid w:val="004F786A"/>
    <w:rsid w:val="00500400"/>
    <w:rsid w:val="00503FAB"/>
    <w:rsid w:val="0050518D"/>
    <w:rsid w:val="00511921"/>
    <w:rsid w:val="0051544D"/>
    <w:rsid w:val="00516CB8"/>
    <w:rsid w:val="00516EF5"/>
    <w:rsid w:val="005174C6"/>
    <w:rsid w:val="0051769F"/>
    <w:rsid w:val="005209FC"/>
    <w:rsid w:val="00521566"/>
    <w:rsid w:val="0052161B"/>
    <w:rsid w:val="00522866"/>
    <w:rsid w:val="00522D8B"/>
    <w:rsid w:val="00525A8A"/>
    <w:rsid w:val="00533EF0"/>
    <w:rsid w:val="00543635"/>
    <w:rsid w:val="00546C33"/>
    <w:rsid w:val="00551285"/>
    <w:rsid w:val="0055326A"/>
    <w:rsid w:val="00554648"/>
    <w:rsid w:val="00554B89"/>
    <w:rsid w:val="005563C7"/>
    <w:rsid w:val="00556D4E"/>
    <w:rsid w:val="005574B9"/>
    <w:rsid w:val="00557F53"/>
    <w:rsid w:val="005618C5"/>
    <w:rsid w:val="00561A10"/>
    <w:rsid w:val="00562F2F"/>
    <w:rsid w:val="00562FC3"/>
    <w:rsid w:val="0056441F"/>
    <w:rsid w:val="0056620B"/>
    <w:rsid w:val="00567FBC"/>
    <w:rsid w:val="00571F4B"/>
    <w:rsid w:val="00572744"/>
    <w:rsid w:val="00574653"/>
    <w:rsid w:val="00576B88"/>
    <w:rsid w:val="00580825"/>
    <w:rsid w:val="005820E1"/>
    <w:rsid w:val="00585106"/>
    <w:rsid w:val="00586DA4"/>
    <w:rsid w:val="005918B7"/>
    <w:rsid w:val="00592B4C"/>
    <w:rsid w:val="00595350"/>
    <w:rsid w:val="005953D8"/>
    <w:rsid w:val="005A007D"/>
    <w:rsid w:val="005A2A42"/>
    <w:rsid w:val="005A7476"/>
    <w:rsid w:val="005B003B"/>
    <w:rsid w:val="005B4298"/>
    <w:rsid w:val="005B5914"/>
    <w:rsid w:val="005B5A4A"/>
    <w:rsid w:val="005B7BFB"/>
    <w:rsid w:val="005B7FE4"/>
    <w:rsid w:val="005C01A6"/>
    <w:rsid w:val="005C12C5"/>
    <w:rsid w:val="005C1DBE"/>
    <w:rsid w:val="005C2077"/>
    <w:rsid w:val="005C5FA0"/>
    <w:rsid w:val="005C7C10"/>
    <w:rsid w:val="005D19F3"/>
    <w:rsid w:val="005D1ED0"/>
    <w:rsid w:val="005D2D9F"/>
    <w:rsid w:val="005D5739"/>
    <w:rsid w:val="005D5970"/>
    <w:rsid w:val="005D6074"/>
    <w:rsid w:val="005D7902"/>
    <w:rsid w:val="005E1853"/>
    <w:rsid w:val="005F05F4"/>
    <w:rsid w:val="005F0BAB"/>
    <w:rsid w:val="005F132C"/>
    <w:rsid w:val="005F19A4"/>
    <w:rsid w:val="005F2165"/>
    <w:rsid w:val="005F67F9"/>
    <w:rsid w:val="005F708C"/>
    <w:rsid w:val="005F71EB"/>
    <w:rsid w:val="00603625"/>
    <w:rsid w:val="006071E1"/>
    <w:rsid w:val="00612A1A"/>
    <w:rsid w:val="006138CB"/>
    <w:rsid w:val="00616A44"/>
    <w:rsid w:val="00624716"/>
    <w:rsid w:val="006255B4"/>
    <w:rsid w:val="00625B6E"/>
    <w:rsid w:val="00630246"/>
    <w:rsid w:val="006311A5"/>
    <w:rsid w:val="00631DAD"/>
    <w:rsid w:val="00635636"/>
    <w:rsid w:val="00635690"/>
    <w:rsid w:val="006363A9"/>
    <w:rsid w:val="006379A9"/>
    <w:rsid w:val="00643240"/>
    <w:rsid w:val="006477BE"/>
    <w:rsid w:val="00647930"/>
    <w:rsid w:val="00647E85"/>
    <w:rsid w:val="006557A8"/>
    <w:rsid w:val="00655816"/>
    <w:rsid w:val="00661F2C"/>
    <w:rsid w:val="006621AD"/>
    <w:rsid w:val="00662BE7"/>
    <w:rsid w:val="00663732"/>
    <w:rsid w:val="006645C7"/>
    <w:rsid w:val="0066492E"/>
    <w:rsid w:val="00670DE7"/>
    <w:rsid w:val="006729FB"/>
    <w:rsid w:val="006744B3"/>
    <w:rsid w:val="00674643"/>
    <w:rsid w:val="00675B7E"/>
    <w:rsid w:val="0068042D"/>
    <w:rsid w:val="00681155"/>
    <w:rsid w:val="006817A2"/>
    <w:rsid w:val="0068208C"/>
    <w:rsid w:val="006828CA"/>
    <w:rsid w:val="00683CC8"/>
    <w:rsid w:val="00684E0D"/>
    <w:rsid w:val="006900FE"/>
    <w:rsid w:val="00690A1C"/>
    <w:rsid w:val="00693C24"/>
    <w:rsid w:val="00694B31"/>
    <w:rsid w:val="00695B2B"/>
    <w:rsid w:val="0069669D"/>
    <w:rsid w:val="006A083C"/>
    <w:rsid w:val="006A2A42"/>
    <w:rsid w:val="006A5ECB"/>
    <w:rsid w:val="006B0074"/>
    <w:rsid w:val="006B21F0"/>
    <w:rsid w:val="006B2C86"/>
    <w:rsid w:val="006B433E"/>
    <w:rsid w:val="006B6430"/>
    <w:rsid w:val="006B6B74"/>
    <w:rsid w:val="006C236E"/>
    <w:rsid w:val="006C35D8"/>
    <w:rsid w:val="006C4B9A"/>
    <w:rsid w:val="006D1F26"/>
    <w:rsid w:val="006D32CD"/>
    <w:rsid w:val="006D5042"/>
    <w:rsid w:val="006D6C8B"/>
    <w:rsid w:val="006D724F"/>
    <w:rsid w:val="006D740B"/>
    <w:rsid w:val="006D7F2B"/>
    <w:rsid w:val="006E03B8"/>
    <w:rsid w:val="006E281D"/>
    <w:rsid w:val="006E788E"/>
    <w:rsid w:val="006F0803"/>
    <w:rsid w:val="006F3858"/>
    <w:rsid w:val="006F4DCF"/>
    <w:rsid w:val="006F50DD"/>
    <w:rsid w:val="006F740F"/>
    <w:rsid w:val="006F77A7"/>
    <w:rsid w:val="00700E49"/>
    <w:rsid w:val="007014BE"/>
    <w:rsid w:val="00701F66"/>
    <w:rsid w:val="00703404"/>
    <w:rsid w:val="00703BD3"/>
    <w:rsid w:val="007043AF"/>
    <w:rsid w:val="00704F91"/>
    <w:rsid w:val="0070655A"/>
    <w:rsid w:val="007126C8"/>
    <w:rsid w:val="00713372"/>
    <w:rsid w:val="00716619"/>
    <w:rsid w:val="007209AE"/>
    <w:rsid w:val="00720EDF"/>
    <w:rsid w:val="00723131"/>
    <w:rsid w:val="00730021"/>
    <w:rsid w:val="00732770"/>
    <w:rsid w:val="00733ADC"/>
    <w:rsid w:val="00733B44"/>
    <w:rsid w:val="0073646A"/>
    <w:rsid w:val="00736E44"/>
    <w:rsid w:val="00737299"/>
    <w:rsid w:val="0073737A"/>
    <w:rsid w:val="00737DEC"/>
    <w:rsid w:val="00741EAC"/>
    <w:rsid w:val="00743C37"/>
    <w:rsid w:val="00743D3F"/>
    <w:rsid w:val="00743F5F"/>
    <w:rsid w:val="007449D9"/>
    <w:rsid w:val="007454AD"/>
    <w:rsid w:val="00745DBD"/>
    <w:rsid w:val="00751004"/>
    <w:rsid w:val="007559A8"/>
    <w:rsid w:val="00756BE2"/>
    <w:rsid w:val="007606BD"/>
    <w:rsid w:val="00762102"/>
    <w:rsid w:val="00762F21"/>
    <w:rsid w:val="00764D47"/>
    <w:rsid w:val="00765B5D"/>
    <w:rsid w:val="007674E4"/>
    <w:rsid w:val="00771A9F"/>
    <w:rsid w:val="0077266E"/>
    <w:rsid w:val="00772EED"/>
    <w:rsid w:val="00791791"/>
    <w:rsid w:val="0079238C"/>
    <w:rsid w:val="00793650"/>
    <w:rsid w:val="00795B70"/>
    <w:rsid w:val="00797EFE"/>
    <w:rsid w:val="007A4359"/>
    <w:rsid w:val="007A4E46"/>
    <w:rsid w:val="007A5C6D"/>
    <w:rsid w:val="007A65FC"/>
    <w:rsid w:val="007B2010"/>
    <w:rsid w:val="007B2DA6"/>
    <w:rsid w:val="007B424E"/>
    <w:rsid w:val="007C0B8F"/>
    <w:rsid w:val="007D2468"/>
    <w:rsid w:val="007D2B99"/>
    <w:rsid w:val="007D4BCF"/>
    <w:rsid w:val="007D4D01"/>
    <w:rsid w:val="007D5194"/>
    <w:rsid w:val="007D5786"/>
    <w:rsid w:val="007D631B"/>
    <w:rsid w:val="007E0061"/>
    <w:rsid w:val="007E0142"/>
    <w:rsid w:val="007E07B6"/>
    <w:rsid w:val="007E232C"/>
    <w:rsid w:val="007E532F"/>
    <w:rsid w:val="007E5797"/>
    <w:rsid w:val="007F1A1E"/>
    <w:rsid w:val="007F2616"/>
    <w:rsid w:val="007F5234"/>
    <w:rsid w:val="007F5EEE"/>
    <w:rsid w:val="007F726F"/>
    <w:rsid w:val="00801DBD"/>
    <w:rsid w:val="008079D8"/>
    <w:rsid w:val="00810750"/>
    <w:rsid w:val="00810A96"/>
    <w:rsid w:val="00814D57"/>
    <w:rsid w:val="0081791D"/>
    <w:rsid w:val="00821F19"/>
    <w:rsid w:val="0082400F"/>
    <w:rsid w:val="00824FF0"/>
    <w:rsid w:val="00826679"/>
    <w:rsid w:val="008305EF"/>
    <w:rsid w:val="00830EE6"/>
    <w:rsid w:val="008310FB"/>
    <w:rsid w:val="00833253"/>
    <w:rsid w:val="0083429C"/>
    <w:rsid w:val="00836D86"/>
    <w:rsid w:val="008412DE"/>
    <w:rsid w:val="0084210D"/>
    <w:rsid w:val="008432B4"/>
    <w:rsid w:val="00843499"/>
    <w:rsid w:val="00845867"/>
    <w:rsid w:val="00847A1A"/>
    <w:rsid w:val="00852158"/>
    <w:rsid w:val="00852209"/>
    <w:rsid w:val="0085299F"/>
    <w:rsid w:val="00852C3F"/>
    <w:rsid w:val="00862AB4"/>
    <w:rsid w:val="008676B2"/>
    <w:rsid w:val="00867DC5"/>
    <w:rsid w:val="00871225"/>
    <w:rsid w:val="008728E6"/>
    <w:rsid w:val="00877444"/>
    <w:rsid w:val="0087788F"/>
    <w:rsid w:val="0087794B"/>
    <w:rsid w:val="008809C2"/>
    <w:rsid w:val="00881943"/>
    <w:rsid w:val="00885113"/>
    <w:rsid w:val="008871AB"/>
    <w:rsid w:val="00887F5C"/>
    <w:rsid w:val="008A2FFF"/>
    <w:rsid w:val="008A454F"/>
    <w:rsid w:val="008A48AF"/>
    <w:rsid w:val="008A6943"/>
    <w:rsid w:val="008B1D1B"/>
    <w:rsid w:val="008B3ABE"/>
    <w:rsid w:val="008B6E96"/>
    <w:rsid w:val="008B6F65"/>
    <w:rsid w:val="008C13B3"/>
    <w:rsid w:val="008C20C5"/>
    <w:rsid w:val="008C31A4"/>
    <w:rsid w:val="008C5EA5"/>
    <w:rsid w:val="008C6844"/>
    <w:rsid w:val="008C7DCB"/>
    <w:rsid w:val="008C7FA1"/>
    <w:rsid w:val="008D5400"/>
    <w:rsid w:val="008D7AB7"/>
    <w:rsid w:val="008E09C2"/>
    <w:rsid w:val="008E11F6"/>
    <w:rsid w:val="008E1D29"/>
    <w:rsid w:val="008E4122"/>
    <w:rsid w:val="008E44D7"/>
    <w:rsid w:val="008E4581"/>
    <w:rsid w:val="008E5478"/>
    <w:rsid w:val="008E5F50"/>
    <w:rsid w:val="008E675D"/>
    <w:rsid w:val="008F28AC"/>
    <w:rsid w:val="008F61A0"/>
    <w:rsid w:val="008F725B"/>
    <w:rsid w:val="008F74F6"/>
    <w:rsid w:val="00901D00"/>
    <w:rsid w:val="00901E2A"/>
    <w:rsid w:val="00905685"/>
    <w:rsid w:val="00907361"/>
    <w:rsid w:val="00910183"/>
    <w:rsid w:val="0091258B"/>
    <w:rsid w:val="00914EB9"/>
    <w:rsid w:val="00915E6D"/>
    <w:rsid w:val="00916243"/>
    <w:rsid w:val="00917744"/>
    <w:rsid w:val="009202BD"/>
    <w:rsid w:val="00920E56"/>
    <w:rsid w:val="00924676"/>
    <w:rsid w:val="00925359"/>
    <w:rsid w:val="00925BFB"/>
    <w:rsid w:val="0092707D"/>
    <w:rsid w:val="009272A1"/>
    <w:rsid w:val="00930283"/>
    <w:rsid w:val="00930C86"/>
    <w:rsid w:val="0093127A"/>
    <w:rsid w:val="00931B51"/>
    <w:rsid w:val="009321C7"/>
    <w:rsid w:val="009324B2"/>
    <w:rsid w:val="00935247"/>
    <w:rsid w:val="00936A3A"/>
    <w:rsid w:val="00937EEC"/>
    <w:rsid w:val="00940120"/>
    <w:rsid w:val="00940643"/>
    <w:rsid w:val="00940AB9"/>
    <w:rsid w:val="00940B13"/>
    <w:rsid w:val="00941F5F"/>
    <w:rsid w:val="00942167"/>
    <w:rsid w:val="00945129"/>
    <w:rsid w:val="0094714A"/>
    <w:rsid w:val="00951278"/>
    <w:rsid w:val="0095386E"/>
    <w:rsid w:val="00954A32"/>
    <w:rsid w:val="00955410"/>
    <w:rsid w:val="009555FE"/>
    <w:rsid w:val="009568DE"/>
    <w:rsid w:val="00957AE7"/>
    <w:rsid w:val="009619D0"/>
    <w:rsid w:val="00966439"/>
    <w:rsid w:val="009727F8"/>
    <w:rsid w:val="00980CF5"/>
    <w:rsid w:val="00982B5C"/>
    <w:rsid w:val="00982EA2"/>
    <w:rsid w:val="0098306E"/>
    <w:rsid w:val="009841F6"/>
    <w:rsid w:val="00984526"/>
    <w:rsid w:val="00985AEF"/>
    <w:rsid w:val="0098748B"/>
    <w:rsid w:val="00987542"/>
    <w:rsid w:val="00992603"/>
    <w:rsid w:val="0099273E"/>
    <w:rsid w:val="00992920"/>
    <w:rsid w:val="00993A5A"/>
    <w:rsid w:val="0099408A"/>
    <w:rsid w:val="00996025"/>
    <w:rsid w:val="00996FA2"/>
    <w:rsid w:val="009974BC"/>
    <w:rsid w:val="009A070C"/>
    <w:rsid w:val="009A07D0"/>
    <w:rsid w:val="009A12BA"/>
    <w:rsid w:val="009A1781"/>
    <w:rsid w:val="009A3B81"/>
    <w:rsid w:val="009A4391"/>
    <w:rsid w:val="009A65C8"/>
    <w:rsid w:val="009B1E63"/>
    <w:rsid w:val="009B5655"/>
    <w:rsid w:val="009B5AA3"/>
    <w:rsid w:val="009B5AAC"/>
    <w:rsid w:val="009B6A14"/>
    <w:rsid w:val="009C2A38"/>
    <w:rsid w:val="009C507C"/>
    <w:rsid w:val="009C6277"/>
    <w:rsid w:val="009D0844"/>
    <w:rsid w:val="009D15A5"/>
    <w:rsid w:val="009D16C3"/>
    <w:rsid w:val="009D18CC"/>
    <w:rsid w:val="009D7583"/>
    <w:rsid w:val="009E0C80"/>
    <w:rsid w:val="009E1E15"/>
    <w:rsid w:val="009E3B86"/>
    <w:rsid w:val="009E46D6"/>
    <w:rsid w:val="009F19E5"/>
    <w:rsid w:val="009F2073"/>
    <w:rsid w:val="009F456A"/>
    <w:rsid w:val="009F5640"/>
    <w:rsid w:val="009F5C86"/>
    <w:rsid w:val="009F6D6F"/>
    <w:rsid w:val="009F6E15"/>
    <w:rsid w:val="009F6E53"/>
    <w:rsid w:val="009F6FA3"/>
    <w:rsid w:val="009F7D38"/>
    <w:rsid w:val="00A033CD"/>
    <w:rsid w:val="00A041C4"/>
    <w:rsid w:val="00A04F46"/>
    <w:rsid w:val="00A0506D"/>
    <w:rsid w:val="00A069A6"/>
    <w:rsid w:val="00A06F9F"/>
    <w:rsid w:val="00A12004"/>
    <w:rsid w:val="00A12663"/>
    <w:rsid w:val="00A21A2A"/>
    <w:rsid w:val="00A2507F"/>
    <w:rsid w:val="00A3124B"/>
    <w:rsid w:val="00A35094"/>
    <w:rsid w:val="00A35F6B"/>
    <w:rsid w:val="00A374FF"/>
    <w:rsid w:val="00A37790"/>
    <w:rsid w:val="00A402F5"/>
    <w:rsid w:val="00A407C4"/>
    <w:rsid w:val="00A427FF"/>
    <w:rsid w:val="00A4598D"/>
    <w:rsid w:val="00A465B5"/>
    <w:rsid w:val="00A50382"/>
    <w:rsid w:val="00A51CDC"/>
    <w:rsid w:val="00A52F28"/>
    <w:rsid w:val="00A53268"/>
    <w:rsid w:val="00A548E3"/>
    <w:rsid w:val="00A55D74"/>
    <w:rsid w:val="00A57103"/>
    <w:rsid w:val="00A609A9"/>
    <w:rsid w:val="00A60C3A"/>
    <w:rsid w:val="00A6138D"/>
    <w:rsid w:val="00A61529"/>
    <w:rsid w:val="00A61560"/>
    <w:rsid w:val="00A61688"/>
    <w:rsid w:val="00A61774"/>
    <w:rsid w:val="00A6214D"/>
    <w:rsid w:val="00A63716"/>
    <w:rsid w:val="00A63B83"/>
    <w:rsid w:val="00A65291"/>
    <w:rsid w:val="00A6587B"/>
    <w:rsid w:val="00A66A42"/>
    <w:rsid w:val="00A66CFD"/>
    <w:rsid w:val="00A7514E"/>
    <w:rsid w:val="00A77859"/>
    <w:rsid w:val="00A77C8E"/>
    <w:rsid w:val="00A827F6"/>
    <w:rsid w:val="00A86676"/>
    <w:rsid w:val="00A90432"/>
    <w:rsid w:val="00A91934"/>
    <w:rsid w:val="00A92BA9"/>
    <w:rsid w:val="00A93151"/>
    <w:rsid w:val="00A969A5"/>
    <w:rsid w:val="00AA1A59"/>
    <w:rsid w:val="00AA1FAD"/>
    <w:rsid w:val="00AA2702"/>
    <w:rsid w:val="00AA510C"/>
    <w:rsid w:val="00AA755D"/>
    <w:rsid w:val="00AA790D"/>
    <w:rsid w:val="00AB3150"/>
    <w:rsid w:val="00AB57CC"/>
    <w:rsid w:val="00AB60B6"/>
    <w:rsid w:val="00AB755D"/>
    <w:rsid w:val="00AB75B2"/>
    <w:rsid w:val="00AC138E"/>
    <w:rsid w:val="00AC497E"/>
    <w:rsid w:val="00AC4C77"/>
    <w:rsid w:val="00AC4F7D"/>
    <w:rsid w:val="00AD0E99"/>
    <w:rsid w:val="00AD1658"/>
    <w:rsid w:val="00AE177D"/>
    <w:rsid w:val="00AE1B16"/>
    <w:rsid w:val="00AE29B1"/>
    <w:rsid w:val="00AE6B68"/>
    <w:rsid w:val="00AF5866"/>
    <w:rsid w:val="00AF770F"/>
    <w:rsid w:val="00B01310"/>
    <w:rsid w:val="00B01C03"/>
    <w:rsid w:val="00B027D5"/>
    <w:rsid w:val="00B03408"/>
    <w:rsid w:val="00B053FA"/>
    <w:rsid w:val="00B05A38"/>
    <w:rsid w:val="00B06FD1"/>
    <w:rsid w:val="00B0788B"/>
    <w:rsid w:val="00B10D65"/>
    <w:rsid w:val="00B10E37"/>
    <w:rsid w:val="00B13BA8"/>
    <w:rsid w:val="00B20C5B"/>
    <w:rsid w:val="00B22144"/>
    <w:rsid w:val="00B22B1D"/>
    <w:rsid w:val="00B2409A"/>
    <w:rsid w:val="00B244C7"/>
    <w:rsid w:val="00B252B7"/>
    <w:rsid w:val="00B2590C"/>
    <w:rsid w:val="00B25DEC"/>
    <w:rsid w:val="00B27DDA"/>
    <w:rsid w:val="00B3292B"/>
    <w:rsid w:val="00B34AD8"/>
    <w:rsid w:val="00B35D4A"/>
    <w:rsid w:val="00B3723F"/>
    <w:rsid w:val="00B40283"/>
    <w:rsid w:val="00B4283A"/>
    <w:rsid w:val="00B430B6"/>
    <w:rsid w:val="00B471A1"/>
    <w:rsid w:val="00B47FCB"/>
    <w:rsid w:val="00B56214"/>
    <w:rsid w:val="00B62C73"/>
    <w:rsid w:val="00B63392"/>
    <w:rsid w:val="00B63D0D"/>
    <w:rsid w:val="00B63EA3"/>
    <w:rsid w:val="00B6534F"/>
    <w:rsid w:val="00B65E56"/>
    <w:rsid w:val="00B66CF7"/>
    <w:rsid w:val="00B67522"/>
    <w:rsid w:val="00B72116"/>
    <w:rsid w:val="00B7271F"/>
    <w:rsid w:val="00B741E4"/>
    <w:rsid w:val="00B76137"/>
    <w:rsid w:val="00B76869"/>
    <w:rsid w:val="00B87DAC"/>
    <w:rsid w:val="00B90CA2"/>
    <w:rsid w:val="00B928F6"/>
    <w:rsid w:val="00B93099"/>
    <w:rsid w:val="00B9323E"/>
    <w:rsid w:val="00B93CE3"/>
    <w:rsid w:val="00B96921"/>
    <w:rsid w:val="00BA2090"/>
    <w:rsid w:val="00BA29C1"/>
    <w:rsid w:val="00BA513C"/>
    <w:rsid w:val="00BA5C7B"/>
    <w:rsid w:val="00BA620D"/>
    <w:rsid w:val="00BA752D"/>
    <w:rsid w:val="00BA7977"/>
    <w:rsid w:val="00BB1B1F"/>
    <w:rsid w:val="00BB1C54"/>
    <w:rsid w:val="00BB2624"/>
    <w:rsid w:val="00BB3C8B"/>
    <w:rsid w:val="00BB3CE0"/>
    <w:rsid w:val="00BB43DD"/>
    <w:rsid w:val="00BB4A3B"/>
    <w:rsid w:val="00BB61D9"/>
    <w:rsid w:val="00BC03B3"/>
    <w:rsid w:val="00BC4200"/>
    <w:rsid w:val="00BC54D7"/>
    <w:rsid w:val="00BC55CE"/>
    <w:rsid w:val="00BC6A2E"/>
    <w:rsid w:val="00BC7B99"/>
    <w:rsid w:val="00BD6AD8"/>
    <w:rsid w:val="00BD6BA5"/>
    <w:rsid w:val="00BE2D6F"/>
    <w:rsid w:val="00BE407C"/>
    <w:rsid w:val="00BE66A0"/>
    <w:rsid w:val="00BF0D7F"/>
    <w:rsid w:val="00BF0E6D"/>
    <w:rsid w:val="00BF1173"/>
    <w:rsid w:val="00BF1711"/>
    <w:rsid w:val="00BF2CB6"/>
    <w:rsid w:val="00BF2E04"/>
    <w:rsid w:val="00BF44DD"/>
    <w:rsid w:val="00BF64FF"/>
    <w:rsid w:val="00BF6E34"/>
    <w:rsid w:val="00C009FA"/>
    <w:rsid w:val="00C01CD5"/>
    <w:rsid w:val="00C123F2"/>
    <w:rsid w:val="00C148AC"/>
    <w:rsid w:val="00C15547"/>
    <w:rsid w:val="00C166CF"/>
    <w:rsid w:val="00C17CBC"/>
    <w:rsid w:val="00C20285"/>
    <w:rsid w:val="00C240A3"/>
    <w:rsid w:val="00C25226"/>
    <w:rsid w:val="00C26445"/>
    <w:rsid w:val="00C27373"/>
    <w:rsid w:val="00C303FF"/>
    <w:rsid w:val="00C330C9"/>
    <w:rsid w:val="00C33237"/>
    <w:rsid w:val="00C34080"/>
    <w:rsid w:val="00C3452D"/>
    <w:rsid w:val="00C3472F"/>
    <w:rsid w:val="00C35108"/>
    <w:rsid w:val="00C356B8"/>
    <w:rsid w:val="00C36E09"/>
    <w:rsid w:val="00C36E8C"/>
    <w:rsid w:val="00C42D49"/>
    <w:rsid w:val="00C43556"/>
    <w:rsid w:val="00C459EF"/>
    <w:rsid w:val="00C50375"/>
    <w:rsid w:val="00C51AB9"/>
    <w:rsid w:val="00C5275A"/>
    <w:rsid w:val="00C52AE7"/>
    <w:rsid w:val="00C53962"/>
    <w:rsid w:val="00C539E5"/>
    <w:rsid w:val="00C53B9E"/>
    <w:rsid w:val="00C56E31"/>
    <w:rsid w:val="00C600E3"/>
    <w:rsid w:val="00C67094"/>
    <w:rsid w:val="00C674A0"/>
    <w:rsid w:val="00C744B1"/>
    <w:rsid w:val="00C74A29"/>
    <w:rsid w:val="00C75784"/>
    <w:rsid w:val="00C76AA7"/>
    <w:rsid w:val="00C82C3D"/>
    <w:rsid w:val="00C8397B"/>
    <w:rsid w:val="00C83AEB"/>
    <w:rsid w:val="00C84F59"/>
    <w:rsid w:val="00C853BD"/>
    <w:rsid w:val="00C86425"/>
    <w:rsid w:val="00C86DA8"/>
    <w:rsid w:val="00C86F3A"/>
    <w:rsid w:val="00C878C9"/>
    <w:rsid w:val="00C913D0"/>
    <w:rsid w:val="00C914D3"/>
    <w:rsid w:val="00C9706B"/>
    <w:rsid w:val="00CA29B8"/>
    <w:rsid w:val="00CB1CA4"/>
    <w:rsid w:val="00CB58BC"/>
    <w:rsid w:val="00CC0345"/>
    <w:rsid w:val="00CC077F"/>
    <w:rsid w:val="00CC0A70"/>
    <w:rsid w:val="00CC0E38"/>
    <w:rsid w:val="00CC54F4"/>
    <w:rsid w:val="00CC57B2"/>
    <w:rsid w:val="00CD0350"/>
    <w:rsid w:val="00CD0635"/>
    <w:rsid w:val="00CD15BB"/>
    <w:rsid w:val="00CD564E"/>
    <w:rsid w:val="00CD6217"/>
    <w:rsid w:val="00CE167A"/>
    <w:rsid w:val="00CE16E5"/>
    <w:rsid w:val="00CE5332"/>
    <w:rsid w:val="00CE5B64"/>
    <w:rsid w:val="00CF2D08"/>
    <w:rsid w:val="00D03192"/>
    <w:rsid w:val="00D03D70"/>
    <w:rsid w:val="00D04B31"/>
    <w:rsid w:val="00D066C9"/>
    <w:rsid w:val="00D0733E"/>
    <w:rsid w:val="00D0783E"/>
    <w:rsid w:val="00D1127F"/>
    <w:rsid w:val="00D11EF7"/>
    <w:rsid w:val="00D149F6"/>
    <w:rsid w:val="00D15304"/>
    <w:rsid w:val="00D23EFB"/>
    <w:rsid w:val="00D26844"/>
    <w:rsid w:val="00D32652"/>
    <w:rsid w:val="00D32F5F"/>
    <w:rsid w:val="00D35920"/>
    <w:rsid w:val="00D361AF"/>
    <w:rsid w:val="00D37CEB"/>
    <w:rsid w:val="00D4184D"/>
    <w:rsid w:val="00D45480"/>
    <w:rsid w:val="00D45B9A"/>
    <w:rsid w:val="00D47C7F"/>
    <w:rsid w:val="00D50179"/>
    <w:rsid w:val="00D51F93"/>
    <w:rsid w:val="00D521C4"/>
    <w:rsid w:val="00D5242E"/>
    <w:rsid w:val="00D53F39"/>
    <w:rsid w:val="00D561A0"/>
    <w:rsid w:val="00D56F67"/>
    <w:rsid w:val="00D650AD"/>
    <w:rsid w:val="00D70E16"/>
    <w:rsid w:val="00D7270D"/>
    <w:rsid w:val="00D73EAB"/>
    <w:rsid w:val="00D74D02"/>
    <w:rsid w:val="00D765D2"/>
    <w:rsid w:val="00D8100E"/>
    <w:rsid w:val="00D81717"/>
    <w:rsid w:val="00D866DA"/>
    <w:rsid w:val="00D86C24"/>
    <w:rsid w:val="00D91984"/>
    <w:rsid w:val="00D919E7"/>
    <w:rsid w:val="00D927C2"/>
    <w:rsid w:val="00D94441"/>
    <w:rsid w:val="00D965D2"/>
    <w:rsid w:val="00D97835"/>
    <w:rsid w:val="00DA338D"/>
    <w:rsid w:val="00DA368B"/>
    <w:rsid w:val="00DA4A3C"/>
    <w:rsid w:val="00DB2C46"/>
    <w:rsid w:val="00DB35A2"/>
    <w:rsid w:val="00DB381C"/>
    <w:rsid w:val="00DB3A19"/>
    <w:rsid w:val="00DB7088"/>
    <w:rsid w:val="00DB788D"/>
    <w:rsid w:val="00DC1F47"/>
    <w:rsid w:val="00DC3AD2"/>
    <w:rsid w:val="00DC4256"/>
    <w:rsid w:val="00DC5E3A"/>
    <w:rsid w:val="00DC6059"/>
    <w:rsid w:val="00DC6ABC"/>
    <w:rsid w:val="00DC6DE3"/>
    <w:rsid w:val="00DD075B"/>
    <w:rsid w:val="00DD2772"/>
    <w:rsid w:val="00DD4AB3"/>
    <w:rsid w:val="00DD5585"/>
    <w:rsid w:val="00DD6916"/>
    <w:rsid w:val="00DD72CB"/>
    <w:rsid w:val="00DE06BA"/>
    <w:rsid w:val="00DE1AA6"/>
    <w:rsid w:val="00DE1E00"/>
    <w:rsid w:val="00DE23ED"/>
    <w:rsid w:val="00DE3265"/>
    <w:rsid w:val="00DF212C"/>
    <w:rsid w:val="00DF2548"/>
    <w:rsid w:val="00DF2A46"/>
    <w:rsid w:val="00DF305A"/>
    <w:rsid w:val="00DF40C4"/>
    <w:rsid w:val="00DF4B7E"/>
    <w:rsid w:val="00DF5743"/>
    <w:rsid w:val="00DF72BE"/>
    <w:rsid w:val="00E02E99"/>
    <w:rsid w:val="00E03723"/>
    <w:rsid w:val="00E038B8"/>
    <w:rsid w:val="00E03AD5"/>
    <w:rsid w:val="00E03EB0"/>
    <w:rsid w:val="00E05A33"/>
    <w:rsid w:val="00E05BB4"/>
    <w:rsid w:val="00E06CEC"/>
    <w:rsid w:val="00E072A5"/>
    <w:rsid w:val="00E12275"/>
    <w:rsid w:val="00E15DD7"/>
    <w:rsid w:val="00E161E7"/>
    <w:rsid w:val="00E2330A"/>
    <w:rsid w:val="00E2386D"/>
    <w:rsid w:val="00E24BE3"/>
    <w:rsid w:val="00E30F67"/>
    <w:rsid w:val="00E316C0"/>
    <w:rsid w:val="00E355D3"/>
    <w:rsid w:val="00E36591"/>
    <w:rsid w:val="00E4493A"/>
    <w:rsid w:val="00E44B9C"/>
    <w:rsid w:val="00E5258C"/>
    <w:rsid w:val="00E52D94"/>
    <w:rsid w:val="00E543C8"/>
    <w:rsid w:val="00E57646"/>
    <w:rsid w:val="00E60F08"/>
    <w:rsid w:val="00E6157C"/>
    <w:rsid w:val="00E6221C"/>
    <w:rsid w:val="00E62339"/>
    <w:rsid w:val="00E62E97"/>
    <w:rsid w:val="00E6487D"/>
    <w:rsid w:val="00E6630C"/>
    <w:rsid w:val="00E67932"/>
    <w:rsid w:val="00E70088"/>
    <w:rsid w:val="00E71097"/>
    <w:rsid w:val="00E71435"/>
    <w:rsid w:val="00E71AEC"/>
    <w:rsid w:val="00E7268F"/>
    <w:rsid w:val="00E7356C"/>
    <w:rsid w:val="00E748EF"/>
    <w:rsid w:val="00E75A62"/>
    <w:rsid w:val="00E75D2A"/>
    <w:rsid w:val="00E804E0"/>
    <w:rsid w:val="00E81368"/>
    <w:rsid w:val="00E85BC5"/>
    <w:rsid w:val="00E867C0"/>
    <w:rsid w:val="00E87899"/>
    <w:rsid w:val="00E87977"/>
    <w:rsid w:val="00E90919"/>
    <w:rsid w:val="00E90FFF"/>
    <w:rsid w:val="00E9425C"/>
    <w:rsid w:val="00E9491C"/>
    <w:rsid w:val="00E94E20"/>
    <w:rsid w:val="00E97E84"/>
    <w:rsid w:val="00E97ED4"/>
    <w:rsid w:val="00EA02AF"/>
    <w:rsid w:val="00EA2B63"/>
    <w:rsid w:val="00EA4D0D"/>
    <w:rsid w:val="00EA6D7C"/>
    <w:rsid w:val="00EB3D90"/>
    <w:rsid w:val="00EB7F22"/>
    <w:rsid w:val="00EC0EC8"/>
    <w:rsid w:val="00EC6DC4"/>
    <w:rsid w:val="00ED00C9"/>
    <w:rsid w:val="00ED3141"/>
    <w:rsid w:val="00ED3F07"/>
    <w:rsid w:val="00ED50A6"/>
    <w:rsid w:val="00EE1BB4"/>
    <w:rsid w:val="00EE41AD"/>
    <w:rsid w:val="00EE42B7"/>
    <w:rsid w:val="00EE4A54"/>
    <w:rsid w:val="00EE7AD5"/>
    <w:rsid w:val="00EF42AB"/>
    <w:rsid w:val="00EF44FC"/>
    <w:rsid w:val="00EF4D8D"/>
    <w:rsid w:val="00F018C9"/>
    <w:rsid w:val="00F03287"/>
    <w:rsid w:val="00F0435F"/>
    <w:rsid w:val="00F078CE"/>
    <w:rsid w:val="00F07D97"/>
    <w:rsid w:val="00F101F6"/>
    <w:rsid w:val="00F103C4"/>
    <w:rsid w:val="00F113F0"/>
    <w:rsid w:val="00F135F3"/>
    <w:rsid w:val="00F147FE"/>
    <w:rsid w:val="00F17A38"/>
    <w:rsid w:val="00F2076F"/>
    <w:rsid w:val="00F25BD7"/>
    <w:rsid w:val="00F25FEC"/>
    <w:rsid w:val="00F269FB"/>
    <w:rsid w:val="00F3292F"/>
    <w:rsid w:val="00F34243"/>
    <w:rsid w:val="00F3782F"/>
    <w:rsid w:val="00F409B2"/>
    <w:rsid w:val="00F40FE0"/>
    <w:rsid w:val="00F41755"/>
    <w:rsid w:val="00F41C76"/>
    <w:rsid w:val="00F4637F"/>
    <w:rsid w:val="00F47E06"/>
    <w:rsid w:val="00F53F7E"/>
    <w:rsid w:val="00F55233"/>
    <w:rsid w:val="00F55C6C"/>
    <w:rsid w:val="00F6206B"/>
    <w:rsid w:val="00F62F86"/>
    <w:rsid w:val="00F639AD"/>
    <w:rsid w:val="00F63E57"/>
    <w:rsid w:val="00F64CF7"/>
    <w:rsid w:val="00F65046"/>
    <w:rsid w:val="00F65D27"/>
    <w:rsid w:val="00F679AA"/>
    <w:rsid w:val="00F67A2C"/>
    <w:rsid w:val="00F67B16"/>
    <w:rsid w:val="00F716D2"/>
    <w:rsid w:val="00F71EDC"/>
    <w:rsid w:val="00F72E95"/>
    <w:rsid w:val="00F74171"/>
    <w:rsid w:val="00F750AD"/>
    <w:rsid w:val="00F77EC2"/>
    <w:rsid w:val="00F85EAF"/>
    <w:rsid w:val="00F90B0E"/>
    <w:rsid w:val="00F9636D"/>
    <w:rsid w:val="00F979C7"/>
    <w:rsid w:val="00F97C72"/>
    <w:rsid w:val="00FA1859"/>
    <w:rsid w:val="00FA45E8"/>
    <w:rsid w:val="00FA54B7"/>
    <w:rsid w:val="00FA6EE4"/>
    <w:rsid w:val="00FA7920"/>
    <w:rsid w:val="00FA798C"/>
    <w:rsid w:val="00FB0BF9"/>
    <w:rsid w:val="00FB1815"/>
    <w:rsid w:val="00FB248D"/>
    <w:rsid w:val="00FB3ADA"/>
    <w:rsid w:val="00FB6FF9"/>
    <w:rsid w:val="00FC1E66"/>
    <w:rsid w:val="00FC2719"/>
    <w:rsid w:val="00FC4D01"/>
    <w:rsid w:val="00FC703C"/>
    <w:rsid w:val="00FD1ACB"/>
    <w:rsid w:val="00FD2D55"/>
    <w:rsid w:val="00FD4B7E"/>
    <w:rsid w:val="00FE3A9A"/>
    <w:rsid w:val="00FE5EF1"/>
    <w:rsid w:val="00FE6993"/>
    <w:rsid w:val="00FE6A08"/>
    <w:rsid w:val="00FF01F6"/>
    <w:rsid w:val="00FF05E1"/>
    <w:rsid w:val="00FF09D3"/>
    <w:rsid w:val="00FF0E4A"/>
    <w:rsid w:val="00FF10F6"/>
    <w:rsid w:val="00FF48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2188A"/>
  <w15:chartTrackingRefBased/>
  <w15:docId w15:val="{B3AACF7F-E09B-4E7C-A74F-92477498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20"/>
    <w:pPr>
      <w:spacing w:line="480" w:lineRule="auto"/>
      <w:ind w:firstLine="720"/>
    </w:pPr>
  </w:style>
  <w:style w:type="paragraph" w:styleId="Heading1">
    <w:name w:val="heading 1"/>
    <w:basedOn w:val="Normal"/>
    <w:next w:val="Normal"/>
    <w:link w:val="Heading1Char"/>
    <w:uiPriority w:val="9"/>
    <w:qFormat/>
    <w:rsid w:val="00366155"/>
    <w:pPr>
      <w:keepNext/>
      <w:keepLines/>
      <w:spacing w:before="240" w:after="0"/>
      <w:ind w:firstLine="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66155"/>
    <w:pPr>
      <w:keepNext/>
      <w:keepLines/>
      <w:spacing w:before="240" w:after="0"/>
      <w:ind w:firstLine="0"/>
      <w:outlineLvl w:val="1"/>
    </w:pPr>
    <w:rPr>
      <w:rFonts w:eastAsiaTheme="majorEastAsia"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E78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6D6C8B"/>
    <w:pPr>
      <w:spacing w:after="0" w:line="240" w:lineRule="auto"/>
      <w:ind w:left="227" w:hanging="227"/>
    </w:pPr>
    <w:rPr>
      <w:sz w:val="20"/>
      <w:szCs w:val="20"/>
    </w:rPr>
  </w:style>
  <w:style w:type="character" w:customStyle="1" w:styleId="FootnoteTextChar">
    <w:name w:val="Footnote Text Char"/>
    <w:basedOn w:val="DefaultParagraphFont"/>
    <w:link w:val="FootnoteText"/>
    <w:uiPriority w:val="99"/>
    <w:rsid w:val="006D6C8B"/>
    <w:rPr>
      <w:sz w:val="20"/>
      <w:szCs w:val="20"/>
    </w:rPr>
  </w:style>
  <w:style w:type="character" w:styleId="FootnoteReference">
    <w:name w:val="footnote reference"/>
    <w:basedOn w:val="DefaultParagraphFont"/>
    <w:uiPriority w:val="99"/>
    <w:semiHidden/>
    <w:unhideWhenUsed/>
    <w:rsid w:val="006645C7"/>
    <w:rPr>
      <w:vertAlign w:val="superscript"/>
    </w:rPr>
  </w:style>
  <w:style w:type="paragraph" w:styleId="Header">
    <w:name w:val="header"/>
    <w:basedOn w:val="Normal"/>
    <w:link w:val="HeaderChar"/>
    <w:uiPriority w:val="99"/>
    <w:unhideWhenUsed/>
    <w:rsid w:val="00DC4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56"/>
  </w:style>
  <w:style w:type="paragraph" w:styleId="Footer">
    <w:name w:val="footer"/>
    <w:basedOn w:val="Normal"/>
    <w:link w:val="FooterChar"/>
    <w:uiPriority w:val="99"/>
    <w:unhideWhenUsed/>
    <w:rsid w:val="00DC4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56"/>
  </w:style>
  <w:style w:type="paragraph" w:customStyle="1" w:styleId="Default">
    <w:name w:val="Default"/>
    <w:rsid w:val="009F20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5275A"/>
    <w:pPr>
      <w:ind w:left="720"/>
      <w:contextualSpacing/>
    </w:pPr>
  </w:style>
  <w:style w:type="character" w:styleId="CommentReference">
    <w:name w:val="annotation reference"/>
    <w:basedOn w:val="DefaultParagraphFont"/>
    <w:uiPriority w:val="99"/>
    <w:semiHidden/>
    <w:unhideWhenUsed/>
    <w:rsid w:val="001110D7"/>
    <w:rPr>
      <w:sz w:val="16"/>
      <w:szCs w:val="16"/>
    </w:rPr>
  </w:style>
  <w:style w:type="paragraph" w:styleId="CommentText">
    <w:name w:val="annotation text"/>
    <w:basedOn w:val="Normal"/>
    <w:link w:val="CommentTextChar"/>
    <w:uiPriority w:val="99"/>
    <w:semiHidden/>
    <w:unhideWhenUsed/>
    <w:rsid w:val="001110D7"/>
    <w:pPr>
      <w:spacing w:line="240" w:lineRule="auto"/>
    </w:pPr>
    <w:rPr>
      <w:sz w:val="20"/>
      <w:szCs w:val="20"/>
    </w:rPr>
  </w:style>
  <w:style w:type="character" w:customStyle="1" w:styleId="CommentTextChar">
    <w:name w:val="Comment Text Char"/>
    <w:basedOn w:val="DefaultParagraphFont"/>
    <w:link w:val="CommentText"/>
    <w:uiPriority w:val="99"/>
    <w:semiHidden/>
    <w:rsid w:val="001110D7"/>
    <w:rPr>
      <w:sz w:val="20"/>
      <w:szCs w:val="20"/>
    </w:rPr>
  </w:style>
  <w:style w:type="paragraph" w:styleId="CommentSubject">
    <w:name w:val="annotation subject"/>
    <w:basedOn w:val="CommentText"/>
    <w:next w:val="CommentText"/>
    <w:link w:val="CommentSubjectChar"/>
    <w:uiPriority w:val="99"/>
    <w:semiHidden/>
    <w:unhideWhenUsed/>
    <w:rsid w:val="001110D7"/>
    <w:rPr>
      <w:b/>
      <w:bCs/>
    </w:rPr>
  </w:style>
  <w:style w:type="character" w:customStyle="1" w:styleId="CommentSubjectChar">
    <w:name w:val="Comment Subject Char"/>
    <w:basedOn w:val="CommentTextChar"/>
    <w:link w:val="CommentSubject"/>
    <w:uiPriority w:val="99"/>
    <w:semiHidden/>
    <w:rsid w:val="001110D7"/>
    <w:rPr>
      <w:b/>
      <w:bCs/>
      <w:sz w:val="20"/>
      <w:szCs w:val="20"/>
    </w:rPr>
  </w:style>
  <w:style w:type="paragraph" w:styleId="BalloonText">
    <w:name w:val="Balloon Text"/>
    <w:basedOn w:val="Normal"/>
    <w:link w:val="BalloonTextChar"/>
    <w:uiPriority w:val="99"/>
    <w:semiHidden/>
    <w:unhideWhenUsed/>
    <w:rsid w:val="00111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D7"/>
    <w:rPr>
      <w:rFonts w:ascii="Segoe UI" w:hAnsi="Segoe UI" w:cs="Segoe UI"/>
      <w:sz w:val="18"/>
      <w:szCs w:val="18"/>
    </w:rPr>
  </w:style>
  <w:style w:type="paragraph" w:styleId="Revision">
    <w:name w:val="Revision"/>
    <w:hidden/>
    <w:uiPriority w:val="99"/>
    <w:semiHidden/>
    <w:rsid w:val="00745DBD"/>
    <w:pPr>
      <w:spacing w:after="0" w:line="240" w:lineRule="auto"/>
    </w:pPr>
  </w:style>
  <w:style w:type="character" w:styleId="Hyperlink">
    <w:name w:val="Hyperlink"/>
    <w:uiPriority w:val="99"/>
    <w:rsid w:val="00A827F6"/>
    <w:rPr>
      <w:color w:val="0000FF"/>
      <w:u w:val="single"/>
    </w:rPr>
  </w:style>
  <w:style w:type="paragraph" w:customStyle="1" w:styleId="References">
    <w:name w:val="_ References"/>
    <w:basedOn w:val="Normal"/>
    <w:qFormat/>
    <w:rsid w:val="00940120"/>
    <w:pPr>
      <w:spacing w:after="120" w:line="240" w:lineRule="auto"/>
      <w:ind w:left="567" w:hanging="567"/>
    </w:pPr>
    <w:rPr>
      <w:rFonts w:eastAsia="SimSun" w:cs="Times New Roman"/>
      <w:szCs w:val="24"/>
      <w:lang w:eastAsia="de-DE"/>
    </w:rPr>
  </w:style>
  <w:style w:type="character" w:customStyle="1" w:styleId="Heading1Char">
    <w:name w:val="Heading 1 Char"/>
    <w:basedOn w:val="DefaultParagraphFont"/>
    <w:link w:val="Heading1"/>
    <w:uiPriority w:val="9"/>
    <w:rsid w:val="00366155"/>
    <w:rPr>
      <w:rFonts w:eastAsiaTheme="majorEastAsia" w:cstheme="majorBidi"/>
      <w:b/>
      <w:sz w:val="24"/>
      <w:szCs w:val="32"/>
    </w:rPr>
  </w:style>
  <w:style w:type="character" w:customStyle="1" w:styleId="Heading2Char">
    <w:name w:val="Heading 2 Char"/>
    <w:basedOn w:val="DefaultParagraphFont"/>
    <w:link w:val="Heading2"/>
    <w:uiPriority w:val="9"/>
    <w:rsid w:val="00366155"/>
    <w:rPr>
      <w:rFonts w:eastAsiaTheme="majorEastAsia" w:cstheme="majorBidi"/>
      <w:b/>
      <w:i/>
      <w:sz w:val="24"/>
      <w:szCs w:val="26"/>
    </w:rPr>
  </w:style>
  <w:style w:type="paragraph" w:customStyle="1" w:styleId="Table">
    <w:name w:val="_ Table"/>
    <w:basedOn w:val="Normal"/>
    <w:uiPriority w:val="99"/>
    <w:rsid w:val="000C77A7"/>
    <w:pPr>
      <w:spacing w:after="0" w:line="240" w:lineRule="auto"/>
      <w:ind w:firstLine="0"/>
    </w:pPr>
    <w:rPr>
      <w:rFonts w:eastAsia="Calibri" w:cs="Times New Roman"/>
      <w:bCs/>
      <w:lang w:val="en-US"/>
    </w:rPr>
  </w:style>
  <w:style w:type="paragraph" w:customStyle="1" w:styleId="TableFootnote">
    <w:name w:val="_ Table Footnote"/>
    <w:basedOn w:val="Normal"/>
    <w:qFormat/>
    <w:rsid w:val="000C77A7"/>
    <w:pPr>
      <w:spacing w:after="0" w:line="240" w:lineRule="auto"/>
      <w:ind w:firstLine="0"/>
    </w:pPr>
    <w:rPr>
      <w:sz w:val="20"/>
      <w:szCs w:val="20"/>
      <w:lang w:val="en-US"/>
    </w:rPr>
  </w:style>
  <w:style w:type="paragraph" w:customStyle="1" w:styleId="ReferencesFurtherreading">
    <w:name w:val="References/Further reading"/>
    <w:basedOn w:val="Normal"/>
    <w:uiPriority w:val="99"/>
    <w:rsid w:val="00C86F3A"/>
    <w:pPr>
      <w:spacing w:after="0"/>
      <w:ind w:left="397" w:hanging="397"/>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018">
      <w:bodyDiv w:val="1"/>
      <w:marLeft w:val="0"/>
      <w:marRight w:val="0"/>
      <w:marTop w:val="0"/>
      <w:marBottom w:val="0"/>
      <w:divBdr>
        <w:top w:val="none" w:sz="0" w:space="0" w:color="auto"/>
        <w:left w:val="none" w:sz="0" w:space="0" w:color="auto"/>
        <w:bottom w:val="none" w:sz="0" w:space="0" w:color="auto"/>
        <w:right w:val="none" w:sz="0" w:space="0" w:color="auto"/>
      </w:divBdr>
    </w:div>
    <w:div w:id="310015667">
      <w:bodyDiv w:val="1"/>
      <w:marLeft w:val="0"/>
      <w:marRight w:val="0"/>
      <w:marTop w:val="0"/>
      <w:marBottom w:val="0"/>
      <w:divBdr>
        <w:top w:val="none" w:sz="0" w:space="0" w:color="auto"/>
        <w:left w:val="none" w:sz="0" w:space="0" w:color="auto"/>
        <w:bottom w:val="none" w:sz="0" w:space="0" w:color="auto"/>
        <w:right w:val="none" w:sz="0" w:space="0" w:color="auto"/>
      </w:divBdr>
    </w:div>
    <w:div w:id="405806643">
      <w:bodyDiv w:val="1"/>
      <w:marLeft w:val="0"/>
      <w:marRight w:val="0"/>
      <w:marTop w:val="0"/>
      <w:marBottom w:val="0"/>
      <w:divBdr>
        <w:top w:val="none" w:sz="0" w:space="0" w:color="auto"/>
        <w:left w:val="none" w:sz="0" w:space="0" w:color="auto"/>
        <w:bottom w:val="none" w:sz="0" w:space="0" w:color="auto"/>
        <w:right w:val="none" w:sz="0" w:space="0" w:color="auto"/>
      </w:divBdr>
    </w:div>
    <w:div w:id="674650804">
      <w:bodyDiv w:val="1"/>
      <w:marLeft w:val="0"/>
      <w:marRight w:val="0"/>
      <w:marTop w:val="0"/>
      <w:marBottom w:val="0"/>
      <w:divBdr>
        <w:top w:val="none" w:sz="0" w:space="0" w:color="auto"/>
        <w:left w:val="none" w:sz="0" w:space="0" w:color="auto"/>
        <w:bottom w:val="none" w:sz="0" w:space="0" w:color="auto"/>
        <w:right w:val="none" w:sz="0" w:space="0" w:color="auto"/>
      </w:divBdr>
    </w:div>
    <w:div w:id="20905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80F3-86B9-4177-97B1-68DCE3C0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9718</Words>
  <Characters>55398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Wright</dc:creator>
  <cp:keywords/>
  <dc:description/>
  <cp:lastModifiedBy>Nobes, Chris</cp:lastModifiedBy>
  <cp:revision>5</cp:revision>
  <cp:lastPrinted>2020-05-22T11:11:00Z</cp:lastPrinted>
  <dcterms:created xsi:type="dcterms:W3CDTF">2021-07-04T08:55:00Z</dcterms:created>
  <dcterms:modified xsi:type="dcterms:W3CDTF">2021-07-04T09:51:00Z</dcterms:modified>
</cp:coreProperties>
</file>