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9700C" w14:textId="77777777" w:rsidR="00661045" w:rsidRDefault="00BE7EAA" w:rsidP="00713EE2">
      <w:pPr>
        <w:pStyle w:val="Articletitle"/>
      </w:pPr>
      <w:r>
        <w:t>Intimate Architectures: A Cultural Geography of Doors</w:t>
      </w:r>
    </w:p>
    <w:p w14:paraId="0B0C59B9" w14:textId="77777777" w:rsidR="00442B9C" w:rsidRDefault="00BE7EAA" w:rsidP="009914A5">
      <w:pPr>
        <w:pStyle w:val="Authornames"/>
      </w:pPr>
      <w:r>
        <w:t>Edward Brookes</w:t>
      </w:r>
    </w:p>
    <w:p w14:paraId="73DACE1E" w14:textId="77777777" w:rsidR="00997B0F" w:rsidRDefault="00BE7EAA" w:rsidP="00A2360E">
      <w:pPr>
        <w:pStyle w:val="Affiliation"/>
      </w:pPr>
      <w:r>
        <w:t>Department of Geography</w:t>
      </w:r>
      <w:r w:rsidR="00B64FA3">
        <w:t xml:space="preserve">, </w:t>
      </w:r>
      <w:r>
        <w:t>Royal Holloway, University of London</w:t>
      </w:r>
      <w:r w:rsidR="00B64FA3">
        <w:t xml:space="preserve">, </w:t>
      </w:r>
      <w:r>
        <w:t>Surrey, TW20 0EX</w:t>
      </w:r>
      <w:r w:rsidR="00B64FA3">
        <w:t xml:space="preserve">, </w:t>
      </w:r>
    </w:p>
    <w:p w14:paraId="2C2252C8" w14:textId="1EFB543B" w:rsidR="000A4428" w:rsidRDefault="00940C70" w:rsidP="00A2360E">
      <w:pPr>
        <w:pStyle w:val="Correspondencedetails"/>
      </w:pPr>
      <w:r>
        <w:t xml:space="preserve">Email: </w:t>
      </w:r>
      <w:hyperlink r:id="rId8" w:history="1">
        <w:r w:rsidRPr="00496D08">
          <w:rPr>
            <w:rStyle w:val="Hyperlink"/>
          </w:rPr>
          <w:t>mbvb211@live.rhul.ac.uk</w:t>
        </w:r>
      </w:hyperlink>
      <w:r>
        <w:t xml:space="preserve"> </w:t>
      </w:r>
      <w:r w:rsidR="00650BFF">
        <w:t xml:space="preserve">  </w:t>
      </w:r>
      <w:r>
        <w:t>Phone: 0758139165</w:t>
      </w:r>
      <w:r w:rsidR="00650BFF">
        <w:t>3   Twitter: @EdBrookesRHUL</w:t>
      </w:r>
    </w:p>
    <w:p w14:paraId="48F39B46" w14:textId="77777777" w:rsidR="00FC362E" w:rsidRDefault="00FC362E" w:rsidP="00FC362E"/>
    <w:p w14:paraId="2CC8526A" w14:textId="77777777" w:rsidR="00FC362E" w:rsidRDefault="00FC362E" w:rsidP="00FC362E"/>
    <w:p w14:paraId="7422578E" w14:textId="77777777" w:rsidR="00FC362E" w:rsidRDefault="00FC362E" w:rsidP="00FC362E"/>
    <w:p w14:paraId="64558BEF" w14:textId="79B1BE55" w:rsidR="00333584" w:rsidRDefault="00333584" w:rsidP="00170F63">
      <w:pPr>
        <w:spacing w:line="240" w:lineRule="auto"/>
      </w:pPr>
    </w:p>
    <w:p w14:paraId="32DFB3B9" w14:textId="4AFE88F6" w:rsidR="003B2A28" w:rsidRDefault="003B2A28" w:rsidP="00170F63">
      <w:pPr>
        <w:spacing w:line="240" w:lineRule="auto"/>
      </w:pPr>
    </w:p>
    <w:p w14:paraId="21D92D85" w14:textId="23B40D3A" w:rsidR="003B2A28" w:rsidRDefault="003B2A28">
      <w:pPr>
        <w:spacing w:line="240" w:lineRule="auto"/>
      </w:pPr>
      <w:r>
        <w:br w:type="page"/>
      </w:r>
    </w:p>
    <w:p w14:paraId="7B7CBDAD" w14:textId="0094EE18" w:rsidR="00940C70" w:rsidRPr="00940C70" w:rsidRDefault="00940C70" w:rsidP="00940C70">
      <w:pPr>
        <w:pStyle w:val="Articletitle"/>
      </w:pPr>
      <w:r w:rsidRPr="00940C70">
        <w:lastRenderedPageBreak/>
        <w:t>Intimate Architectures: A Cultural Geography of Doors</w:t>
      </w:r>
    </w:p>
    <w:p w14:paraId="585FCA4A" w14:textId="7A5172B7" w:rsidR="00B53279" w:rsidRPr="00B53279" w:rsidRDefault="00940C70" w:rsidP="00B53279">
      <w:pPr>
        <w:pStyle w:val="Abstract"/>
      </w:pPr>
      <w:r w:rsidRPr="00940C70">
        <w:t xml:space="preserve">This article </w:t>
      </w:r>
      <w:r w:rsidR="007411F6">
        <w:t>seeks</w:t>
      </w:r>
      <w:r w:rsidRPr="00940C70">
        <w:t xml:space="preserve"> to </w:t>
      </w:r>
      <w:r w:rsidR="007411F6">
        <w:t>contribute to</w:t>
      </w:r>
      <w:r w:rsidRPr="00940C70">
        <w:t xml:space="preserve"> geography’s continued interest in </w:t>
      </w:r>
      <w:r w:rsidR="00145344">
        <w:t>architecture</w:t>
      </w:r>
      <w:r w:rsidRPr="00940C70">
        <w:t xml:space="preserve"> through a focus on the </w:t>
      </w:r>
      <w:r w:rsidR="00145344">
        <w:t>‘intimate architectural space’</w:t>
      </w:r>
      <w:r w:rsidRPr="00940C70">
        <w:t xml:space="preserve"> of the door. </w:t>
      </w:r>
      <w:r w:rsidR="00917B39">
        <w:t>Its aims are threefold</w:t>
      </w:r>
      <w:r w:rsidR="0090237F">
        <w:t xml:space="preserve">; </w:t>
      </w:r>
      <w:r w:rsidR="004D047F">
        <w:t>the first section</w:t>
      </w:r>
      <w:r w:rsidR="0090237F">
        <w:t xml:space="preserve"> seeks</w:t>
      </w:r>
      <w:r w:rsidR="0090237F" w:rsidRPr="006D5A28">
        <w:t xml:space="preserve"> </w:t>
      </w:r>
      <w:r w:rsidR="00EF7FA0">
        <w:t xml:space="preserve">to </w:t>
      </w:r>
      <w:r w:rsidR="0090237F">
        <w:t>extend knowledge of</w:t>
      </w:r>
      <w:r w:rsidR="0090237F" w:rsidRPr="006D5A28">
        <w:t xml:space="preserve"> </w:t>
      </w:r>
      <w:r w:rsidR="0090237F">
        <w:t>the</w:t>
      </w:r>
      <w:r w:rsidR="0090237F" w:rsidRPr="006D5A28">
        <w:t xml:space="preserve"> door within geographic literature</w:t>
      </w:r>
      <w:r w:rsidR="00B53279">
        <w:t xml:space="preserve"> as it becomes a key site in which ‘events are gathered’ and through which politics can be encountered</w:t>
      </w:r>
      <w:r w:rsidR="0090237F">
        <w:t>;</w:t>
      </w:r>
      <w:r w:rsidR="0090237F" w:rsidRPr="008F2F53">
        <w:t xml:space="preserve"> </w:t>
      </w:r>
      <w:r w:rsidR="004D047F">
        <w:t xml:space="preserve">the second section takes a ‘minor theory approach’, using a range of </w:t>
      </w:r>
      <w:r w:rsidR="0090237F">
        <w:t xml:space="preserve"> </w:t>
      </w:r>
      <w:r w:rsidR="004D047F" w:rsidRPr="00FE436B">
        <w:t xml:space="preserve">non-western, feminist, and class-based </w:t>
      </w:r>
      <w:r w:rsidR="004D047F">
        <w:t>perspectives</w:t>
      </w:r>
      <w:r w:rsidR="00917B39">
        <w:t xml:space="preserve">, exploring </w:t>
      </w:r>
      <w:r w:rsidR="004D047F">
        <w:t>the social and political affordances of the door</w:t>
      </w:r>
      <w:r w:rsidR="00B53279">
        <w:t xml:space="preserve"> through the themes of ‘body’ and ‘performativity’</w:t>
      </w:r>
      <w:r w:rsidR="0090237F" w:rsidRPr="008F2F53">
        <w:t xml:space="preserve">. </w:t>
      </w:r>
      <w:r w:rsidR="004D047F">
        <w:t>Whilst the conclusion</w:t>
      </w:r>
      <w:r w:rsidR="00FE436B">
        <w:t xml:space="preserve"> uses these discussions to</w:t>
      </w:r>
      <w:r w:rsidR="00FE436B" w:rsidRPr="00940C70">
        <w:t xml:space="preserve"> demonstrate how intimate architectures might further develop </w:t>
      </w:r>
      <w:r w:rsidR="00917B39">
        <w:t xml:space="preserve">our </w:t>
      </w:r>
      <w:r w:rsidR="00FE436B" w:rsidRPr="00940C70">
        <w:t>knowledge of built spaces</w:t>
      </w:r>
      <w:r w:rsidR="00FE436B">
        <w:t>, providing</w:t>
      </w:r>
      <w:r w:rsidR="00FE436B">
        <w:rPr>
          <w:iCs/>
        </w:rPr>
        <w:t xml:space="preserve"> an additional</w:t>
      </w:r>
      <w:r w:rsidR="00FE436B" w:rsidRPr="00940C70">
        <w:rPr>
          <w:iCs/>
        </w:rPr>
        <w:t xml:space="preserve"> </w:t>
      </w:r>
      <w:r w:rsidR="00FE436B">
        <w:rPr>
          <w:iCs/>
        </w:rPr>
        <w:t>framework</w:t>
      </w:r>
      <w:r w:rsidR="00FE436B" w:rsidRPr="00940C70">
        <w:rPr>
          <w:iCs/>
        </w:rPr>
        <w:t xml:space="preserve"> to engage with the often-overlooked aspects of </w:t>
      </w:r>
      <w:r w:rsidR="00917B39">
        <w:rPr>
          <w:iCs/>
        </w:rPr>
        <w:t>architecture</w:t>
      </w:r>
      <w:r w:rsidR="00FE436B">
        <w:rPr>
          <w:iCs/>
        </w:rPr>
        <w:t xml:space="preserve">. </w:t>
      </w:r>
      <w:r w:rsidR="00AB4873">
        <w:t xml:space="preserve">In doing so, </w:t>
      </w:r>
      <w:r w:rsidR="007F3A67">
        <w:t>the door is presented</w:t>
      </w:r>
      <w:r w:rsidR="0090237F">
        <w:t xml:space="preserve"> as a site that </w:t>
      </w:r>
      <w:r w:rsidR="00917B39">
        <w:t>structures</w:t>
      </w:r>
      <w:r w:rsidR="0090237F">
        <w:t xml:space="preserve"> how we</w:t>
      </w:r>
      <w:r w:rsidR="0090237F" w:rsidRPr="00145344">
        <w:t xml:space="preserve"> move and relate to our bodies in physical space</w:t>
      </w:r>
      <w:r w:rsidR="00917B39">
        <w:t>;</w:t>
      </w:r>
      <w:r w:rsidR="00C75BDB">
        <w:t xml:space="preserve"> </w:t>
      </w:r>
      <w:r w:rsidR="00917B39">
        <w:t>m</w:t>
      </w:r>
      <w:r w:rsidR="00C75BDB">
        <w:t>ost notably that the door</w:t>
      </w:r>
      <w:r w:rsidR="00917B39">
        <w:t>’</w:t>
      </w:r>
      <w:r w:rsidR="00C75BDB">
        <w:t xml:space="preserve">s capacity </w:t>
      </w:r>
      <w:r w:rsidR="00917B39">
        <w:t>as a barrier</w:t>
      </w:r>
      <w:r w:rsidR="00C75BDB">
        <w:t xml:space="preserve"> </w:t>
      </w:r>
      <w:r w:rsidR="00AB4873">
        <w:t>maintains</w:t>
      </w:r>
      <w:r w:rsidR="0090237F" w:rsidRPr="00145344">
        <w:t xml:space="preserve"> a distinct exclusionary politics which</w:t>
      </w:r>
      <w:r w:rsidR="00AB4873">
        <w:t xml:space="preserve"> reinforce</w:t>
      </w:r>
      <w:r w:rsidR="000C3C0E">
        <w:t>s</w:t>
      </w:r>
      <w:r w:rsidR="00AB4873">
        <w:t xml:space="preserve"> </w:t>
      </w:r>
      <w:r w:rsidR="0090237F" w:rsidRPr="0090237F">
        <w:t xml:space="preserve">class and racial divisions </w:t>
      </w:r>
      <w:r w:rsidR="00AB4873">
        <w:t>through the built environment.</w:t>
      </w:r>
      <w:r w:rsidR="0090237F">
        <w:t xml:space="preserve"> </w:t>
      </w:r>
    </w:p>
    <w:p w14:paraId="4B5F2A8F" w14:textId="12927D5F" w:rsidR="0020415E" w:rsidRPr="0020415E" w:rsidRDefault="00997B0F" w:rsidP="000C3C0E">
      <w:pPr>
        <w:pStyle w:val="Abstract"/>
      </w:pPr>
      <w:r>
        <w:t xml:space="preserve">Keywords: </w:t>
      </w:r>
      <w:r w:rsidR="00940C70">
        <w:t>Cultural geography, doors, intimate architecture</w:t>
      </w:r>
      <w:r w:rsidR="00EF138B">
        <w:t xml:space="preserve">, body, performativity </w:t>
      </w:r>
    </w:p>
    <w:p w14:paraId="1CF09BEC" w14:textId="77777777" w:rsidR="00997B0F" w:rsidRDefault="00940C70" w:rsidP="00106DAF">
      <w:pPr>
        <w:pStyle w:val="Heading1"/>
      </w:pPr>
      <w:r w:rsidRPr="00940C70">
        <w:t>Introduction</w:t>
      </w:r>
    </w:p>
    <w:p w14:paraId="2E652EB6" w14:textId="089A5734" w:rsidR="0000398C" w:rsidRDefault="00940C70" w:rsidP="0000398C">
      <w:pPr>
        <w:pStyle w:val="Paragraph"/>
      </w:pPr>
      <w:r w:rsidRPr="00940C70">
        <w:t>Architectural geographers have long since engaged with the totality of the building, from Jacobs’ (2006) ‘Geography of Big Things’, Adey’s (2008) works on affect and airport architectures to Moran et al (2016) on the banal ‘building events’ of incarceration</w:t>
      </w:r>
      <w:r w:rsidRPr="0069020E">
        <w:t>. However, this paper takes a different approach,</w:t>
      </w:r>
      <w:r w:rsidRPr="00940C70">
        <w:t xml:space="preserve"> instead considering the role of ‘intimate architectures’ or individual architectural features and forms in our understandings of built space. Specifically, it focuses on the ‘door’ in an effort to </w:t>
      </w:r>
      <w:r w:rsidR="005C604E">
        <w:t xml:space="preserve">build upon a growing narrative within </w:t>
      </w:r>
      <w:r w:rsidR="006D4044">
        <w:t xml:space="preserve">architectural and geographic disciplines </w:t>
      </w:r>
      <w:r w:rsidR="006D4044" w:rsidRPr="006D4044">
        <w:t>that moves away from a focus on the ‘building’ as a bounded site of study</w:t>
      </w:r>
      <w:r w:rsidR="00CE0C11">
        <w:t xml:space="preserve"> (</w:t>
      </w:r>
      <w:proofErr w:type="spellStart"/>
      <w:r w:rsidR="00CE0C11">
        <w:t>Hurdley</w:t>
      </w:r>
      <w:proofErr w:type="spellEnd"/>
      <w:r w:rsidR="00141BD4">
        <w:t>,</w:t>
      </w:r>
      <w:r w:rsidR="00CE0C11">
        <w:t xml:space="preserve"> 2010</w:t>
      </w:r>
      <w:r w:rsidR="00141BD4">
        <w:t>;</w:t>
      </w:r>
      <w:r w:rsidR="00CE0C11">
        <w:t xml:space="preserve"> Jacobs et</w:t>
      </w:r>
      <w:r w:rsidR="00C82D36">
        <w:t xml:space="preserve"> </w:t>
      </w:r>
      <w:r w:rsidR="00CE0C11">
        <w:t>al</w:t>
      </w:r>
      <w:r w:rsidR="00141BD4">
        <w:t>.,</w:t>
      </w:r>
      <w:r w:rsidR="00EF7FA0">
        <w:t xml:space="preserve"> </w:t>
      </w:r>
      <w:r w:rsidR="009D2A1A">
        <w:t>2008</w:t>
      </w:r>
      <w:r w:rsidR="00141BD4">
        <w:t>;</w:t>
      </w:r>
      <w:r w:rsidR="009D2A1A">
        <w:t xml:space="preserve"> Short</w:t>
      </w:r>
      <w:r w:rsidR="00EF7FA0">
        <w:t>,</w:t>
      </w:r>
      <w:r w:rsidR="009D2A1A">
        <w:t xml:space="preserve"> 2015)</w:t>
      </w:r>
      <w:r w:rsidR="006D4044" w:rsidRPr="006D4044">
        <w:t xml:space="preserve">. Instead </w:t>
      </w:r>
      <w:r w:rsidR="004F1307">
        <w:t>it explores</w:t>
      </w:r>
      <w:r w:rsidR="006D4044" w:rsidRPr="006D4044">
        <w:t xml:space="preserve"> how</w:t>
      </w:r>
      <w:r w:rsidR="00AF603C">
        <w:t xml:space="preserve"> the ‘door’ as an</w:t>
      </w:r>
      <w:r w:rsidR="006D4044" w:rsidRPr="006D4044">
        <w:t xml:space="preserve"> intimate architectural feature can </w:t>
      </w:r>
      <w:r w:rsidR="0068623E">
        <w:t>provide</w:t>
      </w:r>
      <w:r w:rsidR="006D4044" w:rsidRPr="006D4044">
        <w:t xml:space="preserve"> a lens to consider many of the </w:t>
      </w:r>
      <w:r w:rsidR="00D8089A">
        <w:t>social</w:t>
      </w:r>
      <w:r w:rsidR="006D4044" w:rsidRPr="006D4044">
        <w:t xml:space="preserve">, material, subjective and political </w:t>
      </w:r>
      <w:r w:rsidR="009D2A1A">
        <w:t>registers</w:t>
      </w:r>
      <w:r w:rsidR="006D4044" w:rsidRPr="006D4044">
        <w:t xml:space="preserve"> of </w:t>
      </w:r>
      <w:r w:rsidR="00102DB7">
        <w:t xml:space="preserve">the built </w:t>
      </w:r>
      <w:r w:rsidR="003C0606">
        <w:t>environment</w:t>
      </w:r>
      <w:r w:rsidR="001B4125">
        <w:t xml:space="preserve">. </w:t>
      </w:r>
      <w:bookmarkStart w:id="0" w:name="_Hlk33361603"/>
      <w:r w:rsidR="0068623E">
        <w:t xml:space="preserve">Its focus will be built around </w:t>
      </w:r>
      <w:r w:rsidR="00103867">
        <w:t>a ‘</w:t>
      </w:r>
      <w:r w:rsidR="00A735E2">
        <w:t xml:space="preserve">minor theory </w:t>
      </w:r>
      <w:r w:rsidR="00A735E2">
        <w:lastRenderedPageBreak/>
        <w:t>approach</w:t>
      </w:r>
      <w:r w:rsidR="00574FCF">
        <w:t>’</w:t>
      </w:r>
      <w:r w:rsidR="00103867">
        <w:t>;</w:t>
      </w:r>
      <w:r w:rsidR="00605D49">
        <w:t xml:space="preserve"> (Katz</w:t>
      </w:r>
      <w:r w:rsidR="00EF7FA0">
        <w:t>,</w:t>
      </w:r>
      <w:r w:rsidR="00605D49">
        <w:t xml:space="preserve"> 201</w:t>
      </w:r>
      <w:r w:rsidR="008B2720">
        <w:t>7</w:t>
      </w:r>
      <w:r w:rsidR="00EF7FA0">
        <w:t>;</w:t>
      </w:r>
      <w:r w:rsidR="00605D49">
        <w:t xml:space="preserve"> Stoner</w:t>
      </w:r>
      <w:r w:rsidR="00EF7FA0">
        <w:t>,</w:t>
      </w:r>
      <w:r w:rsidR="00605D49">
        <w:t xml:space="preserve"> 2012) </w:t>
      </w:r>
      <w:r w:rsidR="00103867">
        <w:t xml:space="preserve">whereby the central discussion will be framed around examples that foreground the perspectives of minor subjects/subjectivities </w:t>
      </w:r>
      <w:r w:rsidR="0068623E">
        <w:t xml:space="preserve">as it </w:t>
      </w:r>
      <w:r w:rsidR="00103867">
        <w:t>e</w:t>
      </w:r>
      <w:r w:rsidR="00605D49">
        <w:t>xplore</w:t>
      </w:r>
      <w:r w:rsidR="00103867">
        <w:t>s the</w:t>
      </w:r>
      <w:r w:rsidR="00605D49">
        <w:t xml:space="preserve"> </w:t>
      </w:r>
      <w:r w:rsidR="00D8089A">
        <w:t>overlooked and</w:t>
      </w:r>
      <w:r w:rsidR="00605D49">
        <w:t xml:space="preserve"> marginalised </w:t>
      </w:r>
      <w:r w:rsidR="00103867">
        <w:t>accounts</w:t>
      </w:r>
      <w:r w:rsidR="00605D49">
        <w:t xml:space="preserve"> of architectural space. </w:t>
      </w:r>
      <w:bookmarkStart w:id="1" w:name="_Hlk33536794"/>
      <w:bookmarkEnd w:id="0"/>
      <w:r w:rsidR="005A63EB" w:rsidRPr="005A63EB">
        <w:t xml:space="preserve">By doing so this paper aims to present an alternative engagement with built forms that </w:t>
      </w:r>
      <w:r w:rsidR="004F1307">
        <w:t>complement</w:t>
      </w:r>
      <w:r w:rsidR="001250C0">
        <w:t>s</w:t>
      </w:r>
      <w:r w:rsidR="005A63EB" w:rsidRPr="005A63EB">
        <w:t xml:space="preserve"> existing geographical and architectural literature by further </w:t>
      </w:r>
      <w:r w:rsidR="004F1307">
        <w:t>examining</w:t>
      </w:r>
      <w:r w:rsidR="005A63EB" w:rsidRPr="005A63EB">
        <w:t xml:space="preserve"> the </w:t>
      </w:r>
      <w:r w:rsidR="007340B0">
        <w:t>exclusionary</w:t>
      </w:r>
      <w:r w:rsidR="00605D49">
        <w:t xml:space="preserve"> and </w:t>
      </w:r>
      <w:r w:rsidR="005A63EB" w:rsidRPr="005A63EB">
        <w:t>intimate nuances of architectural space.</w:t>
      </w:r>
      <w:r w:rsidR="00747F07">
        <w:t xml:space="preserve"> </w:t>
      </w:r>
      <w:bookmarkEnd w:id="1"/>
    </w:p>
    <w:p w14:paraId="5F726C5A" w14:textId="01EB1D6E" w:rsidR="00847856" w:rsidRDefault="00650BFF" w:rsidP="00EB75BC">
      <w:pPr>
        <w:pStyle w:val="Newparagraph"/>
      </w:pPr>
      <w:r w:rsidRPr="00650BFF">
        <w:t>Over the last ten years, more-than-representational architectural geographies have presented the ‘building’ as a space that is not given but produced, as various materials are held together in specific assemblages by work of various kinds (</w:t>
      </w:r>
      <w:r w:rsidR="00EF7FA0" w:rsidRPr="00650BFF">
        <w:t>Edensor</w:t>
      </w:r>
      <w:r w:rsidR="00EF7FA0">
        <w:t>,</w:t>
      </w:r>
      <w:r w:rsidR="00EF7FA0" w:rsidRPr="00650BFF">
        <w:t xml:space="preserve"> 2011</w:t>
      </w:r>
      <w:r w:rsidR="00EF7FA0">
        <w:t>;</w:t>
      </w:r>
      <w:r w:rsidR="00EF7FA0" w:rsidRPr="00650BFF">
        <w:t xml:space="preserve"> Jacobs et al</w:t>
      </w:r>
      <w:r w:rsidR="00EF7FA0">
        <w:t>.,</w:t>
      </w:r>
      <w:r w:rsidR="00EF7FA0" w:rsidRPr="00650BFF">
        <w:t xml:space="preserve"> 2008</w:t>
      </w:r>
      <w:r w:rsidR="00EF7FA0">
        <w:t>;</w:t>
      </w:r>
      <w:r w:rsidR="00EF7FA0" w:rsidRPr="00650BFF">
        <w:t xml:space="preserve"> </w:t>
      </w:r>
      <w:r w:rsidRPr="00650BFF">
        <w:t>Jacobs</w:t>
      </w:r>
      <w:r w:rsidR="00EF7FA0">
        <w:t xml:space="preserve"> &amp;</w:t>
      </w:r>
      <w:r w:rsidRPr="00650BFF">
        <w:t xml:space="preserve"> Merriman</w:t>
      </w:r>
      <w:r w:rsidR="00EF7FA0">
        <w:t>,</w:t>
      </w:r>
      <w:r w:rsidRPr="00650BFF">
        <w:t xml:space="preserve"> 2011</w:t>
      </w:r>
      <w:r w:rsidR="00EF7FA0">
        <w:t>;</w:t>
      </w:r>
      <w:r w:rsidRPr="00650BFF">
        <w:t xml:space="preserve"> Llewellyn, 2003). This has led to a range of studies looking at the diverse sorts of work that make buildings cohere: the political institutions they are embedded in (see Rendell</w:t>
      </w:r>
      <w:r w:rsidR="00EF7FA0">
        <w:t>,</w:t>
      </w:r>
      <w:r w:rsidRPr="00650BFF">
        <w:t xml:space="preserve"> 2006), the material affordances of their non-human components (see Jacobs</w:t>
      </w:r>
      <w:r w:rsidR="00EF7FA0">
        <w:t>,</w:t>
      </w:r>
      <w:r w:rsidRPr="00650BFF">
        <w:t xml:space="preserve"> 2006), the discourses surrounding particular kinds of buildings (see Lees</w:t>
      </w:r>
      <w:r w:rsidR="00EF7FA0">
        <w:t>,</w:t>
      </w:r>
      <w:r w:rsidRPr="00650BFF">
        <w:t xml:space="preserve"> 2001), </w:t>
      </w:r>
      <w:r w:rsidRPr="0069020E">
        <w:t xml:space="preserve">and the </w:t>
      </w:r>
      <w:r w:rsidR="00980C6C" w:rsidRPr="0069020E">
        <w:t>spatial experience</w:t>
      </w:r>
      <w:r w:rsidRPr="0069020E">
        <w:t xml:space="preserve"> of bui</w:t>
      </w:r>
      <w:r w:rsidRPr="00650BFF">
        <w:t xml:space="preserve">ldings by their human inhabitants, users and visitors (see </w:t>
      </w:r>
      <w:proofErr w:type="spellStart"/>
      <w:r w:rsidR="00EF7FA0" w:rsidRPr="00650BFF">
        <w:t>Kraftl</w:t>
      </w:r>
      <w:proofErr w:type="spellEnd"/>
      <w:r w:rsidR="00EF7FA0" w:rsidRPr="00650BFF">
        <w:t xml:space="preserve"> </w:t>
      </w:r>
      <w:r w:rsidR="00EF7FA0">
        <w:t>&amp;</w:t>
      </w:r>
      <w:r w:rsidR="00EF7FA0" w:rsidRPr="00650BFF">
        <w:t xml:space="preserve"> Adey</w:t>
      </w:r>
      <w:r w:rsidR="00EF7FA0">
        <w:t>,</w:t>
      </w:r>
      <w:r w:rsidR="00EF7FA0" w:rsidRPr="00650BFF">
        <w:t xml:space="preserve"> 2008</w:t>
      </w:r>
      <w:r w:rsidR="00EF7FA0">
        <w:t xml:space="preserve">; </w:t>
      </w:r>
      <w:r w:rsidRPr="00650BFF">
        <w:t xml:space="preserve">Lees </w:t>
      </w:r>
      <w:r w:rsidR="007411F6">
        <w:t>&amp;</w:t>
      </w:r>
      <w:r w:rsidRPr="00650BFF">
        <w:t xml:space="preserve"> Baxter</w:t>
      </w:r>
      <w:r w:rsidR="00EF7FA0">
        <w:t>,</w:t>
      </w:r>
      <w:r w:rsidRPr="00650BFF">
        <w:t xml:space="preserve"> 2011</w:t>
      </w:r>
      <w:r w:rsidR="00EF7FA0">
        <w:t>;</w:t>
      </w:r>
      <w:r w:rsidRPr="00650BFF">
        <w:t xml:space="preserve"> Paterson</w:t>
      </w:r>
      <w:r w:rsidR="00EF7FA0">
        <w:t>,</w:t>
      </w:r>
      <w:r w:rsidRPr="00650BFF">
        <w:t xml:space="preserve"> 2011). Many of these approaches consider not just what people think about buildings but what they do in them: how everyday practices such as sitting, walking, playing</w:t>
      </w:r>
      <w:r w:rsidR="00B111AB">
        <w:t xml:space="preserve"> and</w:t>
      </w:r>
      <w:r w:rsidRPr="00650BFF">
        <w:t xml:space="preserve"> interacting with others give life to a building, and, how they exceed concepts such as ‘symbolic meaning’ or ‘value’ (</w:t>
      </w:r>
      <w:proofErr w:type="spellStart"/>
      <w:r w:rsidRPr="00650BFF">
        <w:t>Kraftl</w:t>
      </w:r>
      <w:proofErr w:type="spellEnd"/>
      <w:r w:rsidR="007411F6">
        <w:t>,</w:t>
      </w:r>
      <w:r w:rsidRPr="00650BFF">
        <w:t xml:space="preserve"> 2010). However, many of these approaches still retain a focus on the scale of the ‘building’, overlooking aspects of the many individual features and forms that cohere to make up a ‘building event’ (Jacobs</w:t>
      </w:r>
      <w:r w:rsidR="00EF7FA0">
        <w:t>,</w:t>
      </w:r>
      <w:r w:rsidRPr="00650BFF">
        <w:t xml:space="preserve"> 2006). More recent performative turns within architectural geography have tried to address this, as they attempt to destabilise the coherent fixed status of the building, instead presenting architecture as a series of interactions and </w:t>
      </w:r>
      <w:r w:rsidR="00821118" w:rsidRPr="00650BFF">
        <w:t>performances</w:t>
      </w:r>
      <w:r w:rsidRPr="00650BFF">
        <w:t xml:space="preserve">. For instance, Rose et </w:t>
      </w:r>
      <w:proofErr w:type="spellStart"/>
      <w:r w:rsidRPr="00650BFF">
        <w:t>a</w:t>
      </w:r>
      <w:r w:rsidR="009D2A1A">
        <w:t>l</w:t>
      </w:r>
      <w:r w:rsidR="004441C4">
        <w:t>’s</w:t>
      </w:r>
      <w:proofErr w:type="spellEnd"/>
      <w:r w:rsidRPr="00650BFF">
        <w:t xml:space="preserve"> (2010) study of a shopping centre in Milton Keynes explores </w:t>
      </w:r>
      <w:r w:rsidRPr="00650BFF">
        <w:lastRenderedPageBreak/>
        <w:t xml:space="preserve">how the built environment is performed by various alignments of the human and the non-human. They investigate the importance of a certain 'feeling' experienced by visitors to the centre, </w:t>
      </w:r>
      <w:r w:rsidR="004441C4">
        <w:t>and how this</w:t>
      </w:r>
      <w:r w:rsidRPr="00650BFF">
        <w:t xml:space="preserve"> served to define the built space for shoppers.  These ideas are also perpetuated in </w:t>
      </w:r>
      <w:proofErr w:type="spellStart"/>
      <w:r w:rsidRPr="00650BFF">
        <w:t>Dekeyser’s</w:t>
      </w:r>
      <w:proofErr w:type="spellEnd"/>
      <w:r w:rsidRPr="00650BFF">
        <w:t xml:space="preserve"> (2016) exploration of the artist Gordon Matta-Clark’s work ‘conical intersect’, as performance art is used to uncover the complex political, material and lived aspects of built space. The cone shaped cutting made by Matta-Clark</w:t>
      </w:r>
      <w:r w:rsidR="00102DB7">
        <w:t xml:space="preserve"> into the side of Parisian house </w:t>
      </w:r>
      <w:r w:rsidR="00A96D77">
        <w:t>acts to subvert</w:t>
      </w:r>
      <w:r w:rsidR="00102DB7">
        <w:t xml:space="preserve"> its coherent status</w:t>
      </w:r>
      <w:r w:rsidR="00A96D77">
        <w:t xml:space="preserve"> as a building</w:t>
      </w:r>
      <w:r w:rsidRPr="00650BFF">
        <w:t>.</w:t>
      </w:r>
      <w:r w:rsidR="00EB75BC">
        <w:t xml:space="preserve"> This paper looks to build on this context</w:t>
      </w:r>
      <w:r w:rsidR="00631061">
        <w:t>, as</w:t>
      </w:r>
      <w:r w:rsidR="00847856">
        <w:t xml:space="preserve"> </w:t>
      </w:r>
      <w:r w:rsidR="00631061">
        <w:t xml:space="preserve">it </w:t>
      </w:r>
      <w:r w:rsidR="005A63EB">
        <w:t>extend</w:t>
      </w:r>
      <w:r w:rsidR="00B111AB">
        <w:t>s</w:t>
      </w:r>
      <w:r w:rsidR="005A63EB">
        <w:t xml:space="preserve"> current geographical and architectural theory by examining in greater detail the social and political intricacies of </w:t>
      </w:r>
      <w:r w:rsidR="005273C0">
        <w:t xml:space="preserve">the door as an </w:t>
      </w:r>
      <w:r w:rsidR="00795B4E">
        <w:t xml:space="preserve">‘intimate </w:t>
      </w:r>
      <w:r w:rsidR="005A63EB">
        <w:t>architectural space</w:t>
      </w:r>
      <w:r w:rsidR="00795B4E">
        <w:t>’</w:t>
      </w:r>
      <w:r w:rsidR="005A63EB">
        <w:t xml:space="preserve">. </w:t>
      </w:r>
    </w:p>
    <w:p w14:paraId="68D2634C" w14:textId="04A89BDD" w:rsidR="00BB7E2E" w:rsidRDefault="00980C6C" w:rsidP="00BB7E2E">
      <w:pPr>
        <w:pStyle w:val="Newparagraph"/>
      </w:pPr>
      <w:bookmarkStart w:id="2" w:name="_Hlk33453476"/>
      <w:r>
        <w:t>For some</w:t>
      </w:r>
      <w:r w:rsidR="00650BFF" w:rsidRPr="00650BFF">
        <w:t xml:space="preserve"> academics</w:t>
      </w:r>
      <w:r>
        <w:t xml:space="preserve"> this is familiar territory, </w:t>
      </w:r>
      <w:r w:rsidR="00650BFF" w:rsidRPr="00650BFF">
        <w:t xml:space="preserve">as </w:t>
      </w:r>
      <w:proofErr w:type="spellStart"/>
      <w:r w:rsidR="00650BFF" w:rsidRPr="00650BFF">
        <w:t>Hurdley</w:t>
      </w:r>
      <w:proofErr w:type="spellEnd"/>
      <w:r w:rsidR="00650BFF" w:rsidRPr="00650BFF">
        <w:t xml:space="preserve"> (</w:t>
      </w:r>
      <w:r w:rsidR="00631061">
        <w:t xml:space="preserve">2006, </w:t>
      </w:r>
      <w:r w:rsidR="00650BFF" w:rsidRPr="00650BFF">
        <w:t xml:space="preserve">2010) has discussed </w:t>
      </w:r>
      <w:r w:rsidR="00631061">
        <w:t xml:space="preserve">both the mantelpiece within the home and </w:t>
      </w:r>
      <w:r w:rsidR="00650BFF" w:rsidRPr="00650BFF">
        <w:t xml:space="preserve">corridor spaces within a university setting; </w:t>
      </w:r>
      <w:proofErr w:type="spellStart"/>
      <w:r w:rsidR="00900E41">
        <w:t>Rosselin</w:t>
      </w:r>
      <w:proofErr w:type="spellEnd"/>
      <w:r w:rsidR="00900E41">
        <w:t xml:space="preserve"> (1999) engages with the domestic space of the apartment hallway and how </w:t>
      </w:r>
      <w:r w:rsidR="004441C4">
        <w:t>it</w:t>
      </w:r>
      <w:r w:rsidR="00900E41">
        <w:t xml:space="preserve"> structure</w:t>
      </w:r>
      <w:r w:rsidR="004441C4">
        <w:t>s</w:t>
      </w:r>
      <w:r w:rsidR="00900E41">
        <w:t xml:space="preserve"> acts of surveillance; </w:t>
      </w:r>
      <w:r w:rsidR="00650BFF" w:rsidRPr="00650BFF">
        <w:t>Jacobs et al</w:t>
      </w:r>
      <w:r w:rsidR="007411F6">
        <w:t>.</w:t>
      </w:r>
      <w:r w:rsidR="00650BFF" w:rsidRPr="00650BFF">
        <w:t xml:space="preserve"> (2008) uses the ‘window’ as a way of exploring the history and social interactions of residents on a </w:t>
      </w:r>
      <w:r w:rsidR="00EB75BC">
        <w:t xml:space="preserve">Glasgow </w:t>
      </w:r>
      <w:r w:rsidR="00650BFF" w:rsidRPr="00650BFF">
        <w:t xml:space="preserve">housing estate; whilst </w:t>
      </w:r>
      <w:proofErr w:type="spellStart"/>
      <w:r w:rsidR="00650BFF" w:rsidRPr="00650BFF">
        <w:t>Shortt</w:t>
      </w:r>
      <w:proofErr w:type="spellEnd"/>
      <w:r w:rsidR="00650BFF" w:rsidRPr="00650BFF">
        <w:t xml:space="preserve"> (2015) presents how stairwells bec</w:t>
      </w:r>
      <w:r>
        <w:t>o</w:t>
      </w:r>
      <w:r w:rsidR="00650BFF" w:rsidRPr="00650BFF">
        <w:t xml:space="preserve">me a </w:t>
      </w:r>
      <w:r w:rsidR="00EB75BC">
        <w:t>refuge</w:t>
      </w:r>
      <w:r w:rsidR="00650BFF" w:rsidRPr="00650BFF">
        <w:t xml:space="preserve"> from the emotional labour, scripts and rules prescribed by the organization</w:t>
      </w:r>
      <w:r w:rsidR="00EB75BC">
        <w:t xml:space="preserve">. </w:t>
      </w:r>
      <w:bookmarkEnd w:id="2"/>
      <w:r w:rsidR="00EB75BC">
        <w:t xml:space="preserve">This exemplifies </w:t>
      </w:r>
      <w:r w:rsidR="00650BFF" w:rsidRPr="00650BFF">
        <w:t xml:space="preserve">how material cultures of home and geographies of architecture could unite to better understand our relationship to architectural features and forms. In this </w:t>
      </w:r>
      <w:r w:rsidR="004441C4">
        <w:t>respect</w:t>
      </w:r>
      <w:r w:rsidR="00650BFF" w:rsidRPr="00650BFF">
        <w:t xml:space="preserve"> </w:t>
      </w:r>
      <w:r w:rsidR="004441C4">
        <w:t>I consider</w:t>
      </w:r>
      <w:r w:rsidR="00650BFF" w:rsidRPr="00650BFF">
        <w:t xml:space="preserve"> ‘intimate architectural space’, a term loosely borrowed from Romano (1999) which I use to </w:t>
      </w:r>
      <w:bookmarkStart w:id="3" w:name="_Hlk33095391"/>
      <w:r w:rsidR="00650BFF" w:rsidRPr="00650BFF">
        <w:t>discuss the role of interior built features that are not closed off material forms but are distinct architectural spaces. Whilst in isolation they do not constitute ‘a building’ but through networks of interaction and interconnection become embedded within the larger ‘building event’</w:t>
      </w:r>
      <w:bookmarkEnd w:id="3"/>
      <w:r w:rsidR="00650BFF" w:rsidRPr="00650BFF">
        <w:t xml:space="preserve"> through repeated concentrations of action, interaction, utterances, representation, and materiality. </w:t>
      </w:r>
      <w:bookmarkStart w:id="4" w:name="_Hlk33095193"/>
      <w:r w:rsidR="00650BFF" w:rsidRPr="00650BFF">
        <w:t xml:space="preserve">With this as my framework I aim to present the value of </w:t>
      </w:r>
      <w:r w:rsidR="00650BFF" w:rsidRPr="00650BFF">
        <w:lastRenderedPageBreak/>
        <w:t>attending to intimate architectures (Romano</w:t>
      </w:r>
      <w:r w:rsidR="007411F6">
        <w:t>,</w:t>
      </w:r>
      <w:r w:rsidR="00650BFF" w:rsidRPr="00650BFF">
        <w:t xml:space="preserve"> 1999) as </w:t>
      </w:r>
      <w:r w:rsidR="00847856">
        <w:t xml:space="preserve">a </w:t>
      </w:r>
      <w:r w:rsidR="009D2A1A">
        <w:t>complimentary</w:t>
      </w:r>
      <w:r w:rsidR="00650BFF" w:rsidRPr="00650BFF">
        <w:t xml:space="preserve"> way of undertaking architectural geography. </w:t>
      </w:r>
      <w:bookmarkEnd w:id="4"/>
      <w:r w:rsidR="00650BFF" w:rsidRPr="00650BFF">
        <w:t>In the case of this paper</w:t>
      </w:r>
      <w:r w:rsidR="00BB7E2E">
        <w:t xml:space="preserve"> the focus will be on the</w:t>
      </w:r>
      <w:r w:rsidR="00650BFF" w:rsidRPr="00650BFF">
        <w:t xml:space="preserve"> </w:t>
      </w:r>
      <w:r w:rsidR="00F04828">
        <w:t>‘</w:t>
      </w:r>
      <w:r w:rsidR="00650BFF" w:rsidRPr="00650BFF">
        <w:t>door</w:t>
      </w:r>
      <w:r w:rsidR="00F04828">
        <w:t>’</w:t>
      </w:r>
      <w:r w:rsidR="00650BFF" w:rsidRPr="00650BFF">
        <w:t xml:space="preserve"> </w:t>
      </w:r>
      <w:r w:rsidR="00BB7E2E">
        <w:t xml:space="preserve">and how </w:t>
      </w:r>
      <w:r w:rsidR="00DA54A0">
        <w:t>it creates</w:t>
      </w:r>
      <w:r w:rsidR="00650BFF" w:rsidRPr="00650BFF">
        <w:t xml:space="preserve"> a</w:t>
      </w:r>
      <w:r w:rsidR="00F04828">
        <w:t xml:space="preserve">n </w:t>
      </w:r>
      <w:r w:rsidR="00650BFF" w:rsidRPr="00650BFF">
        <w:t>opportunity</w:t>
      </w:r>
      <w:r w:rsidR="00F04828">
        <w:t xml:space="preserve"> for geographies of architecture</w:t>
      </w:r>
      <w:r w:rsidR="00650BFF" w:rsidRPr="00650BFF">
        <w:t xml:space="preserve"> </w:t>
      </w:r>
      <w:r w:rsidR="00F04828">
        <w:t>to develop a more nuanced understanding of architectural space</w:t>
      </w:r>
      <w:r w:rsidR="00BB7E2E">
        <w:t xml:space="preserve">. </w:t>
      </w:r>
    </w:p>
    <w:p w14:paraId="5A70A9E8" w14:textId="1F1E9138" w:rsidR="00650BFF" w:rsidRDefault="00D4551B" w:rsidP="00E02DC7">
      <w:pPr>
        <w:pStyle w:val="Newparagraph"/>
      </w:pPr>
      <w:bookmarkStart w:id="5" w:name="_Hlk33452621"/>
      <w:r w:rsidRPr="00D4551B">
        <w:t xml:space="preserve">In order to </w:t>
      </w:r>
      <w:r w:rsidR="00BB7E2E">
        <w:t>interrogate the</w:t>
      </w:r>
      <w:r w:rsidRPr="00D4551B">
        <w:t xml:space="preserve"> </w:t>
      </w:r>
      <w:r w:rsidR="00371E0A">
        <w:t>door as an ‘intimate</w:t>
      </w:r>
      <w:r w:rsidR="00BB7E2E">
        <w:t xml:space="preserve"> architectural space’ </w:t>
      </w:r>
      <w:r w:rsidRPr="00D4551B">
        <w:t xml:space="preserve">this paper </w:t>
      </w:r>
      <w:r w:rsidR="00A735E2">
        <w:t>will situate its discussion of examples</w:t>
      </w:r>
      <w:r w:rsidRPr="00D4551B">
        <w:t xml:space="preserve"> </w:t>
      </w:r>
      <w:r w:rsidR="004D34C4">
        <w:t>around</w:t>
      </w:r>
      <w:r w:rsidR="0052588D">
        <w:t xml:space="preserve"> </w:t>
      </w:r>
      <w:r w:rsidR="004D34C4">
        <w:t xml:space="preserve">recent </w:t>
      </w:r>
      <w:r w:rsidR="007274F0">
        <w:t>(re)turns</w:t>
      </w:r>
      <w:r w:rsidR="004D34C4">
        <w:t xml:space="preserve"> within </w:t>
      </w:r>
      <w:r w:rsidR="007274F0">
        <w:t>architecture</w:t>
      </w:r>
      <w:r w:rsidR="004D34C4">
        <w:t xml:space="preserve"> and </w:t>
      </w:r>
      <w:r w:rsidR="007274F0">
        <w:t>geography</w:t>
      </w:r>
      <w:r w:rsidR="004D34C4">
        <w:t xml:space="preserve"> </w:t>
      </w:r>
      <w:r w:rsidR="00993914">
        <w:t>that</w:t>
      </w:r>
      <w:r w:rsidR="004D34C4">
        <w:t xml:space="preserve"> engage with</w:t>
      </w:r>
      <w:r w:rsidR="00371E0A">
        <w:t xml:space="preserve"> </w:t>
      </w:r>
      <w:r w:rsidRPr="00D4551B">
        <w:t>‘minor’ literature</w:t>
      </w:r>
      <w:r w:rsidR="00DA54A0">
        <w:t xml:space="preserve"> (</w:t>
      </w:r>
      <w:r w:rsidR="007411F6">
        <w:t xml:space="preserve">Katz, 1996, 2017; </w:t>
      </w:r>
      <w:r w:rsidR="00DA54A0">
        <w:t>Stoner</w:t>
      </w:r>
      <w:r w:rsidR="007411F6">
        <w:t>,</w:t>
      </w:r>
      <w:r w:rsidR="00DA54A0">
        <w:t xml:space="preserve"> 2012)</w:t>
      </w:r>
      <w:r w:rsidR="00724CF4">
        <w:t>.</w:t>
      </w:r>
      <w:r w:rsidR="00315985">
        <w:t xml:space="preserve"> </w:t>
      </w:r>
      <w:r w:rsidR="00724CF4">
        <w:t>B</w:t>
      </w:r>
      <w:r w:rsidR="00BB7E2E">
        <w:t>oth disciplines have looked to reframe their attention to (re)consider</w:t>
      </w:r>
      <w:r w:rsidR="00724CF4">
        <w:t xml:space="preserve"> the ‘minor’ </w:t>
      </w:r>
      <w:r w:rsidR="00BB7E2E">
        <w:t>in an effort to</w:t>
      </w:r>
      <w:r w:rsidR="00724CF4">
        <w:t xml:space="preserve"> question how new knowledges/architectures</w:t>
      </w:r>
      <w:r w:rsidR="00995653">
        <w:t xml:space="preserve"> are produced</w:t>
      </w:r>
      <w:r w:rsidR="00724CF4">
        <w:t xml:space="preserve"> </w:t>
      </w:r>
      <w:r w:rsidR="00315985">
        <w:t>(</w:t>
      </w:r>
      <w:proofErr w:type="spellStart"/>
      <w:r w:rsidR="00315985">
        <w:t>Bremner</w:t>
      </w:r>
      <w:proofErr w:type="spellEnd"/>
      <w:r w:rsidR="007411F6">
        <w:t>,</w:t>
      </w:r>
      <w:r w:rsidR="00315985">
        <w:t xml:space="preserve"> 2013</w:t>
      </w:r>
      <w:r w:rsidR="007411F6">
        <w:t>;</w:t>
      </w:r>
      <w:r w:rsidR="00315985">
        <w:t xml:space="preserve"> </w:t>
      </w:r>
      <w:r w:rsidR="007411F6">
        <w:t xml:space="preserve">Data, 2008; Katz, 2017; Loo, 2017; </w:t>
      </w:r>
      <w:r w:rsidR="00315985">
        <w:t>Stoner</w:t>
      </w:r>
      <w:r w:rsidR="007411F6">
        <w:t>,</w:t>
      </w:r>
      <w:r w:rsidR="00315985">
        <w:t xml:space="preserve"> 2012).</w:t>
      </w:r>
      <w:r w:rsidR="004C52E1">
        <w:t xml:space="preserve"> </w:t>
      </w:r>
      <w:r w:rsidR="00C16FB9">
        <w:t>Specifically,</w:t>
      </w:r>
      <w:r w:rsidR="00745767">
        <w:t xml:space="preserve"> I wish to draw upon </w:t>
      </w:r>
      <w:r w:rsidRPr="00D4551B">
        <w:t>Stoner’s (2012) notion of a ‘minor architecture’ and K</w:t>
      </w:r>
      <w:r w:rsidR="00066C73">
        <w:t>a</w:t>
      </w:r>
      <w:r w:rsidRPr="00D4551B">
        <w:t>tz’s (201</w:t>
      </w:r>
      <w:r w:rsidR="008B2720">
        <w:t>7</w:t>
      </w:r>
      <w:r w:rsidRPr="00D4551B">
        <w:t>) reassertion of ‘minor theory</w:t>
      </w:r>
      <w:r w:rsidR="004D34C4">
        <w:t>’</w:t>
      </w:r>
      <w:r w:rsidR="00F15A14">
        <w:t>.</w:t>
      </w:r>
      <w:r w:rsidR="0076289D" w:rsidRPr="0076289D">
        <w:t xml:space="preserve"> </w:t>
      </w:r>
      <w:bookmarkEnd w:id="5"/>
      <w:r w:rsidR="0052588D">
        <w:t xml:space="preserve">Whilst both positions occupy similar perspectives, they each take fundamentally different </w:t>
      </w:r>
      <w:r w:rsidR="003076F3">
        <w:t>strides</w:t>
      </w:r>
      <w:r w:rsidR="008A22A7">
        <w:t>;</w:t>
      </w:r>
      <w:r w:rsidR="003076F3">
        <w:t xml:space="preserve"> </w:t>
      </w:r>
      <w:r w:rsidR="00980C6C" w:rsidRPr="00980C6C">
        <w:t xml:space="preserve">Stoner </w:t>
      </w:r>
      <w:r w:rsidR="00980C6C">
        <w:t xml:space="preserve">(2012) </w:t>
      </w:r>
      <w:r w:rsidR="008A22A7">
        <w:t>develops</w:t>
      </w:r>
      <w:r w:rsidR="00980C6C" w:rsidRPr="00980C6C">
        <w:t xml:space="preserve"> </w:t>
      </w:r>
      <w:r w:rsidR="00605D49">
        <w:t>their</w:t>
      </w:r>
      <w:r w:rsidR="00980C6C">
        <w:t xml:space="preserve"> </w:t>
      </w:r>
      <w:r w:rsidR="00980C6C" w:rsidRPr="00980C6C">
        <w:t xml:space="preserve">ideas in relation </w:t>
      </w:r>
      <w:r w:rsidR="00980C6C">
        <w:t>to the spatial practices within architecture</w:t>
      </w:r>
      <w:r w:rsidR="00A457F1">
        <w:t xml:space="preserve"> and architectural </w:t>
      </w:r>
      <w:r w:rsidR="0052588D">
        <w:t>theory</w:t>
      </w:r>
      <w:r w:rsidR="00980C6C" w:rsidRPr="00980C6C">
        <w:t xml:space="preserve"> as </w:t>
      </w:r>
      <w:r w:rsidR="00980C6C">
        <w:t>‘</w:t>
      </w:r>
      <w:r w:rsidR="00980C6C" w:rsidRPr="00980C6C">
        <w:t>minor architectures</w:t>
      </w:r>
      <w:r w:rsidR="00980C6C">
        <w:t>’</w:t>
      </w:r>
      <w:r w:rsidR="00980C6C" w:rsidRPr="00980C6C">
        <w:t xml:space="preserve"> represent operations that make cracks and fissures in seemingly impenetrable structures of powe</w:t>
      </w:r>
      <w:r w:rsidR="008A22A7">
        <w:t>r;</w:t>
      </w:r>
      <w:r w:rsidR="003076F3">
        <w:t xml:space="preserve"> </w:t>
      </w:r>
      <w:r w:rsidR="00DE740B">
        <w:t>whereas</w:t>
      </w:r>
      <w:r w:rsidR="0052588D">
        <w:t xml:space="preserve"> </w:t>
      </w:r>
      <w:r w:rsidR="00980C6C">
        <w:t>Katz</w:t>
      </w:r>
      <w:r w:rsidR="00A457F1">
        <w:t xml:space="preserve"> (199</w:t>
      </w:r>
      <w:r w:rsidR="008B2720">
        <w:t>6</w:t>
      </w:r>
      <w:r w:rsidR="00A457F1">
        <w:t>, 201</w:t>
      </w:r>
      <w:r w:rsidR="008B2720">
        <w:t>7</w:t>
      </w:r>
      <w:r w:rsidR="00A457F1">
        <w:t>)</w:t>
      </w:r>
      <w:r w:rsidR="00980C6C">
        <w:t xml:space="preserve"> uses </w:t>
      </w:r>
      <w:r w:rsidR="00605D49">
        <w:t>their</w:t>
      </w:r>
      <w:r w:rsidR="00980C6C">
        <w:t xml:space="preserve"> </w:t>
      </w:r>
      <w:r w:rsidR="00A457F1">
        <w:t>work</w:t>
      </w:r>
      <w:r w:rsidR="00980C6C">
        <w:t xml:space="preserve"> to call for the critique of</w:t>
      </w:r>
      <w:r w:rsidR="003076F3">
        <w:t xml:space="preserve"> geographic knowledge production and its reliance on</w:t>
      </w:r>
      <w:r w:rsidR="00980C6C">
        <w:t xml:space="preserve"> </w:t>
      </w:r>
      <w:r w:rsidR="00A457F1">
        <w:t>‘</w:t>
      </w:r>
      <w:r w:rsidR="00980C6C">
        <w:t>major literatures</w:t>
      </w:r>
      <w:r w:rsidR="00A457F1">
        <w:t>’</w:t>
      </w:r>
      <w:r w:rsidR="003076F3">
        <w:t xml:space="preserve">, stressing </w:t>
      </w:r>
      <w:r w:rsidR="0052588D">
        <w:t xml:space="preserve">the need </w:t>
      </w:r>
      <w:r w:rsidR="003076F3">
        <w:t>for</w:t>
      </w:r>
      <w:r w:rsidR="00D17193" w:rsidRPr="00D17193">
        <w:t xml:space="preserve"> </w:t>
      </w:r>
      <w:r w:rsidR="003076F3">
        <w:t>developing</w:t>
      </w:r>
      <w:r w:rsidR="00D17193" w:rsidRPr="00D17193">
        <w:t xml:space="preserve"> theory differently</w:t>
      </w:r>
      <w:r w:rsidR="003076F3">
        <w:t xml:space="preserve"> using ‘minor’ theoretical approach</w:t>
      </w:r>
      <w:r w:rsidR="00BB7E2E">
        <w:t>es</w:t>
      </w:r>
      <w:r w:rsidR="00645657">
        <w:t xml:space="preserve"> that take into account the</w:t>
      </w:r>
      <w:r w:rsidR="00D17193" w:rsidRPr="00D17193">
        <w:t xml:space="preserve"> emergent practices interstitial with ‘major’ productions of knowledge.</w:t>
      </w:r>
      <w:r w:rsidR="009A67E6">
        <w:t xml:space="preserve"> </w:t>
      </w:r>
      <w:r w:rsidR="00CF0799">
        <w:t xml:space="preserve">Both </w:t>
      </w:r>
      <w:r w:rsidR="00A457F1">
        <w:t>positions</w:t>
      </w:r>
      <w:r w:rsidR="009A67E6">
        <w:t xml:space="preserve"> </w:t>
      </w:r>
      <w:r w:rsidR="00C16FB9">
        <w:t>employ</w:t>
      </w:r>
      <w:r w:rsidR="00795B4E">
        <w:t xml:space="preserve"> Deleuze and </w:t>
      </w:r>
      <w:proofErr w:type="spellStart"/>
      <w:r w:rsidR="00795B4E">
        <w:t>Guattari’s</w:t>
      </w:r>
      <w:proofErr w:type="spellEnd"/>
      <w:r w:rsidR="00995653">
        <w:t xml:space="preserve"> (1986) </w:t>
      </w:r>
      <w:r w:rsidR="00795B4E">
        <w:t xml:space="preserve">lexicon of </w:t>
      </w:r>
      <w:r w:rsidR="003076F3">
        <w:t>‘</w:t>
      </w:r>
      <w:r w:rsidR="00795B4E">
        <w:t>minor literatures</w:t>
      </w:r>
      <w:r w:rsidR="003076F3">
        <w:t>’</w:t>
      </w:r>
      <w:r w:rsidR="00795B4E">
        <w:t xml:space="preserve"> </w:t>
      </w:r>
      <w:r w:rsidR="002810CD">
        <w:t xml:space="preserve">and </w:t>
      </w:r>
      <w:r w:rsidR="003076F3">
        <w:t>use</w:t>
      </w:r>
      <w:r w:rsidR="002810CD">
        <w:t xml:space="preserve"> it to destabilise</w:t>
      </w:r>
      <w:r w:rsidR="00054914">
        <w:t xml:space="preserve"> prevailing </w:t>
      </w:r>
      <w:r w:rsidR="00980C6C">
        <w:t xml:space="preserve">western </w:t>
      </w:r>
      <w:r w:rsidR="00054914">
        <w:t xml:space="preserve">narratives. Each presents a </w:t>
      </w:r>
      <w:r w:rsidR="00054914" w:rsidRPr="00054914">
        <w:t>situated politics of refusal</w:t>
      </w:r>
      <w:r w:rsidR="00054914">
        <w:t>, where</w:t>
      </w:r>
      <w:r w:rsidR="00054914" w:rsidRPr="00054914">
        <w:t xml:space="preserve"> ruptures </w:t>
      </w:r>
      <w:r w:rsidR="00054914">
        <w:t>or</w:t>
      </w:r>
      <w:r w:rsidR="00054914" w:rsidRPr="00054914">
        <w:t xml:space="preserve"> ‘lines of escape’</w:t>
      </w:r>
      <w:r w:rsidR="00054914">
        <w:t xml:space="preserve"> (Del</w:t>
      </w:r>
      <w:r w:rsidR="00B1520B">
        <w:t>e</w:t>
      </w:r>
      <w:r w:rsidR="00054914">
        <w:t xml:space="preserve">uze </w:t>
      </w:r>
      <w:r w:rsidR="008B2720">
        <w:t>et al</w:t>
      </w:r>
      <w:r w:rsidR="007411F6">
        <w:t>.</w:t>
      </w:r>
      <w:r w:rsidR="003076F3">
        <w:t>,</w:t>
      </w:r>
      <w:r w:rsidR="00054914">
        <w:t xml:space="preserve"> 19</w:t>
      </w:r>
      <w:r w:rsidR="003076F3">
        <w:t>83</w:t>
      </w:r>
      <w:r w:rsidR="007411F6">
        <w:t>,</w:t>
      </w:r>
      <w:r w:rsidR="003076F3">
        <w:t xml:space="preserve"> p</w:t>
      </w:r>
      <w:r w:rsidR="007411F6">
        <w:t>.</w:t>
      </w:r>
      <w:r w:rsidR="003076F3">
        <w:t>27</w:t>
      </w:r>
      <w:r w:rsidR="00054914">
        <w:t>)</w:t>
      </w:r>
      <w:r w:rsidR="00054914" w:rsidRPr="00054914">
        <w:t xml:space="preserve"> </w:t>
      </w:r>
      <w:r w:rsidR="00054914">
        <w:t>carve out new possibilities</w:t>
      </w:r>
      <w:r w:rsidR="00371E0A">
        <w:t xml:space="preserve"> and </w:t>
      </w:r>
      <w:r w:rsidR="00054914">
        <w:t xml:space="preserve">alternative modes of existing and </w:t>
      </w:r>
      <w:r w:rsidR="00371E0A">
        <w:t>thinking</w:t>
      </w:r>
      <w:r w:rsidR="00BB7E2E">
        <w:t xml:space="preserve">. </w:t>
      </w:r>
      <w:r w:rsidR="00A4141C">
        <w:t xml:space="preserve">However, it is not </w:t>
      </w:r>
      <w:r w:rsidR="00103867">
        <w:t>the</w:t>
      </w:r>
      <w:r w:rsidR="00A4141C">
        <w:t xml:space="preserve"> intention </w:t>
      </w:r>
      <w:r w:rsidR="00103867">
        <w:t>of</w:t>
      </w:r>
      <w:r w:rsidR="00A4141C">
        <w:t xml:space="preserve"> this paper to </w:t>
      </w:r>
      <w:r w:rsidR="00CE20A6">
        <w:t>unpack</w:t>
      </w:r>
      <w:r w:rsidR="00A4141C">
        <w:t xml:space="preserve"> the numerous complex debates that currently surround ‘minor theory/architecture</w:t>
      </w:r>
      <w:r w:rsidR="00CE20A6">
        <w:t>s</w:t>
      </w:r>
      <w:r w:rsidR="00A4141C">
        <w:t xml:space="preserve">’ </w:t>
      </w:r>
      <w:r w:rsidR="00A86B24">
        <w:t>(Katz</w:t>
      </w:r>
      <w:r w:rsidR="007411F6">
        <w:t xml:space="preserve">, </w:t>
      </w:r>
      <w:r w:rsidR="00A86B24">
        <w:t>2017), i</w:t>
      </w:r>
      <w:r w:rsidR="00A4141C">
        <w:t xml:space="preserve">nstead </w:t>
      </w:r>
      <w:r w:rsidR="00B111AB">
        <w:t>it takes a</w:t>
      </w:r>
      <w:r w:rsidR="00A4141C">
        <w:t xml:space="preserve"> ‘minor theory approach’ </w:t>
      </w:r>
      <w:r w:rsidR="00B111AB">
        <w:lastRenderedPageBreak/>
        <w:t>whereby</w:t>
      </w:r>
      <w:r w:rsidR="00A4141C">
        <w:t xml:space="preserve"> </w:t>
      </w:r>
      <w:r w:rsidR="00B111AB">
        <w:t xml:space="preserve">it </w:t>
      </w:r>
      <w:r w:rsidR="009D0895">
        <w:t>explores</w:t>
      </w:r>
      <w:r w:rsidR="00B111AB">
        <w:t xml:space="preserve"> a</w:t>
      </w:r>
      <w:r w:rsidR="00C56626">
        <w:t xml:space="preserve"> </w:t>
      </w:r>
      <w:bookmarkStart w:id="6" w:name="_Hlk33438154"/>
      <w:r w:rsidR="00C56626">
        <w:t xml:space="preserve">range of </w:t>
      </w:r>
      <w:r w:rsidR="00D502DA">
        <w:t>non-western</w:t>
      </w:r>
      <w:r w:rsidR="00A430D3">
        <w:t xml:space="preserve">, </w:t>
      </w:r>
      <w:r w:rsidR="00900E41">
        <w:t xml:space="preserve">feminist, non-human, historical and </w:t>
      </w:r>
      <w:r w:rsidR="004C52E1">
        <w:t>class-based</w:t>
      </w:r>
      <w:r w:rsidR="00A430D3">
        <w:t xml:space="preserve"> </w:t>
      </w:r>
      <w:r w:rsidR="0028576D">
        <w:t>examples</w:t>
      </w:r>
      <w:r w:rsidR="00D502DA">
        <w:t xml:space="preserve"> </w:t>
      </w:r>
      <w:r w:rsidR="00103867">
        <w:t xml:space="preserve">of the door </w:t>
      </w:r>
      <w:r w:rsidR="00CF0799">
        <w:t>from outside</w:t>
      </w:r>
      <w:r w:rsidR="00BB7E2E">
        <w:t xml:space="preserve"> </w:t>
      </w:r>
      <w:r w:rsidR="007157C6">
        <w:t xml:space="preserve">the </w:t>
      </w:r>
      <w:r w:rsidR="00CF0799">
        <w:t>traditional academic canon</w:t>
      </w:r>
      <w:bookmarkEnd w:id="6"/>
      <w:r w:rsidR="00B111AB">
        <w:t xml:space="preserve"> in order to </w:t>
      </w:r>
      <w:r w:rsidR="009D0895">
        <w:t xml:space="preserve">foreground perspectives from </w:t>
      </w:r>
      <w:r w:rsidR="00B111AB">
        <w:t>minor subjects/subjectivities</w:t>
      </w:r>
      <w:r w:rsidR="00C56626">
        <w:t>.</w:t>
      </w:r>
      <w:r w:rsidR="004D047F">
        <w:t xml:space="preserve"> </w:t>
      </w:r>
      <w:r w:rsidR="009D0895">
        <w:t>By utilising this framework</w:t>
      </w:r>
      <w:r w:rsidR="00BC47D2">
        <w:t xml:space="preserve"> </w:t>
      </w:r>
      <w:r w:rsidR="009D0895">
        <w:t>it attempts</w:t>
      </w:r>
      <w:r w:rsidR="00BC47D2">
        <w:t xml:space="preserve"> to illustrate how the door as an intimate architectural space presents a site of ‘rupture’ whereby a ‘minor theory approach’ can facilitate an engagement with the numerous political entanglements that ‘unsettle the material social practices of power and cut through the classed, racialised and gendered sedimentations of violence’ (Katz</w:t>
      </w:r>
      <w:r w:rsidR="007411F6">
        <w:t>,</w:t>
      </w:r>
      <w:r w:rsidR="00BC47D2">
        <w:t xml:space="preserve"> 2017</w:t>
      </w:r>
      <w:r w:rsidR="007411F6">
        <w:t>,</w:t>
      </w:r>
      <w:r w:rsidR="00BC47D2">
        <w:t xml:space="preserve"> p.597). </w:t>
      </w:r>
      <w:r w:rsidR="00A86B24">
        <w:t xml:space="preserve">In </w:t>
      </w:r>
      <w:r w:rsidR="004D047F">
        <w:t>doing so</w:t>
      </w:r>
      <w:r w:rsidR="00A86B24">
        <w:t xml:space="preserve"> </w:t>
      </w:r>
      <w:r w:rsidR="00CE20A6">
        <w:t xml:space="preserve">this paper </w:t>
      </w:r>
      <w:r w:rsidR="009D0895">
        <w:t>responds</w:t>
      </w:r>
      <w:r w:rsidR="00A86B24">
        <w:t xml:space="preserve"> to calls by geographers (Katz</w:t>
      </w:r>
      <w:r w:rsidR="007411F6">
        <w:t>,</w:t>
      </w:r>
      <w:r w:rsidR="00A86B24">
        <w:t xml:space="preserve"> 1999, 2017, Leeuw </w:t>
      </w:r>
      <w:r w:rsidR="007411F6">
        <w:t>&amp;</w:t>
      </w:r>
      <w:r w:rsidR="00A86B24">
        <w:t xml:space="preserve"> Hunt</w:t>
      </w:r>
      <w:r w:rsidR="007411F6">
        <w:t>,</w:t>
      </w:r>
      <w:r w:rsidR="00A86B24">
        <w:t xml:space="preserve"> 201</w:t>
      </w:r>
      <w:r w:rsidR="00BC47D2">
        <w:t>8</w:t>
      </w:r>
      <w:r w:rsidR="00A86B24">
        <w:t>) who seek to decolonise and challenge the production of geographic knowledge within the discipline</w:t>
      </w:r>
      <w:r w:rsidR="00BC47D2">
        <w:t xml:space="preserve"> by pushing for </w:t>
      </w:r>
      <w:r w:rsidR="009D0895">
        <w:t xml:space="preserve">a </w:t>
      </w:r>
      <w:r w:rsidR="00BC47D2">
        <w:t>great</w:t>
      </w:r>
      <w:r w:rsidR="00313ADC">
        <w:t>er</w:t>
      </w:r>
      <w:r w:rsidR="00BC47D2">
        <w:t xml:space="preserve"> awareness of marginalised and </w:t>
      </w:r>
      <w:r w:rsidR="00313ADC">
        <w:t>non-western perspectives</w:t>
      </w:r>
      <w:r w:rsidR="004D047F">
        <w:t>.</w:t>
      </w:r>
      <w:r w:rsidR="00E02DC7">
        <w:t xml:space="preserve"> </w:t>
      </w:r>
      <w:r w:rsidR="004D047F">
        <w:t>This approach</w:t>
      </w:r>
      <w:r w:rsidR="00DE740B">
        <w:t xml:space="preserve"> will be structured through two central themes</w:t>
      </w:r>
      <w:r w:rsidR="00DE740B" w:rsidRPr="003A7AA6">
        <w:t xml:space="preserve">; ‘performativity’ and ‘body’; </w:t>
      </w:r>
      <w:r w:rsidR="004D047F">
        <w:t>both</w:t>
      </w:r>
      <w:r w:rsidR="00DE740B" w:rsidRPr="003A7AA6">
        <w:t xml:space="preserve"> </w:t>
      </w:r>
      <w:r w:rsidR="007157C6">
        <w:t>exploring</w:t>
      </w:r>
      <w:r w:rsidR="00DE740B" w:rsidRPr="003A7AA6">
        <w:t xml:space="preserve"> </w:t>
      </w:r>
      <w:r w:rsidR="00CC37C5">
        <w:t>how our bodies come to structure and connect with architectural space.</w:t>
      </w:r>
      <w:r w:rsidR="00DE740B">
        <w:t xml:space="preserve"> </w:t>
      </w:r>
      <w:r w:rsidR="00995653">
        <w:t>This</w:t>
      </w:r>
      <w:r w:rsidR="00DE740B">
        <w:t xml:space="preserve"> compliment</w:t>
      </w:r>
      <w:r w:rsidR="00995653">
        <w:t>s</w:t>
      </w:r>
      <w:r w:rsidR="00DE740B">
        <w:t xml:space="preserve"> existing literature that already looks to destabilise coherent notions of the building and </w:t>
      </w:r>
      <w:r w:rsidR="00EA527C">
        <w:t>develop</w:t>
      </w:r>
      <w:r w:rsidR="00C30D94">
        <w:t>s</w:t>
      </w:r>
      <w:r w:rsidR="00DE740B">
        <w:t xml:space="preserve"> it further by </w:t>
      </w:r>
      <w:r w:rsidR="00227D3B">
        <w:t>incorporating</w:t>
      </w:r>
      <w:r w:rsidR="00DE740B">
        <w:t xml:space="preserve"> </w:t>
      </w:r>
      <w:r w:rsidR="00995653">
        <w:t xml:space="preserve">‘minor’ or marginalised </w:t>
      </w:r>
      <w:r w:rsidR="00DE740B">
        <w:t xml:space="preserve">perspectives </w:t>
      </w:r>
      <w:r w:rsidR="00227D3B">
        <w:t>of architectural space</w:t>
      </w:r>
      <w:r w:rsidR="00DE740B">
        <w:t>.</w:t>
      </w:r>
      <w:bookmarkStart w:id="7" w:name="_Hlk33362662"/>
      <w:r w:rsidR="00DE740B">
        <w:t xml:space="preserve"> </w:t>
      </w:r>
      <w:bookmarkStart w:id="8" w:name="_Hlk33020784"/>
      <w:r w:rsidR="00A42F38">
        <w:t xml:space="preserve">The </w:t>
      </w:r>
      <w:r w:rsidR="005B3EF7">
        <w:t>contributions of this article</w:t>
      </w:r>
      <w:r w:rsidR="00A42F38">
        <w:t xml:space="preserve"> will</w:t>
      </w:r>
      <w:r w:rsidR="00C01368">
        <w:t xml:space="preserve"> </w:t>
      </w:r>
      <w:r w:rsidR="00C30D94">
        <w:t xml:space="preserve">therefore </w:t>
      </w:r>
      <w:r w:rsidR="00C01368">
        <w:t xml:space="preserve">be threefold; as </w:t>
      </w:r>
      <w:r w:rsidR="005B3EF7">
        <w:t>the first section will</w:t>
      </w:r>
      <w:r w:rsidR="00C01368">
        <w:t xml:space="preserve"> look to </w:t>
      </w:r>
      <w:r w:rsidR="009E2BC3">
        <w:t xml:space="preserve">extend existing </w:t>
      </w:r>
      <w:r w:rsidR="000D5C42">
        <w:t>geographies of architecture scholarship</w:t>
      </w:r>
      <w:r w:rsidR="009E2BC3">
        <w:t xml:space="preserve"> through a focus on the space of the door, </w:t>
      </w:r>
      <w:r w:rsidR="00D6104F" w:rsidRPr="00D6104F">
        <w:t xml:space="preserve">as </w:t>
      </w:r>
      <w:r w:rsidR="004C52E1">
        <w:t>it</w:t>
      </w:r>
      <w:r w:rsidR="00D6104F" w:rsidRPr="00D6104F">
        <w:t xml:space="preserve"> become</w:t>
      </w:r>
      <w:r w:rsidR="004C52E1">
        <w:t>s a</w:t>
      </w:r>
      <w:r w:rsidR="00D6104F" w:rsidRPr="00D6104F">
        <w:t xml:space="preserve"> key site </w:t>
      </w:r>
      <w:r w:rsidR="004C52E1">
        <w:t>in</w:t>
      </w:r>
      <w:r w:rsidR="00D6104F" w:rsidRPr="00D6104F">
        <w:t xml:space="preserve"> which ‘events are gathered’ and through which</w:t>
      </w:r>
      <w:r w:rsidR="00906E81">
        <w:t xml:space="preserve"> </w:t>
      </w:r>
      <w:r w:rsidR="00D6104F" w:rsidRPr="00D6104F">
        <w:t>politics can be encountered, negotiated and ritually performed (</w:t>
      </w:r>
      <w:proofErr w:type="spellStart"/>
      <w:r w:rsidR="007411F6" w:rsidRPr="00D6104F">
        <w:t>Rugoff</w:t>
      </w:r>
      <w:proofErr w:type="spellEnd"/>
      <w:r w:rsidR="007411F6">
        <w:t>,</w:t>
      </w:r>
      <w:r w:rsidR="007411F6" w:rsidRPr="00D6104F">
        <w:t xml:space="preserve"> 2008</w:t>
      </w:r>
      <w:r w:rsidR="007411F6">
        <w:t xml:space="preserve">; </w:t>
      </w:r>
      <w:proofErr w:type="spellStart"/>
      <w:r w:rsidR="00D6104F" w:rsidRPr="00D6104F">
        <w:t>Shortt</w:t>
      </w:r>
      <w:proofErr w:type="spellEnd"/>
      <w:r w:rsidR="007411F6">
        <w:t>,</w:t>
      </w:r>
      <w:r w:rsidR="00D6104F" w:rsidRPr="00D6104F">
        <w:t xml:space="preserve"> 2015</w:t>
      </w:r>
      <w:r w:rsidR="007411F6">
        <w:t>;</w:t>
      </w:r>
      <w:r w:rsidR="00D6104F" w:rsidRPr="00D6104F">
        <w:t xml:space="preserve"> </w:t>
      </w:r>
      <w:proofErr w:type="spellStart"/>
      <w:r w:rsidR="00D6104F" w:rsidRPr="00D6104F">
        <w:t>Teyssot</w:t>
      </w:r>
      <w:proofErr w:type="spellEnd"/>
      <w:r w:rsidR="007411F6">
        <w:t>,</w:t>
      </w:r>
      <w:r w:rsidR="00D6104F" w:rsidRPr="00D6104F">
        <w:t xml:space="preserve"> 2009)</w:t>
      </w:r>
      <w:r w:rsidR="00C01368">
        <w:t xml:space="preserve">. </w:t>
      </w:r>
      <w:r w:rsidR="005B3EF7">
        <w:t>The second section will focus on how</w:t>
      </w:r>
      <w:r w:rsidR="00B71721">
        <w:t xml:space="preserve"> </w:t>
      </w:r>
      <w:r w:rsidR="0033247E">
        <w:t xml:space="preserve">a </w:t>
      </w:r>
      <w:r w:rsidR="009D0895">
        <w:t>‘</w:t>
      </w:r>
      <w:r w:rsidR="0033247E">
        <w:t>minor theory approach</w:t>
      </w:r>
      <w:r w:rsidR="009D0895">
        <w:t xml:space="preserve">’ </w:t>
      </w:r>
      <w:r w:rsidR="00B71721">
        <w:t xml:space="preserve">provides a lens through which to engage with </w:t>
      </w:r>
      <w:r w:rsidR="009D0895">
        <w:t>the door</w:t>
      </w:r>
      <w:r w:rsidR="00B71721">
        <w:t xml:space="preserve">, as it delves deeper into considering the multiple experiences of space that can tease out many of the marginalised and political engagements </w:t>
      </w:r>
      <w:r w:rsidR="009D0895">
        <w:t>we have with architectural space</w:t>
      </w:r>
      <w:r w:rsidR="00B71721">
        <w:t xml:space="preserve">. </w:t>
      </w:r>
      <w:r w:rsidR="00B14330">
        <w:t xml:space="preserve">Whilst the </w:t>
      </w:r>
      <w:r w:rsidR="005B3EF7">
        <w:t>conclusion</w:t>
      </w:r>
      <w:r w:rsidR="00C01368">
        <w:t xml:space="preserve"> </w:t>
      </w:r>
      <w:r w:rsidR="00B14330">
        <w:t>will summarise how</w:t>
      </w:r>
      <w:r w:rsidR="00C01368">
        <w:t xml:space="preserve"> </w:t>
      </w:r>
      <w:r w:rsidR="00EA527C">
        <w:t>‘</w:t>
      </w:r>
      <w:r w:rsidR="00C01368">
        <w:t>intimate architect</w:t>
      </w:r>
      <w:r w:rsidR="004C52E1">
        <w:t>ures</w:t>
      </w:r>
      <w:r w:rsidR="00EA527C">
        <w:t>’</w:t>
      </w:r>
      <w:r w:rsidR="00C01368">
        <w:t xml:space="preserve"> provide an additional framework through which geographies of architecture can </w:t>
      </w:r>
      <w:r w:rsidR="004C52E1">
        <w:t xml:space="preserve">continue to build upon in </w:t>
      </w:r>
      <w:r w:rsidR="004C52E1">
        <w:lastRenderedPageBreak/>
        <w:t>order</w:t>
      </w:r>
      <w:r w:rsidR="00C01368">
        <w:t xml:space="preserve"> to explore the </w:t>
      </w:r>
      <w:r w:rsidR="00A96D77">
        <w:t>social and political dynamics</w:t>
      </w:r>
      <w:r w:rsidR="00C01368">
        <w:t xml:space="preserve"> of individual features and forms within the built environment. </w:t>
      </w:r>
      <w:r w:rsidR="00D6104F" w:rsidRPr="00D6104F">
        <w:t>I now turn to consider the door in greater detail looking to provide additional context around how it has been theorised by other disciplines.</w:t>
      </w:r>
      <w:bookmarkEnd w:id="7"/>
      <w:bookmarkEnd w:id="8"/>
    </w:p>
    <w:p w14:paraId="2F331C73" w14:textId="77777777" w:rsidR="00650BFF" w:rsidRDefault="00650BFF" w:rsidP="00650BFF">
      <w:pPr>
        <w:pStyle w:val="Heading1"/>
      </w:pPr>
      <w:r w:rsidRPr="00650BFF">
        <w:t>Defining the Door</w:t>
      </w:r>
    </w:p>
    <w:p w14:paraId="56D72238" w14:textId="01357FE9" w:rsidR="00650BFF" w:rsidRDefault="00650BFF" w:rsidP="00650BFF">
      <w:pPr>
        <w:pStyle w:val="Paragraph"/>
      </w:pPr>
      <w:r w:rsidRPr="00650BFF">
        <w:t>The ‘door’ as a concept has largely eluded the attention of geography. This is despite calls by architectural geographers for greater attention to the ‘localised’</w:t>
      </w:r>
      <w:r w:rsidR="00627940">
        <w:t xml:space="preserve"> </w:t>
      </w:r>
      <w:r w:rsidRPr="00650BFF">
        <w:t xml:space="preserve">details of </w:t>
      </w:r>
      <w:r w:rsidR="001250C0">
        <w:t>architecture</w:t>
      </w:r>
      <w:r w:rsidRPr="00650BFF">
        <w:t xml:space="preserve">, such as window seats, doors, </w:t>
      </w:r>
      <w:proofErr w:type="gramStart"/>
      <w:r w:rsidRPr="00650BFF">
        <w:t>corridors</w:t>
      </w:r>
      <w:proofErr w:type="gramEnd"/>
      <w:r w:rsidRPr="00650BFF">
        <w:t xml:space="preserve"> or lighting sources (</w:t>
      </w:r>
      <w:proofErr w:type="spellStart"/>
      <w:r w:rsidR="007411F6" w:rsidRPr="00650BFF">
        <w:t>Kraftl</w:t>
      </w:r>
      <w:proofErr w:type="spellEnd"/>
      <w:r w:rsidR="007411F6">
        <w:t>,</w:t>
      </w:r>
      <w:r w:rsidR="007411F6" w:rsidRPr="00650BFF">
        <w:t xml:space="preserve"> 2010</w:t>
      </w:r>
      <w:r w:rsidR="007411F6">
        <w:t xml:space="preserve">; </w:t>
      </w:r>
      <w:proofErr w:type="spellStart"/>
      <w:r w:rsidRPr="00650BFF">
        <w:t>Kraftl</w:t>
      </w:r>
      <w:proofErr w:type="spellEnd"/>
      <w:r w:rsidRPr="00650BFF">
        <w:t xml:space="preserve"> </w:t>
      </w:r>
      <w:r w:rsidR="007411F6">
        <w:t>&amp;</w:t>
      </w:r>
      <w:r w:rsidRPr="00650BFF">
        <w:t xml:space="preserve"> Adey</w:t>
      </w:r>
      <w:r w:rsidR="007411F6">
        <w:t xml:space="preserve">, </w:t>
      </w:r>
      <w:r w:rsidRPr="00650BFF">
        <w:t xml:space="preserve">2008). A focus on such intimate architectural spaces would arguably attend to how places are lived, </w:t>
      </w:r>
      <w:proofErr w:type="gramStart"/>
      <w:r w:rsidR="00313ADC">
        <w:t>politicised</w:t>
      </w:r>
      <w:proofErr w:type="gramEnd"/>
      <w:r w:rsidR="00313ADC">
        <w:t xml:space="preserve"> and </w:t>
      </w:r>
      <w:r w:rsidRPr="00650BFF">
        <w:t>performed</w:t>
      </w:r>
      <w:r w:rsidR="00313ADC">
        <w:t xml:space="preserve"> </w:t>
      </w:r>
      <w:r w:rsidRPr="00650BFF">
        <w:t>on an everyday scale (</w:t>
      </w:r>
      <w:proofErr w:type="spellStart"/>
      <w:r w:rsidRPr="00650BFF">
        <w:t>Kraftl</w:t>
      </w:r>
      <w:proofErr w:type="spellEnd"/>
      <w:r w:rsidRPr="00650BFF">
        <w:t xml:space="preserve"> </w:t>
      </w:r>
      <w:r w:rsidR="007411F6">
        <w:t>&amp;</w:t>
      </w:r>
      <w:r w:rsidRPr="00650BFF">
        <w:t xml:space="preserve"> Adey</w:t>
      </w:r>
      <w:r w:rsidR="007411F6">
        <w:t>,</w:t>
      </w:r>
      <w:r w:rsidRPr="00650BFF">
        <w:t xml:space="preserve"> 2008). That is </w:t>
      </w:r>
      <w:r w:rsidR="00F71BC9">
        <w:t>not</w:t>
      </w:r>
      <w:r w:rsidRPr="00650BFF">
        <w:t xml:space="preserve"> </w:t>
      </w:r>
      <w:r w:rsidR="00F71BC9">
        <w:t xml:space="preserve">to </w:t>
      </w:r>
      <w:r w:rsidRPr="00650BFF">
        <w:t xml:space="preserve">say that the ‘door’ </w:t>
      </w:r>
      <w:r w:rsidR="00F71BC9">
        <w:t>hasn’t</w:t>
      </w:r>
      <w:r w:rsidRPr="00650BFF">
        <w:t xml:space="preserve"> been discussed </w:t>
      </w:r>
      <w:r w:rsidR="00533726">
        <w:t>by</w:t>
      </w:r>
      <w:r w:rsidRPr="00650BFF">
        <w:t xml:space="preserve"> other disciplines, as Latour (1992) writes about the socio-technological history of locking mechanisms, whilst Hetherington (2004) uses it as a metaphor in theorising the role of waste networks in the home. Yet in both examples the ‘door’ as a space and as a specific site of meaning is not clearly defined or discussed. The preoccupation with ‘doors’ in wider academia has largely been by 20</w:t>
      </w:r>
      <w:r w:rsidRPr="00650BFF">
        <w:rPr>
          <w:vertAlign w:val="superscript"/>
        </w:rPr>
        <w:t>th</w:t>
      </w:r>
      <w:r w:rsidRPr="00650BFF">
        <w:t xml:space="preserve"> century architectural theorists (</w:t>
      </w:r>
      <w:proofErr w:type="spellStart"/>
      <w:r w:rsidRPr="00650BFF">
        <w:t>Stalder</w:t>
      </w:r>
      <w:proofErr w:type="spellEnd"/>
      <w:r w:rsidR="007411F6">
        <w:t>,</w:t>
      </w:r>
      <w:r w:rsidRPr="00650BFF">
        <w:t xml:space="preserve"> 2009); Simmel’s (1994) seminal essay, 'Bridges and Doors’, Walter Benjamin's aphoristic notes on metaphorical and physical thresholds in his Parisian </w:t>
      </w:r>
      <w:proofErr w:type="spellStart"/>
      <w:r w:rsidRPr="00650BFF">
        <w:t>Passagen-Werk</w:t>
      </w:r>
      <w:proofErr w:type="spellEnd"/>
      <w:r w:rsidRPr="00650BFF">
        <w:t xml:space="preserve"> of the late 1930s (Benjamin</w:t>
      </w:r>
      <w:r w:rsidR="007411F6">
        <w:t>,</w:t>
      </w:r>
      <w:r w:rsidRPr="00650BFF">
        <w:t xml:space="preserve"> 2002) and Victor Turner's (1969) writings on social threshold situations and rites. Yet despite such interest, there is a lack of literature which provides a synthesis of the multiple engagements and meanings of the ‘doors’ in our everyday lives. Such an engagement would arguably provide architectural geography a means to uncover the unique lived and performed politics of boundary and interior spaces. By building upon both home and architectural geographies it would address the lack of attention on localised material structures of the home (Blunt</w:t>
      </w:r>
      <w:r w:rsidR="007411F6">
        <w:t>,</w:t>
      </w:r>
      <w:r w:rsidRPr="00650BFF">
        <w:t xml:space="preserve"> 2005) </w:t>
      </w:r>
      <w:r w:rsidRPr="00650BFF">
        <w:lastRenderedPageBreak/>
        <w:t xml:space="preserve">and further engage with how intimate </w:t>
      </w:r>
      <w:r w:rsidR="00586E72">
        <w:t>architectural spaces</w:t>
      </w:r>
      <w:r w:rsidRPr="00650BFF">
        <w:t xml:space="preserve"> are lived, </w:t>
      </w:r>
      <w:proofErr w:type="gramStart"/>
      <w:r w:rsidR="00586E72">
        <w:t>politicised</w:t>
      </w:r>
      <w:proofErr w:type="gramEnd"/>
      <w:r w:rsidRPr="00650BFF">
        <w:t xml:space="preserve"> and felt. </w:t>
      </w:r>
    </w:p>
    <w:p w14:paraId="1648B243" w14:textId="44595492" w:rsidR="00821118" w:rsidRPr="00821118" w:rsidRDefault="00821118" w:rsidP="00821118">
      <w:pPr>
        <w:pStyle w:val="Newparagraph"/>
      </w:pPr>
      <w:r w:rsidRPr="00821118">
        <w:t>In terms of understanding what we conceive a door to be, online dictionary definitions point to the ‘door’ as material entity; ‘a piece of wood, glass etc. that is opened and closed so that people can get in and out of a room, building or car’ (</w:t>
      </w:r>
      <w:r w:rsidR="004704CC">
        <w:t>Merriam Webster</w:t>
      </w:r>
      <w:r w:rsidR="00230164">
        <w:t xml:space="preserve">, </w:t>
      </w:r>
      <w:r w:rsidRPr="00821118">
        <w:t>20</w:t>
      </w:r>
      <w:r w:rsidR="004704CC">
        <w:t>20</w:t>
      </w:r>
      <w:r w:rsidRPr="00821118">
        <w:t>). Yet the ‘door’ by itself is arguably not enough, for a ‘door’ to function as the dictionary would have it there needs to be a space for it to go. To develop this further Latour (1992) wittily conceives the ‘door’ as a hybrid of wall and hole, serving to regulate access to a series of walls. This introduces the idea of the doorway or threshold, or the material frame in which the ‘door’ becomes a means to open or close (</w:t>
      </w:r>
      <w:proofErr w:type="spellStart"/>
      <w:r w:rsidRPr="00821118">
        <w:t>Pizzi</w:t>
      </w:r>
      <w:proofErr w:type="spellEnd"/>
      <w:r w:rsidR="00230164">
        <w:t xml:space="preserve">, </w:t>
      </w:r>
      <w:r w:rsidRPr="00821118">
        <w:t xml:space="preserve">2003). The ‘door’ is intimately related to the threshold; allowing access too and across the threshold, whilst the threshold gives meaning to the ‘door’s’ function. Therefore, each concept arguably serves to define the function of the other, whilst still remaining unique entities.  Yet such definitions reduce the ‘door’ to an object, comprised only of material elements. </w:t>
      </w:r>
    </w:p>
    <w:p w14:paraId="7DEB67BD" w14:textId="67C9D662" w:rsidR="00821118" w:rsidRDefault="00821118" w:rsidP="00821118">
      <w:pPr>
        <w:pStyle w:val="Newparagraph"/>
      </w:pPr>
      <w:r w:rsidRPr="00821118">
        <w:t>To address this simplistic definition involves clarification of the term ‘threshold’. Theorised by Wilbur (2013) it can be seen as a transitional state between contingent spaces across time in accordance with the movements of the body. Whilst the ‘threshold’ is manifest in different forms and scales, such as a sign of entry on a building or a horizontal feature such as a grave, the most common is arguably the ‘door’. The ‘door’ facilitates a vertical and physical transition across such a threshold (Wilbur</w:t>
      </w:r>
      <w:r w:rsidR="00230164">
        <w:t>,</w:t>
      </w:r>
      <w:r w:rsidRPr="00821118">
        <w:t xml:space="preserve"> 2013). In this sense it is a particular manifestation of the threshold concept and becomes more than a physical ‘switch’ over material threshold. It could be seen as a space in its own right, an assemblage of material parts; it becomes a space of transition and a ‘place’ of decision (Vogler </w:t>
      </w:r>
      <w:r w:rsidR="00230164">
        <w:t>&amp;</w:t>
      </w:r>
      <w:r w:rsidRPr="00821118">
        <w:t xml:space="preserve"> Jorgensen</w:t>
      </w:r>
      <w:r w:rsidR="00230164">
        <w:t>,</w:t>
      </w:r>
      <w:r w:rsidRPr="00821118">
        <w:t xml:space="preserve"> 2005). This spatial definition of the ‘door’ presents itself as a linkage between the space of human beings and everything </w:t>
      </w:r>
      <w:r w:rsidRPr="00821118">
        <w:lastRenderedPageBreak/>
        <w:t>that remains outside it, transcending the separation between the inner and the outer (Simmel</w:t>
      </w:r>
      <w:r w:rsidR="00230164">
        <w:t>,</w:t>
      </w:r>
      <w:r w:rsidRPr="00821118">
        <w:t xml:space="preserve"> 1994). Understanding </w:t>
      </w:r>
      <w:bookmarkStart w:id="9" w:name="_Hlk33109499"/>
      <w:r w:rsidRPr="00821118">
        <w:t>the ‘door’ as a space presents a prevailing sense of ambiguity, as it simultaneously becomes a border and a crossing point (</w:t>
      </w:r>
      <w:proofErr w:type="spellStart"/>
      <w:r w:rsidRPr="00821118">
        <w:t>Stalder</w:t>
      </w:r>
      <w:proofErr w:type="spellEnd"/>
      <w:r w:rsidR="00230164">
        <w:t>,</w:t>
      </w:r>
      <w:r w:rsidRPr="00821118">
        <w:t xml:space="preserve"> 2009). It is this state of ambiguity or being in-between two binaries (inside/outside) that the ‘door’ embodies the concept of liminality (Shields</w:t>
      </w:r>
      <w:r w:rsidR="00230164">
        <w:t>,</w:t>
      </w:r>
      <w:r w:rsidRPr="00821118">
        <w:t xml:space="preserve"> 1991), which in Latin ‘</w:t>
      </w:r>
      <w:r w:rsidRPr="00821118">
        <w:rPr>
          <w:i/>
        </w:rPr>
        <w:t>limen’</w:t>
      </w:r>
      <w:r w:rsidRPr="00821118">
        <w:t xml:space="preserve"> translates as on a threshold or boundary (</w:t>
      </w:r>
      <w:proofErr w:type="spellStart"/>
      <w:r w:rsidRPr="00821118">
        <w:t>Shortt</w:t>
      </w:r>
      <w:proofErr w:type="spellEnd"/>
      <w:r w:rsidR="00230164">
        <w:t>,</w:t>
      </w:r>
      <w:r w:rsidRPr="00821118">
        <w:t xml:space="preserve"> 2015</w:t>
      </w:r>
      <w:r w:rsidR="00230164">
        <w:t>;</w:t>
      </w:r>
      <w:r w:rsidRPr="00821118">
        <w:t xml:space="preserve"> Turner</w:t>
      </w:r>
      <w:r w:rsidR="00230164">
        <w:t>,</w:t>
      </w:r>
      <w:r w:rsidRPr="00821118">
        <w:t xml:space="preserve"> 1982). Thus the ‘door’ as liminal space encourages a variety of ritual performances which serve to constitute how we know and define such spaces, </w:t>
      </w:r>
      <w:bookmarkEnd w:id="9"/>
      <w:r w:rsidRPr="00821118">
        <w:t>for example the taking on and off of shoes in a stranger’s house or removing a hat. Thus, social relations and our own ritual actions also constitute how we come to define and know ‘door’ spaces.</w:t>
      </w:r>
    </w:p>
    <w:p w14:paraId="20B98AB4" w14:textId="45324CD6" w:rsidR="0075125D" w:rsidRDefault="00821118" w:rsidP="00821118">
      <w:pPr>
        <w:pStyle w:val="Newparagraph"/>
      </w:pPr>
      <w:r w:rsidRPr="00821118">
        <w:t xml:space="preserve">‘Doors’ also present a symbolic and representational power, as ‘doors’ are frequently used in art and sculpture to depict concepts of defence, </w:t>
      </w:r>
      <w:proofErr w:type="gramStart"/>
      <w:r w:rsidRPr="00821118">
        <w:t>sexuality</w:t>
      </w:r>
      <w:proofErr w:type="gramEnd"/>
      <w:r w:rsidRPr="00821118">
        <w:t xml:space="preserve"> and death (Moore 1981). Such understandings also enrich our definition of the ‘door’ as like its material characteristics its metaphorical ones also serve to reconfigure literal space. Evident in the use of ‘door’ shaped gravestones or ‘stelae’ by Greek cultures in the 6</w:t>
      </w:r>
      <w:r w:rsidRPr="00821118">
        <w:rPr>
          <w:vertAlign w:val="superscript"/>
        </w:rPr>
        <w:t>th</w:t>
      </w:r>
      <w:r w:rsidRPr="00821118">
        <w:t xml:space="preserve"> century B.C. due to its connotations of death (Roosevelt</w:t>
      </w:r>
      <w:r w:rsidR="00230164">
        <w:t>,</w:t>
      </w:r>
      <w:r w:rsidRPr="00821118">
        <w:t xml:space="preserve"> 2006). What becomes clear is that the ‘door’ is not a simple concept to define. It is from such varied</w:t>
      </w:r>
      <w:r w:rsidR="00583566">
        <w:t xml:space="preserve"> </w:t>
      </w:r>
      <w:r w:rsidRPr="00821118">
        <w:t xml:space="preserve">and multiple interpretations that the rest of this article will attempt to develop the notion of the ‘door’ as an interesting and dynamic concept worthy of attention by cultural and architectural geographers. The subsequent sections will turn to address the themes of ‘performativity’ and ‘body’, positioning the door as a lens through which to </w:t>
      </w:r>
      <w:r w:rsidR="0075125D">
        <w:t xml:space="preserve">encounter both ‘minor’ and marginal </w:t>
      </w:r>
      <w:r w:rsidR="00A75A07">
        <w:t>perspectives</w:t>
      </w:r>
      <w:r w:rsidR="0075125D">
        <w:t xml:space="preserve"> of architectural space and how these in turn shape social and political relations. </w:t>
      </w:r>
    </w:p>
    <w:p w14:paraId="00B1752D" w14:textId="77777777" w:rsidR="0075125D" w:rsidRDefault="0075125D" w:rsidP="00821118">
      <w:pPr>
        <w:pStyle w:val="Newparagraph"/>
      </w:pPr>
    </w:p>
    <w:p w14:paraId="216DCD94" w14:textId="77777777" w:rsidR="002B0BF6" w:rsidRDefault="002B0BF6" w:rsidP="00821118">
      <w:pPr>
        <w:pStyle w:val="Newparagraph"/>
        <w:ind w:firstLine="0"/>
        <w:rPr>
          <w:b/>
        </w:rPr>
      </w:pPr>
    </w:p>
    <w:p w14:paraId="0EDB1A5A" w14:textId="1231F417" w:rsidR="00821118" w:rsidRDefault="007F56A8" w:rsidP="00821118">
      <w:pPr>
        <w:pStyle w:val="Newparagraph"/>
        <w:ind w:firstLine="0"/>
        <w:rPr>
          <w:b/>
        </w:rPr>
      </w:pPr>
      <w:r>
        <w:rPr>
          <w:b/>
        </w:rPr>
        <w:lastRenderedPageBreak/>
        <w:t>Performativity</w:t>
      </w:r>
    </w:p>
    <w:p w14:paraId="068EB9DA" w14:textId="7607E376" w:rsidR="00821118" w:rsidRDefault="00821118" w:rsidP="00821118">
      <w:pPr>
        <w:pStyle w:val="Newparagraph"/>
        <w:ind w:firstLine="0"/>
      </w:pPr>
      <w:r w:rsidRPr="00821118">
        <w:t xml:space="preserve">Performance, </w:t>
      </w:r>
      <w:proofErr w:type="gramStart"/>
      <w:r w:rsidRPr="00821118">
        <w:t>movement</w:t>
      </w:r>
      <w:proofErr w:type="gramEnd"/>
      <w:r w:rsidRPr="00821118">
        <w:t xml:space="preserve"> and architecture have become central concepts to one another in recent years as each comes to emphasise the role of movement in understanding architectural spaces (</w:t>
      </w:r>
      <w:r w:rsidR="00230164" w:rsidRPr="00821118">
        <w:t>McCormack</w:t>
      </w:r>
      <w:r w:rsidR="00230164">
        <w:t>,</w:t>
      </w:r>
      <w:r w:rsidR="00230164" w:rsidRPr="00821118">
        <w:t xml:space="preserve"> 2005</w:t>
      </w:r>
      <w:r w:rsidR="00230164">
        <w:t xml:space="preserve">; </w:t>
      </w:r>
      <w:proofErr w:type="spellStart"/>
      <w:r w:rsidRPr="00821118">
        <w:t>Smitherham</w:t>
      </w:r>
      <w:proofErr w:type="spellEnd"/>
      <w:r w:rsidR="00230164">
        <w:t>,</w:t>
      </w:r>
      <w:r w:rsidRPr="00821118">
        <w:t xml:space="preserve"> 2011</w:t>
      </w:r>
      <w:r w:rsidR="00230164">
        <w:t>;</w:t>
      </w:r>
      <w:r w:rsidRPr="00821118">
        <w:t xml:space="preserve">). Through attending to contemporary understandings of the performative, we can look at how it is used to re-describe how we experience space, as being of equal importance to the end product of architecture. This is exemplified in the writings of Leach (2006) and Borden (2001); Leach, for example, explores how our daily performance allows us to adapt to space, rendering the unfamiliar familiar. For Borden, our performance in everyday architectural space, such as the act of walking up a flight of stairs, brings the stair into being. In the same way I look to how the ‘door’ as a liminal space can be seen to encourage a variety of performances that constitute how we know and define such spaces. This section therefore uses the concept of ‘performativity’ as a means to examine how intimate architectures are socially produced and reproduced (Gregson </w:t>
      </w:r>
      <w:r w:rsidR="00230164">
        <w:t>&amp;</w:t>
      </w:r>
      <w:r w:rsidRPr="00821118">
        <w:t xml:space="preserve"> Rose</w:t>
      </w:r>
      <w:r w:rsidR="00230164">
        <w:t>,</w:t>
      </w:r>
      <w:r w:rsidRPr="00821118">
        <w:t xml:space="preserve"> 2000). My focus</w:t>
      </w:r>
      <w:r w:rsidR="000D5C42">
        <w:t xml:space="preserve"> here</w:t>
      </w:r>
      <w:r w:rsidRPr="00821118">
        <w:t xml:space="preserve"> is on asserting the unique politics of the ‘door’, using various historical, </w:t>
      </w:r>
      <w:proofErr w:type="gramStart"/>
      <w:r w:rsidRPr="00821118">
        <w:t>international</w:t>
      </w:r>
      <w:proofErr w:type="gramEnd"/>
      <w:r w:rsidRPr="00821118">
        <w:t xml:space="preserve"> and cultural ritual performances in a variety of contexts to examine how intimate architectures are invested with social and political meaning.</w:t>
      </w:r>
    </w:p>
    <w:p w14:paraId="2C7C9ACA" w14:textId="3101842E" w:rsidR="00821118" w:rsidRPr="00821118" w:rsidRDefault="00821118" w:rsidP="00821118">
      <w:pPr>
        <w:pStyle w:val="Newparagraph"/>
      </w:pPr>
      <w:r w:rsidRPr="00821118">
        <w:t>For instance, the door has long been a site of ritualistic significance in Armenian culture between the 6</w:t>
      </w:r>
      <w:r w:rsidRPr="00821118">
        <w:rPr>
          <w:vertAlign w:val="superscript"/>
        </w:rPr>
        <w:t>th</w:t>
      </w:r>
      <w:r w:rsidRPr="00821118">
        <w:t xml:space="preserve"> century B.C. and 20</w:t>
      </w:r>
      <w:r w:rsidRPr="00821118">
        <w:rPr>
          <w:vertAlign w:val="superscript"/>
        </w:rPr>
        <w:t>th</w:t>
      </w:r>
      <w:r w:rsidRPr="00821118">
        <w:t xml:space="preserve"> century A.D. (</w:t>
      </w:r>
      <w:proofErr w:type="spellStart"/>
      <w:r w:rsidRPr="00821118">
        <w:t>Essabal</w:t>
      </w:r>
      <w:proofErr w:type="spellEnd"/>
      <w:r w:rsidR="00230164">
        <w:t>,</w:t>
      </w:r>
      <w:r w:rsidRPr="00821118">
        <w:t xml:space="preserve"> 1961). In particular it was seen as an important strategic point in the fight with demons and spirits as it offered them a potential entry point into the house (</w:t>
      </w:r>
      <w:proofErr w:type="spellStart"/>
      <w:r w:rsidRPr="00821118">
        <w:t>Essabal</w:t>
      </w:r>
      <w:proofErr w:type="spellEnd"/>
      <w:r w:rsidR="00230164">
        <w:t>,</w:t>
      </w:r>
      <w:r w:rsidRPr="00821118">
        <w:t xml:space="preserve"> 1961). Thus, ritualistic practice was used in order to deny them access to the home and promote good luck. One such example, in the case of sickness, was the sacrifice of a rooster or lamb, which was killed before the ‘door’, usually a church door (</w:t>
      </w:r>
      <w:proofErr w:type="spellStart"/>
      <w:r w:rsidRPr="00821118">
        <w:t>Essabal</w:t>
      </w:r>
      <w:proofErr w:type="spellEnd"/>
      <w:r w:rsidR="00230164">
        <w:t>,</w:t>
      </w:r>
      <w:r w:rsidRPr="00821118">
        <w:t xml:space="preserve"> 1961). Conversely it was also the site to let good spirits in, as newlyweds were showered with rice and raisins before </w:t>
      </w:r>
      <w:r w:rsidRPr="00821118">
        <w:lastRenderedPageBreak/>
        <w:t>stepping over the doorway with their right foot first, so as to promote good luck for the couple (</w:t>
      </w:r>
      <w:proofErr w:type="spellStart"/>
      <w:r w:rsidRPr="00821118">
        <w:t>Essabal</w:t>
      </w:r>
      <w:proofErr w:type="spellEnd"/>
      <w:r w:rsidR="00230164">
        <w:t>,</w:t>
      </w:r>
      <w:r w:rsidRPr="00821118">
        <w:t xml:space="preserve"> 1961). The door therefore represents an entrance way in which good or bad luck/spirits could flow. Ideas also reflected in 5</w:t>
      </w:r>
      <w:r w:rsidRPr="00821118">
        <w:rPr>
          <w:vertAlign w:val="superscript"/>
        </w:rPr>
        <w:t>th</w:t>
      </w:r>
      <w:r w:rsidRPr="00821118">
        <w:t xml:space="preserve"> and 6</w:t>
      </w:r>
      <w:r w:rsidRPr="00821118">
        <w:rPr>
          <w:vertAlign w:val="superscript"/>
        </w:rPr>
        <w:t>th</w:t>
      </w:r>
      <w:r w:rsidRPr="00821118">
        <w:t xml:space="preserve"> century carvings on Greek and Roman stelae, in which the door was associated with death and represented a point of transition for spirits to enter to ‘the other side’ (Roosevelt</w:t>
      </w:r>
      <w:r w:rsidR="00230164">
        <w:t>,</w:t>
      </w:r>
      <w:r w:rsidRPr="00821118">
        <w:t xml:space="preserve"> 2006). This engagement and meaning associated with the ‘door’ in turn feeds back into its deployment within Armenian architecture, as </w:t>
      </w:r>
      <w:proofErr w:type="spellStart"/>
      <w:r w:rsidRPr="00821118">
        <w:t>Essabal</w:t>
      </w:r>
      <w:proofErr w:type="spellEnd"/>
      <w:r w:rsidRPr="00821118">
        <w:t xml:space="preserve"> (1961) states that typically the Armenian home would have just one door and one chimney so that both climate and spirits could be efficiently regulated. Whilst the decorative schemes of early Greek and Roman doors (6th- 5th century B.C.) used a lion or gorgon’s head to hold door rings. Whilst functional, such features were also symbolic protectors of the threshold, protecting the house from spirits and arguably imbuing the ‘door’ with a certain degree of power or status (Walsh</w:t>
      </w:r>
      <w:r w:rsidR="00230164">
        <w:t>,</w:t>
      </w:r>
      <w:r w:rsidRPr="00821118">
        <w:t xml:space="preserve"> 1983).</w:t>
      </w:r>
    </w:p>
    <w:p w14:paraId="434B12DF" w14:textId="69897632" w:rsidR="00821118" w:rsidRPr="00821118" w:rsidRDefault="00821118" w:rsidP="00821118">
      <w:pPr>
        <w:pStyle w:val="Newparagraph"/>
      </w:pPr>
      <w:r w:rsidRPr="00821118">
        <w:t xml:space="preserve">A more modern and similar study by Li and Smith (2011) looking at the Dong nationality in China also introduces ceremony into the way performance and ‘doors’ are interrelated. As a ceremony named, ‘opening the door of wealth’ must be performed before the householders move into a new house, celebrating the symbolic importance of the threshold. Like the other examples the ‘door’ is seen to communicate between the inside and outside, providing the passageway through which good and evil energy goes in and out (Li </w:t>
      </w:r>
      <w:r w:rsidR="00230164">
        <w:t>&amp;</w:t>
      </w:r>
      <w:r w:rsidRPr="00821118">
        <w:t xml:space="preserve"> Smith</w:t>
      </w:r>
      <w:r w:rsidR="00230164">
        <w:t>,</w:t>
      </w:r>
      <w:r w:rsidRPr="00821118">
        <w:t xml:space="preserve"> 2011). The Dong building like the previous example is ‘made secure’ through both its physical construction and the ritual ceremonies that have empowered it. This highlights a process in which the ‘space of the ‘door’ is ‘sacralised’ to deter the ‘other’ (in this case as spirits or unwanted animals or children) and foster a sense of security. Such performances and forms of sacralisation are not unique to such </w:t>
      </w:r>
      <w:r w:rsidRPr="00821118">
        <w:lastRenderedPageBreak/>
        <w:t>historical representations. When considering Turners (1977</w:t>
      </w:r>
      <w:r w:rsidR="00230164">
        <w:t>,</w:t>
      </w:r>
      <w:r w:rsidR="00005C89">
        <w:t xml:space="preserve"> p. 61-62</w:t>
      </w:r>
      <w:r w:rsidRPr="00821118">
        <w:t xml:space="preserve">) definition of ritual </w:t>
      </w:r>
      <w:proofErr w:type="gramStart"/>
      <w:r w:rsidRPr="00821118">
        <w:t>as;</w:t>
      </w:r>
      <w:proofErr w:type="gramEnd"/>
    </w:p>
    <w:p w14:paraId="321FC689" w14:textId="77777777" w:rsidR="00821118" w:rsidRPr="00005C89" w:rsidRDefault="00442C3D" w:rsidP="00821118">
      <w:pPr>
        <w:pStyle w:val="Displayedquotation"/>
      </w:pPr>
      <w:r>
        <w:t>‘</w:t>
      </w:r>
      <w:r w:rsidR="00821118" w:rsidRPr="00005C89">
        <w:t>Formulaic patterns of symbolic action for ordering or controlling relatively disorderly situations…because they directly model, in their own structures, the hierarchical mechanisms of control that forms an intrinsic part of the structure of the situations in question</w:t>
      </w:r>
      <w:r w:rsidR="00005C89">
        <w:t>.</w:t>
      </w:r>
      <w:r>
        <w:t>’</w:t>
      </w:r>
    </w:p>
    <w:p w14:paraId="0810413A" w14:textId="0550199F" w:rsidR="00821118" w:rsidRDefault="00821118" w:rsidP="00821118">
      <w:pPr>
        <w:pStyle w:val="Newparagraph"/>
      </w:pPr>
      <w:r w:rsidRPr="00821118">
        <w:t>It is easy to see how this also reflects western engagements with ‘door’ spaces, as the partial dressing and undressing before entering or leaving the front door can be seen as a ritual activity which regulates the public from the private (Lawrence</w:t>
      </w:r>
      <w:r w:rsidR="00230164">
        <w:t>,</w:t>
      </w:r>
      <w:r w:rsidRPr="00821118">
        <w:t xml:space="preserve"> 1984). The carrying of a bride over the threshold can arguably be seen to mirror the Armenian equivalent above, whilst taking one’s shoes on and off before entering the home maintains the hierarchy of inside and outside, as dirty shoes are prevented further access to the house (Lawrence</w:t>
      </w:r>
      <w:r w:rsidR="00230164">
        <w:t>,</w:t>
      </w:r>
      <w:r w:rsidRPr="00821118">
        <w:t xml:space="preserve"> 1984). A paper by Wood </w:t>
      </w:r>
      <w:r w:rsidR="00230164">
        <w:t>&amp;</w:t>
      </w:r>
      <w:r w:rsidRPr="00821118">
        <w:t xml:space="preserve"> Beck (1990) </w:t>
      </w:r>
      <w:r w:rsidR="000A75E8">
        <w:t>highlights</w:t>
      </w:r>
      <w:r w:rsidRPr="00821118">
        <w:t xml:space="preserve"> many of the conventions and rules that shape many of our engagements with the ‘door’. Taking a case study of one family in particular they chart the rules that arise as they engage with it; as the door is not a site of play, it is not to be slammed or opened to strangers, but it is to be opened to friends and family, only the ‘initiated’ may enter. Such power of the space of the ‘door’ is commented on by Walter Benjamin</w:t>
      </w:r>
      <w:r w:rsidR="00005C89">
        <w:t xml:space="preserve"> </w:t>
      </w:r>
      <w:r w:rsidR="00005C89" w:rsidRPr="00821118">
        <w:t>(2002</w:t>
      </w:r>
      <w:r w:rsidR="00230164">
        <w:t>,</w:t>
      </w:r>
      <w:r w:rsidR="00005C89" w:rsidRPr="00821118">
        <w:t xml:space="preserve"> p. 141)</w:t>
      </w:r>
      <w:r w:rsidRPr="00821118">
        <w:t xml:space="preserve"> as he talks of the</w:t>
      </w:r>
      <w:r w:rsidRPr="00821118">
        <w:rPr>
          <w:i/>
        </w:rPr>
        <w:t xml:space="preserve"> </w:t>
      </w:r>
      <w:r w:rsidRPr="00821118">
        <w:t>‘despotic alarm of the doorbell that reigns over the apartment, gaining its power from the magic of the threshold</w:t>
      </w:r>
      <w:r w:rsidR="00005C89">
        <w:t>.</w:t>
      </w:r>
      <w:r w:rsidRPr="00821118">
        <w:t xml:space="preserve">’ </w:t>
      </w:r>
    </w:p>
    <w:p w14:paraId="72A2FE2C" w14:textId="6CF38FF2" w:rsidR="00005C89" w:rsidRPr="00005C89" w:rsidRDefault="00005C89" w:rsidP="00005C89">
      <w:pPr>
        <w:pStyle w:val="Newparagraph"/>
      </w:pPr>
      <w:proofErr w:type="spellStart"/>
      <w:r w:rsidRPr="00005C89">
        <w:t>Teyssot</w:t>
      </w:r>
      <w:proofErr w:type="spellEnd"/>
      <w:r w:rsidRPr="00005C89">
        <w:t xml:space="preserve"> (2008) highlights that for Benjamin, the possibility emerges of a collective interior, an interiority made up of external things, as the world of outside forever pervades the interior as it is regulated by the space of the ‘door’. Thus, the spirits, </w:t>
      </w:r>
      <w:proofErr w:type="gramStart"/>
      <w:r w:rsidRPr="00005C89">
        <w:t>dirt</w:t>
      </w:r>
      <w:proofErr w:type="gramEnd"/>
      <w:r w:rsidRPr="00005C89">
        <w:t xml:space="preserve"> and demons that the ‘door’ regulates come to represent this metaphysical </w:t>
      </w:r>
      <w:r w:rsidRPr="00005C89">
        <w:lastRenderedPageBreak/>
        <w:t>externality in which the ‘door’ becomes a means to control. This performance is highlighted aptly by Wood and Beck (1990</w:t>
      </w:r>
      <w:r w:rsidR="00230164">
        <w:t>,</w:t>
      </w:r>
      <w:r>
        <w:t xml:space="preserve"> p.13</w:t>
      </w:r>
      <w:r w:rsidRPr="00005C89">
        <w:t>) as they conceive of the ‘door dance</w:t>
      </w:r>
      <w:proofErr w:type="gramStart"/>
      <w:r w:rsidRPr="00005C89">
        <w:t>’;</w:t>
      </w:r>
      <w:proofErr w:type="gramEnd"/>
    </w:p>
    <w:p w14:paraId="71FDCF59" w14:textId="1C3E9FF4" w:rsidR="00005C89" w:rsidRPr="00005C89" w:rsidRDefault="00442C3D" w:rsidP="00005C89">
      <w:pPr>
        <w:pStyle w:val="Displayedquotation"/>
      </w:pPr>
      <w:r>
        <w:t>‘</w:t>
      </w:r>
      <w:r w:rsidR="00005C89" w:rsidRPr="00005C89">
        <w:t xml:space="preserve">It's a dance, a door-and- window dance (with fans: It's a fan dance); it's a glass, wooden, aluminium, and fiberglass round dance, a dance around the seasons, a dance around the days, a dance done to the song sung by the </w:t>
      </w:r>
      <w:r w:rsidR="00960A91">
        <w:t>v</w:t>
      </w:r>
      <w:r w:rsidR="00005C89" w:rsidRPr="00005C89">
        <w:t xml:space="preserve">oice of </w:t>
      </w:r>
      <w:r w:rsidR="00960A91">
        <w:t>c</w:t>
      </w:r>
      <w:r w:rsidR="00005C89" w:rsidRPr="00005C89">
        <w:t>omfort.</w:t>
      </w:r>
      <w:r>
        <w:t>’</w:t>
      </w:r>
    </w:p>
    <w:p w14:paraId="310882CB" w14:textId="77777777" w:rsidR="00005C89" w:rsidRDefault="00005C89" w:rsidP="00005C89">
      <w:pPr>
        <w:pStyle w:val="Newparagraph"/>
        <w:ind w:firstLine="709"/>
      </w:pPr>
      <w:r w:rsidRPr="00005C89">
        <w:t xml:space="preserve">This dance emerges as a result of the ritual opening and closing of the door in tune with the seasons in an effort to regulate the occupants and climate of the home. Thus the ‘doors’ liminal character as a space on the boundary between inside and outside contributes to the performative rituals that gather there. The marking out of spaces creates a politics of whom and what is or </w:t>
      </w:r>
      <w:proofErr w:type="gramStart"/>
      <w:r w:rsidRPr="00005C89">
        <w:t>isn’t</w:t>
      </w:r>
      <w:proofErr w:type="gramEnd"/>
      <w:r w:rsidRPr="00005C89">
        <w:t xml:space="preserve"> allowed in, whether that is spiritual, material or social, again reinforced by ritualistic display.</w:t>
      </w:r>
    </w:p>
    <w:p w14:paraId="7395258A" w14:textId="55648FE8" w:rsidR="00B34BAA" w:rsidRPr="00B34BAA" w:rsidRDefault="00442C3D" w:rsidP="00B34BAA">
      <w:pPr>
        <w:pStyle w:val="Newparagraph"/>
        <w:ind w:firstLine="709"/>
      </w:pPr>
      <w:r w:rsidRPr="00B34BAA">
        <w:t>The idea of the door as a site of regulation is also reflected on by Hetherington (2004) as he links the door to the act of disposal, as it becomes a crucial site in structuring performative acts of waste management. The door providing a threshold in which rubbish or surplus is made invisible through spatial displacement. It offers a means to order the materials in our lives as it becomes part of the representational ordering work that is undertaken to dispose of matter out of place (Hetherington</w:t>
      </w:r>
      <w:r w:rsidR="00230164">
        <w:t>,</w:t>
      </w:r>
      <w:r w:rsidRPr="00B34BAA">
        <w:t xml:space="preserve"> 2004). </w:t>
      </w:r>
      <w:r w:rsidR="00DA21A8" w:rsidRPr="00B34BAA">
        <w:t>W</w:t>
      </w:r>
      <w:r w:rsidRPr="00B34BAA">
        <w:t xml:space="preserve">aste is taken out through the ‘door’ whilst commodities and useful objects are allowed in. The same can be applied to the dead; the act of passage through the ‘door’ becomes a process of ordering. Most obvious in sacrifice, linking above with Armenian rituals highlighted by </w:t>
      </w:r>
      <w:proofErr w:type="spellStart"/>
      <w:r w:rsidRPr="00B34BAA">
        <w:t>Essabal</w:t>
      </w:r>
      <w:proofErr w:type="spellEnd"/>
      <w:r w:rsidRPr="00B34BAA">
        <w:t xml:space="preserve"> (1961), as sacrifice to the threshold becomes a means of getting rid of unwanted things and to stabilise social categories in making something absent (Hetherington</w:t>
      </w:r>
      <w:r w:rsidR="00230164">
        <w:t>,</w:t>
      </w:r>
      <w:r w:rsidRPr="00B34BAA">
        <w:t xml:space="preserve"> 2004). Yet this process is continual, it never ends, (Hubert </w:t>
      </w:r>
      <w:r w:rsidR="00230164">
        <w:t>&amp;</w:t>
      </w:r>
      <w:r w:rsidRPr="00B34BAA">
        <w:t xml:space="preserve"> </w:t>
      </w:r>
      <w:proofErr w:type="spellStart"/>
      <w:r w:rsidRPr="00B34BAA">
        <w:t>Mauss</w:t>
      </w:r>
      <w:proofErr w:type="spellEnd"/>
      <w:r w:rsidR="00230164">
        <w:t>,</w:t>
      </w:r>
      <w:r w:rsidRPr="00B34BAA">
        <w:t xml:space="preserve"> 1964) as it does not stabilise categories forever.</w:t>
      </w:r>
      <w:r w:rsidR="00B34BAA" w:rsidRPr="00B34BAA">
        <w:t xml:space="preserve"> It is when such boundary processes stop that unsettled spirits emerge (Hetherington</w:t>
      </w:r>
      <w:r w:rsidR="00230164">
        <w:t>,</w:t>
      </w:r>
      <w:r w:rsidR="00B34BAA" w:rsidRPr="00B34BAA">
        <w:t xml:space="preserve"> 2004), that ‘nightmare’ can exist, </w:t>
      </w:r>
      <w:r w:rsidR="00B34BAA" w:rsidRPr="00B34BAA">
        <w:lastRenderedPageBreak/>
        <w:t>(Bachelard</w:t>
      </w:r>
      <w:r w:rsidR="00230164">
        <w:t>,</w:t>
      </w:r>
      <w:r w:rsidR="00B34BAA" w:rsidRPr="00B34BAA">
        <w:t xml:space="preserve"> 1994) as doubt emerges as to the certainty of inside and the distinctness of outside.  </w:t>
      </w:r>
      <w:r w:rsidRPr="00B34BAA">
        <w:t>Thus, performative acts of disposal and sacrifice temporarily affirm</w:t>
      </w:r>
      <w:r w:rsidR="00DA21A8" w:rsidRPr="00B34BAA">
        <w:t xml:space="preserve"> </w:t>
      </w:r>
      <w:r w:rsidRPr="00B34BAA">
        <w:t xml:space="preserve">the binary distinctions that we impose upon </w:t>
      </w:r>
      <w:r w:rsidR="00B34BAA" w:rsidRPr="00B34BAA">
        <w:t xml:space="preserve">the door and distinctiveness </w:t>
      </w:r>
      <w:r w:rsidRPr="00B34BAA">
        <w:t>of ‘inside’ and ‘outside’</w:t>
      </w:r>
    </w:p>
    <w:p w14:paraId="708CD0F5" w14:textId="22875701" w:rsidR="00586E72" w:rsidRPr="00B34BAA" w:rsidRDefault="00442C3D" w:rsidP="00B34BAA">
      <w:pPr>
        <w:pStyle w:val="Newparagraph"/>
        <w:ind w:firstLine="709"/>
        <w:rPr>
          <w:highlight w:val="yellow"/>
        </w:rPr>
      </w:pPr>
      <w:r w:rsidRPr="00B34BAA">
        <w:t>The</w:t>
      </w:r>
      <w:r w:rsidR="004562B1" w:rsidRPr="00B34BAA">
        <w:t>se</w:t>
      </w:r>
      <w:r w:rsidRPr="00B34BAA">
        <w:t xml:space="preserve"> process</w:t>
      </w:r>
      <w:r w:rsidR="004562B1" w:rsidRPr="00B34BAA">
        <w:t>es</w:t>
      </w:r>
      <w:r w:rsidRPr="00B34BAA">
        <w:t xml:space="preserve"> of regulation and spatial ordering </w:t>
      </w:r>
      <w:r w:rsidR="00B34BAA">
        <w:t>are</w:t>
      </w:r>
      <w:r w:rsidRPr="00B34BAA">
        <w:t xml:space="preserve"> also manifest in the way the door is involved in the ritual politics of private property. As Durkheim (1957) suggests</w:t>
      </w:r>
      <w:r w:rsidRPr="00442C3D">
        <w:t xml:space="preserve"> there is a close rapport between taboo and property, as by claiming the right of property is to mark it as one’s own and create a threshold. It is through such activity that the origins of taboo arise, its etymology being ‘Ta-Pu’ to ‘mark with intensity’ (</w:t>
      </w:r>
      <w:proofErr w:type="spellStart"/>
      <w:r w:rsidRPr="00442C3D">
        <w:t>Naginski</w:t>
      </w:r>
      <w:proofErr w:type="spellEnd"/>
      <w:r w:rsidR="00230164">
        <w:t>,</w:t>
      </w:r>
      <w:r w:rsidRPr="00442C3D">
        <w:t xml:space="preserve"> 2010). The ‘door’ arguably embodies </w:t>
      </w:r>
      <w:r w:rsidR="000A4B57">
        <w:t>this</w:t>
      </w:r>
      <w:r w:rsidRPr="00442C3D">
        <w:t xml:space="preserve"> principle of exclusivity as it becomes the space where exclusivity is enacted and performed. The ‘door’ becomes the space where those who are strangers are denied access whilst those who are friends may find sanctuary. It is such everyday acts that define the limits and notions of private property and thus the sacred nature of space and the ‘door’. Scaling up these ideas to consider the role of the state, nearly all states protect by law the threshold between public and private. </w:t>
      </w:r>
      <w:bookmarkStart w:id="10" w:name="_Hlk33093812"/>
      <w:bookmarkStart w:id="11" w:name="_Hlk33010228"/>
      <w:r w:rsidRPr="00442C3D">
        <w:t xml:space="preserve">To be able to control a door, to control access to space, is one of the everyday supports of self-esteem, </w:t>
      </w:r>
      <w:proofErr w:type="gramStart"/>
      <w:r w:rsidRPr="00442C3D">
        <w:t>freedom</w:t>
      </w:r>
      <w:proofErr w:type="gramEnd"/>
      <w:r w:rsidRPr="00442C3D">
        <w:t xml:space="preserve"> and self-confidence </w:t>
      </w:r>
      <w:bookmarkEnd w:id="10"/>
      <w:r w:rsidRPr="00442C3D">
        <w:t xml:space="preserve">(Vogler </w:t>
      </w:r>
      <w:r w:rsidR="00230164">
        <w:t>&amp;</w:t>
      </w:r>
      <w:r w:rsidRPr="00442C3D">
        <w:t xml:space="preserve"> Jorgensen</w:t>
      </w:r>
      <w:r w:rsidR="00230164">
        <w:t>.</w:t>
      </w:r>
      <w:r w:rsidRPr="00442C3D">
        <w:t xml:space="preserve"> 2005). </w:t>
      </w:r>
      <w:bookmarkEnd w:id="11"/>
      <w:r w:rsidR="000A4B57">
        <w:t>However</w:t>
      </w:r>
      <w:r w:rsidR="001967B6">
        <w:t xml:space="preserve">, the act of being able to exercise control </w:t>
      </w:r>
      <w:r w:rsidR="000A4B57">
        <w:t xml:space="preserve">over a ‘door’ </w:t>
      </w:r>
      <w:r w:rsidR="001967B6">
        <w:t xml:space="preserve">is inherently unequal, as </w:t>
      </w:r>
      <w:r w:rsidR="000A4B57">
        <w:t>class-based</w:t>
      </w:r>
      <w:r w:rsidR="001967B6">
        <w:t xml:space="preserve"> division</w:t>
      </w:r>
      <w:r w:rsidR="000A4B57">
        <w:t>s increasingly come to structure the built environment. In recent years this has been typified by numerous accounts of</w:t>
      </w:r>
      <w:r w:rsidR="00DA6A1A">
        <w:t xml:space="preserve"> controversial</w:t>
      </w:r>
      <w:r w:rsidR="000A4B57">
        <w:t xml:space="preserve"> ‘poor doors’ in major cities across the US and UK</w:t>
      </w:r>
      <w:r w:rsidR="00B27292">
        <w:t xml:space="preserve"> (</w:t>
      </w:r>
      <w:proofErr w:type="spellStart"/>
      <w:r w:rsidR="00230164">
        <w:t>Licea</w:t>
      </w:r>
      <w:proofErr w:type="spellEnd"/>
      <w:r w:rsidR="00230164">
        <w:t xml:space="preserve">, 2016; </w:t>
      </w:r>
      <w:r w:rsidR="00B27292">
        <w:t>Osborne</w:t>
      </w:r>
      <w:r w:rsidR="00230164">
        <w:t>,</w:t>
      </w:r>
      <w:r w:rsidR="00B27292">
        <w:t xml:space="preserve"> 2014</w:t>
      </w:r>
      <w:r w:rsidR="00230164">
        <w:t>;</w:t>
      </w:r>
      <w:r w:rsidR="00B27292">
        <w:t xml:space="preserve"> Wall </w:t>
      </w:r>
      <w:r w:rsidR="00230164">
        <w:t>&amp;</w:t>
      </w:r>
      <w:r w:rsidR="00B27292">
        <w:t xml:space="preserve"> Osborne</w:t>
      </w:r>
      <w:r w:rsidR="00230164">
        <w:t>,</w:t>
      </w:r>
      <w:r w:rsidR="00B27292">
        <w:t xml:space="preserve"> 2018)</w:t>
      </w:r>
      <w:r w:rsidR="00587FBD">
        <w:t xml:space="preserve">, whereby </w:t>
      </w:r>
      <w:r w:rsidR="00587FBD" w:rsidRPr="00587FBD">
        <w:t xml:space="preserve">developers of mixed-income residential developments </w:t>
      </w:r>
      <w:r w:rsidR="00587FBD">
        <w:t>opt</w:t>
      </w:r>
      <w:r w:rsidR="00587FBD" w:rsidRPr="00587FBD">
        <w:t xml:space="preserve"> to physically separate the wealthier residents from </w:t>
      </w:r>
      <w:r w:rsidR="00B27292">
        <w:t>those on lower incomes</w:t>
      </w:r>
      <w:r w:rsidR="00587FBD" w:rsidRPr="00587FBD">
        <w:t xml:space="preserve"> by building separate </w:t>
      </w:r>
      <w:r w:rsidR="00587FBD">
        <w:t>doors and entrances</w:t>
      </w:r>
      <w:r w:rsidR="00587FBD" w:rsidRPr="00587FBD">
        <w:t xml:space="preserve"> to their buildings</w:t>
      </w:r>
      <w:r w:rsidR="00B27292">
        <w:t xml:space="preserve"> </w:t>
      </w:r>
      <w:r w:rsidR="00587FBD">
        <w:t>(</w:t>
      </w:r>
      <w:proofErr w:type="spellStart"/>
      <w:r w:rsidR="00230164">
        <w:t>Licea</w:t>
      </w:r>
      <w:proofErr w:type="spellEnd"/>
      <w:r w:rsidR="00230164">
        <w:t xml:space="preserve">, 2016; </w:t>
      </w:r>
      <w:proofErr w:type="spellStart"/>
      <w:r w:rsidR="005425E0">
        <w:t>Mcfarlane</w:t>
      </w:r>
      <w:proofErr w:type="spellEnd"/>
      <w:r w:rsidR="005425E0">
        <w:t xml:space="preserve">, 2019; </w:t>
      </w:r>
      <w:r w:rsidR="00587FBD">
        <w:t>Osborne</w:t>
      </w:r>
      <w:r w:rsidR="00230164">
        <w:t>,</w:t>
      </w:r>
      <w:r w:rsidR="00587FBD">
        <w:t xml:space="preserve"> 2014</w:t>
      </w:r>
      <w:r w:rsidR="00230164">
        <w:t>;</w:t>
      </w:r>
      <w:r w:rsidR="00587FBD">
        <w:t xml:space="preserve"> </w:t>
      </w:r>
      <w:r w:rsidR="005425E0">
        <w:t xml:space="preserve">Wall &amp; </w:t>
      </w:r>
      <w:r w:rsidR="00230164">
        <w:t>Osborne</w:t>
      </w:r>
      <w:r w:rsidR="005425E0">
        <w:t>,</w:t>
      </w:r>
      <w:r w:rsidR="00230164">
        <w:t xml:space="preserve"> 2018</w:t>
      </w:r>
      <w:r w:rsidR="00B27292">
        <w:t xml:space="preserve">). </w:t>
      </w:r>
      <w:r w:rsidR="009021EE">
        <w:t>Typically,</w:t>
      </w:r>
      <w:r w:rsidR="00B27292">
        <w:t xml:space="preserve"> this </w:t>
      </w:r>
      <w:r w:rsidR="009021EE">
        <w:t>has taken</w:t>
      </w:r>
      <w:r w:rsidR="00B27292">
        <w:t xml:space="preserve"> the form </w:t>
      </w:r>
      <w:r w:rsidR="009021EE">
        <w:t xml:space="preserve">of residents having to access </w:t>
      </w:r>
      <w:r w:rsidR="002B5797">
        <w:t>their own homes</w:t>
      </w:r>
      <w:r w:rsidR="009021EE">
        <w:t xml:space="preserve"> from the back or from side entrances, whilst also be</w:t>
      </w:r>
      <w:r w:rsidR="002B5797">
        <w:t xml:space="preserve">ing </w:t>
      </w:r>
      <w:r w:rsidR="009021EE">
        <w:lastRenderedPageBreak/>
        <w:t xml:space="preserve">excluded from other </w:t>
      </w:r>
      <w:r w:rsidR="00274933">
        <w:t>services</w:t>
      </w:r>
      <w:r w:rsidR="009021EE">
        <w:t xml:space="preserve"> that may be present within the</w:t>
      </w:r>
      <w:r w:rsidR="001250C0">
        <w:t xml:space="preserve"> building</w:t>
      </w:r>
      <w:r w:rsidR="009021EE">
        <w:t xml:space="preserve"> (</w:t>
      </w:r>
      <w:proofErr w:type="spellStart"/>
      <w:r w:rsidR="009021EE">
        <w:t>Mcfarlane</w:t>
      </w:r>
      <w:proofErr w:type="spellEnd"/>
      <w:r w:rsidR="005425E0">
        <w:t>,</w:t>
      </w:r>
      <w:r w:rsidR="009021EE">
        <w:t xml:space="preserve"> 2019). </w:t>
      </w:r>
      <w:r w:rsidR="002B5797">
        <w:t>The ‘poor door</w:t>
      </w:r>
      <w:r w:rsidR="002B6681">
        <w:t>’</w:t>
      </w:r>
      <w:r w:rsidR="002B5797">
        <w:t xml:space="preserve"> </w:t>
      </w:r>
      <w:r w:rsidR="00001D5A">
        <w:t>r</w:t>
      </w:r>
      <w:r w:rsidR="00B27292">
        <w:t>egulate</w:t>
      </w:r>
      <w:r w:rsidR="00001D5A">
        <w:t>s</w:t>
      </w:r>
      <w:r w:rsidR="00B27292">
        <w:t xml:space="preserve"> urban spaces according to the logic of the wealthy, which in turn is reinforced by the protection of private property and the ‘threshold’ by the state.</w:t>
      </w:r>
      <w:r w:rsidR="00DA6A1A">
        <w:t xml:space="preserve"> </w:t>
      </w:r>
      <w:r w:rsidR="005E598E">
        <w:t>It presents a site at which the local community is excluded, positioning the door as an intrinsic part of capitalism</w:t>
      </w:r>
      <w:r w:rsidR="00653862">
        <w:t>’</w:t>
      </w:r>
      <w:r w:rsidR="005E598E">
        <w:t xml:space="preserve">s control over access to space. The door </w:t>
      </w:r>
      <w:r w:rsidR="00001D5A">
        <w:t xml:space="preserve">as an architectural </w:t>
      </w:r>
      <w:proofErr w:type="spellStart"/>
      <w:r w:rsidR="00001D5A">
        <w:t>form</w:t>
      </w:r>
      <w:proofErr w:type="spellEnd"/>
      <w:r w:rsidR="00001D5A">
        <w:t xml:space="preserve"> provides</w:t>
      </w:r>
      <w:r w:rsidR="00B27292">
        <w:t xml:space="preserve"> a mechanism </w:t>
      </w:r>
      <w:r w:rsidR="005E598E">
        <w:t>through which</w:t>
      </w:r>
      <w:r w:rsidR="00B27292">
        <w:t xml:space="preserve"> </w:t>
      </w:r>
      <w:r w:rsidR="007F56A8">
        <w:t xml:space="preserve">class-based categories are both maintained and reinforced, as </w:t>
      </w:r>
      <w:r w:rsidR="005E598E">
        <w:t>it</w:t>
      </w:r>
      <w:r w:rsidR="007F56A8">
        <w:t xml:space="preserve"> becomes the physical site at which class structures are designated and </w:t>
      </w:r>
      <w:r w:rsidR="002B6681">
        <w:t xml:space="preserve">ritually </w:t>
      </w:r>
      <w:r w:rsidR="007F56A8">
        <w:t>performed</w:t>
      </w:r>
      <w:r w:rsidR="00BC099D">
        <w:t>.</w:t>
      </w:r>
      <w:r w:rsidR="00B27292">
        <w:t xml:space="preserve"> </w:t>
      </w:r>
    </w:p>
    <w:p w14:paraId="14034F8B" w14:textId="1145B39B" w:rsidR="00442C3D" w:rsidRDefault="00442C3D" w:rsidP="00DF4CEF">
      <w:pPr>
        <w:pStyle w:val="Newparagraph"/>
        <w:ind w:firstLine="709"/>
      </w:pPr>
      <w:r w:rsidRPr="00442C3D">
        <w:t xml:space="preserve">What emerges from the various ritual </w:t>
      </w:r>
      <w:r w:rsidR="0000531B">
        <w:t xml:space="preserve">and social </w:t>
      </w:r>
      <w:r w:rsidRPr="00442C3D">
        <w:t xml:space="preserve">interactions we have with </w:t>
      </w:r>
      <w:r w:rsidR="0000531B">
        <w:t xml:space="preserve">the </w:t>
      </w:r>
      <w:r w:rsidR="000673EB">
        <w:t>‘</w:t>
      </w:r>
      <w:r w:rsidRPr="00442C3D">
        <w:t>door</w:t>
      </w:r>
      <w:r w:rsidR="000673EB">
        <w:t>’</w:t>
      </w:r>
      <w:r w:rsidRPr="00442C3D">
        <w:t xml:space="preserve"> are the ways in which intimate architectural spaces serve to regulate and structure social and political relations</w:t>
      </w:r>
      <w:r w:rsidR="0000531B">
        <w:t xml:space="preserve">. It presents the power of the ‘door’ to </w:t>
      </w:r>
      <w:r w:rsidR="003F3F42">
        <w:t>facilitate</w:t>
      </w:r>
      <w:r w:rsidR="0000531B">
        <w:t xml:space="preserve"> public interactions with the built environment, whether that be to </w:t>
      </w:r>
      <w:r w:rsidR="007F56A8">
        <w:t>set aside</w:t>
      </w:r>
      <w:r w:rsidR="0000531B">
        <w:t xml:space="preserve"> ‘waste’</w:t>
      </w:r>
      <w:r w:rsidR="007F56A8">
        <w:t xml:space="preserve">; cast out </w:t>
      </w:r>
      <w:r w:rsidR="0000531B">
        <w:t>evil spirits</w:t>
      </w:r>
      <w:r w:rsidR="007F56A8">
        <w:t>;</w:t>
      </w:r>
      <w:r w:rsidR="0000531B">
        <w:t xml:space="preserve"> </w:t>
      </w:r>
      <w:r w:rsidR="007F56A8">
        <w:t xml:space="preserve">or signify and </w:t>
      </w:r>
      <w:r w:rsidR="00BC099D">
        <w:t>segregate</w:t>
      </w:r>
      <w:r w:rsidR="007F56A8">
        <w:t xml:space="preserve"> the poor</w:t>
      </w:r>
      <w:r w:rsidR="000673EB">
        <w:t>. The</w:t>
      </w:r>
      <w:r w:rsidR="003F3F42">
        <w:t xml:space="preserve"> door comes to </w:t>
      </w:r>
      <w:r w:rsidR="00DF4CEF">
        <w:t>signify</w:t>
      </w:r>
      <w:r w:rsidR="003F3F42">
        <w:t xml:space="preserve"> a locus of struggle, as it </w:t>
      </w:r>
      <w:r w:rsidR="00DF4CEF">
        <w:t>represents</w:t>
      </w:r>
      <w:r w:rsidR="003F3F42">
        <w:t xml:space="preserve"> a site of religious, </w:t>
      </w:r>
      <w:proofErr w:type="gramStart"/>
      <w:r w:rsidR="003F3F42">
        <w:t>capitalistic</w:t>
      </w:r>
      <w:proofErr w:type="gramEnd"/>
      <w:r w:rsidR="003F3F42">
        <w:t xml:space="preserve"> and social control over space.</w:t>
      </w:r>
      <w:r w:rsidR="00DF4CEF">
        <w:t xml:space="preserve"> </w:t>
      </w:r>
      <w:r w:rsidRPr="00442C3D">
        <w:t xml:space="preserve">This reinforces the door as a site of valuable interest to geographers, as it becomes a space of </w:t>
      </w:r>
      <w:r w:rsidR="00BC099D">
        <w:t>(</w:t>
      </w:r>
      <w:proofErr w:type="spellStart"/>
      <w:r w:rsidR="00BC099D">
        <w:t>im</w:t>
      </w:r>
      <w:proofErr w:type="spellEnd"/>
      <w:r w:rsidR="00BC099D">
        <w:t>)</w:t>
      </w:r>
      <w:r w:rsidRPr="00442C3D">
        <w:t xml:space="preserve">mobility and exclusion, </w:t>
      </w:r>
      <w:r w:rsidR="0000531B">
        <w:t xml:space="preserve">its power to exclude </w:t>
      </w:r>
      <w:r w:rsidR="000673EB">
        <w:t>underpinned</w:t>
      </w:r>
      <w:r w:rsidRPr="00442C3D">
        <w:t xml:space="preserve"> through ritual acts of performance. </w:t>
      </w:r>
    </w:p>
    <w:p w14:paraId="5E0F36A0" w14:textId="50F7CC46" w:rsidR="00442C3D" w:rsidRDefault="007F56A8" w:rsidP="00442C3D">
      <w:pPr>
        <w:pStyle w:val="Heading1"/>
      </w:pPr>
      <w:r>
        <w:t>Body</w:t>
      </w:r>
    </w:p>
    <w:p w14:paraId="08AF7BA2" w14:textId="6C3520C2" w:rsidR="00442C3D" w:rsidRDefault="00442C3D" w:rsidP="00442C3D">
      <w:pPr>
        <w:pStyle w:val="Paragraph"/>
      </w:pPr>
      <w:r w:rsidRPr="00442C3D">
        <w:t>Like performativity the body has also been a major concept in understanding our experiences of built space within architectural geography (</w:t>
      </w:r>
      <w:proofErr w:type="spellStart"/>
      <w:r w:rsidRPr="00442C3D">
        <w:t>Kraftl</w:t>
      </w:r>
      <w:proofErr w:type="spellEnd"/>
      <w:r w:rsidRPr="00442C3D">
        <w:t xml:space="preserve"> </w:t>
      </w:r>
      <w:r w:rsidR="005425E0">
        <w:t>&amp;</w:t>
      </w:r>
      <w:r w:rsidRPr="00442C3D">
        <w:t xml:space="preserve"> Adey</w:t>
      </w:r>
      <w:r w:rsidR="005425E0">
        <w:t>,</w:t>
      </w:r>
      <w:r w:rsidRPr="00442C3D">
        <w:t xml:space="preserve"> 2008). Our bodies a</w:t>
      </w:r>
      <w:r w:rsidR="00864D69">
        <w:t>re</w:t>
      </w:r>
      <w:r w:rsidRPr="00442C3D">
        <w:t xml:space="preserve"> not only moving within architecture but generating spaces produced by and through their movements. Exemplified by writers such as McCormack (2004) and Imrie (2003) who present how our actions become an intrusion of events into architectural space, as architectural forms imply a space for the body to move whilst our body </w:t>
      </w:r>
      <w:r w:rsidR="000A75E8">
        <w:t>shapes</w:t>
      </w:r>
      <w:r w:rsidRPr="00442C3D">
        <w:t xml:space="preserve"> </w:t>
      </w:r>
      <w:r w:rsidRPr="00442C3D">
        <w:lastRenderedPageBreak/>
        <w:t>what form architectural space can take (McCormack</w:t>
      </w:r>
      <w:r w:rsidR="005425E0">
        <w:t>,</w:t>
      </w:r>
      <w:r w:rsidRPr="00442C3D">
        <w:t xml:space="preserve"> 2004). </w:t>
      </w:r>
      <w:r w:rsidR="000A75E8">
        <w:t>A</w:t>
      </w:r>
      <w:r w:rsidRPr="00442C3D">
        <w:t>t the same time different bodies are afforded different statuses based on how architecture and the built environment is structured, and whose ‘body’ is deemed ‘appropriate’ (Adey</w:t>
      </w:r>
      <w:r w:rsidR="005425E0">
        <w:t>,</w:t>
      </w:r>
      <w:r w:rsidRPr="00442C3D">
        <w:t xml:space="preserve"> 2008). Building upon these ideas, this section uses the rhetoric of the ‘door’ to engage with ideas of the ‘body’ and how it shapes our understanding and engagement with interior spaces of the </w:t>
      </w:r>
      <w:r w:rsidR="00BC099D" w:rsidRPr="00442C3D">
        <w:t>home</w:t>
      </w:r>
      <w:r w:rsidR="00BC099D">
        <w:t>,</w:t>
      </w:r>
      <w:r w:rsidRPr="00442C3D">
        <w:t xml:space="preserve"> politics, </w:t>
      </w:r>
      <w:r w:rsidR="00BC099D">
        <w:t>the female body</w:t>
      </w:r>
      <w:r w:rsidRPr="00442C3D">
        <w:t xml:space="preserve"> and the non-human. </w:t>
      </w:r>
    </w:p>
    <w:p w14:paraId="1A7CBEB5" w14:textId="7E20548E" w:rsidR="00442C3D" w:rsidRPr="00442C3D" w:rsidRDefault="00442C3D" w:rsidP="000673EB">
      <w:pPr>
        <w:pStyle w:val="Newparagraph"/>
      </w:pPr>
      <w:r w:rsidRPr="00442C3D">
        <w:t>Historically the symbolic significance of the ‘door’ has played a part in shaping artistic expression and cultural practice. The house has long been a universal metaphor for the person and the body, as Vickery (2008) highlights in her essay on boundaries in 18</w:t>
      </w:r>
      <w:r w:rsidRPr="00442C3D">
        <w:rPr>
          <w:vertAlign w:val="superscript"/>
        </w:rPr>
        <w:t>th</w:t>
      </w:r>
      <w:r w:rsidRPr="00442C3D">
        <w:t xml:space="preserve"> century London, the doorway, windows, </w:t>
      </w:r>
      <w:proofErr w:type="gramStart"/>
      <w:r w:rsidRPr="00442C3D">
        <w:t>chimney</w:t>
      </w:r>
      <w:proofErr w:type="gramEnd"/>
      <w:r w:rsidRPr="00442C3D">
        <w:t xml:space="preserve"> and hearth all become bodily orifices. Conversely the body itself has also been equated to spaces of the threshold as Luce </w:t>
      </w:r>
      <w:proofErr w:type="spellStart"/>
      <w:r w:rsidRPr="00442C3D">
        <w:t>Irigaray's</w:t>
      </w:r>
      <w:proofErr w:type="spellEnd"/>
      <w:r w:rsidRPr="00442C3D">
        <w:t xml:space="preserve"> (1993</w:t>
      </w:r>
      <w:r w:rsidR="005425E0" w:rsidRPr="005425E0">
        <w:t xml:space="preserve"> </w:t>
      </w:r>
      <w:r w:rsidR="005425E0" w:rsidRPr="00442C3D">
        <w:t>p</w:t>
      </w:r>
      <w:r w:rsidR="005425E0">
        <w:t>.</w:t>
      </w:r>
      <w:r w:rsidR="005425E0" w:rsidRPr="00442C3D">
        <w:t>98</w:t>
      </w:r>
      <w:r w:rsidRPr="00442C3D">
        <w:t>) reflections that man ‘does not even remember the fact that his body is the threshold, the portal, for the construction of his universe or universes’.</w:t>
      </w:r>
      <w:r w:rsidR="000673EB">
        <w:t xml:space="preserve"> </w:t>
      </w:r>
      <w:r w:rsidRPr="00442C3D">
        <w:t xml:space="preserve">Whilst the carved doors of the Igbo in south-eastern Nigeria offer another example of how doors represent a physical extension of the human body or family. Made of oak panels each Igbo door is unique, hand carved with numerous patterns depicting diamonds, </w:t>
      </w:r>
      <w:proofErr w:type="gramStart"/>
      <w:r w:rsidRPr="00442C3D">
        <w:t>squares</w:t>
      </w:r>
      <w:proofErr w:type="gramEnd"/>
      <w:r w:rsidRPr="00442C3D">
        <w:t xml:space="preserve"> and rectangles. Such designs upon the ‘door’ are a means to publicly proclaim the status of those within, or notable elders of titled rank (</w:t>
      </w:r>
      <w:proofErr w:type="spellStart"/>
      <w:r w:rsidRPr="00442C3D">
        <w:t>Neaher</w:t>
      </w:r>
      <w:proofErr w:type="spellEnd"/>
      <w:r w:rsidR="005425E0">
        <w:t>,</w:t>
      </w:r>
      <w:r w:rsidRPr="00442C3D">
        <w:t xml:space="preserve"> 1981). They also come to suggest the ideal physical and spiritual state of the family inside as the carved doors are seen as the ‘skin’ of the household as the carvings provide a means to make the family visible to the community (</w:t>
      </w:r>
      <w:proofErr w:type="spellStart"/>
      <w:r w:rsidRPr="00442C3D">
        <w:t>Neaher</w:t>
      </w:r>
      <w:proofErr w:type="spellEnd"/>
      <w:r w:rsidR="005425E0">
        <w:t>,</w:t>
      </w:r>
      <w:r w:rsidRPr="00442C3D">
        <w:t xml:space="preserve"> 1981). Linking the materiality of the ‘door’ with that of the body as it becomes an ‘organ’ in the smooth running of family life, making </w:t>
      </w:r>
      <w:r w:rsidR="00BC099D">
        <w:t xml:space="preserve">the </w:t>
      </w:r>
      <w:r w:rsidRPr="00442C3D">
        <w:t xml:space="preserve">politics of the body explicit on the ‘doors’ surface. </w:t>
      </w:r>
      <w:r w:rsidR="00BC099D">
        <w:t>This reinforces</w:t>
      </w:r>
      <w:r w:rsidRPr="00442C3D">
        <w:t xml:space="preserve"> </w:t>
      </w:r>
      <w:r w:rsidR="00BC099D">
        <w:t xml:space="preserve">how </w:t>
      </w:r>
      <w:r w:rsidRPr="00442C3D">
        <w:t xml:space="preserve">each doorway </w:t>
      </w:r>
      <w:r w:rsidR="00BC099D">
        <w:t>is</w:t>
      </w:r>
      <w:r w:rsidRPr="00442C3D">
        <w:t xml:space="preserve"> a unique assemblage of material and human characteristics which serve to concretise particular bodily histories, material cultures and memories.</w:t>
      </w:r>
    </w:p>
    <w:p w14:paraId="3EACD795" w14:textId="1BDCF52C" w:rsidR="00442C3D" w:rsidRPr="00442C3D" w:rsidRDefault="00442C3D" w:rsidP="00442C3D">
      <w:pPr>
        <w:pStyle w:val="Newparagraph"/>
      </w:pPr>
      <w:r w:rsidRPr="00442C3D">
        <w:lastRenderedPageBreak/>
        <w:t>Typically, it is the female body that the ‘door’ and its subsequent imagery has come to symbolise, as Freud (1959) has suggested the penetration into narrow spaces and the opening of closed doors are among some of the more common sexual symbols. Moore (1981) reflects on this point, highlighting Salvador Dali as mirroring such ideas with works such as ‘The Font’, ‘Memory of the Child Woman’, and the ‘Surrealist Poster’. Each uses keys or doors as a means to represent a part of the subconscious mind or body (Moore</w:t>
      </w:r>
      <w:r w:rsidR="005425E0">
        <w:t>,</w:t>
      </w:r>
      <w:r w:rsidRPr="00442C3D">
        <w:t xml:space="preserve"> 1981). In particular ‘The Anthropomorphic Cabinet’ by Dali (1936) shows this more explicitly as the female body is reduced to a set of drawers, the loin having a keyhole. Other artwork such as the ‘The Morning Toilet’ by Jan Steen (1663) also serves to objectify the female body, using the ‘door’ as a frame for voyeurism. It depicts an open ‘door’ in which you can see a woman getting dressed, becoming a site of male control and female objectification (</w:t>
      </w:r>
      <w:proofErr w:type="spellStart"/>
      <w:r w:rsidRPr="00442C3D">
        <w:t>Siegert</w:t>
      </w:r>
      <w:proofErr w:type="spellEnd"/>
      <w:r w:rsidR="005425E0">
        <w:t>,</w:t>
      </w:r>
      <w:r w:rsidRPr="00442C3D">
        <w:t xml:space="preserve"> 2015). Both images also make explicit that whoever controls the ‘door’ or ‘keyhole’ has control over the female body. A point also raised by Vickery (2008) as she highlights how the lock and key were tools of domestic control, as despotic husbands liked to play jailer, locking women in or out in campaigns of abuse. Thus the ‘door’ and its connection to the domestic sphere make it a space of male control, </w:t>
      </w:r>
      <w:proofErr w:type="gramStart"/>
      <w:r w:rsidRPr="00442C3D">
        <w:t>domesticity</w:t>
      </w:r>
      <w:proofErr w:type="gramEnd"/>
      <w:r w:rsidRPr="00442C3D">
        <w:t xml:space="preserve"> and sexuality. </w:t>
      </w:r>
    </w:p>
    <w:p w14:paraId="07D740F4" w14:textId="27F72CD0" w:rsidR="00442C3D" w:rsidRPr="00442C3D" w:rsidRDefault="00442C3D" w:rsidP="00180E75">
      <w:pPr>
        <w:pStyle w:val="Newparagraph"/>
      </w:pPr>
      <w:r w:rsidRPr="00442C3D">
        <w:t xml:space="preserve">The interrelationship between ‘door’ and body also extends beyond symbolic and artistic representation. Vickery </w:t>
      </w:r>
      <w:r w:rsidR="00BC099D">
        <w:t xml:space="preserve">(2008) </w:t>
      </w:r>
      <w:r w:rsidRPr="00442C3D">
        <w:t>highlights how ink thrown on windows and excrement daubed on the ‘door’ were seen as visceral attacks on the person during the 18</w:t>
      </w:r>
      <w:r w:rsidRPr="00442C3D">
        <w:rPr>
          <w:vertAlign w:val="superscript"/>
        </w:rPr>
        <w:t>th</w:t>
      </w:r>
      <w:r w:rsidRPr="00442C3D">
        <w:t xml:space="preserve"> century. </w:t>
      </w:r>
      <w:r w:rsidR="000673EB">
        <w:t>Therefore</w:t>
      </w:r>
      <w:r w:rsidRPr="00442C3D">
        <w:t>, the physical act of marking or inscribing the ‘door’ can be seen to constitute an attack on the individual body. Such ideas mirror a number of historical precedents</w:t>
      </w:r>
      <w:r w:rsidR="000A75E8">
        <w:t>;</w:t>
      </w:r>
      <w:r w:rsidRPr="00442C3D">
        <w:t xml:space="preserve"> through Nazi inscription of Jewish doors with swastikas and propaganda</w:t>
      </w:r>
      <w:r w:rsidR="000A75E8">
        <w:t>;</w:t>
      </w:r>
      <w:r w:rsidRPr="00442C3D">
        <w:t xml:space="preserve"> the marking of the doors of plague victims with a red cross in the 17</w:t>
      </w:r>
      <w:r w:rsidRPr="00442C3D">
        <w:rPr>
          <w:vertAlign w:val="superscript"/>
        </w:rPr>
        <w:t>th</w:t>
      </w:r>
      <w:r w:rsidRPr="00442C3D">
        <w:t xml:space="preserve"> century (MOL</w:t>
      </w:r>
      <w:r w:rsidR="005425E0">
        <w:t>,</w:t>
      </w:r>
      <w:r w:rsidRPr="00442C3D">
        <w:t xml:space="preserve"> 2011)</w:t>
      </w:r>
      <w:r w:rsidR="000A75E8">
        <w:t>;</w:t>
      </w:r>
      <w:r w:rsidRPr="00442C3D">
        <w:t xml:space="preserve"> to biblical accounts of the Israelites putting lambs blood on their doors during </w:t>
      </w:r>
      <w:r w:rsidRPr="00442C3D">
        <w:lastRenderedPageBreak/>
        <w:t xml:space="preserve">the first Passover in Egypt to protect them from God’s judgement. Each example serves to demarcate the ‘other’, as the ‘door’ and the boundary it marks becomes physically inscribed. This inscription </w:t>
      </w:r>
      <w:r w:rsidR="000A75E8">
        <w:t>reinforcing</w:t>
      </w:r>
      <w:r w:rsidRPr="00442C3D">
        <w:t xml:space="preserve"> the exclusive boundary the ‘door’ provides by making its politics explicit. A more recent example is depicted in The Telegraph</w:t>
      </w:r>
      <w:r w:rsidR="00566C49">
        <w:t xml:space="preserve"> (Brewer</w:t>
      </w:r>
      <w:r w:rsidR="005425E0">
        <w:t>,</w:t>
      </w:r>
      <w:r w:rsidR="00566C49">
        <w:t xml:space="preserve"> 2016)</w:t>
      </w:r>
      <w:r w:rsidRPr="00442C3D">
        <w:t xml:space="preserve">, as asylum seekers in Middlesbrough became the victim of similar segregation. A G4S associated housing firm became the target of sharp critique for painting the doors of asylum seeker properties red (they justified this as a means of rapidly locating the properties). Yet like the other examples the extension of the ‘door’ beyond its material, architectural space to the site of the body, marked the asylum seekers as ‘the other’ opening them up to stigma from racist communities. </w:t>
      </w:r>
      <w:r w:rsidR="00455E2D">
        <w:t xml:space="preserve">This also reflects the earlier example of ‘poor doors’, whereby ‘poor bodies’ are marked out as ‘other’ by only being able to access their homes </w:t>
      </w:r>
      <w:r w:rsidR="00BC099D">
        <w:t>through</w:t>
      </w:r>
      <w:r w:rsidR="00455E2D">
        <w:t xml:space="preserve"> specific entrances that segregate</w:t>
      </w:r>
      <w:r w:rsidR="00BC099D">
        <w:t>d</w:t>
      </w:r>
      <w:r w:rsidR="00455E2D">
        <w:t xml:space="preserve"> them from richer residents (</w:t>
      </w:r>
      <w:r w:rsidR="00BC099D">
        <w:t xml:space="preserve">Wall </w:t>
      </w:r>
      <w:r w:rsidR="005425E0">
        <w:t>&amp;</w:t>
      </w:r>
      <w:r w:rsidR="00BC099D">
        <w:t xml:space="preserve"> </w:t>
      </w:r>
      <w:r w:rsidR="00455E2D">
        <w:t>Osborne</w:t>
      </w:r>
      <w:r w:rsidR="005425E0">
        <w:t>,</w:t>
      </w:r>
      <w:r w:rsidR="00455E2D">
        <w:t xml:space="preserve"> 2014).</w:t>
      </w:r>
      <w:r w:rsidR="00180E75">
        <w:t xml:space="preserve"> </w:t>
      </w:r>
      <w:r w:rsidR="00F2573E">
        <w:t xml:space="preserve">This </w:t>
      </w:r>
      <w:r w:rsidR="000673EB">
        <w:t>highlights</w:t>
      </w:r>
      <w:r w:rsidR="00180E75">
        <w:t xml:space="preserve"> how the door becomes a site of both class and racial segregation, as cost cutting exercises in the name of capital accumulation serve to demarcate the ‘other’ and stigmatise those within.</w:t>
      </w:r>
      <w:r w:rsidR="00455E2D">
        <w:t xml:space="preserve"> </w:t>
      </w:r>
      <w:r w:rsidRPr="00442C3D">
        <w:t>This further reinforces the ‘door’ as a metaphor and physical extension of the human body</w:t>
      </w:r>
      <w:r w:rsidR="00180E75">
        <w:t>.</w:t>
      </w:r>
      <w:r w:rsidRPr="00442C3D">
        <w:t xml:space="preserve"> Each example </w:t>
      </w:r>
      <w:r w:rsidR="00F2573E">
        <w:t>emphasises</w:t>
      </w:r>
      <w:r w:rsidRPr="00442C3D">
        <w:t xml:space="preserve"> how the boundary the ‘door’ implies or physically creates becomes a site of power struggle, where those who are marked as the ‘other’ become objectified, </w:t>
      </w:r>
      <w:proofErr w:type="gramStart"/>
      <w:r w:rsidRPr="00442C3D">
        <w:t>contained</w:t>
      </w:r>
      <w:proofErr w:type="gramEnd"/>
      <w:r w:rsidRPr="00442C3D">
        <w:t xml:space="preserve"> and repressed. </w:t>
      </w:r>
    </w:p>
    <w:p w14:paraId="67E3919A" w14:textId="25E43CE9" w:rsidR="00442C3D" w:rsidRPr="00442C3D" w:rsidRDefault="00442C3D" w:rsidP="00442C3D">
      <w:pPr>
        <w:pStyle w:val="Newparagraph"/>
        <w:rPr>
          <w:lang w:val="en-US"/>
        </w:rPr>
      </w:pPr>
      <w:r w:rsidRPr="00442C3D">
        <w:t>Considering our bodi</w:t>
      </w:r>
      <w:r w:rsidR="00F2573E">
        <w:t>ly</w:t>
      </w:r>
      <w:r w:rsidRPr="00442C3D">
        <w:t xml:space="preserve"> engage</w:t>
      </w:r>
      <w:r w:rsidR="00F2573E">
        <w:t>ment</w:t>
      </w:r>
      <w:r w:rsidRPr="00442C3D">
        <w:t xml:space="preserve"> with the site of the ‘door’ is also an important understanding in defining the role of ‘doors’ in our lives. In one sense opening a ‘door’ presents us with a moment of unknown physical expenditure, as getting inside means grabbing, leaning, and pulling. The door handle is the site of our </w:t>
      </w:r>
      <w:r w:rsidR="00F2573E">
        <w:t>physical</w:t>
      </w:r>
      <w:r w:rsidRPr="00442C3D">
        <w:t xml:space="preserve"> </w:t>
      </w:r>
      <w:r w:rsidR="00F2573E">
        <w:t>meeting</w:t>
      </w:r>
      <w:r w:rsidRPr="00442C3D">
        <w:t xml:space="preserve"> with architecture, the moment when we guess the weight of the door and adjust our touch accordingly (</w:t>
      </w:r>
      <w:proofErr w:type="spellStart"/>
      <w:r w:rsidRPr="00442C3D">
        <w:t>Pizzi</w:t>
      </w:r>
      <w:proofErr w:type="spellEnd"/>
      <w:r w:rsidR="005425E0">
        <w:t>,</w:t>
      </w:r>
      <w:r w:rsidRPr="00442C3D">
        <w:t xml:space="preserve"> 2003). This links with much of the literature on </w:t>
      </w:r>
      <w:r w:rsidRPr="00442C3D">
        <w:lastRenderedPageBreak/>
        <w:t>performance, as the ‘door’ comes to imply a sense of movement as someone crosses its frame (McCormack</w:t>
      </w:r>
      <w:r w:rsidR="005425E0">
        <w:t>,</w:t>
      </w:r>
      <w:r w:rsidRPr="00442C3D">
        <w:t xml:space="preserve"> 2004). The ‘door’ becomes a space of </w:t>
      </w:r>
      <w:r w:rsidR="008222DE">
        <w:t>(</w:t>
      </w:r>
      <w:proofErr w:type="spellStart"/>
      <w:r w:rsidR="008222DE">
        <w:t>im</w:t>
      </w:r>
      <w:proofErr w:type="spellEnd"/>
      <w:r w:rsidR="008222DE">
        <w:t>)</w:t>
      </w:r>
      <w:r w:rsidRPr="00442C3D">
        <w:t xml:space="preserve">mobility as our body attempts to navigate the space of the ‘door’ and the other bodies around it. Yet this </w:t>
      </w:r>
      <w:r w:rsidR="009E2892">
        <w:t>bodily interaction</w:t>
      </w:r>
      <w:r w:rsidRPr="00442C3D">
        <w:t xml:space="preserve"> with doors has not remained the same, in recent years this has changed along with how we view our ‘bodies’. </w:t>
      </w:r>
      <w:r w:rsidRPr="00442C3D">
        <w:rPr>
          <w:lang w:val="en-US"/>
        </w:rPr>
        <w:t xml:space="preserve">The revolving door is a case in point, pioneered by Van </w:t>
      </w:r>
      <w:proofErr w:type="spellStart"/>
      <w:r w:rsidRPr="00442C3D">
        <w:rPr>
          <w:lang w:val="en-US"/>
        </w:rPr>
        <w:t>Kannel</w:t>
      </w:r>
      <w:proofErr w:type="spellEnd"/>
      <w:r w:rsidRPr="00442C3D">
        <w:rPr>
          <w:lang w:val="en-US"/>
        </w:rPr>
        <w:t xml:space="preserve"> in 1888, it offered a means to regulate both airflow and traffic in high rise buildings (</w:t>
      </w:r>
      <w:proofErr w:type="spellStart"/>
      <w:r w:rsidRPr="00442C3D">
        <w:rPr>
          <w:lang w:val="en-US"/>
        </w:rPr>
        <w:t>Siegert</w:t>
      </w:r>
      <w:proofErr w:type="spellEnd"/>
      <w:r w:rsidR="005425E0">
        <w:rPr>
          <w:lang w:val="en-US"/>
        </w:rPr>
        <w:t>,</w:t>
      </w:r>
      <w:r w:rsidRPr="00442C3D">
        <w:rPr>
          <w:lang w:val="en-US"/>
        </w:rPr>
        <w:t xml:space="preserve"> 2015). In turn the revolving door serves to control and regulate </w:t>
      </w:r>
      <w:r w:rsidR="00455E2D">
        <w:rPr>
          <w:lang w:val="en-US"/>
        </w:rPr>
        <w:t>which</w:t>
      </w:r>
      <w:r w:rsidRPr="00442C3D">
        <w:rPr>
          <w:lang w:val="en-US"/>
        </w:rPr>
        <w:t xml:space="preserve"> ‘</w:t>
      </w:r>
      <w:proofErr w:type="gramStart"/>
      <w:r w:rsidR="00455E2D" w:rsidRPr="00442C3D">
        <w:rPr>
          <w:lang w:val="en-US"/>
        </w:rPr>
        <w:t>bodies</w:t>
      </w:r>
      <w:r w:rsidR="00455E2D">
        <w:rPr>
          <w:lang w:val="en-US"/>
        </w:rPr>
        <w:t>’</w:t>
      </w:r>
      <w:proofErr w:type="gramEnd"/>
      <w:r w:rsidRPr="00442C3D">
        <w:rPr>
          <w:lang w:val="en-US"/>
        </w:rPr>
        <w:t xml:space="preserve"> could come inside or outside. </w:t>
      </w:r>
      <w:bookmarkStart w:id="12" w:name="_Hlk33453688"/>
      <w:r w:rsidRPr="00442C3D">
        <w:rPr>
          <w:lang w:val="en-US"/>
        </w:rPr>
        <w:t>Threshold architecture became embedded in notions of the ‘dwelling’ as a ‘machine for living’ (</w:t>
      </w:r>
      <w:proofErr w:type="spellStart"/>
      <w:r w:rsidRPr="00442C3D">
        <w:rPr>
          <w:lang w:val="en-US"/>
        </w:rPr>
        <w:t>Teyssot</w:t>
      </w:r>
      <w:proofErr w:type="spellEnd"/>
      <w:r w:rsidR="005425E0">
        <w:rPr>
          <w:lang w:val="en-US"/>
        </w:rPr>
        <w:t>,</w:t>
      </w:r>
      <w:r w:rsidRPr="00442C3D">
        <w:rPr>
          <w:lang w:val="en-US"/>
        </w:rPr>
        <w:t xml:space="preserve"> 2008), a politics of the 19</w:t>
      </w:r>
      <w:r w:rsidRPr="00442C3D">
        <w:rPr>
          <w:vertAlign w:val="superscript"/>
          <w:lang w:val="en-US"/>
        </w:rPr>
        <w:t>th</w:t>
      </w:r>
      <w:r w:rsidRPr="00442C3D">
        <w:rPr>
          <w:lang w:val="en-US"/>
        </w:rPr>
        <w:t xml:space="preserve"> and 20</w:t>
      </w:r>
      <w:r w:rsidRPr="00442C3D">
        <w:rPr>
          <w:vertAlign w:val="superscript"/>
          <w:lang w:val="en-US"/>
        </w:rPr>
        <w:t>th</w:t>
      </w:r>
      <w:r w:rsidRPr="00442C3D">
        <w:rPr>
          <w:lang w:val="en-US"/>
        </w:rPr>
        <w:t xml:space="preserve"> century which so</w:t>
      </w:r>
      <w:r w:rsidR="003D0074">
        <w:rPr>
          <w:lang w:val="en-US"/>
        </w:rPr>
        <w:t>ught</w:t>
      </w:r>
      <w:r w:rsidRPr="00442C3D">
        <w:rPr>
          <w:lang w:val="en-US"/>
        </w:rPr>
        <w:t xml:space="preserve"> to regulate architecture as a means of structuring the user’s activities</w:t>
      </w:r>
      <w:bookmarkEnd w:id="12"/>
      <w:r w:rsidRPr="00442C3D">
        <w:rPr>
          <w:lang w:val="en-US"/>
        </w:rPr>
        <w:t xml:space="preserve">.  Its prolific use in metropolitan hotels and high-rise buildings </w:t>
      </w:r>
      <w:r w:rsidR="009E2892">
        <w:rPr>
          <w:lang w:val="en-US"/>
        </w:rPr>
        <w:t>created</w:t>
      </w:r>
      <w:r w:rsidRPr="00442C3D">
        <w:rPr>
          <w:lang w:val="en-US"/>
        </w:rPr>
        <w:t xml:space="preserve"> a bio-political device for managing humans in motion (</w:t>
      </w:r>
      <w:proofErr w:type="spellStart"/>
      <w:r w:rsidRPr="00442C3D">
        <w:rPr>
          <w:lang w:val="en-US"/>
        </w:rPr>
        <w:t>Siegert</w:t>
      </w:r>
      <w:proofErr w:type="spellEnd"/>
      <w:r w:rsidR="005425E0">
        <w:rPr>
          <w:lang w:val="en-US"/>
        </w:rPr>
        <w:t>,</w:t>
      </w:r>
      <w:r w:rsidRPr="00442C3D">
        <w:rPr>
          <w:lang w:val="en-US"/>
        </w:rPr>
        <w:t xml:space="preserve"> 2015). Its politics becomes more explicit when you consider the number of accidents recorded each year as a result of the revolving door, as </w:t>
      </w:r>
      <w:proofErr w:type="spellStart"/>
      <w:r w:rsidRPr="00442C3D">
        <w:rPr>
          <w:lang w:val="en-US"/>
        </w:rPr>
        <w:t>Stalder</w:t>
      </w:r>
      <w:proofErr w:type="spellEnd"/>
      <w:r w:rsidRPr="00442C3D">
        <w:rPr>
          <w:lang w:val="en-US"/>
        </w:rPr>
        <w:t xml:space="preserve"> (2009) notes that the victims were frequently elderly, or very young, therefore signaling those not meeting the requirements of the ‘idealized male body’. This suggests that perceptions of what was </w:t>
      </w:r>
      <w:r w:rsidR="00844DA8">
        <w:rPr>
          <w:lang w:val="en-US"/>
        </w:rPr>
        <w:t>perceived</w:t>
      </w:r>
      <w:r w:rsidRPr="00442C3D">
        <w:rPr>
          <w:lang w:val="en-US"/>
        </w:rPr>
        <w:t xml:space="preserve"> as </w:t>
      </w:r>
      <w:r w:rsidR="00844DA8">
        <w:rPr>
          <w:lang w:val="en-US"/>
        </w:rPr>
        <w:t>‘</w:t>
      </w:r>
      <w:r w:rsidRPr="00442C3D">
        <w:rPr>
          <w:lang w:val="en-US"/>
        </w:rPr>
        <w:t>able-bodied</w:t>
      </w:r>
      <w:r w:rsidR="00844DA8">
        <w:rPr>
          <w:lang w:val="en-US"/>
        </w:rPr>
        <w:t>’</w:t>
      </w:r>
      <w:r w:rsidRPr="00442C3D">
        <w:rPr>
          <w:lang w:val="en-US"/>
        </w:rPr>
        <w:t xml:space="preserve"> changed with the ‘</w:t>
      </w:r>
      <w:proofErr w:type="spellStart"/>
      <w:r w:rsidRPr="00442C3D">
        <w:rPr>
          <w:lang w:val="en-US"/>
        </w:rPr>
        <w:t>modernisation</w:t>
      </w:r>
      <w:proofErr w:type="spellEnd"/>
      <w:r w:rsidRPr="00442C3D">
        <w:rPr>
          <w:lang w:val="en-US"/>
        </w:rPr>
        <w:t>’ of threshold architecture. It also facilitated a change in perception of hygiene as it was heralded as a significant contribution in preventing the spread of disease and dirt, arguably producing notions of a more sterile human body that should be shielded from a world of germs (</w:t>
      </w:r>
      <w:proofErr w:type="spellStart"/>
      <w:r w:rsidRPr="00442C3D">
        <w:rPr>
          <w:lang w:val="en-US"/>
        </w:rPr>
        <w:t>Kaghan</w:t>
      </w:r>
      <w:proofErr w:type="spellEnd"/>
      <w:r w:rsidR="005425E0">
        <w:rPr>
          <w:lang w:val="en-US"/>
        </w:rPr>
        <w:t>,</w:t>
      </w:r>
      <w:r w:rsidRPr="00442C3D">
        <w:rPr>
          <w:lang w:val="en-US"/>
        </w:rPr>
        <w:t xml:space="preserve"> 1939). Sliding doors also embody this ‘modernization’ as </w:t>
      </w:r>
      <w:proofErr w:type="spellStart"/>
      <w:r w:rsidRPr="00442C3D">
        <w:rPr>
          <w:lang w:val="en-US"/>
        </w:rPr>
        <w:t>Siegert</w:t>
      </w:r>
      <w:proofErr w:type="spellEnd"/>
      <w:r w:rsidR="005425E0">
        <w:rPr>
          <w:lang w:val="en-US"/>
        </w:rPr>
        <w:t>,</w:t>
      </w:r>
      <w:r w:rsidRPr="00442C3D">
        <w:rPr>
          <w:lang w:val="en-US"/>
        </w:rPr>
        <w:t xml:space="preserve"> (2015) hails them as the signature of an era in which architecture is subject to the dictates of transit rather than the rules of dwelling. Opening and closing these new forms of architecture arguably serves to fragment the uniform body into individualized organs, each specific to a particular task, as a leg activates a light sensor whilst an iris is scanned in the name </w:t>
      </w:r>
      <w:r w:rsidRPr="00442C3D">
        <w:rPr>
          <w:lang w:val="en-US"/>
        </w:rPr>
        <w:lastRenderedPageBreak/>
        <w:t>of biometric control (</w:t>
      </w:r>
      <w:proofErr w:type="spellStart"/>
      <w:r w:rsidRPr="00442C3D">
        <w:rPr>
          <w:lang w:val="en-US"/>
        </w:rPr>
        <w:t>Stalder</w:t>
      </w:r>
      <w:proofErr w:type="spellEnd"/>
      <w:r w:rsidR="005425E0">
        <w:rPr>
          <w:lang w:val="en-US"/>
        </w:rPr>
        <w:t>,</w:t>
      </w:r>
      <w:r w:rsidRPr="00442C3D">
        <w:rPr>
          <w:lang w:val="en-US"/>
        </w:rPr>
        <w:t xml:space="preserve"> 2009). This individuation of experiences makes passage through doors a fragmentary experience. The body becomes part of a cybernetic logic as Lacan (1988) summarizes this relation as one of access and closure; as once the door is open, it closes. When it is closed, it opens. This produces an experience where inside and outside are blurred, emphasizing the liminal character of such threshold spaces as defined borders are reduced to ‘weak’ potential margins. </w:t>
      </w:r>
    </w:p>
    <w:p w14:paraId="14E5ED76" w14:textId="13A9BDE8" w:rsidR="00B01F2F" w:rsidRPr="002B0BF6" w:rsidRDefault="00442C3D" w:rsidP="002B0BF6">
      <w:pPr>
        <w:pStyle w:val="Newparagraph"/>
        <w:rPr>
          <w:lang w:val="en-US"/>
        </w:rPr>
      </w:pPr>
      <w:r w:rsidRPr="00442C3D">
        <w:rPr>
          <w:lang w:val="en-US"/>
        </w:rPr>
        <w:t xml:space="preserve">Yet to discuss the ‘door’ as merely an object, </w:t>
      </w:r>
      <w:proofErr w:type="gramStart"/>
      <w:r w:rsidRPr="00442C3D">
        <w:rPr>
          <w:lang w:val="en-US"/>
        </w:rPr>
        <w:t>metaphor</w:t>
      </w:r>
      <w:proofErr w:type="gramEnd"/>
      <w:r w:rsidRPr="00442C3D">
        <w:rPr>
          <w:lang w:val="en-US"/>
        </w:rPr>
        <w:t xml:space="preserve"> or space that we inscribe or inhabit with our bodies is to deny its power to act upon us as humans. Arguably the ‘door’s’ own materiality and physical characteristics serve to produce its own agency that in turn conditions our bodily engagement with it. Consider work by Latour (1992) as he discusses the hinge. For him the hinge is a crucial invention as it provides a means of opening and closing a door with ease, so you don’t have to knock a hole through a wall each time you want to exit and enter a room. He reflects upon how we have passed down the work involved in providing an opening into a space, as without hinges the effort required to move from room to room would be far greater. He takes this further by highlighting that we have delegated human characteristics of forgetfulness onto the non-human, as the mechanical door closer becomes a means of closing the door automatically for those absent minded enough to leave a door open. This dissolves boundaries between human and non-humans as humans </w:t>
      </w:r>
      <w:r w:rsidR="00001D5A">
        <w:rPr>
          <w:lang w:val="en-US"/>
        </w:rPr>
        <w:t>are</w:t>
      </w:r>
      <w:r w:rsidRPr="00442C3D">
        <w:rPr>
          <w:lang w:val="en-US"/>
        </w:rPr>
        <w:t xml:space="preserve"> reduced to agents of opening (</w:t>
      </w:r>
      <w:proofErr w:type="spellStart"/>
      <w:r w:rsidRPr="00442C3D">
        <w:rPr>
          <w:lang w:val="en-US"/>
        </w:rPr>
        <w:t>Siegert</w:t>
      </w:r>
      <w:proofErr w:type="spellEnd"/>
      <w:r w:rsidR="005425E0">
        <w:rPr>
          <w:lang w:val="en-US"/>
        </w:rPr>
        <w:t>,</w:t>
      </w:r>
      <w:r w:rsidRPr="00442C3D">
        <w:rPr>
          <w:lang w:val="en-US"/>
        </w:rPr>
        <w:t xml:space="preserve"> 2015). Linking with the notions around revolving and sliding doors it is easy to see how technology and components of the door reflect what Latour (1992) describes as an ‘anthropomorphic’ apparatus, as the revolving door or the mechanical door closer, facilitate the replacement of human action as well as in turn shaping human action in a prescriptive manner by restructuring how the human body physically engages with the object (</w:t>
      </w:r>
      <w:proofErr w:type="spellStart"/>
      <w:r w:rsidRPr="00442C3D">
        <w:rPr>
          <w:lang w:val="en-US"/>
        </w:rPr>
        <w:t>Stalder</w:t>
      </w:r>
      <w:proofErr w:type="spellEnd"/>
      <w:r w:rsidR="005425E0">
        <w:rPr>
          <w:lang w:val="en-US"/>
        </w:rPr>
        <w:t>,</w:t>
      </w:r>
      <w:r w:rsidRPr="00442C3D">
        <w:rPr>
          <w:lang w:val="en-US"/>
        </w:rPr>
        <w:t xml:space="preserve"> 2009). This in turn transfers the responsibility for the </w:t>
      </w:r>
      <w:r w:rsidRPr="00442C3D">
        <w:rPr>
          <w:lang w:val="en-US"/>
        </w:rPr>
        <w:lastRenderedPageBreak/>
        <w:t xml:space="preserve">opening and the closing of ‘doors’ from human to machine. This gives the door its own agency, as the door and its associated technologies become equal actors with the human body. These ideas present how the door and the body are deeply interrelated. It </w:t>
      </w:r>
      <w:r w:rsidR="00E362A9">
        <w:rPr>
          <w:lang w:val="en-US"/>
        </w:rPr>
        <w:t>creates</w:t>
      </w:r>
      <w:r w:rsidRPr="00442C3D">
        <w:rPr>
          <w:lang w:val="en-US"/>
        </w:rPr>
        <w:t xml:space="preserve"> an opportunity </w:t>
      </w:r>
      <w:r w:rsidR="00E362A9">
        <w:rPr>
          <w:lang w:val="en-US"/>
        </w:rPr>
        <w:t xml:space="preserve">for us to </w:t>
      </w:r>
      <w:r w:rsidRPr="00442C3D">
        <w:rPr>
          <w:lang w:val="en-US"/>
        </w:rPr>
        <w:t xml:space="preserve">think </w:t>
      </w:r>
      <w:r w:rsidR="00E362A9">
        <w:rPr>
          <w:lang w:val="en-US"/>
        </w:rPr>
        <w:t>about how</w:t>
      </w:r>
      <w:r w:rsidRPr="00442C3D">
        <w:rPr>
          <w:lang w:val="en-US"/>
        </w:rPr>
        <w:t xml:space="preserve"> our bodies</w:t>
      </w:r>
      <w:r w:rsidR="00E362A9">
        <w:rPr>
          <w:lang w:val="en-US"/>
        </w:rPr>
        <w:t xml:space="preserve"> move</w:t>
      </w:r>
      <w:r w:rsidRPr="00442C3D">
        <w:rPr>
          <w:lang w:val="en-US"/>
        </w:rPr>
        <w:t xml:space="preserve"> in the world and the divisions we erect between human and non-human</w:t>
      </w:r>
      <w:r w:rsidR="00E362A9">
        <w:rPr>
          <w:lang w:val="en-US"/>
        </w:rPr>
        <w:t xml:space="preserve">. It shows how through daily use the door comes to structure a distinct body politics which </w:t>
      </w:r>
      <w:r w:rsidRPr="00442C3D">
        <w:rPr>
          <w:lang w:val="en-US"/>
        </w:rPr>
        <w:t xml:space="preserve">is inherently exclusive, where the door becomes a site of </w:t>
      </w:r>
      <w:r w:rsidR="00E362A9">
        <w:rPr>
          <w:lang w:val="en-US"/>
        </w:rPr>
        <w:t>segregation</w:t>
      </w:r>
      <w:r w:rsidRPr="00442C3D">
        <w:rPr>
          <w:lang w:val="en-US"/>
        </w:rPr>
        <w:t xml:space="preserve"> and an extension of bodily difference</w:t>
      </w:r>
      <w:r w:rsidR="006A78A2">
        <w:rPr>
          <w:lang w:val="en-US"/>
        </w:rPr>
        <w:t xml:space="preserve">, </w:t>
      </w:r>
      <w:r w:rsidR="00674BFF">
        <w:rPr>
          <w:lang w:val="en-US"/>
        </w:rPr>
        <w:t>as</w:t>
      </w:r>
      <w:r w:rsidR="00B33BD5">
        <w:rPr>
          <w:lang w:val="en-US"/>
        </w:rPr>
        <w:t xml:space="preserve"> it is the</w:t>
      </w:r>
      <w:r w:rsidR="006A78A2">
        <w:rPr>
          <w:lang w:val="en-US"/>
        </w:rPr>
        <w:t xml:space="preserve"> healthy male body that</w:t>
      </w:r>
      <w:r w:rsidR="00B33BD5">
        <w:rPr>
          <w:lang w:val="en-US"/>
        </w:rPr>
        <w:t xml:space="preserve"> </w:t>
      </w:r>
      <w:r w:rsidR="00674BFF">
        <w:rPr>
          <w:lang w:val="en-US"/>
        </w:rPr>
        <w:t>regulates</w:t>
      </w:r>
      <w:r w:rsidR="00B33BD5">
        <w:rPr>
          <w:lang w:val="en-US"/>
        </w:rPr>
        <w:t xml:space="preserve"> who can access the door</w:t>
      </w:r>
      <w:r w:rsidR="00674BFF">
        <w:rPr>
          <w:lang w:val="en-US"/>
        </w:rPr>
        <w:t>.</w:t>
      </w:r>
      <w:r w:rsidRPr="00442C3D">
        <w:rPr>
          <w:lang w:val="en-US"/>
        </w:rPr>
        <w:t xml:space="preserve"> </w:t>
      </w:r>
    </w:p>
    <w:p w14:paraId="36E90262" w14:textId="6BB5F4A5" w:rsidR="00455808" w:rsidRDefault="00442C3D" w:rsidP="002B0BF6">
      <w:pPr>
        <w:pStyle w:val="Heading1"/>
      </w:pPr>
      <w:r w:rsidRPr="00442C3D">
        <w:t>Conclu</w:t>
      </w:r>
      <w:r w:rsidR="0004387F">
        <w:t>ding Remarks</w:t>
      </w:r>
      <w:bookmarkStart w:id="13" w:name="_Hlk33540021"/>
    </w:p>
    <w:p w14:paraId="37A83BED" w14:textId="44BFDA84" w:rsidR="00EA4D01" w:rsidRDefault="00442C3D" w:rsidP="00455808">
      <w:pPr>
        <w:pStyle w:val="Newparagraph"/>
        <w:ind w:firstLine="0"/>
      </w:pPr>
      <w:r w:rsidRPr="00442C3D">
        <w:t xml:space="preserve">What this </w:t>
      </w:r>
      <w:r w:rsidR="001804FB">
        <w:t>article</w:t>
      </w:r>
      <w:r w:rsidRPr="00442C3D">
        <w:t xml:space="preserve"> has tried to accomplish in </w:t>
      </w:r>
      <w:bookmarkStart w:id="14" w:name="_Hlk520719223"/>
      <w:r w:rsidR="00080049">
        <w:t>positioning</w:t>
      </w:r>
      <w:r w:rsidRPr="00442C3D">
        <w:t xml:space="preserve"> geographies of architecture to consider spaces such as the ‘door’ is </w:t>
      </w:r>
      <w:r w:rsidR="00B01F2F">
        <w:t>threefold</w:t>
      </w:r>
      <w:r w:rsidR="00844DA8">
        <w:t>. F</w:t>
      </w:r>
      <w:r w:rsidR="00105442">
        <w:t>irs</w:t>
      </w:r>
      <w:r w:rsidR="00E362A9">
        <w:t>tly</w:t>
      </w:r>
      <w:r w:rsidR="00B01F2F">
        <w:t xml:space="preserve">, </w:t>
      </w:r>
      <w:bookmarkStart w:id="15" w:name="_Hlk33362878"/>
      <w:r w:rsidR="00B01F2F">
        <w:t>it has looked to</w:t>
      </w:r>
      <w:r w:rsidRPr="00442C3D">
        <w:t xml:space="preserve"> </w:t>
      </w:r>
      <w:r w:rsidR="00080049">
        <w:t>add depth to</w:t>
      </w:r>
      <w:r w:rsidR="00BA1625">
        <w:t xml:space="preserve"> existing</w:t>
      </w:r>
      <w:r w:rsidRPr="00442C3D">
        <w:t xml:space="preserve"> notions </w:t>
      </w:r>
      <w:r w:rsidR="00664997">
        <w:t xml:space="preserve">of the door </w:t>
      </w:r>
      <w:r w:rsidRPr="00442C3D">
        <w:t xml:space="preserve">within </w:t>
      </w:r>
      <w:r w:rsidR="00DF5C15">
        <w:t>geographic literature</w:t>
      </w:r>
      <w:bookmarkEnd w:id="15"/>
      <w:r w:rsidRPr="00442C3D">
        <w:t>.</w:t>
      </w:r>
      <w:r w:rsidR="00B01F2F">
        <w:t xml:space="preserve"> </w:t>
      </w:r>
      <w:r w:rsidR="00E362A9" w:rsidRPr="00442C3D">
        <w:t xml:space="preserve">Whilst this paper has focused on doors more generally, and perhaps with a greater focus upon the domestic setting, it has opened up a wider discussion </w:t>
      </w:r>
      <w:r w:rsidR="00E362A9">
        <w:t>around the role of the door i</w:t>
      </w:r>
      <w:r w:rsidR="00E362A9" w:rsidRPr="00442C3D">
        <w:t xml:space="preserve">n </w:t>
      </w:r>
      <w:r w:rsidR="00E362A9">
        <w:t>our everyday understanding of the built environment.</w:t>
      </w:r>
      <w:r w:rsidR="00DF5C15" w:rsidRPr="00DF5C15">
        <w:t xml:space="preserve"> </w:t>
      </w:r>
      <w:r w:rsidR="00DF5C15">
        <w:t>The</w:t>
      </w:r>
      <w:r w:rsidR="00DF5C15" w:rsidRPr="00DF5C15">
        <w:t xml:space="preserve"> ‘door’ </w:t>
      </w:r>
      <w:r w:rsidR="00DF5C15">
        <w:t>is presented as an ambiguous space</w:t>
      </w:r>
      <w:r w:rsidR="00DF5C15" w:rsidRPr="00DF5C15">
        <w:t>, as it simultaneously becomes a border and a crossing point (</w:t>
      </w:r>
      <w:proofErr w:type="spellStart"/>
      <w:r w:rsidR="00DF5C15" w:rsidRPr="00DF5C15">
        <w:t>Stalder</w:t>
      </w:r>
      <w:proofErr w:type="spellEnd"/>
      <w:r w:rsidR="005425E0">
        <w:t>,</w:t>
      </w:r>
      <w:r w:rsidR="00DF5C15" w:rsidRPr="00DF5C15">
        <w:t xml:space="preserve"> 2009). It is this state of being in-between two binaries (inside/outside) that the ‘door’ embodies the concept of liminality</w:t>
      </w:r>
      <w:r w:rsidR="00DF5C15">
        <w:t xml:space="preserve"> and the threshold</w:t>
      </w:r>
      <w:r w:rsidR="00DF5C15" w:rsidRPr="00DF5C15">
        <w:t xml:space="preserve"> (Shields</w:t>
      </w:r>
      <w:r w:rsidR="005425E0">
        <w:t>,</w:t>
      </w:r>
      <w:r w:rsidR="00DF5C15" w:rsidRPr="00DF5C15">
        <w:t xml:space="preserve"> 1991)</w:t>
      </w:r>
      <w:r w:rsidR="00DF5C15">
        <w:t xml:space="preserve">. </w:t>
      </w:r>
      <w:r w:rsidR="00DF5C15" w:rsidRPr="00DF5C15">
        <w:t>Thus the ‘door’ as liminal space encourages a variety of performances which serve</w:t>
      </w:r>
      <w:r w:rsidR="00DF5C15">
        <w:t>s</w:t>
      </w:r>
      <w:r w:rsidR="00DF5C15" w:rsidRPr="00DF5C15">
        <w:t xml:space="preserve"> to constitute how we know and define </w:t>
      </w:r>
      <w:r w:rsidR="004C6114">
        <w:t>architecture</w:t>
      </w:r>
      <w:r w:rsidR="00DF5C15">
        <w:t>.</w:t>
      </w:r>
      <w:r w:rsidR="00DF5C15" w:rsidRPr="00DF5C15">
        <w:t xml:space="preserve"> </w:t>
      </w:r>
      <w:r w:rsidR="00E362A9">
        <w:t xml:space="preserve"> </w:t>
      </w:r>
      <w:r w:rsidR="00664997" w:rsidRPr="00664997">
        <w:t xml:space="preserve">What emerges is </w:t>
      </w:r>
      <w:r w:rsidR="00DF5C15">
        <w:t xml:space="preserve">how the </w:t>
      </w:r>
      <w:r w:rsidR="00894CB7">
        <w:t>‘</w:t>
      </w:r>
      <w:r w:rsidR="00DF5C15">
        <w:t>door</w:t>
      </w:r>
      <w:r w:rsidR="00894CB7">
        <w:t>’</w:t>
      </w:r>
      <w:r w:rsidR="00DF5C15">
        <w:t xml:space="preserve"> is</w:t>
      </w:r>
      <w:r w:rsidR="00092FD1">
        <w:t xml:space="preserve"> able to draw together numerous, seemingly disparate examples and use them to unpick the social and political structures of the everyday</w:t>
      </w:r>
      <w:bookmarkStart w:id="16" w:name="_Hlk33362039"/>
      <w:r w:rsidR="00092FD1">
        <w:t xml:space="preserve">. </w:t>
      </w:r>
      <w:bookmarkEnd w:id="13"/>
      <w:r w:rsidR="00092FD1">
        <w:t xml:space="preserve">It </w:t>
      </w:r>
      <w:r w:rsidR="00DF5C15">
        <w:t>illustrates</w:t>
      </w:r>
      <w:r w:rsidR="00092FD1">
        <w:t xml:space="preserve"> how</w:t>
      </w:r>
      <w:r w:rsidR="00DF5C15">
        <w:t xml:space="preserve"> the </w:t>
      </w:r>
      <w:r w:rsidR="00894CB7">
        <w:t>‘</w:t>
      </w:r>
      <w:r w:rsidR="00DF5C15">
        <w:t>door</w:t>
      </w:r>
      <w:r w:rsidR="00894CB7">
        <w:t>’</w:t>
      </w:r>
      <w:r w:rsidR="00DF5C15">
        <w:t xml:space="preserve"> can be used to inform how we</w:t>
      </w:r>
      <w:r w:rsidR="00092FD1">
        <w:t xml:space="preserve"> move and relate to our bodies in </w:t>
      </w:r>
      <w:r w:rsidR="00DF5C15">
        <w:t>physical</w:t>
      </w:r>
      <w:r w:rsidR="00092FD1">
        <w:t xml:space="preserve"> space, in turn reinforcing a distinct exclusionary politics</w:t>
      </w:r>
      <w:r w:rsidR="00DF5C15">
        <w:t xml:space="preserve"> </w:t>
      </w:r>
      <w:r w:rsidR="00092FD1">
        <w:t>which is strengthened through repeated acts of ritual performance and display</w:t>
      </w:r>
      <w:bookmarkEnd w:id="16"/>
      <w:r w:rsidR="00092FD1">
        <w:t xml:space="preserve">. </w:t>
      </w:r>
      <w:r w:rsidR="002337CD">
        <w:t xml:space="preserve">I have attempted to illustrate these ideas through my second line of argument, which </w:t>
      </w:r>
      <w:r w:rsidR="00BC5385">
        <w:t>was</w:t>
      </w:r>
      <w:r w:rsidR="002337CD">
        <w:t xml:space="preserve"> to </w:t>
      </w:r>
      <w:r w:rsidR="002337CD">
        <w:lastRenderedPageBreak/>
        <w:t xml:space="preserve">extend </w:t>
      </w:r>
      <w:bookmarkEnd w:id="14"/>
      <w:r w:rsidR="00092FD1">
        <w:t xml:space="preserve">the </w:t>
      </w:r>
      <w:r w:rsidR="001804FB">
        <w:t xml:space="preserve">understanding of the door by </w:t>
      </w:r>
      <w:r w:rsidR="00FB061F">
        <w:t>using</w:t>
      </w:r>
      <w:r w:rsidR="00770015">
        <w:t xml:space="preserve"> examples from minor theory/architectures (</w:t>
      </w:r>
      <w:r w:rsidR="005425E0">
        <w:t xml:space="preserve">Katz, 2017; </w:t>
      </w:r>
      <w:r w:rsidR="00770015">
        <w:t>Stoner</w:t>
      </w:r>
      <w:r w:rsidR="005425E0">
        <w:t>,</w:t>
      </w:r>
      <w:r w:rsidR="00770015">
        <w:t xml:space="preserve"> 2012)</w:t>
      </w:r>
      <w:r w:rsidR="001804FB">
        <w:t>.</w:t>
      </w:r>
      <w:r w:rsidR="00770015">
        <w:t xml:space="preserve">  </w:t>
      </w:r>
      <w:r w:rsidR="002337CD">
        <w:t xml:space="preserve">In particular it </w:t>
      </w:r>
      <w:r w:rsidR="00092FD1">
        <w:t>has explored a wide variety of</w:t>
      </w:r>
      <w:r w:rsidR="001804FB">
        <w:t xml:space="preserve"> perspectives</w:t>
      </w:r>
      <w:r w:rsidR="00770015">
        <w:t xml:space="preserve"> that</w:t>
      </w:r>
      <w:r w:rsidR="002337CD">
        <w:t xml:space="preserve"> aim to</w:t>
      </w:r>
      <w:r w:rsidR="00770015">
        <w:t xml:space="preserve"> </w:t>
      </w:r>
      <w:r w:rsidR="00844DA8">
        <w:t>broaden</w:t>
      </w:r>
      <w:r w:rsidR="00770015">
        <w:t xml:space="preserve"> the discipline through various non-western, feminist and </w:t>
      </w:r>
      <w:r w:rsidR="002E34BC">
        <w:t>class-based</w:t>
      </w:r>
      <w:r w:rsidR="00770015">
        <w:t xml:space="preserve"> standpoints. </w:t>
      </w:r>
      <w:r w:rsidR="00B01F2F">
        <w:t>I</w:t>
      </w:r>
      <w:r w:rsidR="00770015">
        <w:t xml:space="preserve">n doing so it </w:t>
      </w:r>
      <w:r w:rsidR="002E34BC">
        <w:t>positions</w:t>
      </w:r>
      <w:r w:rsidR="00B01F2F">
        <w:t xml:space="preserve"> the </w:t>
      </w:r>
      <w:r w:rsidR="00770015">
        <w:t>‘</w:t>
      </w:r>
      <w:r w:rsidR="00B01F2F">
        <w:t>door</w:t>
      </w:r>
      <w:r w:rsidR="00770015">
        <w:t>’</w:t>
      </w:r>
      <w:r w:rsidR="00B01F2F">
        <w:t xml:space="preserve"> as a site of ‘rupture’ </w:t>
      </w:r>
      <w:r w:rsidR="00B01F2F" w:rsidRPr="003D5E58">
        <w:t xml:space="preserve">so that new subjectivities, </w:t>
      </w:r>
      <w:proofErr w:type="spellStart"/>
      <w:r w:rsidR="00B01F2F" w:rsidRPr="003D5E58">
        <w:t>spatialities</w:t>
      </w:r>
      <w:proofErr w:type="spellEnd"/>
      <w:r w:rsidR="00B01F2F" w:rsidRPr="003D5E58">
        <w:t xml:space="preserve">, and temporalities might be marked and produced in spaces of betweenness that </w:t>
      </w:r>
      <w:r w:rsidR="00455808">
        <w:t xml:space="preserve">can then be used to </w:t>
      </w:r>
      <w:r w:rsidR="00B01F2F" w:rsidRPr="003D5E58">
        <w:t>reveal the limits of major</w:t>
      </w:r>
      <w:r w:rsidR="00092FD1">
        <w:t xml:space="preserve"> theory/architectures</w:t>
      </w:r>
      <w:r w:rsidR="00B01F2F" w:rsidRPr="003D5E58">
        <w:t xml:space="preserve"> as it is transformed along with </w:t>
      </w:r>
      <w:r w:rsidR="00455808">
        <w:t xml:space="preserve">the </w:t>
      </w:r>
      <w:r w:rsidR="00B01F2F" w:rsidRPr="003D5E58">
        <w:t>minor</w:t>
      </w:r>
      <w:r w:rsidR="00B01F2F">
        <w:t xml:space="preserve"> (</w:t>
      </w:r>
      <w:r w:rsidR="005425E0">
        <w:t xml:space="preserve">Katz, 2017; </w:t>
      </w:r>
      <w:r w:rsidR="00092FD1">
        <w:t>Stoner</w:t>
      </w:r>
      <w:r w:rsidR="00EF7FA0">
        <w:t xml:space="preserve">, </w:t>
      </w:r>
      <w:r w:rsidR="00092FD1">
        <w:t>2012</w:t>
      </w:r>
      <w:r w:rsidR="00B01F2F">
        <w:t xml:space="preserve">). </w:t>
      </w:r>
      <w:r w:rsidR="002337CD">
        <w:t>In the context</w:t>
      </w:r>
      <w:r w:rsidR="00FA7965" w:rsidRPr="00442C3D">
        <w:t xml:space="preserve"> of this article</w:t>
      </w:r>
      <w:r w:rsidR="002337CD">
        <w:t xml:space="preserve"> </w:t>
      </w:r>
      <w:r w:rsidR="00092FD1">
        <w:t>each example presen</w:t>
      </w:r>
      <w:r w:rsidR="00455808">
        <w:t>ts</w:t>
      </w:r>
      <w:r w:rsidR="00092FD1">
        <w:t xml:space="preserve"> the</w:t>
      </w:r>
      <w:r w:rsidR="002337CD">
        <w:t xml:space="preserve"> door</w:t>
      </w:r>
      <w:r w:rsidR="00FA7965" w:rsidRPr="00442C3D">
        <w:t xml:space="preserve"> as a highly fluid and dynamic concept</w:t>
      </w:r>
      <w:r w:rsidR="00455808">
        <w:t xml:space="preserve">. </w:t>
      </w:r>
      <w:r w:rsidR="00FA7965">
        <w:t xml:space="preserve">For </w:t>
      </w:r>
      <w:r w:rsidR="00844DA8">
        <w:t>instance,</w:t>
      </w:r>
      <w:r w:rsidR="00FA7965" w:rsidRPr="00080049">
        <w:t xml:space="preserve"> the ‘door’ </w:t>
      </w:r>
      <w:r w:rsidR="00455808">
        <w:t>as a</w:t>
      </w:r>
      <w:r w:rsidR="00FA7965" w:rsidRPr="00080049">
        <w:t xml:space="preserve"> site of paradox</w:t>
      </w:r>
      <w:r w:rsidR="00455808">
        <w:t xml:space="preserve"> is evident in the used of</w:t>
      </w:r>
      <w:r w:rsidR="00FA7965" w:rsidRPr="00080049">
        <w:t xml:space="preserve"> modern threshold technology </w:t>
      </w:r>
      <w:r w:rsidR="00455808">
        <w:t>such as</w:t>
      </w:r>
      <w:r w:rsidR="00FA7965" w:rsidRPr="00080049">
        <w:t xml:space="preserve"> the revolving ‘door’, as it holds together and simultaneously separates two binaries</w:t>
      </w:r>
      <w:r w:rsidR="001C5F2F">
        <w:t xml:space="preserve">. </w:t>
      </w:r>
      <w:r w:rsidR="00FA7965" w:rsidRPr="00080049">
        <w:t>This develops the ‘door’ as a site of (</w:t>
      </w:r>
      <w:proofErr w:type="spellStart"/>
      <w:r w:rsidR="00FA7965" w:rsidRPr="00080049">
        <w:t>im</w:t>
      </w:r>
      <w:proofErr w:type="spellEnd"/>
      <w:r w:rsidR="00FA7965" w:rsidRPr="00080049">
        <w:t xml:space="preserve">)possibility, as it simultaneously embodies and holds together (however temporary) everything we come to know in and beyond the world in which we live. It is an assemblage of social relations, </w:t>
      </w:r>
      <w:proofErr w:type="gramStart"/>
      <w:r w:rsidR="00FA7965" w:rsidRPr="00080049">
        <w:t>material</w:t>
      </w:r>
      <w:proofErr w:type="gramEnd"/>
      <w:r w:rsidR="00FA7965" w:rsidRPr="00080049">
        <w:t xml:space="preserve"> and physical features, as well as symbolic and metaphorical meaning. </w:t>
      </w:r>
      <w:r w:rsidR="00455808">
        <w:t>The</w:t>
      </w:r>
      <w:r w:rsidR="00FA7965" w:rsidRPr="00080049">
        <w:t xml:space="preserve"> ‘door’ is the architectural</w:t>
      </w:r>
      <w:r w:rsidR="00FA7965" w:rsidRPr="00080049">
        <w:rPr>
          <w:i/>
        </w:rPr>
        <w:t xml:space="preserve"> </w:t>
      </w:r>
      <w:r w:rsidR="00FA7965" w:rsidRPr="00080049">
        <w:t>form</w:t>
      </w:r>
      <w:r w:rsidR="00FA7965" w:rsidRPr="00080049">
        <w:rPr>
          <w:i/>
        </w:rPr>
        <w:t xml:space="preserve"> </w:t>
      </w:r>
      <w:r w:rsidR="00FA7965" w:rsidRPr="00080049">
        <w:t>of ‘</w:t>
      </w:r>
      <w:proofErr w:type="spellStart"/>
      <w:r w:rsidR="00FA7965" w:rsidRPr="00080049">
        <w:t>impotentiality</w:t>
      </w:r>
      <w:proofErr w:type="spellEnd"/>
      <w:r w:rsidR="00FA7965" w:rsidRPr="00080049">
        <w:t xml:space="preserve">’, it </w:t>
      </w:r>
      <w:r w:rsidR="00455808">
        <w:t>presents</w:t>
      </w:r>
      <w:r w:rsidR="00FA7965" w:rsidRPr="00080049">
        <w:t xml:space="preserve"> an impossible suture that is neither outside nor inside but, rather, a state of exception where such distinctions are rendered inoperable (Lewis</w:t>
      </w:r>
      <w:r w:rsidR="005425E0">
        <w:t>,</w:t>
      </w:r>
      <w:r w:rsidR="00FA7965" w:rsidRPr="00080049">
        <w:t xml:space="preserve"> 2012). </w:t>
      </w:r>
      <w:r w:rsidR="00FA7965">
        <w:t xml:space="preserve">Yet crucially the paradox that the door comes to represent positions it at the forefront of exclusionary architecture that in turn facilitates and maintains categories of the ‘other’. Its fundamental capacity to divide, exclude and define binary modes present it as the site through which </w:t>
      </w:r>
      <w:r w:rsidR="00FA7965" w:rsidRPr="00442C3D">
        <w:t>politics is encountered, negotiated</w:t>
      </w:r>
      <w:r w:rsidR="00FA7965">
        <w:t xml:space="preserve">, </w:t>
      </w:r>
      <w:proofErr w:type="gramStart"/>
      <w:r w:rsidR="00FA7965">
        <w:t>reinforced</w:t>
      </w:r>
      <w:proofErr w:type="gramEnd"/>
      <w:r w:rsidR="00FA7965" w:rsidRPr="00442C3D">
        <w:t xml:space="preserve"> and ritually performed</w:t>
      </w:r>
      <w:r w:rsidR="00FA7965">
        <w:t xml:space="preserve"> (</w:t>
      </w:r>
      <w:proofErr w:type="spellStart"/>
      <w:r w:rsidR="00FA7965">
        <w:t>Teyssot</w:t>
      </w:r>
      <w:proofErr w:type="spellEnd"/>
      <w:r w:rsidR="005425E0">
        <w:t>,</w:t>
      </w:r>
      <w:r w:rsidR="00FA7965">
        <w:t xml:space="preserve"> 2008)</w:t>
      </w:r>
      <w:r w:rsidR="00FA7965" w:rsidRPr="00442C3D">
        <w:t>.</w:t>
      </w:r>
      <w:r w:rsidR="00FA7965">
        <w:t xml:space="preserve"> </w:t>
      </w:r>
      <w:r w:rsidR="00770015">
        <w:t xml:space="preserve">Of most concern is the inherently unequal power </w:t>
      </w:r>
      <w:r w:rsidR="00455808">
        <w:t>relations regarding who is</w:t>
      </w:r>
      <w:r w:rsidR="00770015">
        <w:t xml:space="preserve"> in control or able to regulate the space of the doo</w:t>
      </w:r>
      <w:r w:rsidR="00455808">
        <w:t>r</w:t>
      </w:r>
      <w:r w:rsidR="00770015">
        <w:t>. A</w:t>
      </w:r>
      <w:r w:rsidR="00770015" w:rsidRPr="00770015">
        <w:t>s the recent ‘red door’ incident in Middlesbrough</w:t>
      </w:r>
      <w:r w:rsidR="00566C49">
        <w:t xml:space="preserve"> (Brewer</w:t>
      </w:r>
      <w:r w:rsidR="005425E0">
        <w:t>,</w:t>
      </w:r>
      <w:r w:rsidR="00566C49">
        <w:t xml:space="preserve"> 2016)</w:t>
      </w:r>
      <w:r w:rsidR="00770015" w:rsidRPr="00770015">
        <w:t xml:space="preserve"> or the ‘poor door’ </w:t>
      </w:r>
      <w:r w:rsidR="00566C49">
        <w:t xml:space="preserve">(Wall </w:t>
      </w:r>
      <w:r w:rsidR="005425E0">
        <w:t>&amp;</w:t>
      </w:r>
      <w:r w:rsidR="00566C49">
        <w:t xml:space="preserve"> Osborne</w:t>
      </w:r>
      <w:r w:rsidR="005425E0">
        <w:t>,</w:t>
      </w:r>
      <w:r w:rsidR="00566C49">
        <w:t xml:space="preserve"> 2014) </w:t>
      </w:r>
      <w:r w:rsidR="00770015" w:rsidRPr="00770015">
        <w:t>scenarios in major western cities highlight</w:t>
      </w:r>
      <w:bookmarkStart w:id="17" w:name="_Hlk33363666"/>
      <w:r w:rsidR="00770015" w:rsidRPr="00770015">
        <w:t xml:space="preserve">, the door is used to maintain class and racial </w:t>
      </w:r>
      <w:r w:rsidR="000E30FF">
        <w:t>divisions</w:t>
      </w:r>
      <w:r w:rsidR="00770015" w:rsidRPr="00770015">
        <w:t xml:space="preserve"> in the name of capital accumulation. </w:t>
      </w:r>
      <w:bookmarkEnd w:id="17"/>
      <w:r w:rsidR="00770015" w:rsidRPr="00770015">
        <w:lastRenderedPageBreak/>
        <w:t xml:space="preserve">The historic and ongoing discrimination of female and </w:t>
      </w:r>
      <w:r w:rsidR="00566C49">
        <w:t>non-male bodies</w:t>
      </w:r>
      <w:r w:rsidR="00770015" w:rsidRPr="00770015">
        <w:t xml:space="preserve"> in both artistic representation</w:t>
      </w:r>
      <w:r w:rsidR="00566C49">
        <w:t xml:space="preserve"> (Moore</w:t>
      </w:r>
      <w:r w:rsidR="005425E0">
        <w:t>,</w:t>
      </w:r>
      <w:r w:rsidR="00566C49">
        <w:t xml:space="preserve"> 1981)</w:t>
      </w:r>
      <w:r w:rsidR="00770015" w:rsidRPr="00770015">
        <w:t xml:space="preserve"> and threshold architecture</w:t>
      </w:r>
      <w:r w:rsidR="00566C49">
        <w:t xml:space="preserve"> (</w:t>
      </w:r>
      <w:proofErr w:type="spellStart"/>
      <w:r w:rsidR="00566C49">
        <w:t>Stalder</w:t>
      </w:r>
      <w:proofErr w:type="spellEnd"/>
      <w:r w:rsidR="005425E0">
        <w:t>,</w:t>
      </w:r>
      <w:r w:rsidR="00566C49">
        <w:t xml:space="preserve"> 2009)</w:t>
      </w:r>
      <w:r w:rsidR="00770015" w:rsidRPr="00770015">
        <w:t xml:space="preserve"> also present the unequal relationships of power associated with the door and how they are tied to notions of patriarchy and the idealised ‘male body’. </w:t>
      </w:r>
      <w:r w:rsidR="004C6114">
        <w:t>This prejudice is then regulated and built into threshold architecture and technology as sliding and revolving doors automatically respond to the movements of ‘bodies’ based on pre-set characteristics or programmed sensors (Latour</w:t>
      </w:r>
      <w:r w:rsidR="005425E0">
        <w:t>,</w:t>
      </w:r>
      <w:r w:rsidR="004C6114">
        <w:t xml:space="preserve"> 1992</w:t>
      </w:r>
      <w:r w:rsidR="005425E0">
        <w:t xml:space="preserve">; </w:t>
      </w:r>
      <w:proofErr w:type="spellStart"/>
      <w:r w:rsidR="004C6114">
        <w:t>Siegert</w:t>
      </w:r>
      <w:proofErr w:type="spellEnd"/>
      <w:r w:rsidR="005425E0">
        <w:t>,</w:t>
      </w:r>
      <w:r w:rsidR="004C6114">
        <w:t xml:space="preserve"> 2015). </w:t>
      </w:r>
      <w:r w:rsidR="00770015" w:rsidRPr="00770015">
        <w:t xml:space="preserve">Even the historic </w:t>
      </w:r>
      <w:r w:rsidR="00566C49">
        <w:t>religious and sacrificial</w:t>
      </w:r>
      <w:r w:rsidR="00770015" w:rsidRPr="00770015">
        <w:t xml:space="preserve"> aspects</w:t>
      </w:r>
      <w:r w:rsidR="00566C49">
        <w:t xml:space="preserve"> (</w:t>
      </w:r>
      <w:proofErr w:type="spellStart"/>
      <w:r w:rsidR="00566C49" w:rsidRPr="00821118">
        <w:t>Essabal</w:t>
      </w:r>
      <w:proofErr w:type="spellEnd"/>
      <w:r w:rsidR="005425E0">
        <w:t>,</w:t>
      </w:r>
      <w:r w:rsidR="00566C49" w:rsidRPr="00821118">
        <w:t xml:space="preserve"> 1961</w:t>
      </w:r>
      <w:r w:rsidR="00566C49">
        <w:t>)</w:t>
      </w:r>
      <w:r w:rsidR="00770015" w:rsidRPr="00770015">
        <w:t xml:space="preserve"> of the door serve to define and maintain the order of the home and exclude that which does not align with the constructed politics of the household. Whilst the door may embody the notion of both inside and out, it is clear that for some it is more ‘out’ than ‘in’, as the logic of who controls the door is dictated by religion, ethnicity, class, wealth and gender politics. The f</w:t>
      </w:r>
      <w:r w:rsidR="00315CE6">
        <w:t>reedom that supposedly comes from controlling a door and access to space</w:t>
      </w:r>
      <w:r w:rsidR="00566C49">
        <w:t xml:space="preserve"> </w:t>
      </w:r>
      <w:r w:rsidR="00770015" w:rsidRPr="00770015">
        <w:t xml:space="preserve">(Vogler </w:t>
      </w:r>
      <w:r w:rsidR="005425E0">
        <w:t>&amp;</w:t>
      </w:r>
      <w:r w:rsidR="00770015" w:rsidRPr="00770015">
        <w:t xml:space="preserve"> Jorgensen</w:t>
      </w:r>
      <w:r w:rsidR="005425E0">
        <w:t>,</w:t>
      </w:r>
      <w:r w:rsidR="00770015" w:rsidRPr="00770015">
        <w:t xml:space="preserve"> 2005) is undone by society, only truly applying to those who are</w:t>
      </w:r>
      <w:r w:rsidR="00315CE6">
        <w:t xml:space="preserve"> in power, and predominantly those who are </w:t>
      </w:r>
      <w:r w:rsidR="00770015" w:rsidRPr="00770015">
        <w:t xml:space="preserve">arguably white, wealthy, male and healthy. In this capacity the door comes to embody the </w:t>
      </w:r>
      <w:r w:rsidR="003C54E2" w:rsidRPr="00770015">
        <w:t>prejudices</w:t>
      </w:r>
      <w:r w:rsidR="00770015" w:rsidRPr="00770015">
        <w:t xml:space="preserve"> of society, a political reflection of the </w:t>
      </w:r>
      <w:r w:rsidR="003C54E2">
        <w:t>world</w:t>
      </w:r>
      <w:r w:rsidR="00770015" w:rsidRPr="00770015">
        <w:t xml:space="preserve"> in which it is imbedded based on who or what is granted access. It presents how neoliberal and capitalist politics can co-opt elements of architecture and use them to maintain and regulate current systems of wealth</w:t>
      </w:r>
      <w:r w:rsidR="003C54E2">
        <w:t>,</w:t>
      </w:r>
      <w:r w:rsidR="00315CE6">
        <w:t xml:space="preserve"> (</w:t>
      </w:r>
      <w:proofErr w:type="spellStart"/>
      <w:r w:rsidR="00315CE6">
        <w:t>im</w:t>
      </w:r>
      <w:proofErr w:type="spellEnd"/>
      <w:r w:rsidR="00315CE6">
        <w:t>)mobility</w:t>
      </w:r>
      <w:r w:rsidR="001C5F2F">
        <w:t xml:space="preserve"> </w:t>
      </w:r>
      <w:r w:rsidR="00770015" w:rsidRPr="00770015">
        <w:t>and discrimination.</w:t>
      </w:r>
      <w:r w:rsidR="003C54E2">
        <w:t xml:space="preserve"> </w:t>
      </w:r>
    </w:p>
    <w:p w14:paraId="64158FC6" w14:textId="2000E032" w:rsidR="00821118" w:rsidRPr="00574FCF" w:rsidRDefault="00B71721" w:rsidP="00574FCF">
      <w:pPr>
        <w:pStyle w:val="Newparagraph"/>
      </w:pPr>
      <w:r>
        <w:t>It is from these discussions that my third line of argument emerges</w:t>
      </w:r>
      <w:r w:rsidR="001C5F2F">
        <w:t>;</w:t>
      </w:r>
      <w:r w:rsidR="00315CE6">
        <w:t xml:space="preserve"> t</w:t>
      </w:r>
      <w:r w:rsidR="00100FF7">
        <w:t>hat by</w:t>
      </w:r>
      <w:r>
        <w:t xml:space="preserve"> focusing on the space of the </w:t>
      </w:r>
      <w:r w:rsidR="00894CB7">
        <w:t>‘</w:t>
      </w:r>
      <w:r>
        <w:t>door</w:t>
      </w:r>
      <w:r w:rsidR="00894CB7">
        <w:t>’</w:t>
      </w:r>
      <w:r w:rsidR="00100FF7">
        <w:t xml:space="preserve"> through </w:t>
      </w:r>
      <w:r w:rsidR="009B1F8E">
        <w:t>foregrounding minor subjects/subjectivities</w:t>
      </w:r>
      <w:r w:rsidR="00100FF7">
        <w:t xml:space="preserve">, </w:t>
      </w:r>
      <w:r>
        <w:t xml:space="preserve">I wish to </w:t>
      </w:r>
      <w:r w:rsidR="001C5F2F">
        <w:t>attest</w:t>
      </w:r>
      <w:r>
        <w:t xml:space="preserve"> the value of attending to </w:t>
      </w:r>
      <w:r w:rsidR="000E30FF">
        <w:t>‘</w:t>
      </w:r>
      <w:r>
        <w:t xml:space="preserve">intimate architectural </w:t>
      </w:r>
      <w:r w:rsidR="00100FF7">
        <w:t>spaces</w:t>
      </w:r>
      <w:r w:rsidR="001B79BF">
        <w:t>’</w:t>
      </w:r>
      <w:r w:rsidR="00584D5C" w:rsidRPr="00584D5C">
        <w:t xml:space="preserve"> as a complimentary way of undertaking architectural geography</w:t>
      </w:r>
      <w:r>
        <w:t>.</w:t>
      </w:r>
      <w:r w:rsidR="004F76CC">
        <w:t xml:space="preserve"> </w:t>
      </w:r>
      <w:r w:rsidR="00B111AB">
        <w:t xml:space="preserve">That </w:t>
      </w:r>
      <w:r w:rsidR="00894CB7">
        <w:t xml:space="preserve">by attending to the </w:t>
      </w:r>
      <w:r w:rsidR="00B111AB">
        <w:t>‘</w:t>
      </w:r>
      <w:r w:rsidR="005C45BB">
        <w:t>intimate’ features of architecture, as many have begun to do so</w:t>
      </w:r>
      <w:r w:rsidR="004F76CC">
        <w:t xml:space="preserve"> </w:t>
      </w:r>
      <w:r w:rsidR="00663C0A">
        <w:t>already</w:t>
      </w:r>
      <w:r w:rsidR="005C45BB">
        <w:t xml:space="preserve"> (</w:t>
      </w:r>
      <w:proofErr w:type="spellStart"/>
      <w:r w:rsidR="00CA75D3">
        <w:t>H</w:t>
      </w:r>
      <w:r w:rsidR="005C45BB">
        <w:t>urdley</w:t>
      </w:r>
      <w:proofErr w:type="spellEnd"/>
      <w:r w:rsidR="005425E0">
        <w:t>,</w:t>
      </w:r>
      <w:r w:rsidR="005C45BB">
        <w:t xml:space="preserve"> 2010</w:t>
      </w:r>
      <w:r w:rsidR="005425E0">
        <w:t>;</w:t>
      </w:r>
      <w:r w:rsidR="005C45BB">
        <w:t xml:space="preserve"> </w:t>
      </w:r>
      <w:proofErr w:type="spellStart"/>
      <w:r w:rsidR="005C45BB">
        <w:t>Shortt</w:t>
      </w:r>
      <w:proofErr w:type="spellEnd"/>
      <w:r w:rsidR="005425E0">
        <w:t>,</w:t>
      </w:r>
      <w:r w:rsidR="005C45BB">
        <w:t xml:space="preserve"> 2015), alternative</w:t>
      </w:r>
      <w:r w:rsidR="005C45BB" w:rsidRPr="00442C3D">
        <w:t xml:space="preserve"> theoretical understandings of architectural space can be </w:t>
      </w:r>
      <w:r w:rsidR="005C45BB" w:rsidRPr="00442C3D">
        <w:lastRenderedPageBreak/>
        <w:t xml:space="preserve">illuminated. </w:t>
      </w:r>
      <w:r w:rsidR="004F76CC">
        <w:t xml:space="preserve">Of particular </w:t>
      </w:r>
      <w:r w:rsidR="00FB061F">
        <w:t>i</w:t>
      </w:r>
      <w:r w:rsidR="0004387F">
        <w:t>mport</w:t>
      </w:r>
      <w:r w:rsidR="004F76CC">
        <w:t xml:space="preserve"> is</w:t>
      </w:r>
      <w:r w:rsidR="003C41B5">
        <w:t xml:space="preserve"> how </w:t>
      </w:r>
      <w:r w:rsidR="00516C89">
        <w:t>‘intimate architectural spaces’</w:t>
      </w:r>
      <w:r w:rsidR="003C41B5">
        <w:t xml:space="preserve"> are well suited to engaging with </w:t>
      </w:r>
      <w:r w:rsidR="00FB061F">
        <w:t>a ‘</w:t>
      </w:r>
      <w:r w:rsidR="003C41B5">
        <w:t xml:space="preserve">minor </w:t>
      </w:r>
      <w:r w:rsidR="00FB061F">
        <w:t>approach’</w:t>
      </w:r>
      <w:r w:rsidR="003C41B5">
        <w:t xml:space="preserve">, in that </w:t>
      </w:r>
      <w:r w:rsidR="00100FF7">
        <w:t xml:space="preserve">as ‘intimate features’ </w:t>
      </w:r>
      <w:r w:rsidR="003C41B5">
        <w:t>they are able to provide ‘</w:t>
      </w:r>
      <w:r w:rsidR="003C41B5" w:rsidRPr="005C45BB">
        <w:t>lines of force</w:t>
      </w:r>
      <w:r w:rsidR="003C41B5">
        <w:t>’</w:t>
      </w:r>
      <w:r w:rsidR="003C41B5" w:rsidRPr="005C45BB">
        <w:t xml:space="preserve"> inside stable structures, locate weak points within them and then </w:t>
      </w:r>
      <w:r w:rsidR="003C41B5">
        <w:t xml:space="preserve">subvert and </w:t>
      </w:r>
      <w:r w:rsidR="003C41B5" w:rsidRPr="005C45BB">
        <w:t>open space up across or between them</w:t>
      </w:r>
      <w:r w:rsidR="003C41B5">
        <w:t xml:space="preserve"> (</w:t>
      </w:r>
      <w:proofErr w:type="spellStart"/>
      <w:r w:rsidR="003C41B5">
        <w:t>Bremner</w:t>
      </w:r>
      <w:proofErr w:type="spellEnd"/>
      <w:r w:rsidR="005425E0">
        <w:t>,</w:t>
      </w:r>
      <w:r w:rsidR="003C41B5">
        <w:t xml:space="preserve"> 201</w:t>
      </w:r>
      <w:bookmarkStart w:id="18" w:name="_Hlk33537806"/>
      <w:r w:rsidR="00FB061F">
        <w:t xml:space="preserve">3). </w:t>
      </w:r>
      <w:r w:rsidR="00894CB7">
        <w:t>This raises</w:t>
      </w:r>
      <w:r w:rsidR="00894CB7" w:rsidRPr="00574FCF">
        <w:t xml:space="preserve"> questions around how we can utilise minor theory as a particular approach, could we continue to use it in this way? Can it provide a framework or lens through which we can further explore the built environment? </w:t>
      </w:r>
      <w:r w:rsidR="00663C0A">
        <w:t xml:space="preserve">Already this paper has illustrated how attending to the door as an intimate architectural space is able to </w:t>
      </w:r>
      <w:r w:rsidR="0004387F">
        <w:t>unsettle fixed notions</w:t>
      </w:r>
      <w:r w:rsidR="00663C0A">
        <w:t xml:space="preserve"> of the building and </w:t>
      </w:r>
      <w:r w:rsidR="0004387F">
        <w:t>unpick many of the</w:t>
      </w:r>
      <w:r w:rsidR="00663C0A">
        <w:t xml:space="preserve"> complex </w:t>
      </w:r>
      <w:r w:rsidR="0004387F">
        <w:t xml:space="preserve">political and </w:t>
      </w:r>
      <w:r w:rsidR="00663C0A">
        <w:t xml:space="preserve">exclusionary practices </w:t>
      </w:r>
      <w:r w:rsidR="0004387F">
        <w:t>that gather there.</w:t>
      </w:r>
      <w:r w:rsidR="00574FCF">
        <w:t xml:space="preserve"> </w:t>
      </w:r>
      <w:r w:rsidR="007857A1">
        <w:t>Therefore, i</w:t>
      </w:r>
      <w:r w:rsidR="004F76CC">
        <w:t xml:space="preserve">ntimate architectures </w:t>
      </w:r>
      <w:r w:rsidR="007857A1">
        <w:t>present how</w:t>
      </w:r>
      <w:r w:rsidR="004F76CC">
        <w:t xml:space="preserve"> </w:t>
      </w:r>
      <w:r w:rsidR="007857A1">
        <w:t xml:space="preserve">we can critique </w:t>
      </w:r>
      <w:r w:rsidR="004F76CC">
        <w:t>architectur</w:t>
      </w:r>
      <w:r w:rsidR="007857A1">
        <w:t>al space</w:t>
      </w:r>
      <w:r w:rsidR="004F76CC">
        <w:t xml:space="preserve"> and its numerous</w:t>
      </w:r>
      <w:r w:rsidR="004F76CC" w:rsidRPr="004F76CC">
        <w:t xml:space="preserve"> </w:t>
      </w:r>
      <w:r w:rsidR="004F76CC">
        <w:t xml:space="preserve">subjectivities, </w:t>
      </w:r>
      <w:proofErr w:type="spellStart"/>
      <w:r w:rsidR="004F76CC" w:rsidRPr="004F76CC">
        <w:t>spatialities</w:t>
      </w:r>
      <w:proofErr w:type="spellEnd"/>
      <w:r w:rsidR="004F76CC">
        <w:t xml:space="preserve"> and </w:t>
      </w:r>
      <w:r w:rsidR="004F76CC" w:rsidRPr="004F76CC">
        <w:t>temporalities</w:t>
      </w:r>
      <w:r w:rsidR="007857A1">
        <w:t xml:space="preserve"> and acknowledge how they</w:t>
      </w:r>
      <w:r w:rsidR="004F76CC" w:rsidRPr="004F76CC">
        <w:t xml:space="preserve"> are embodied, situated, and fluid; </w:t>
      </w:r>
      <w:r w:rsidR="004F76CC">
        <w:t xml:space="preserve">that </w:t>
      </w:r>
      <w:r w:rsidR="004F76CC" w:rsidRPr="004F76CC">
        <w:t xml:space="preserve">their productions of </w:t>
      </w:r>
      <w:r w:rsidR="004F76CC">
        <w:t xml:space="preserve">space and </w:t>
      </w:r>
      <w:r w:rsidR="004F76CC" w:rsidRPr="004F76CC">
        <w:t>knowledge</w:t>
      </w:r>
      <w:r w:rsidR="004F76CC">
        <w:t xml:space="preserve"> are</w:t>
      </w:r>
      <w:r w:rsidR="004F76CC" w:rsidRPr="004F76CC">
        <w:t xml:space="preserve"> inseparable from—if not completely absorbed in—the mess of everyday life</w:t>
      </w:r>
      <w:r w:rsidR="004F76CC">
        <w:t>.</w:t>
      </w:r>
      <w:r w:rsidR="00FB061F">
        <w:t xml:space="preserve"> </w:t>
      </w:r>
      <w:r w:rsidR="004F76CC">
        <w:t xml:space="preserve"> </w:t>
      </w:r>
      <w:proofErr w:type="gramStart"/>
      <w:r w:rsidR="00380A55">
        <w:t>Hopefully</w:t>
      </w:r>
      <w:proofErr w:type="gramEnd"/>
      <w:r w:rsidR="00380A55">
        <w:t xml:space="preserve"> what each of these lines of argument has illuminated is that there is a value in architectural geographers paying more attention to the door and other intimate architectural features. That by unsettling fixed notions of architecture and accounting for its ‘intimate’ features </w:t>
      </w:r>
      <w:r w:rsidR="007857A1">
        <w:t>we can deconstruct and expose the</w:t>
      </w:r>
      <w:r w:rsidR="00380A55">
        <w:t xml:space="preserve"> social and political dynamics</w:t>
      </w:r>
      <w:r w:rsidR="007857A1">
        <w:t xml:space="preserve"> of </w:t>
      </w:r>
      <w:r w:rsidR="00BC5385">
        <w:t xml:space="preserve">architectural </w:t>
      </w:r>
      <w:r w:rsidR="007857A1">
        <w:t>space</w:t>
      </w:r>
      <w:r w:rsidR="00380A55">
        <w:t xml:space="preserve"> that in turn can challenge the unequal power relations that are inherently built into the fabric of </w:t>
      </w:r>
      <w:r w:rsidR="00BD77C5">
        <w:t xml:space="preserve">the lived </w:t>
      </w:r>
      <w:r w:rsidR="00380A55">
        <w:t>environment.</w:t>
      </w:r>
      <w:bookmarkEnd w:id="18"/>
    </w:p>
    <w:p w14:paraId="2A398AC1" w14:textId="77777777" w:rsidR="00821118" w:rsidRDefault="00821118" w:rsidP="00821118">
      <w:pPr>
        <w:pStyle w:val="Newparagraph"/>
        <w:ind w:firstLine="0"/>
        <w:rPr>
          <w:b/>
        </w:rPr>
      </w:pPr>
    </w:p>
    <w:p w14:paraId="7C8CD032" w14:textId="77777777" w:rsidR="00821118" w:rsidRPr="00821118" w:rsidRDefault="00821118" w:rsidP="00821118">
      <w:pPr>
        <w:pStyle w:val="Newparagraph"/>
        <w:ind w:firstLine="0"/>
      </w:pPr>
    </w:p>
    <w:p w14:paraId="61BED57A" w14:textId="585D628E" w:rsidR="00951CFB" w:rsidRDefault="00951CFB">
      <w:pPr>
        <w:spacing w:line="240" w:lineRule="auto"/>
        <w:rPr>
          <w:i/>
          <w:sz w:val="22"/>
        </w:rPr>
      </w:pPr>
      <w:bookmarkStart w:id="19" w:name="_Hlk535231853"/>
      <w:bookmarkStart w:id="20" w:name="_Hlk535232159"/>
    </w:p>
    <w:bookmarkEnd w:id="19"/>
    <w:bookmarkEnd w:id="20"/>
    <w:p w14:paraId="7110A2B4" w14:textId="74908102" w:rsidR="0018341E" w:rsidRDefault="0018341E" w:rsidP="00445819">
      <w:pPr>
        <w:pStyle w:val="Heading1"/>
        <w:rPr>
          <w:i/>
        </w:rPr>
      </w:pPr>
    </w:p>
    <w:p w14:paraId="5B3F4176" w14:textId="24BF30CC" w:rsidR="00B111AB" w:rsidRDefault="00B111AB" w:rsidP="004A1B96">
      <w:pPr>
        <w:pStyle w:val="Heading1"/>
        <w:rPr>
          <w:rFonts w:eastAsia="Calibri"/>
          <w:lang w:eastAsia="en-US"/>
        </w:rPr>
      </w:pPr>
    </w:p>
    <w:p w14:paraId="55BFCF49" w14:textId="77777777" w:rsidR="00B111AB" w:rsidRPr="00B111AB" w:rsidRDefault="00B111AB" w:rsidP="00B111AB">
      <w:pPr>
        <w:pStyle w:val="Paragraph"/>
        <w:rPr>
          <w:rFonts w:eastAsia="Calibri"/>
          <w:lang w:eastAsia="en-US"/>
        </w:rPr>
      </w:pPr>
    </w:p>
    <w:p w14:paraId="263EB71F" w14:textId="608B4E14" w:rsidR="004A1B96" w:rsidRDefault="00B111AB" w:rsidP="004A1B96">
      <w:pPr>
        <w:pStyle w:val="Heading1"/>
        <w:rPr>
          <w:rFonts w:eastAsia="Calibri"/>
          <w:lang w:eastAsia="en-US"/>
        </w:rPr>
      </w:pPr>
      <w:r>
        <w:rPr>
          <w:rFonts w:eastAsia="Calibri"/>
          <w:lang w:eastAsia="en-US"/>
        </w:rPr>
        <w:lastRenderedPageBreak/>
        <w:t>A</w:t>
      </w:r>
      <w:r w:rsidR="004A1B96">
        <w:rPr>
          <w:rFonts w:eastAsia="Calibri"/>
          <w:lang w:eastAsia="en-US"/>
        </w:rPr>
        <w:t>cknowledgements</w:t>
      </w:r>
    </w:p>
    <w:p w14:paraId="4F03F11C" w14:textId="77777777" w:rsidR="00F07FD2" w:rsidRPr="00F07FD2" w:rsidRDefault="00874CBA" w:rsidP="00F07FD2">
      <w:pPr>
        <w:pStyle w:val="Acknowledgements"/>
        <w:rPr>
          <w:rFonts w:eastAsia="Calibri"/>
          <w:lang w:eastAsia="en-US"/>
        </w:rPr>
      </w:pPr>
      <w:r w:rsidRPr="00874CBA">
        <w:rPr>
          <w:rFonts w:eastAsia="Calibri"/>
          <w:lang w:eastAsia="en-US"/>
        </w:rPr>
        <w:t xml:space="preserve">I wish to thank </w:t>
      </w:r>
      <w:r>
        <w:rPr>
          <w:rFonts w:eastAsia="Calibri"/>
          <w:lang w:eastAsia="en-US"/>
        </w:rPr>
        <w:t>Oli Mould</w:t>
      </w:r>
      <w:r w:rsidRPr="00874CBA">
        <w:rPr>
          <w:rFonts w:eastAsia="Calibri"/>
          <w:lang w:eastAsia="en-US"/>
        </w:rPr>
        <w:t xml:space="preserve">, Harriet Hawkins and the </w:t>
      </w:r>
      <w:r>
        <w:rPr>
          <w:rFonts w:eastAsia="Calibri"/>
          <w:lang w:eastAsia="en-US"/>
        </w:rPr>
        <w:t>anonymous</w:t>
      </w:r>
      <w:r w:rsidRPr="00874CBA">
        <w:rPr>
          <w:rFonts w:eastAsia="Calibri"/>
          <w:lang w:eastAsia="en-US"/>
        </w:rPr>
        <w:t xml:space="preserve"> reviewers for their critical comments that</w:t>
      </w:r>
      <w:r>
        <w:rPr>
          <w:rFonts w:eastAsia="Calibri"/>
          <w:lang w:eastAsia="en-US"/>
        </w:rPr>
        <w:t xml:space="preserve"> </w:t>
      </w:r>
      <w:r w:rsidRPr="00874CBA">
        <w:rPr>
          <w:rFonts w:eastAsia="Calibri"/>
          <w:lang w:eastAsia="en-US"/>
        </w:rPr>
        <w:t>helped to further develop and ground the arguments</w:t>
      </w:r>
      <w:r w:rsidR="005A5489">
        <w:rPr>
          <w:rFonts w:eastAsia="Calibri"/>
          <w:lang w:eastAsia="en-US"/>
        </w:rPr>
        <w:t xml:space="preserve"> </w:t>
      </w:r>
      <w:r w:rsidRPr="00874CBA">
        <w:rPr>
          <w:rFonts w:eastAsia="Calibri"/>
          <w:lang w:eastAsia="en-US"/>
        </w:rPr>
        <w:t xml:space="preserve">central to this </w:t>
      </w:r>
      <w:r w:rsidR="006F4DA7" w:rsidRPr="00874CBA">
        <w:rPr>
          <w:rFonts w:eastAsia="Calibri"/>
          <w:lang w:eastAsia="en-US"/>
        </w:rPr>
        <w:t>paper</w:t>
      </w:r>
      <w:r w:rsidR="006F4DA7">
        <w:rPr>
          <w:rFonts w:eastAsia="Calibri"/>
          <w:lang w:eastAsia="en-US"/>
        </w:rPr>
        <w:t>. Edward</w:t>
      </w:r>
      <w:r w:rsidR="00F07FD2">
        <w:rPr>
          <w:rFonts w:eastAsia="Calibri"/>
          <w:lang w:eastAsia="en-US"/>
        </w:rPr>
        <w:t xml:space="preserve"> Brookes</w:t>
      </w:r>
      <w:r w:rsidR="00F07FD2" w:rsidRPr="00F07FD2">
        <w:rPr>
          <w:rFonts w:eastAsia="Calibri"/>
          <w:lang w:eastAsia="en-US"/>
        </w:rPr>
        <w:t xml:space="preserve"> has been supported in his research</w:t>
      </w:r>
      <w:r w:rsidR="005A5489">
        <w:rPr>
          <w:rFonts w:eastAsia="Calibri"/>
          <w:lang w:eastAsia="en-US"/>
        </w:rPr>
        <w:t xml:space="preserve"> </w:t>
      </w:r>
      <w:r w:rsidR="00F07FD2" w:rsidRPr="00F07FD2">
        <w:rPr>
          <w:rFonts w:eastAsia="Calibri"/>
          <w:lang w:eastAsia="en-US"/>
        </w:rPr>
        <w:t xml:space="preserve">by </w:t>
      </w:r>
      <w:r w:rsidRPr="00874CBA">
        <w:rPr>
          <w:rFonts w:eastAsia="Calibri"/>
          <w:lang w:eastAsia="en-US"/>
        </w:rPr>
        <w:t>ESRC South East Doctoral Training Centre Studentship</w:t>
      </w:r>
      <w:r w:rsidR="006F4DA7">
        <w:rPr>
          <w:rFonts w:eastAsia="Calibri"/>
          <w:lang w:eastAsia="en-US"/>
        </w:rPr>
        <w:t xml:space="preserve">. </w:t>
      </w:r>
    </w:p>
    <w:p w14:paraId="654598A2" w14:textId="77777777" w:rsidR="00531ADC" w:rsidRDefault="00531ADC" w:rsidP="00445819">
      <w:pPr>
        <w:pStyle w:val="Heading1"/>
        <w:rPr>
          <w:rFonts w:eastAsia="Calibri" w:cs="Times New Roman"/>
          <w:b w:val="0"/>
          <w:bCs w:val="0"/>
          <w:kern w:val="0"/>
          <w:szCs w:val="24"/>
          <w:lang w:eastAsia="en-US"/>
        </w:rPr>
      </w:pPr>
    </w:p>
    <w:p w14:paraId="35C6CFE3" w14:textId="5147FE80" w:rsidR="00F8130C" w:rsidRPr="0018341E" w:rsidRDefault="00445819" w:rsidP="00F8130C">
      <w:pPr>
        <w:pStyle w:val="Heading1"/>
        <w:rPr>
          <w:rFonts w:eastAsia="Calibri"/>
          <w:lang w:eastAsia="en-US"/>
        </w:rPr>
      </w:pPr>
      <w:r w:rsidRPr="00445819">
        <w:rPr>
          <w:rFonts w:eastAsia="Calibri"/>
          <w:lang w:eastAsia="en-US"/>
        </w:rPr>
        <w:t>References</w:t>
      </w:r>
    </w:p>
    <w:p w14:paraId="27220252" w14:textId="77777777" w:rsidR="00F8130C" w:rsidRPr="0018341E" w:rsidRDefault="00F8130C" w:rsidP="0018341E">
      <w:pPr>
        <w:pStyle w:val="References"/>
        <w:rPr>
          <w:rFonts w:eastAsia="Calibri"/>
          <w:lang w:eastAsia="en-US"/>
        </w:rPr>
      </w:pPr>
      <w:r w:rsidRPr="0018341E">
        <w:rPr>
          <w:rFonts w:eastAsia="Calibri"/>
          <w:lang w:eastAsia="en-US"/>
        </w:rPr>
        <w:t xml:space="preserve">Adey, P. </w:t>
      </w:r>
      <w:r>
        <w:rPr>
          <w:rFonts w:eastAsia="Calibri"/>
          <w:lang w:eastAsia="en-US"/>
        </w:rPr>
        <w:t>(</w:t>
      </w:r>
      <w:r w:rsidRPr="0018341E">
        <w:rPr>
          <w:rFonts w:eastAsia="Calibri"/>
          <w:lang w:eastAsia="en-US"/>
        </w:rPr>
        <w:t>2008</w:t>
      </w:r>
      <w:r>
        <w:rPr>
          <w:rFonts w:eastAsia="Calibri"/>
          <w:lang w:eastAsia="en-US"/>
        </w:rPr>
        <w:t>).</w:t>
      </w:r>
      <w:r w:rsidRPr="0018341E">
        <w:rPr>
          <w:rFonts w:eastAsia="Calibri"/>
          <w:lang w:eastAsia="en-US"/>
        </w:rPr>
        <w:t xml:space="preserve"> Airports, mobility, and the calculative architecture of affective control</w:t>
      </w:r>
      <w:r>
        <w:rPr>
          <w:rFonts w:eastAsia="Calibri"/>
          <w:lang w:eastAsia="en-US"/>
        </w:rPr>
        <w:t>.</w:t>
      </w:r>
      <w:r w:rsidRPr="0018341E">
        <w:rPr>
          <w:rFonts w:eastAsia="Calibri"/>
          <w:lang w:eastAsia="en-US"/>
        </w:rPr>
        <w:t xml:space="preserve"> </w:t>
      </w:r>
      <w:proofErr w:type="spellStart"/>
      <w:r w:rsidRPr="00630062">
        <w:rPr>
          <w:rFonts w:eastAsia="Calibri"/>
          <w:i/>
          <w:iCs/>
          <w:lang w:eastAsia="en-US"/>
        </w:rPr>
        <w:t>Geoforum</w:t>
      </w:r>
      <w:proofErr w:type="spellEnd"/>
      <w:r w:rsidRPr="0018341E">
        <w:rPr>
          <w:rFonts w:eastAsia="Calibri"/>
          <w:lang w:eastAsia="en-US"/>
        </w:rPr>
        <w:t>, 39, 438–51</w:t>
      </w:r>
      <w:r>
        <w:rPr>
          <w:rFonts w:eastAsia="Calibri"/>
          <w:lang w:eastAsia="en-US"/>
        </w:rPr>
        <w:t>.</w:t>
      </w:r>
      <w:r w:rsidRPr="0018341E">
        <w:rPr>
          <w:rFonts w:eastAsia="Calibri"/>
          <w:lang w:eastAsia="en-US"/>
        </w:rPr>
        <w:t xml:space="preserve"> </w:t>
      </w:r>
      <w:hyperlink r:id="rId9" w:tgtFrame="_blank" w:tooltip="Persistent link using digital object identifier" w:history="1">
        <w:r w:rsidRPr="00677202">
          <w:rPr>
            <w:rStyle w:val="Hyperlink"/>
            <w:rFonts w:eastAsia="Calibri"/>
            <w:lang w:eastAsia="en-US"/>
          </w:rPr>
          <w:t>https://doi.org/10.1016/j.geoforum.2007.09.001</w:t>
        </w:r>
      </w:hyperlink>
    </w:p>
    <w:p w14:paraId="5EBFC8DF" w14:textId="77777777" w:rsidR="00F8130C" w:rsidRPr="0018341E" w:rsidRDefault="00F8130C" w:rsidP="0018341E">
      <w:pPr>
        <w:pStyle w:val="References"/>
        <w:rPr>
          <w:rFonts w:eastAsia="Calibri"/>
          <w:lang w:eastAsia="en-US"/>
        </w:rPr>
      </w:pPr>
      <w:r w:rsidRPr="0018341E">
        <w:rPr>
          <w:rFonts w:eastAsia="Calibri"/>
          <w:lang w:eastAsia="en-US"/>
        </w:rPr>
        <w:t xml:space="preserve">Bachelard, G. </w:t>
      </w:r>
      <w:r>
        <w:rPr>
          <w:rFonts w:eastAsia="Calibri"/>
          <w:lang w:eastAsia="en-US"/>
        </w:rPr>
        <w:t>(</w:t>
      </w:r>
      <w:r w:rsidRPr="0018341E">
        <w:rPr>
          <w:rFonts w:eastAsia="Calibri"/>
          <w:lang w:eastAsia="en-US"/>
        </w:rPr>
        <w:t>1994</w:t>
      </w:r>
      <w:r>
        <w:rPr>
          <w:rFonts w:eastAsia="Calibri"/>
          <w:lang w:eastAsia="en-US"/>
        </w:rPr>
        <w:t>).</w:t>
      </w:r>
      <w:r w:rsidRPr="0018341E">
        <w:rPr>
          <w:rFonts w:eastAsia="Calibri"/>
          <w:lang w:eastAsia="en-US"/>
        </w:rPr>
        <w:t xml:space="preserve"> </w:t>
      </w:r>
      <w:r w:rsidRPr="0018341E">
        <w:rPr>
          <w:rFonts w:eastAsia="Calibri"/>
          <w:i/>
          <w:lang w:eastAsia="en-US"/>
        </w:rPr>
        <w:t>The Poetics of Space</w:t>
      </w:r>
      <w:r>
        <w:rPr>
          <w:rFonts w:eastAsia="Calibri"/>
          <w:i/>
          <w:lang w:eastAsia="en-US"/>
        </w:rPr>
        <w:t>.</w:t>
      </w:r>
      <w:r w:rsidRPr="0018341E">
        <w:rPr>
          <w:rFonts w:eastAsia="Calibri"/>
          <w:i/>
          <w:lang w:eastAsia="en-US"/>
        </w:rPr>
        <w:t xml:space="preserve"> </w:t>
      </w:r>
      <w:r w:rsidRPr="0018341E">
        <w:rPr>
          <w:rFonts w:eastAsia="Calibri"/>
          <w:lang w:eastAsia="en-US"/>
        </w:rPr>
        <w:t>Beacon Press</w:t>
      </w:r>
      <w:r>
        <w:rPr>
          <w:rFonts w:eastAsia="Calibri"/>
          <w:lang w:eastAsia="en-US"/>
        </w:rPr>
        <w:t>:</w:t>
      </w:r>
      <w:r w:rsidRPr="0018341E">
        <w:rPr>
          <w:rFonts w:eastAsia="Calibri"/>
          <w:lang w:eastAsia="en-US"/>
        </w:rPr>
        <w:t xml:space="preserve"> Boston</w:t>
      </w:r>
      <w:r>
        <w:rPr>
          <w:rFonts w:eastAsia="Calibri"/>
          <w:lang w:eastAsia="en-US"/>
        </w:rPr>
        <w:t>.</w:t>
      </w:r>
      <w:r w:rsidRPr="0018341E">
        <w:rPr>
          <w:rFonts w:eastAsia="Calibri"/>
          <w:lang w:eastAsia="en-US"/>
        </w:rPr>
        <w:t xml:space="preserve"> </w:t>
      </w:r>
    </w:p>
    <w:p w14:paraId="7E89FEFB" w14:textId="77777777" w:rsidR="00F8130C" w:rsidRPr="0018341E" w:rsidRDefault="00F8130C" w:rsidP="0018341E">
      <w:pPr>
        <w:pStyle w:val="References"/>
        <w:rPr>
          <w:rFonts w:eastAsia="Calibri"/>
          <w:lang w:eastAsia="en-US"/>
        </w:rPr>
      </w:pPr>
      <w:r w:rsidRPr="0018341E">
        <w:rPr>
          <w:rFonts w:eastAsia="Calibri"/>
          <w:lang w:eastAsia="en-US"/>
        </w:rPr>
        <w:t xml:space="preserve">Benjamin, W. </w:t>
      </w:r>
      <w:r>
        <w:rPr>
          <w:rFonts w:eastAsia="Calibri"/>
          <w:lang w:eastAsia="en-US"/>
        </w:rPr>
        <w:t>(</w:t>
      </w:r>
      <w:r w:rsidRPr="0018341E">
        <w:rPr>
          <w:rFonts w:eastAsia="Calibri"/>
          <w:lang w:eastAsia="en-US"/>
        </w:rPr>
        <w:t>2002</w:t>
      </w:r>
      <w:r>
        <w:rPr>
          <w:rFonts w:eastAsia="Calibri"/>
          <w:lang w:eastAsia="en-US"/>
        </w:rPr>
        <w:t>).</w:t>
      </w:r>
      <w:r w:rsidRPr="0018341E">
        <w:rPr>
          <w:rFonts w:eastAsia="Calibri"/>
          <w:lang w:eastAsia="en-US"/>
        </w:rPr>
        <w:t xml:space="preserve"> </w:t>
      </w:r>
      <w:r w:rsidRPr="0018341E">
        <w:rPr>
          <w:rFonts w:eastAsia="Calibri"/>
          <w:i/>
          <w:lang w:eastAsia="en-US"/>
        </w:rPr>
        <w:t>The Arcades Project</w:t>
      </w:r>
      <w:r>
        <w:rPr>
          <w:rFonts w:eastAsia="Calibri"/>
          <w:lang w:eastAsia="en-US"/>
        </w:rPr>
        <w:t>.</w:t>
      </w:r>
      <w:r w:rsidRPr="0018341E">
        <w:rPr>
          <w:rFonts w:eastAsia="Calibri"/>
          <w:lang w:eastAsia="en-US"/>
        </w:rPr>
        <w:t xml:space="preserve"> </w:t>
      </w:r>
      <w:r>
        <w:rPr>
          <w:rFonts w:eastAsia="Calibri"/>
          <w:lang w:eastAsia="en-US"/>
        </w:rPr>
        <w:t>(</w:t>
      </w:r>
      <w:r w:rsidRPr="0018341E">
        <w:rPr>
          <w:rFonts w:eastAsia="Calibri"/>
          <w:lang w:eastAsia="en-US"/>
        </w:rPr>
        <w:t xml:space="preserve">H. Elland, </w:t>
      </w:r>
      <w:r>
        <w:rPr>
          <w:rFonts w:eastAsia="Calibri"/>
          <w:lang w:eastAsia="en-US"/>
        </w:rPr>
        <w:t>&amp;</w:t>
      </w:r>
      <w:r w:rsidRPr="0018341E">
        <w:rPr>
          <w:rFonts w:eastAsia="Calibri"/>
          <w:lang w:eastAsia="en-US"/>
        </w:rPr>
        <w:t xml:space="preserve"> K</w:t>
      </w:r>
      <w:r>
        <w:rPr>
          <w:rFonts w:eastAsia="Calibri"/>
          <w:lang w:eastAsia="en-US"/>
        </w:rPr>
        <w:t>.</w:t>
      </w:r>
      <w:r w:rsidRPr="00EA6C4A">
        <w:rPr>
          <w:rFonts w:eastAsia="Calibri"/>
          <w:lang w:eastAsia="en-US"/>
        </w:rPr>
        <w:t xml:space="preserve"> </w:t>
      </w:r>
      <w:r w:rsidRPr="0018341E">
        <w:rPr>
          <w:rFonts w:eastAsia="Calibri"/>
          <w:lang w:eastAsia="en-US"/>
        </w:rPr>
        <w:t>McLaughlin</w:t>
      </w:r>
      <w:r>
        <w:rPr>
          <w:rFonts w:eastAsia="Calibri"/>
          <w:lang w:eastAsia="en-US"/>
        </w:rPr>
        <w:t xml:space="preserve">, Trans.). </w:t>
      </w:r>
      <w:r w:rsidRPr="0018341E">
        <w:rPr>
          <w:rFonts w:eastAsia="Calibri"/>
          <w:lang w:eastAsia="en-US"/>
        </w:rPr>
        <w:t>Cambridge</w:t>
      </w:r>
      <w:r>
        <w:rPr>
          <w:rFonts w:eastAsia="Calibri"/>
          <w:lang w:eastAsia="en-US"/>
        </w:rPr>
        <w:t>:</w:t>
      </w:r>
      <w:r w:rsidRPr="0018341E">
        <w:rPr>
          <w:rFonts w:eastAsia="Calibri"/>
          <w:lang w:eastAsia="en-US"/>
        </w:rPr>
        <w:t xml:space="preserve"> Harvard University Press</w:t>
      </w:r>
      <w:r>
        <w:rPr>
          <w:rFonts w:eastAsia="Calibri"/>
          <w:lang w:eastAsia="en-US"/>
        </w:rPr>
        <w:t>.</w:t>
      </w:r>
    </w:p>
    <w:p w14:paraId="0F07D993" w14:textId="77777777" w:rsidR="00F8130C" w:rsidRPr="0018341E" w:rsidRDefault="00F8130C" w:rsidP="0018341E">
      <w:pPr>
        <w:pStyle w:val="References"/>
        <w:rPr>
          <w:rFonts w:eastAsia="Calibri"/>
          <w:lang w:eastAsia="en-US"/>
        </w:rPr>
      </w:pPr>
      <w:r w:rsidRPr="0018341E">
        <w:rPr>
          <w:rFonts w:eastAsia="Calibri"/>
          <w:lang w:eastAsia="en-US"/>
        </w:rPr>
        <w:t xml:space="preserve">Blunt, A. </w:t>
      </w:r>
      <w:r>
        <w:rPr>
          <w:rFonts w:eastAsia="Calibri"/>
          <w:lang w:eastAsia="en-US"/>
        </w:rPr>
        <w:t>(</w:t>
      </w:r>
      <w:r w:rsidRPr="0018341E">
        <w:rPr>
          <w:rFonts w:eastAsia="Calibri"/>
          <w:lang w:eastAsia="en-US"/>
        </w:rPr>
        <w:t>2005</w:t>
      </w:r>
      <w:r>
        <w:rPr>
          <w:rFonts w:eastAsia="Calibri"/>
          <w:lang w:eastAsia="en-US"/>
        </w:rPr>
        <w:t>).</w:t>
      </w:r>
      <w:r w:rsidRPr="0018341E">
        <w:rPr>
          <w:rFonts w:eastAsia="Calibri"/>
          <w:lang w:eastAsia="en-US"/>
        </w:rPr>
        <w:t xml:space="preserve"> Cultural geography: cultural geographies of home</w:t>
      </w:r>
      <w:r>
        <w:rPr>
          <w:rFonts w:eastAsia="Calibri"/>
          <w:lang w:eastAsia="en-US"/>
        </w:rPr>
        <w:t>.</w:t>
      </w:r>
      <w:r w:rsidRPr="0018341E">
        <w:rPr>
          <w:rFonts w:eastAsia="Calibri"/>
          <w:lang w:eastAsia="en-US"/>
        </w:rPr>
        <w:t xml:space="preserve"> </w:t>
      </w:r>
      <w:r w:rsidRPr="0018341E">
        <w:rPr>
          <w:rFonts w:eastAsia="Calibri"/>
          <w:i/>
          <w:iCs/>
          <w:lang w:eastAsia="en-US"/>
        </w:rPr>
        <w:t xml:space="preserve">Progress in Human Geography, </w:t>
      </w:r>
      <w:r w:rsidRPr="0018341E">
        <w:rPr>
          <w:rFonts w:eastAsia="Calibri"/>
          <w:lang w:eastAsia="en-US"/>
        </w:rPr>
        <w:t>29</w:t>
      </w:r>
      <w:r>
        <w:rPr>
          <w:rFonts w:eastAsia="Calibri"/>
          <w:lang w:eastAsia="en-US"/>
        </w:rPr>
        <w:t xml:space="preserve"> (4), 505-515.</w:t>
      </w:r>
      <w:r w:rsidRPr="0018341E">
        <w:rPr>
          <w:rFonts w:eastAsia="Calibri"/>
          <w:lang w:eastAsia="en-US"/>
        </w:rPr>
        <w:t xml:space="preserve"> </w:t>
      </w:r>
      <w:hyperlink r:id="rId10" w:history="1">
        <w:r w:rsidRPr="00677202">
          <w:rPr>
            <w:rStyle w:val="Hyperlink"/>
            <w:rFonts w:eastAsia="Calibri"/>
            <w:lang w:eastAsia="en-US"/>
          </w:rPr>
          <w:t>https://doi.org/10.1191/0309132505ph564pr</w:t>
        </w:r>
      </w:hyperlink>
    </w:p>
    <w:p w14:paraId="3B328F94" w14:textId="77777777" w:rsidR="00F8130C" w:rsidRDefault="00F8130C" w:rsidP="00677202">
      <w:pPr>
        <w:pStyle w:val="References"/>
        <w:rPr>
          <w:rFonts w:eastAsia="Calibri"/>
          <w:lang w:eastAsia="en-US"/>
        </w:rPr>
      </w:pPr>
      <w:r w:rsidRPr="0018341E">
        <w:rPr>
          <w:rFonts w:eastAsia="Calibri"/>
          <w:lang w:eastAsia="en-US"/>
        </w:rPr>
        <w:t xml:space="preserve">Borden, I. </w:t>
      </w:r>
      <w:r>
        <w:rPr>
          <w:rFonts w:eastAsia="Calibri"/>
          <w:lang w:eastAsia="en-US"/>
        </w:rPr>
        <w:t>(</w:t>
      </w:r>
      <w:r w:rsidRPr="0018341E">
        <w:rPr>
          <w:rFonts w:eastAsia="Calibri"/>
          <w:lang w:eastAsia="en-US"/>
        </w:rPr>
        <w:t>2001</w:t>
      </w:r>
      <w:r>
        <w:rPr>
          <w:rFonts w:eastAsia="Calibri"/>
          <w:lang w:eastAsia="en-US"/>
        </w:rPr>
        <w:t>).</w:t>
      </w:r>
      <w:r w:rsidRPr="0018341E">
        <w:rPr>
          <w:rFonts w:eastAsia="Calibri"/>
          <w:lang w:eastAsia="en-US"/>
        </w:rPr>
        <w:t xml:space="preserve"> Stairway Architecture: Transformative Cycles in the Golden Lane</w:t>
      </w:r>
      <w:r>
        <w:rPr>
          <w:rFonts w:eastAsia="Calibri"/>
          <w:lang w:eastAsia="en-US"/>
        </w:rPr>
        <w:t>. I</w:t>
      </w:r>
      <w:r w:rsidRPr="0018341E">
        <w:rPr>
          <w:rFonts w:eastAsia="Calibri"/>
          <w:lang w:eastAsia="en-US"/>
        </w:rPr>
        <w:t>n J. Hill (</w:t>
      </w:r>
      <w:r>
        <w:rPr>
          <w:rFonts w:eastAsia="Calibri"/>
          <w:lang w:eastAsia="en-US"/>
        </w:rPr>
        <w:t>E</w:t>
      </w:r>
      <w:r w:rsidRPr="0018341E">
        <w:rPr>
          <w:rFonts w:eastAsia="Calibri"/>
          <w:lang w:eastAsia="en-US"/>
        </w:rPr>
        <w:t xml:space="preserve">d.), </w:t>
      </w:r>
      <w:r w:rsidRPr="0018341E">
        <w:rPr>
          <w:rFonts w:eastAsia="Calibri"/>
          <w:i/>
          <w:lang w:eastAsia="en-US"/>
        </w:rPr>
        <w:t>Architecture: The Subject is Matter</w:t>
      </w:r>
      <w:r>
        <w:rPr>
          <w:rFonts w:eastAsia="Calibri"/>
          <w:iCs/>
          <w:lang w:eastAsia="en-US"/>
        </w:rPr>
        <w:t xml:space="preserve"> (pp.119-130)</w:t>
      </w:r>
      <w:r>
        <w:rPr>
          <w:rFonts w:eastAsia="Calibri"/>
          <w:lang w:eastAsia="en-US"/>
        </w:rPr>
        <w:t>.</w:t>
      </w:r>
      <w:r w:rsidRPr="0018341E">
        <w:rPr>
          <w:rFonts w:eastAsia="Calibri"/>
          <w:lang w:eastAsia="en-US"/>
        </w:rPr>
        <w:t xml:space="preserve"> </w:t>
      </w:r>
      <w:r>
        <w:rPr>
          <w:rFonts w:eastAsia="Calibri"/>
          <w:lang w:eastAsia="en-US"/>
        </w:rPr>
        <w:t xml:space="preserve">London: </w:t>
      </w:r>
      <w:r w:rsidRPr="0018341E">
        <w:rPr>
          <w:rFonts w:eastAsia="Calibri"/>
          <w:lang w:eastAsia="en-US"/>
        </w:rPr>
        <w:t>Routledge</w:t>
      </w:r>
      <w:r>
        <w:rPr>
          <w:rFonts w:eastAsia="Calibri"/>
          <w:lang w:eastAsia="en-US"/>
        </w:rPr>
        <w:t>.</w:t>
      </w:r>
    </w:p>
    <w:p w14:paraId="1DBAFCEE" w14:textId="77777777" w:rsidR="00F8130C" w:rsidRDefault="00F8130C" w:rsidP="00677202">
      <w:pPr>
        <w:pStyle w:val="References"/>
        <w:rPr>
          <w:rFonts w:eastAsia="Calibri"/>
          <w:lang w:eastAsia="en-US"/>
        </w:rPr>
      </w:pPr>
      <w:proofErr w:type="spellStart"/>
      <w:r w:rsidRPr="007D4C98">
        <w:rPr>
          <w:rFonts w:eastAsia="Calibri"/>
          <w:lang w:eastAsia="en-US"/>
        </w:rPr>
        <w:t>Bremner</w:t>
      </w:r>
      <w:proofErr w:type="spellEnd"/>
      <w:r>
        <w:rPr>
          <w:rFonts w:eastAsia="Calibri"/>
          <w:lang w:eastAsia="en-US"/>
        </w:rPr>
        <w:t>, L.</w:t>
      </w:r>
      <w:r w:rsidRPr="007D4C98">
        <w:rPr>
          <w:rFonts w:eastAsia="Calibri"/>
          <w:lang w:eastAsia="en-US"/>
        </w:rPr>
        <w:t xml:space="preserve"> (2013)</w:t>
      </w:r>
      <w:r>
        <w:rPr>
          <w:rFonts w:eastAsia="Calibri"/>
          <w:lang w:eastAsia="en-US"/>
        </w:rPr>
        <w:t>.</w:t>
      </w:r>
      <w:r w:rsidRPr="007D4C98">
        <w:rPr>
          <w:rFonts w:eastAsia="Calibri"/>
          <w:lang w:eastAsia="en-US"/>
        </w:rPr>
        <w:t xml:space="preserve"> Towards a minor global architecture at </w:t>
      </w:r>
      <w:proofErr w:type="spellStart"/>
      <w:r w:rsidRPr="007D4C98">
        <w:rPr>
          <w:rFonts w:eastAsia="Calibri"/>
          <w:lang w:eastAsia="en-US"/>
        </w:rPr>
        <w:t>Lamu</w:t>
      </w:r>
      <w:proofErr w:type="spellEnd"/>
      <w:r w:rsidRPr="007D4C98">
        <w:rPr>
          <w:rFonts w:eastAsia="Calibri"/>
          <w:lang w:eastAsia="en-US"/>
        </w:rPr>
        <w:t>, Kenya</w:t>
      </w:r>
      <w:r>
        <w:rPr>
          <w:rFonts w:eastAsia="Calibri"/>
          <w:lang w:eastAsia="en-US"/>
        </w:rPr>
        <w:t xml:space="preserve">. </w:t>
      </w:r>
      <w:r w:rsidRPr="007D4C98">
        <w:rPr>
          <w:rFonts w:eastAsia="Calibri"/>
          <w:i/>
          <w:iCs/>
          <w:lang w:eastAsia="en-US"/>
        </w:rPr>
        <w:t>Social Dynamics</w:t>
      </w:r>
      <w:r w:rsidRPr="007D4C98">
        <w:rPr>
          <w:rFonts w:eastAsia="Calibri"/>
          <w:lang w:eastAsia="en-US"/>
        </w:rPr>
        <w:t>, 39</w:t>
      </w:r>
      <w:r>
        <w:rPr>
          <w:rFonts w:eastAsia="Calibri"/>
          <w:lang w:eastAsia="en-US"/>
        </w:rPr>
        <w:t xml:space="preserve"> (</w:t>
      </w:r>
      <w:r w:rsidRPr="007D4C98">
        <w:rPr>
          <w:rFonts w:eastAsia="Calibri"/>
          <w:lang w:eastAsia="en-US"/>
        </w:rPr>
        <w:t>3</w:t>
      </w:r>
      <w:r>
        <w:rPr>
          <w:rFonts w:eastAsia="Calibri"/>
          <w:lang w:eastAsia="en-US"/>
        </w:rPr>
        <w:t>)</w:t>
      </w:r>
      <w:r w:rsidRPr="007D4C98">
        <w:rPr>
          <w:rFonts w:eastAsia="Calibri"/>
          <w:lang w:eastAsia="en-US"/>
        </w:rPr>
        <w:t>, 397-413</w:t>
      </w:r>
      <w:r>
        <w:rPr>
          <w:rFonts w:eastAsia="Calibri"/>
          <w:lang w:eastAsia="en-US"/>
        </w:rPr>
        <w:t xml:space="preserve">.  </w:t>
      </w:r>
      <w:hyperlink r:id="rId11" w:history="1">
        <w:r w:rsidRPr="00677202">
          <w:rPr>
            <w:rStyle w:val="Hyperlink"/>
            <w:rFonts w:eastAsia="Calibri"/>
            <w:lang w:eastAsia="en-US"/>
          </w:rPr>
          <w:t>https://doi.org/10.1080/02533952.2013.842340</w:t>
        </w:r>
      </w:hyperlink>
    </w:p>
    <w:p w14:paraId="2985F9F9" w14:textId="77777777" w:rsidR="00F8130C" w:rsidRDefault="00F8130C" w:rsidP="00677202">
      <w:pPr>
        <w:pStyle w:val="References"/>
        <w:rPr>
          <w:rFonts w:eastAsia="Calibri"/>
          <w:lang w:eastAsia="en-US"/>
        </w:rPr>
      </w:pPr>
      <w:r w:rsidRPr="0018341E">
        <w:rPr>
          <w:rFonts w:eastAsia="Calibri"/>
          <w:lang w:eastAsia="en-US"/>
        </w:rPr>
        <w:t xml:space="preserve">Brewer, J. </w:t>
      </w:r>
      <w:r>
        <w:rPr>
          <w:rFonts w:eastAsia="Calibri"/>
          <w:lang w:eastAsia="en-US"/>
        </w:rPr>
        <w:t>(</w:t>
      </w:r>
      <w:r w:rsidRPr="0018341E">
        <w:rPr>
          <w:rFonts w:eastAsia="Calibri"/>
          <w:lang w:eastAsia="en-US"/>
        </w:rPr>
        <w:t>2016</w:t>
      </w:r>
      <w:r>
        <w:rPr>
          <w:rFonts w:eastAsia="Calibri"/>
          <w:lang w:eastAsia="en-US"/>
        </w:rPr>
        <w:t>, January 25th).</w:t>
      </w:r>
      <w:r w:rsidRPr="0018341E">
        <w:rPr>
          <w:rFonts w:eastAsia="Calibri"/>
          <w:lang w:eastAsia="en-US"/>
        </w:rPr>
        <w:t xml:space="preserve"> Red doors and wristbands: Another day, another comparison to Nazi Germany, </w:t>
      </w:r>
      <w:r w:rsidRPr="0018341E">
        <w:rPr>
          <w:rFonts w:eastAsia="Calibri"/>
          <w:i/>
          <w:lang w:eastAsia="en-US"/>
        </w:rPr>
        <w:t>The Telegraph Online</w:t>
      </w:r>
      <w:r>
        <w:rPr>
          <w:rFonts w:eastAsia="Calibri"/>
          <w:i/>
          <w:lang w:eastAsia="en-US"/>
        </w:rPr>
        <w:t xml:space="preserve">. </w:t>
      </w:r>
      <w:r>
        <w:rPr>
          <w:rFonts w:eastAsia="Calibri"/>
          <w:iCs/>
          <w:lang w:eastAsia="en-US"/>
        </w:rPr>
        <w:t>Retrieved from</w:t>
      </w:r>
      <w:r w:rsidRPr="0018341E">
        <w:rPr>
          <w:rFonts w:eastAsia="Calibri"/>
          <w:lang w:eastAsia="en-US"/>
        </w:rPr>
        <w:t xml:space="preserve"> </w:t>
      </w:r>
      <w:hyperlink r:id="rId12" w:history="1">
        <w:r>
          <w:rPr>
            <w:rStyle w:val="Hyperlink"/>
          </w:rPr>
          <w:t>https://www.telegraph.co.uk/news/uknews/immigration/12120009/Red-doors-and-wristbands-Another-day-another-comparison-to-Nazi-Germany.html</w:t>
        </w:r>
      </w:hyperlink>
    </w:p>
    <w:p w14:paraId="13D39230" w14:textId="77777777" w:rsidR="00F8130C" w:rsidRPr="0018341E" w:rsidRDefault="00F8130C" w:rsidP="0018341E">
      <w:pPr>
        <w:pStyle w:val="References"/>
        <w:rPr>
          <w:rFonts w:eastAsia="Calibri"/>
          <w:lang w:eastAsia="en-US"/>
        </w:rPr>
      </w:pPr>
      <w:r w:rsidRPr="00D407CD">
        <w:rPr>
          <w:rFonts w:eastAsia="Calibri"/>
          <w:lang w:eastAsia="en-US"/>
        </w:rPr>
        <w:t>Datta, A. (2008)</w:t>
      </w:r>
      <w:r>
        <w:rPr>
          <w:rFonts w:eastAsia="Calibri"/>
          <w:lang w:eastAsia="en-US"/>
        </w:rPr>
        <w:t xml:space="preserve">. </w:t>
      </w:r>
      <w:r w:rsidRPr="00D407CD">
        <w:rPr>
          <w:rFonts w:eastAsia="Calibri"/>
          <w:lang w:eastAsia="en-US"/>
        </w:rPr>
        <w:t xml:space="preserve">Architecture of low-income widow housing: </w:t>
      </w:r>
      <w:r>
        <w:rPr>
          <w:rFonts w:eastAsia="Calibri"/>
          <w:lang w:eastAsia="en-US"/>
        </w:rPr>
        <w:t>‘</w:t>
      </w:r>
      <w:r w:rsidRPr="00D407CD">
        <w:rPr>
          <w:rFonts w:eastAsia="Calibri"/>
          <w:lang w:eastAsia="en-US"/>
        </w:rPr>
        <w:t>spatial opportunities</w:t>
      </w:r>
      <w:r>
        <w:rPr>
          <w:rFonts w:eastAsia="Calibri"/>
          <w:lang w:eastAsia="en-US"/>
        </w:rPr>
        <w:t>’</w:t>
      </w:r>
      <w:r w:rsidRPr="00D407CD">
        <w:rPr>
          <w:rFonts w:eastAsia="Calibri"/>
          <w:lang w:eastAsia="en-US"/>
        </w:rPr>
        <w:t xml:space="preserve"> in </w:t>
      </w:r>
      <w:proofErr w:type="spellStart"/>
      <w:r w:rsidRPr="00D407CD">
        <w:rPr>
          <w:rFonts w:eastAsia="Calibri"/>
          <w:lang w:eastAsia="en-US"/>
        </w:rPr>
        <w:t>Madipur</w:t>
      </w:r>
      <w:proofErr w:type="spellEnd"/>
      <w:r w:rsidRPr="00D407CD">
        <w:rPr>
          <w:rFonts w:eastAsia="Calibri"/>
          <w:lang w:eastAsia="en-US"/>
        </w:rPr>
        <w:t>, West Delhi</w:t>
      </w:r>
      <w:r>
        <w:rPr>
          <w:rFonts w:eastAsia="Calibri"/>
          <w:lang w:eastAsia="en-US"/>
        </w:rPr>
        <w:t xml:space="preserve">. </w:t>
      </w:r>
      <w:r w:rsidRPr="00D407CD">
        <w:rPr>
          <w:rFonts w:eastAsia="Calibri"/>
          <w:i/>
          <w:iCs/>
          <w:lang w:eastAsia="en-US"/>
        </w:rPr>
        <w:t>Cultural Geographies</w:t>
      </w:r>
      <w:r w:rsidRPr="00D407CD">
        <w:rPr>
          <w:rFonts w:eastAsia="Calibri"/>
          <w:lang w:eastAsia="en-US"/>
        </w:rPr>
        <w:t>, 15</w:t>
      </w:r>
      <w:r>
        <w:rPr>
          <w:rFonts w:eastAsia="Calibri"/>
          <w:lang w:eastAsia="en-US"/>
        </w:rPr>
        <w:t xml:space="preserve"> (</w:t>
      </w:r>
      <w:r w:rsidRPr="00D407CD">
        <w:rPr>
          <w:rFonts w:eastAsia="Calibri"/>
          <w:lang w:eastAsia="en-US"/>
        </w:rPr>
        <w:t>2</w:t>
      </w:r>
      <w:r>
        <w:rPr>
          <w:rFonts w:eastAsia="Calibri"/>
          <w:lang w:eastAsia="en-US"/>
        </w:rPr>
        <w:t>)</w:t>
      </w:r>
      <w:r w:rsidRPr="00D407CD">
        <w:rPr>
          <w:rFonts w:eastAsia="Calibri"/>
          <w:lang w:eastAsia="en-US"/>
        </w:rPr>
        <w:t>, 231–253</w:t>
      </w:r>
      <w:r>
        <w:rPr>
          <w:rFonts w:eastAsia="Calibri"/>
          <w:lang w:eastAsia="en-US"/>
        </w:rPr>
        <w:t xml:space="preserve">. </w:t>
      </w:r>
      <w:hyperlink r:id="rId13" w:history="1">
        <w:r w:rsidRPr="00981A40">
          <w:rPr>
            <w:rStyle w:val="Hyperlink"/>
            <w:rFonts w:eastAsia="Calibri"/>
            <w:lang w:eastAsia="en-US"/>
          </w:rPr>
          <w:t>https://doi.org/10.1177/1474474007087500</w:t>
        </w:r>
      </w:hyperlink>
    </w:p>
    <w:p w14:paraId="369BEEEA" w14:textId="77777777" w:rsidR="00F8130C" w:rsidRDefault="00F8130C" w:rsidP="0018341E">
      <w:pPr>
        <w:pStyle w:val="References"/>
        <w:rPr>
          <w:rFonts w:eastAsia="Calibri"/>
          <w:lang w:eastAsia="en-US"/>
        </w:rPr>
      </w:pPr>
      <w:r>
        <w:rPr>
          <w:rFonts w:eastAsia="Calibri"/>
          <w:lang w:eastAsia="en-US"/>
        </w:rPr>
        <w:t>D</w:t>
      </w:r>
      <w:r w:rsidRPr="009B1F8E">
        <w:rPr>
          <w:rFonts w:eastAsia="Calibri"/>
          <w:lang w:eastAsia="en-US"/>
        </w:rPr>
        <w:t>e Leeuw, S</w:t>
      </w:r>
      <w:r>
        <w:rPr>
          <w:rFonts w:eastAsia="Calibri"/>
          <w:lang w:eastAsia="en-US"/>
        </w:rPr>
        <w:t>. and</w:t>
      </w:r>
      <w:r w:rsidRPr="009B1F8E">
        <w:rPr>
          <w:rFonts w:eastAsia="Calibri"/>
          <w:lang w:eastAsia="en-US"/>
        </w:rPr>
        <w:t> Hunt, S.</w:t>
      </w:r>
      <w:r>
        <w:rPr>
          <w:rFonts w:eastAsia="Calibri"/>
          <w:lang w:eastAsia="en-US"/>
        </w:rPr>
        <w:t xml:space="preserve"> (2018).</w:t>
      </w:r>
      <w:r w:rsidRPr="009B1F8E">
        <w:rPr>
          <w:rFonts w:eastAsia="Calibri"/>
          <w:lang w:eastAsia="en-US"/>
        </w:rPr>
        <w:t> Unsettling decolonizing geographies</w:t>
      </w:r>
      <w:r>
        <w:rPr>
          <w:rFonts w:eastAsia="Calibri"/>
          <w:lang w:eastAsia="en-US"/>
        </w:rPr>
        <w:t>.</w:t>
      </w:r>
      <w:r w:rsidRPr="009B1F8E">
        <w:rPr>
          <w:rFonts w:eastAsia="Calibri"/>
          <w:lang w:eastAsia="en-US"/>
        </w:rPr>
        <w:t> </w:t>
      </w:r>
      <w:r w:rsidRPr="009B1F8E">
        <w:rPr>
          <w:rFonts w:eastAsia="Calibri"/>
          <w:i/>
          <w:iCs/>
          <w:lang w:eastAsia="en-US"/>
        </w:rPr>
        <w:t>Geography Compass</w:t>
      </w:r>
      <w:r>
        <w:rPr>
          <w:rFonts w:eastAsia="Calibri"/>
          <w:lang w:eastAsia="en-US"/>
        </w:rPr>
        <w:t xml:space="preserve">, 12 (7), 1-14. </w:t>
      </w:r>
      <w:hyperlink r:id="rId14" w:history="1">
        <w:r w:rsidRPr="00981A40">
          <w:rPr>
            <w:rStyle w:val="Hyperlink"/>
            <w:rFonts w:eastAsia="Calibri"/>
            <w:lang w:eastAsia="en-US"/>
          </w:rPr>
          <w:t>https://doi.org/10.1111/gec3.12376</w:t>
        </w:r>
      </w:hyperlink>
    </w:p>
    <w:p w14:paraId="172958AF" w14:textId="77777777" w:rsidR="00F8130C" w:rsidRPr="00981A40" w:rsidRDefault="00F8130C" w:rsidP="00981A40">
      <w:pPr>
        <w:pStyle w:val="References"/>
        <w:rPr>
          <w:rFonts w:eastAsia="Calibri"/>
          <w:lang w:eastAsia="en-US"/>
        </w:rPr>
      </w:pPr>
      <w:proofErr w:type="spellStart"/>
      <w:r w:rsidRPr="0018341E">
        <w:rPr>
          <w:rFonts w:eastAsia="Calibri"/>
          <w:lang w:eastAsia="en-US"/>
        </w:rPr>
        <w:t>Dekeyser</w:t>
      </w:r>
      <w:proofErr w:type="spellEnd"/>
      <w:r w:rsidRPr="0018341E">
        <w:rPr>
          <w:rFonts w:eastAsia="Calibri"/>
          <w:lang w:eastAsia="en-US"/>
        </w:rPr>
        <w:t xml:space="preserve">, T. </w:t>
      </w:r>
      <w:r>
        <w:rPr>
          <w:rFonts w:eastAsia="Calibri"/>
          <w:lang w:eastAsia="en-US"/>
        </w:rPr>
        <w:t>(</w:t>
      </w:r>
      <w:r w:rsidRPr="0018341E">
        <w:rPr>
          <w:rFonts w:eastAsia="Calibri"/>
          <w:lang w:eastAsia="en-US"/>
        </w:rPr>
        <w:t>2016</w:t>
      </w:r>
      <w:r>
        <w:rPr>
          <w:rFonts w:eastAsia="Calibri"/>
          <w:lang w:eastAsia="en-US"/>
        </w:rPr>
        <w:t>).</w:t>
      </w:r>
      <w:r w:rsidRPr="0018341E">
        <w:rPr>
          <w:rFonts w:eastAsia="Calibri"/>
          <w:lang w:eastAsia="en-US"/>
        </w:rPr>
        <w:t xml:space="preserve"> The gaps of architectural life: the affective politics of Gordon Matta-Clark’s Conical intersect</w:t>
      </w:r>
      <w:r>
        <w:rPr>
          <w:rFonts w:eastAsia="Calibri"/>
          <w:lang w:eastAsia="en-US"/>
        </w:rPr>
        <w:t>.</w:t>
      </w:r>
      <w:r w:rsidRPr="0018341E">
        <w:rPr>
          <w:rFonts w:eastAsia="Calibri"/>
          <w:lang w:eastAsia="en-US"/>
        </w:rPr>
        <w:t xml:space="preserve"> </w:t>
      </w:r>
      <w:r w:rsidRPr="00540956">
        <w:rPr>
          <w:rFonts w:eastAsia="Calibri"/>
          <w:i/>
          <w:iCs/>
          <w:lang w:eastAsia="en-US"/>
        </w:rPr>
        <w:t>Transaction of the Institute of British Geographers</w:t>
      </w:r>
      <w:r w:rsidRPr="0018341E">
        <w:rPr>
          <w:rFonts w:eastAsia="Calibri"/>
          <w:lang w:eastAsia="en-US"/>
        </w:rPr>
        <w:t>, 42</w:t>
      </w:r>
      <w:r>
        <w:rPr>
          <w:rFonts w:eastAsia="Calibri"/>
          <w:lang w:eastAsia="en-US"/>
        </w:rPr>
        <w:t xml:space="preserve"> (</w:t>
      </w:r>
      <w:r w:rsidRPr="0018341E">
        <w:rPr>
          <w:rFonts w:eastAsia="Calibri"/>
          <w:lang w:eastAsia="en-US"/>
        </w:rPr>
        <w:t>2</w:t>
      </w:r>
      <w:r>
        <w:rPr>
          <w:rFonts w:eastAsia="Calibri"/>
          <w:lang w:eastAsia="en-US"/>
        </w:rPr>
        <w:t>)</w:t>
      </w:r>
      <w:r w:rsidRPr="0018341E">
        <w:rPr>
          <w:rFonts w:eastAsia="Calibri"/>
          <w:lang w:eastAsia="en-US"/>
        </w:rPr>
        <w:t>, 179-191</w:t>
      </w:r>
      <w:r>
        <w:rPr>
          <w:rFonts w:eastAsia="Calibri"/>
          <w:lang w:eastAsia="en-US"/>
        </w:rPr>
        <w:t xml:space="preserve">. </w:t>
      </w:r>
      <w:hyperlink r:id="rId15" w:history="1">
        <w:r w:rsidRPr="00981A40">
          <w:rPr>
            <w:rStyle w:val="Hyperlink"/>
            <w:rFonts w:eastAsia="Calibri"/>
            <w:lang w:eastAsia="en-US"/>
          </w:rPr>
          <w:t>https://doi.org/10.1111/tran.12166</w:t>
        </w:r>
      </w:hyperlink>
    </w:p>
    <w:p w14:paraId="283BE49A" w14:textId="77777777" w:rsidR="00F8130C" w:rsidRDefault="00F8130C" w:rsidP="0018341E">
      <w:pPr>
        <w:pStyle w:val="References"/>
        <w:rPr>
          <w:rFonts w:eastAsia="Calibri"/>
          <w:lang w:eastAsia="en-US"/>
        </w:rPr>
      </w:pPr>
      <w:proofErr w:type="spellStart"/>
      <w:r w:rsidRPr="0018341E">
        <w:rPr>
          <w:rFonts w:eastAsia="Calibri"/>
          <w:lang w:eastAsia="en-US"/>
        </w:rPr>
        <w:lastRenderedPageBreak/>
        <w:t>Delanda</w:t>
      </w:r>
      <w:proofErr w:type="spellEnd"/>
      <w:r w:rsidRPr="0018341E">
        <w:rPr>
          <w:rFonts w:eastAsia="Calibri"/>
          <w:lang w:eastAsia="en-US"/>
        </w:rPr>
        <w:t xml:space="preserve">, M. </w:t>
      </w:r>
      <w:r>
        <w:rPr>
          <w:rFonts w:eastAsia="Calibri"/>
          <w:lang w:eastAsia="en-US"/>
        </w:rPr>
        <w:t>(</w:t>
      </w:r>
      <w:r w:rsidRPr="0018341E">
        <w:rPr>
          <w:rFonts w:eastAsia="Calibri"/>
          <w:lang w:eastAsia="en-US"/>
        </w:rPr>
        <w:t>2006</w:t>
      </w:r>
      <w:r>
        <w:rPr>
          <w:rFonts w:eastAsia="Calibri"/>
          <w:lang w:eastAsia="en-US"/>
        </w:rPr>
        <w:t>).</w:t>
      </w:r>
      <w:r w:rsidRPr="0018341E">
        <w:rPr>
          <w:rFonts w:eastAsia="Calibri"/>
          <w:lang w:eastAsia="en-US"/>
        </w:rPr>
        <w:t xml:space="preserve"> </w:t>
      </w:r>
      <w:r w:rsidRPr="0018341E">
        <w:rPr>
          <w:rFonts w:eastAsia="Calibri"/>
          <w:i/>
          <w:lang w:eastAsia="en-US"/>
        </w:rPr>
        <w:t>A New Philosophy of Society: Assemblage Theory and Social Complexity</w:t>
      </w:r>
      <w:r>
        <w:rPr>
          <w:rFonts w:eastAsia="Calibri"/>
          <w:i/>
          <w:lang w:eastAsia="en-US"/>
        </w:rPr>
        <w:t>.</w:t>
      </w:r>
      <w:r w:rsidRPr="0018341E">
        <w:rPr>
          <w:rFonts w:eastAsia="Calibri"/>
          <w:lang w:eastAsia="en-US"/>
        </w:rPr>
        <w:t xml:space="preserve"> London</w:t>
      </w:r>
      <w:r>
        <w:rPr>
          <w:rFonts w:eastAsia="Calibri"/>
          <w:lang w:eastAsia="en-US"/>
        </w:rPr>
        <w:t>:</w:t>
      </w:r>
      <w:r w:rsidRPr="0018341E">
        <w:rPr>
          <w:rFonts w:eastAsia="Calibri"/>
          <w:lang w:eastAsia="en-US"/>
        </w:rPr>
        <w:t xml:space="preserve"> Continuum</w:t>
      </w:r>
      <w:r>
        <w:rPr>
          <w:rFonts w:eastAsia="Calibri"/>
          <w:lang w:eastAsia="en-US"/>
        </w:rPr>
        <w:t>.</w:t>
      </w:r>
    </w:p>
    <w:p w14:paraId="1CBDB62C" w14:textId="77777777" w:rsidR="00F8130C" w:rsidRPr="0018341E" w:rsidRDefault="00F8130C" w:rsidP="0018341E">
      <w:pPr>
        <w:pStyle w:val="References"/>
        <w:rPr>
          <w:rFonts w:eastAsia="Calibri"/>
          <w:lang w:eastAsia="en-US"/>
        </w:rPr>
      </w:pPr>
      <w:r w:rsidRPr="007D4C98">
        <w:rPr>
          <w:rFonts w:eastAsia="Calibri"/>
          <w:lang w:eastAsia="en-US"/>
        </w:rPr>
        <w:t>Deleuze G</w:t>
      </w:r>
      <w:r>
        <w:rPr>
          <w:rFonts w:eastAsia="Calibri"/>
          <w:lang w:eastAsia="en-US"/>
        </w:rPr>
        <w:t xml:space="preserve">. &amp; </w:t>
      </w:r>
      <w:proofErr w:type="spellStart"/>
      <w:r w:rsidRPr="007D4C98">
        <w:rPr>
          <w:rFonts w:eastAsia="Calibri"/>
          <w:lang w:eastAsia="en-US"/>
        </w:rPr>
        <w:t>Guattari</w:t>
      </w:r>
      <w:proofErr w:type="spellEnd"/>
      <w:r w:rsidRPr="007D4C98">
        <w:rPr>
          <w:rFonts w:eastAsia="Calibri"/>
          <w:lang w:eastAsia="en-US"/>
        </w:rPr>
        <w:t xml:space="preserve"> F</w:t>
      </w:r>
      <w:r>
        <w:rPr>
          <w:rFonts w:eastAsia="Calibri"/>
          <w:lang w:eastAsia="en-US"/>
        </w:rPr>
        <w:t>. (</w:t>
      </w:r>
      <w:r w:rsidRPr="007D4C98">
        <w:rPr>
          <w:rFonts w:eastAsia="Calibri"/>
          <w:lang w:eastAsia="en-US"/>
        </w:rPr>
        <w:t>1986</w:t>
      </w:r>
      <w:r>
        <w:rPr>
          <w:rFonts w:eastAsia="Calibri"/>
          <w:lang w:eastAsia="en-US"/>
        </w:rPr>
        <w:t>).</w:t>
      </w:r>
      <w:r w:rsidRPr="007D4C98">
        <w:rPr>
          <w:rFonts w:eastAsia="Calibri"/>
          <w:lang w:eastAsia="en-US"/>
        </w:rPr>
        <w:t xml:space="preserve"> </w:t>
      </w:r>
      <w:r w:rsidRPr="007D4C98">
        <w:rPr>
          <w:rFonts w:eastAsia="Calibri"/>
          <w:i/>
          <w:iCs/>
          <w:lang w:eastAsia="en-US"/>
        </w:rPr>
        <w:t>Kafka Toward a Minor Literature</w:t>
      </w:r>
      <w:r>
        <w:rPr>
          <w:rFonts w:eastAsia="Calibri"/>
          <w:lang w:eastAsia="en-US"/>
        </w:rPr>
        <w:t>.</w:t>
      </w:r>
      <w:r w:rsidRPr="007D4C98">
        <w:t xml:space="preserve"> </w:t>
      </w:r>
      <w:r w:rsidRPr="007D4C98">
        <w:rPr>
          <w:rFonts w:eastAsia="Calibri"/>
          <w:lang w:eastAsia="en-US"/>
        </w:rPr>
        <w:t>(</w:t>
      </w:r>
      <w:proofErr w:type="spellStart"/>
      <w:r w:rsidRPr="007D4C98">
        <w:rPr>
          <w:rFonts w:eastAsia="Calibri"/>
          <w:lang w:eastAsia="en-US"/>
        </w:rPr>
        <w:t>Polan</w:t>
      </w:r>
      <w:proofErr w:type="spellEnd"/>
      <w:r w:rsidRPr="007D4C98">
        <w:rPr>
          <w:rFonts w:eastAsia="Calibri"/>
          <w:lang w:eastAsia="en-US"/>
        </w:rPr>
        <w:t xml:space="preserve"> D Trans.)</w:t>
      </w:r>
      <w:r>
        <w:rPr>
          <w:rFonts w:eastAsia="Calibri"/>
          <w:lang w:eastAsia="en-US"/>
        </w:rPr>
        <w:t xml:space="preserve">. </w:t>
      </w:r>
      <w:r w:rsidRPr="007D4C98">
        <w:rPr>
          <w:rFonts w:eastAsia="Calibri"/>
          <w:lang w:eastAsia="en-US"/>
        </w:rPr>
        <w:t>Minneapoli</w:t>
      </w:r>
      <w:r>
        <w:rPr>
          <w:rFonts w:eastAsia="Calibri"/>
          <w:lang w:eastAsia="en-US"/>
        </w:rPr>
        <w:t xml:space="preserve">s: </w:t>
      </w:r>
      <w:r w:rsidRPr="007D4C98">
        <w:rPr>
          <w:rFonts w:eastAsia="Calibri"/>
          <w:lang w:eastAsia="en-US"/>
        </w:rPr>
        <w:t>University of Minnesota Press</w:t>
      </w:r>
      <w:r>
        <w:rPr>
          <w:rFonts w:eastAsia="Calibri"/>
          <w:lang w:eastAsia="en-US"/>
        </w:rPr>
        <w:t>.</w:t>
      </w:r>
    </w:p>
    <w:p w14:paraId="350281BD" w14:textId="77777777" w:rsidR="00F8130C" w:rsidRDefault="00F8130C" w:rsidP="0018341E">
      <w:pPr>
        <w:pStyle w:val="References"/>
        <w:rPr>
          <w:rFonts w:eastAsia="Calibri"/>
          <w:lang w:eastAsia="en-US"/>
        </w:rPr>
      </w:pPr>
      <w:r>
        <w:rPr>
          <w:rFonts w:eastAsia="Calibri"/>
          <w:lang w:eastAsia="en-US"/>
        </w:rPr>
        <w:t xml:space="preserve">Deleuze, G., </w:t>
      </w:r>
      <w:proofErr w:type="spellStart"/>
      <w:r>
        <w:rPr>
          <w:rFonts w:eastAsia="Calibri"/>
          <w:lang w:eastAsia="en-US"/>
        </w:rPr>
        <w:t>Guattari</w:t>
      </w:r>
      <w:proofErr w:type="spellEnd"/>
      <w:r>
        <w:rPr>
          <w:rFonts w:eastAsia="Calibri"/>
          <w:lang w:eastAsia="en-US"/>
        </w:rPr>
        <w:t xml:space="preserve">, F. &amp; Brinkley, R. (1983). What is a Minor Literature? </w:t>
      </w:r>
      <w:r w:rsidRPr="00AB5736">
        <w:rPr>
          <w:rFonts w:eastAsia="Calibri"/>
          <w:i/>
          <w:iCs/>
          <w:lang w:eastAsia="en-US"/>
        </w:rPr>
        <w:t>Mississippi Review,</w:t>
      </w:r>
      <w:r w:rsidRPr="00AB5736">
        <w:rPr>
          <w:rFonts w:eastAsia="Calibri"/>
          <w:lang w:eastAsia="en-US"/>
        </w:rPr>
        <w:t> </w:t>
      </w:r>
      <w:r w:rsidRPr="007D4C98">
        <w:rPr>
          <w:rFonts w:eastAsia="Calibri"/>
          <w:lang w:eastAsia="en-US"/>
        </w:rPr>
        <w:t>11</w:t>
      </w:r>
      <w:r>
        <w:rPr>
          <w:rFonts w:eastAsia="Calibri"/>
          <w:lang w:eastAsia="en-US"/>
        </w:rPr>
        <w:t xml:space="preserve"> (</w:t>
      </w:r>
      <w:r w:rsidRPr="00AB5736">
        <w:rPr>
          <w:rFonts w:eastAsia="Calibri"/>
          <w:lang w:eastAsia="en-US"/>
        </w:rPr>
        <w:t>3</w:t>
      </w:r>
      <w:r>
        <w:rPr>
          <w:rFonts w:eastAsia="Calibri"/>
          <w:lang w:eastAsia="en-US"/>
        </w:rPr>
        <w:t>)</w:t>
      </w:r>
      <w:r w:rsidRPr="00AB5736">
        <w:rPr>
          <w:rFonts w:eastAsia="Calibri"/>
          <w:lang w:eastAsia="en-US"/>
        </w:rPr>
        <w:t>, 13-33.</w:t>
      </w:r>
      <w:r w:rsidRPr="00981A40">
        <w:t xml:space="preserve"> </w:t>
      </w:r>
      <w:hyperlink r:id="rId16" w:history="1">
        <w:r w:rsidRPr="00981A40">
          <w:rPr>
            <w:rStyle w:val="Hyperlink"/>
          </w:rPr>
          <w:t>https://www.jstor.org/stable/20133921</w:t>
        </w:r>
      </w:hyperlink>
      <w:r>
        <w:t xml:space="preserve"> </w:t>
      </w:r>
    </w:p>
    <w:p w14:paraId="3C37FBA3" w14:textId="77777777" w:rsidR="00F8130C" w:rsidRPr="0018341E" w:rsidRDefault="00F8130C" w:rsidP="0018341E">
      <w:pPr>
        <w:pStyle w:val="References"/>
        <w:rPr>
          <w:rFonts w:eastAsia="Calibri"/>
          <w:lang w:eastAsia="en-US"/>
        </w:rPr>
      </w:pPr>
      <w:proofErr w:type="spellStart"/>
      <w:r w:rsidRPr="0018341E">
        <w:rPr>
          <w:rFonts w:eastAsia="Calibri"/>
          <w:lang w:eastAsia="en-US"/>
        </w:rPr>
        <w:t>Derkheim</w:t>
      </w:r>
      <w:proofErr w:type="spellEnd"/>
      <w:r w:rsidRPr="0018341E">
        <w:rPr>
          <w:rFonts w:eastAsia="Calibri"/>
          <w:lang w:eastAsia="en-US"/>
        </w:rPr>
        <w:t xml:space="preserve">, E. </w:t>
      </w:r>
      <w:r>
        <w:rPr>
          <w:rFonts w:eastAsia="Calibri"/>
          <w:lang w:eastAsia="en-US"/>
        </w:rPr>
        <w:t>(</w:t>
      </w:r>
      <w:r w:rsidRPr="0018341E">
        <w:rPr>
          <w:rFonts w:eastAsia="Calibri"/>
          <w:lang w:eastAsia="en-US"/>
        </w:rPr>
        <w:t>1957</w:t>
      </w:r>
      <w:r>
        <w:rPr>
          <w:rFonts w:eastAsia="Calibri"/>
          <w:lang w:eastAsia="en-US"/>
        </w:rPr>
        <w:t>).</w:t>
      </w:r>
      <w:r w:rsidRPr="0018341E">
        <w:rPr>
          <w:rFonts w:eastAsia="Calibri"/>
          <w:lang w:eastAsia="en-US"/>
        </w:rPr>
        <w:t xml:space="preserve"> </w:t>
      </w:r>
      <w:r w:rsidRPr="0018341E">
        <w:rPr>
          <w:rFonts w:eastAsia="Calibri"/>
          <w:i/>
          <w:lang w:eastAsia="en-US"/>
        </w:rPr>
        <w:t>Professional Ethics and Civic Morals</w:t>
      </w:r>
      <w:r>
        <w:rPr>
          <w:rFonts w:eastAsia="Calibri"/>
          <w:i/>
          <w:lang w:eastAsia="en-US"/>
        </w:rPr>
        <w:t>.</w:t>
      </w:r>
      <w:r w:rsidRPr="0018341E">
        <w:rPr>
          <w:rFonts w:eastAsia="Calibri"/>
          <w:i/>
          <w:lang w:eastAsia="en-US"/>
        </w:rPr>
        <w:t xml:space="preserve"> </w:t>
      </w:r>
      <w:r>
        <w:rPr>
          <w:rFonts w:eastAsia="Calibri"/>
          <w:iCs/>
          <w:lang w:eastAsia="en-US"/>
        </w:rPr>
        <w:t>(</w:t>
      </w:r>
      <w:r w:rsidRPr="0018341E">
        <w:rPr>
          <w:rFonts w:eastAsia="Calibri"/>
          <w:lang w:eastAsia="en-US"/>
        </w:rPr>
        <w:t>C. Brookfield,</w:t>
      </w:r>
      <w:r>
        <w:rPr>
          <w:rFonts w:eastAsia="Calibri"/>
          <w:lang w:eastAsia="en-US"/>
        </w:rPr>
        <w:t xml:space="preserve"> T</w:t>
      </w:r>
      <w:r w:rsidRPr="0018341E">
        <w:rPr>
          <w:rFonts w:eastAsia="Calibri"/>
          <w:lang w:eastAsia="en-US"/>
        </w:rPr>
        <w:t>rans.</w:t>
      </w:r>
      <w:r>
        <w:rPr>
          <w:rFonts w:eastAsia="Calibri"/>
          <w:lang w:eastAsia="en-US"/>
        </w:rPr>
        <w:t>).</w:t>
      </w:r>
      <w:r w:rsidRPr="0018341E">
        <w:rPr>
          <w:rFonts w:eastAsia="Calibri"/>
          <w:lang w:eastAsia="en-US"/>
        </w:rPr>
        <w:t xml:space="preserve"> London</w:t>
      </w:r>
      <w:r>
        <w:rPr>
          <w:rFonts w:eastAsia="Calibri"/>
          <w:lang w:eastAsia="en-US"/>
        </w:rPr>
        <w:t xml:space="preserve">: </w:t>
      </w:r>
      <w:r w:rsidRPr="0018341E">
        <w:rPr>
          <w:rFonts w:eastAsia="Calibri"/>
          <w:lang w:eastAsia="en-US"/>
        </w:rPr>
        <w:t>Routledge</w:t>
      </w:r>
      <w:r>
        <w:rPr>
          <w:rFonts w:eastAsia="Calibri"/>
          <w:lang w:eastAsia="en-US"/>
        </w:rPr>
        <w:t>.</w:t>
      </w:r>
    </w:p>
    <w:p w14:paraId="4ABD7D19" w14:textId="77777777" w:rsidR="00F8130C" w:rsidRPr="0018341E" w:rsidRDefault="00F8130C" w:rsidP="0018341E">
      <w:pPr>
        <w:pStyle w:val="References"/>
        <w:rPr>
          <w:rFonts w:eastAsia="Calibri"/>
          <w:lang w:eastAsia="en-US"/>
        </w:rPr>
      </w:pPr>
      <w:r w:rsidRPr="0018341E">
        <w:rPr>
          <w:rFonts w:eastAsia="Calibri"/>
          <w:lang w:eastAsia="en-US"/>
        </w:rPr>
        <w:t xml:space="preserve">Duncan, J., Johnson, N. </w:t>
      </w:r>
      <w:r>
        <w:rPr>
          <w:rFonts w:eastAsia="Calibri"/>
          <w:lang w:eastAsia="en-US"/>
        </w:rPr>
        <w:t>&amp;</w:t>
      </w:r>
      <w:r w:rsidRPr="0018341E">
        <w:rPr>
          <w:rFonts w:eastAsia="Calibri"/>
          <w:lang w:eastAsia="en-US"/>
        </w:rPr>
        <w:t xml:space="preserve"> Schein, R. </w:t>
      </w:r>
      <w:r>
        <w:rPr>
          <w:rFonts w:eastAsia="Calibri"/>
          <w:lang w:eastAsia="en-US"/>
        </w:rPr>
        <w:t>(</w:t>
      </w:r>
      <w:r w:rsidRPr="0018341E">
        <w:rPr>
          <w:rFonts w:eastAsia="Calibri"/>
          <w:lang w:eastAsia="en-US"/>
        </w:rPr>
        <w:t>2004</w:t>
      </w:r>
      <w:r>
        <w:rPr>
          <w:rFonts w:eastAsia="Calibri"/>
          <w:lang w:eastAsia="en-US"/>
        </w:rPr>
        <w:t>).</w:t>
      </w:r>
      <w:r w:rsidRPr="0018341E">
        <w:rPr>
          <w:rFonts w:eastAsia="Calibri"/>
          <w:lang w:eastAsia="en-US"/>
        </w:rPr>
        <w:t xml:space="preserve"> ‘</w:t>
      </w:r>
      <w:r w:rsidRPr="0018341E">
        <w:rPr>
          <w:rFonts w:eastAsia="Calibri"/>
          <w:i/>
          <w:lang w:eastAsia="en-US"/>
        </w:rPr>
        <w:t>A Companion to Cultural geography’</w:t>
      </w:r>
      <w:r>
        <w:rPr>
          <w:rFonts w:eastAsia="Calibri"/>
          <w:i/>
          <w:lang w:eastAsia="en-US"/>
        </w:rPr>
        <w:t>.</w:t>
      </w:r>
      <w:r>
        <w:rPr>
          <w:rFonts w:eastAsia="Calibri"/>
          <w:lang w:eastAsia="en-US"/>
        </w:rPr>
        <w:t xml:space="preserve"> </w:t>
      </w:r>
      <w:r w:rsidRPr="0018341E">
        <w:rPr>
          <w:rFonts w:eastAsia="Calibri"/>
          <w:lang w:eastAsia="en-US"/>
        </w:rPr>
        <w:t>Oxford</w:t>
      </w:r>
      <w:r>
        <w:rPr>
          <w:rFonts w:eastAsia="Calibri"/>
          <w:lang w:eastAsia="en-US"/>
        </w:rPr>
        <w:t>:</w:t>
      </w:r>
      <w:r w:rsidRPr="00EA6C4A">
        <w:rPr>
          <w:rFonts w:eastAsia="Calibri"/>
          <w:lang w:eastAsia="en-US"/>
        </w:rPr>
        <w:t xml:space="preserve"> </w:t>
      </w:r>
      <w:r w:rsidRPr="0018341E">
        <w:rPr>
          <w:rFonts w:eastAsia="Calibri"/>
          <w:lang w:eastAsia="en-US"/>
        </w:rPr>
        <w:t>Blackwell Publishing</w:t>
      </w:r>
      <w:r>
        <w:rPr>
          <w:rFonts w:eastAsia="Calibri"/>
          <w:lang w:eastAsia="en-US"/>
        </w:rPr>
        <w:t>.</w:t>
      </w:r>
    </w:p>
    <w:p w14:paraId="6274FC99" w14:textId="77777777" w:rsidR="00F8130C" w:rsidRPr="0018341E" w:rsidRDefault="00F8130C" w:rsidP="0018341E">
      <w:pPr>
        <w:pStyle w:val="References"/>
        <w:rPr>
          <w:rFonts w:eastAsia="Calibri"/>
          <w:lang w:eastAsia="en-US"/>
        </w:rPr>
      </w:pPr>
      <w:r w:rsidRPr="0018341E">
        <w:rPr>
          <w:rFonts w:eastAsia="Calibri"/>
          <w:lang w:eastAsia="en-US"/>
        </w:rPr>
        <w:t xml:space="preserve">Edensor, T. </w:t>
      </w:r>
      <w:r>
        <w:rPr>
          <w:rFonts w:eastAsia="Calibri"/>
          <w:lang w:eastAsia="en-US"/>
        </w:rPr>
        <w:t>(</w:t>
      </w:r>
      <w:r w:rsidRPr="0018341E">
        <w:rPr>
          <w:rFonts w:eastAsia="Calibri"/>
          <w:lang w:eastAsia="en-US"/>
        </w:rPr>
        <w:t>2011</w:t>
      </w:r>
      <w:r>
        <w:rPr>
          <w:rFonts w:eastAsia="Calibri"/>
          <w:lang w:eastAsia="en-US"/>
        </w:rPr>
        <w:t>).</w:t>
      </w:r>
      <w:r w:rsidRPr="0018341E">
        <w:rPr>
          <w:rFonts w:eastAsia="Calibri"/>
          <w:lang w:eastAsia="en-US"/>
        </w:rPr>
        <w:t xml:space="preserve"> Entangled agencies, material networks and repair in a building assemblage: the mutable stone of St Ann’s Church, Manchester</w:t>
      </w:r>
      <w:r>
        <w:rPr>
          <w:rFonts w:eastAsia="Calibri"/>
          <w:lang w:eastAsia="en-US"/>
        </w:rPr>
        <w:t xml:space="preserve">. </w:t>
      </w:r>
      <w:r w:rsidRPr="0018341E">
        <w:rPr>
          <w:rFonts w:eastAsia="Calibri"/>
          <w:i/>
          <w:lang w:eastAsia="en-US"/>
        </w:rPr>
        <w:t>Transactions of the Institute of British Geographers,</w:t>
      </w:r>
      <w:r w:rsidRPr="0018341E">
        <w:rPr>
          <w:rFonts w:eastAsia="Calibri"/>
          <w:lang w:eastAsia="en-US"/>
        </w:rPr>
        <w:t xml:space="preserve"> 36, 238–252</w:t>
      </w:r>
      <w:r>
        <w:rPr>
          <w:rFonts w:eastAsia="Calibri"/>
          <w:lang w:eastAsia="en-US"/>
        </w:rPr>
        <w:t xml:space="preserve">. </w:t>
      </w:r>
      <w:hyperlink r:id="rId17" w:history="1">
        <w:r w:rsidRPr="003A0C2D">
          <w:rPr>
            <w:rStyle w:val="Hyperlink"/>
            <w:rFonts w:eastAsia="Calibri"/>
            <w:lang w:eastAsia="en-US"/>
          </w:rPr>
          <w:t>https://doi.org/10.1111/j.1475-5661.2010.00421.x</w:t>
        </w:r>
      </w:hyperlink>
    </w:p>
    <w:p w14:paraId="3D0B7597" w14:textId="77777777" w:rsidR="00F8130C" w:rsidRPr="0018341E" w:rsidRDefault="00F8130C" w:rsidP="00540956">
      <w:pPr>
        <w:pStyle w:val="References"/>
        <w:rPr>
          <w:rFonts w:eastAsia="Calibri"/>
          <w:lang w:eastAsia="en-US"/>
        </w:rPr>
      </w:pPr>
      <w:proofErr w:type="spellStart"/>
      <w:r w:rsidRPr="0018341E">
        <w:rPr>
          <w:rFonts w:eastAsia="Calibri"/>
          <w:lang w:eastAsia="en-US"/>
        </w:rPr>
        <w:t>Essabal</w:t>
      </w:r>
      <w:proofErr w:type="spellEnd"/>
      <w:r w:rsidRPr="0018341E">
        <w:rPr>
          <w:rFonts w:eastAsia="Calibri"/>
          <w:lang w:eastAsia="en-US"/>
        </w:rPr>
        <w:t xml:space="preserve">, P. </w:t>
      </w:r>
      <w:r>
        <w:rPr>
          <w:rFonts w:eastAsia="Calibri"/>
          <w:lang w:eastAsia="en-US"/>
        </w:rPr>
        <w:t>(</w:t>
      </w:r>
      <w:r w:rsidRPr="0018341E">
        <w:rPr>
          <w:rFonts w:eastAsia="Calibri"/>
          <w:lang w:eastAsia="en-US"/>
        </w:rPr>
        <w:t>1961</w:t>
      </w:r>
      <w:r>
        <w:rPr>
          <w:rFonts w:eastAsia="Calibri"/>
          <w:lang w:eastAsia="en-US"/>
        </w:rPr>
        <w:t>).</w:t>
      </w:r>
      <w:r w:rsidRPr="0018341E">
        <w:rPr>
          <w:rFonts w:eastAsia="Calibri"/>
          <w:lang w:eastAsia="en-US"/>
        </w:rPr>
        <w:t xml:space="preserve"> The Door and Threshold in Armenian Folklore</w:t>
      </w:r>
      <w:r>
        <w:rPr>
          <w:rFonts w:eastAsia="Calibri"/>
          <w:lang w:eastAsia="en-US"/>
        </w:rPr>
        <w:t>.</w:t>
      </w:r>
      <w:r w:rsidRPr="0018341E">
        <w:rPr>
          <w:rFonts w:eastAsia="Calibri"/>
          <w:lang w:eastAsia="en-US"/>
        </w:rPr>
        <w:t xml:space="preserve"> </w:t>
      </w:r>
      <w:r w:rsidRPr="0018341E">
        <w:rPr>
          <w:rFonts w:eastAsia="Calibri"/>
          <w:i/>
          <w:lang w:eastAsia="en-US"/>
        </w:rPr>
        <w:t xml:space="preserve">Western Folklore, </w:t>
      </w:r>
      <w:r w:rsidRPr="0018341E">
        <w:rPr>
          <w:rFonts w:eastAsia="Calibri"/>
          <w:lang w:eastAsia="en-US"/>
        </w:rPr>
        <w:t xml:space="preserve">20 </w:t>
      </w:r>
      <w:r>
        <w:rPr>
          <w:rFonts w:eastAsia="Calibri"/>
          <w:lang w:eastAsia="en-US"/>
        </w:rPr>
        <w:t>(4)</w:t>
      </w:r>
      <w:r w:rsidRPr="0018341E">
        <w:rPr>
          <w:rFonts w:eastAsia="Calibri"/>
          <w:lang w:eastAsia="en-US"/>
        </w:rPr>
        <w:t>, 265-273</w:t>
      </w:r>
      <w:r>
        <w:rPr>
          <w:rFonts w:eastAsia="Calibri"/>
          <w:lang w:eastAsia="en-US"/>
        </w:rPr>
        <w:t xml:space="preserve">. </w:t>
      </w:r>
      <w:hyperlink r:id="rId18" w:history="1">
        <w:r w:rsidRPr="003A0C2D">
          <w:rPr>
            <w:rStyle w:val="Hyperlink"/>
            <w:rFonts w:eastAsia="Calibri"/>
            <w:lang w:eastAsia="en-US"/>
          </w:rPr>
          <w:t>www.jstor.org/stable/1520711</w:t>
        </w:r>
      </w:hyperlink>
      <w:r>
        <w:rPr>
          <w:rFonts w:eastAsia="Calibri"/>
          <w:lang w:eastAsia="en-US"/>
        </w:rPr>
        <w:t xml:space="preserve"> </w:t>
      </w:r>
    </w:p>
    <w:p w14:paraId="7BAAECEE" w14:textId="77777777" w:rsidR="00F8130C" w:rsidRPr="0018341E" w:rsidRDefault="00F8130C" w:rsidP="0018341E">
      <w:pPr>
        <w:pStyle w:val="References"/>
        <w:rPr>
          <w:rFonts w:eastAsia="Calibri"/>
          <w:bCs/>
          <w:lang w:eastAsia="en-US"/>
        </w:rPr>
      </w:pPr>
      <w:r w:rsidRPr="0018341E">
        <w:rPr>
          <w:rFonts w:eastAsia="Calibri"/>
          <w:bCs/>
          <w:lang w:eastAsia="en-US"/>
        </w:rPr>
        <w:t xml:space="preserve">Freud, S. </w:t>
      </w:r>
      <w:r>
        <w:rPr>
          <w:rFonts w:eastAsia="Calibri"/>
          <w:bCs/>
          <w:lang w:eastAsia="en-US"/>
        </w:rPr>
        <w:t>(</w:t>
      </w:r>
      <w:r w:rsidRPr="0018341E">
        <w:rPr>
          <w:rFonts w:eastAsia="Calibri"/>
          <w:bCs/>
          <w:lang w:eastAsia="en-US"/>
        </w:rPr>
        <w:t>1959</w:t>
      </w:r>
      <w:r>
        <w:rPr>
          <w:rFonts w:eastAsia="Calibri"/>
          <w:bCs/>
          <w:lang w:eastAsia="en-US"/>
        </w:rPr>
        <w:t>).</w:t>
      </w:r>
      <w:r w:rsidRPr="0018341E">
        <w:rPr>
          <w:rFonts w:eastAsia="Calibri"/>
          <w:bCs/>
          <w:lang w:eastAsia="en-US"/>
        </w:rPr>
        <w:t xml:space="preserve"> </w:t>
      </w:r>
      <w:r w:rsidRPr="0018341E">
        <w:rPr>
          <w:rFonts w:eastAsia="Calibri"/>
          <w:bCs/>
          <w:i/>
          <w:lang w:eastAsia="en-US"/>
        </w:rPr>
        <w:t>The Standard Edition of the Complete psychological Works</w:t>
      </w:r>
      <w:r w:rsidRPr="00540956">
        <w:rPr>
          <w:rFonts w:eastAsia="Calibri"/>
          <w:bCs/>
          <w:i/>
          <w:lang w:eastAsia="en-US"/>
        </w:rPr>
        <w:t>. Vol. V</w:t>
      </w:r>
      <w:r>
        <w:rPr>
          <w:rFonts w:eastAsia="Calibri"/>
          <w:bCs/>
          <w:lang w:eastAsia="en-US"/>
        </w:rPr>
        <w:t xml:space="preserve">. </w:t>
      </w:r>
      <w:r w:rsidRPr="0018341E">
        <w:rPr>
          <w:rFonts w:eastAsia="Calibri"/>
          <w:bCs/>
          <w:lang w:eastAsia="en-US"/>
        </w:rPr>
        <w:t>Hogarth Press</w:t>
      </w:r>
      <w:r>
        <w:rPr>
          <w:rFonts w:eastAsia="Calibri"/>
          <w:bCs/>
          <w:lang w:eastAsia="en-US"/>
        </w:rPr>
        <w:t>:</w:t>
      </w:r>
      <w:r w:rsidRPr="0018341E">
        <w:rPr>
          <w:rFonts w:eastAsia="Calibri"/>
          <w:bCs/>
          <w:lang w:eastAsia="en-US"/>
        </w:rPr>
        <w:t xml:space="preserve"> London</w:t>
      </w:r>
      <w:r>
        <w:rPr>
          <w:rFonts w:eastAsia="Calibri"/>
          <w:bCs/>
          <w:lang w:eastAsia="en-US"/>
        </w:rPr>
        <w:t>.</w:t>
      </w:r>
    </w:p>
    <w:p w14:paraId="675066D0" w14:textId="77777777" w:rsidR="00F8130C" w:rsidRPr="0018341E" w:rsidRDefault="00F8130C" w:rsidP="0018341E">
      <w:pPr>
        <w:pStyle w:val="References"/>
        <w:rPr>
          <w:rFonts w:eastAsia="Calibri"/>
          <w:lang w:eastAsia="en-US"/>
        </w:rPr>
      </w:pPr>
      <w:r w:rsidRPr="0018341E">
        <w:rPr>
          <w:rFonts w:eastAsia="Calibri"/>
          <w:lang w:eastAsia="en-US"/>
        </w:rPr>
        <w:t xml:space="preserve">Gregson, N. </w:t>
      </w:r>
      <w:r>
        <w:rPr>
          <w:rFonts w:eastAsia="Calibri"/>
          <w:lang w:eastAsia="en-US"/>
        </w:rPr>
        <w:t>&amp;</w:t>
      </w:r>
      <w:r w:rsidRPr="0018341E">
        <w:rPr>
          <w:rFonts w:eastAsia="Calibri"/>
          <w:lang w:eastAsia="en-US"/>
        </w:rPr>
        <w:t xml:space="preserve"> Rose, G. </w:t>
      </w:r>
      <w:r>
        <w:rPr>
          <w:rFonts w:eastAsia="Calibri"/>
          <w:lang w:eastAsia="en-US"/>
        </w:rPr>
        <w:t>(</w:t>
      </w:r>
      <w:r w:rsidRPr="0018341E">
        <w:rPr>
          <w:rFonts w:eastAsia="Calibri"/>
          <w:lang w:eastAsia="en-US"/>
        </w:rPr>
        <w:t>2000</w:t>
      </w:r>
      <w:r>
        <w:rPr>
          <w:rFonts w:eastAsia="Calibri"/>
          <w:lang w:eastAsia="en-US"/>
        </w:rPr>
        <w:t>).</w:t>
      </w:r>
      <w:r w:rsidRPr="0018341E">
        <w:rPr>
          <w:rFonts w:eastAsia="Calibri"/>
          <w:lang w:eastAsia="en-US"/>
        </w:rPr>
        <w:t xml:space="preserve"> Taking Butler elsewhere: </w:t>
      </w:r>
      <w:proofErr w:type="spellStart"/>
      <w:r w:rsidRPr="0018341E">
        <w:rPr>
          <w:rFonts w:eastAsia="Calibri"/>
          <w:lang w:eastAsia="en-US"/>
        </w:rPr>
        <w:t>Performativities</w:t>
      </w:r>
      <w:proofErr w:type="spellEnd"/>
      <w:r w:rsidRPr="0018341E">
        <w:rPr>
          <w:rFonts w:eastAsia="Calibri"/>
          <w:lang w:eastAsia="en-US"/>
        </w:rPr>
        <w:t xml:space="preserve">, </w:t>
      </w:r>
      <w:proofErr w:type="spellStart"/>
      <w:r w:rsidRPr="0018341E">
        <w:rPr>
          <w:rFonts w:eastAsia="Calibri"/>
          <w:lang w:eastAsia="en-US"/>
        </w:rPr>
        <w:t>spatialities</w:t>
      </w:r>
      <w:proofErr w:type="spellEnd"/>
      <w:r w:rsidRPr="0018341E">
        <w:rPr>
          <w:rFonts w:eastAsia="Calibri"/>
          <w:lang w:eastAsia="en-US"/>
        </w:rPr>
        <w:t xml:space="preserve"> and subjectivities</w:t>
      </w:r>
      <w:r>
        <w:rPr>
          <w:rFonts w:eastAsia="Calibri"/>
          <w:lang w:eastAsia="en-US"/>
        </w:rPr>
        <w:t xml:space="preserve">. </w:t>
      </w:r>
      <w:r w:rsidRPr="00540956">
        <w:rPr>
          <w:rFonts w:eastAsia="Calibri"/>
          <w:i/>
          <w:iCs/>
          <w:lang w:eastAsia="en-US"/>
        </w:rPr>
        <w:t>Environment and Planning D: Society and Space</w:t>
      </w:r>
      <w:r w:rsidRPr="0018341E">
        <w:rPr>
          <w:rFonts w:eastAsia="Calibri"/>
          <w:lang w:eastAsia="en-US"/>
        </w:rPr>
        <w:t>, 18, 433-452</w:t>
      </w:r>
      <w:r>
        <w:rPr>
          <w:rFonts w:eastAsia="Calibri"/>
          <w:lang w:eastAsia="en-US"/>
        </w:rPr>
        <w:t>.</w:t>
      </w:r>
      <w:r w:rsidRPr="00981A40">
        <w:t xml:space="preserve"> </w:t>
      </w:r>
      <w:hyperlink r:id="rId19" w:history="1">
        <w:r w:rsidRPr="00981A40">
          <w:rPr>
            <w:rStyle w:val="Hyperlink"/>
            <w:rFonts w:eastAsia="Calibri"/>
            <w:lang w:eastAsia="en-US"/>
          </w:rPr>
          <w:t>https://doi.org/10.1068/d232</w:t>
        </w:r>
      </w:hyperlink>
      <w:r>
        <w:rPr>
          <w:rFonts w:eastAsia="Calibri"/>
          <w:lang w:eastAsia="en-US"/>
        </w:rPr>
        <w:t xml:space="preserve"> </w:t>
      </w:r>
    </w:p>
    <w:p w14:paraId="12851940" w14:textId="77777777" w:rsidR="00F8130C" w:rsidRPr="0018341E" w:rsidRDefault="00F8130C" w:rsidP="0018341E">
      <w:pPr>
        <w:pStyle w:val="References"/>
        <w:rPr>
          <w:rFonts w:eastAsia="Calibri"/>
          <w:lang w:eastAsia="en-US"/>
        </w:rPr>
      </w:pPr>
      <w:r w:rsidRPr="0018341E">
        <w:rPr>
          <w:rFonts w:eastAsia="Calibri"/>
          <w:lang w:eastAsia="en-US"/>
        </w:rPr>
        <w:t xml:space="preserve">Hetherington, K. </w:t>
      </w:r>
      <w:r>
        <w:rPr>
          <w:rFonts w:eastAsia="Calibri"/>
          <w:lang w:eastAsia="en-US"/>
        </w:rPr>
        <w:t>(</w:t>
      </w:r>
      <w:r w:rsidRPr="0018341E">
        <w:rPr>
          <w:rFonts w:eastAsia="Calibri"/>
          <w:lang w:eastAsia="en-US"/>
        </w:rPr>
        <w:t>2004</w:t>
      </w:r>
      <w:r>
        <w:rPr>
          <w:rFonts w:eastAsia="Calibri"/>
          <w:lang w:eastAsia="en-US"/>
        </w:rPr>
        <w:t>).</w:t>
      </w:r>
      <w:r w:rsidRPr="0018341E">
        <w:rPr>
          <w:rFonts w:eastAsia="Calibri"/>
          <w:lang w:eastAsia="en-US"/>
        </w:rPr>
        <w:t xml:space="preserve"> Secondhandedness: consumption, </w:t>
      </w:r>
      <w:proofErr w:type="gramStart"/>
      <w:r w:rsidRPr="0018341E">
        <w:rPr>
          <w:rFonts w:eastAsia="Calibri"/>
          <w:lang w:eastAsia="en-US"/>
        </w:rPr>
        <w:t>disposal</w:t>
      </w:r>
      <w:proofErr w:type="gramEnd"/>
      <w:r w:rsidRPr="0018341E">
        <w:rPr>
          <w:rFonts w:eastAsia="Calibri"/>
          <w:lang w:eastAsia="en-US"/>
        </w:rPr>
        <w:t xml:space="preserve"> and absent presence</w:t>
      </w:r>
      <w:r>
        <w:rPr>
          <w:rFonts w:eastAsia="Calibri"/>
          <w:lang w:eastAsia="en-US"/>
        </w:rPr>
        <w:t>.</w:t>
      </w:r>
      <w:r w:rsidRPr="0018341E">
        <w:rPr>
          <w:rFonts w:eastAsia="Calibri"/>
          <w:lang w:eastAsia="en-US"/>
        </w:rPr>
        <w:t xml:space="preserve"> </w:t>
      </w:r>
      <w:r w:rsidRPr="0018341E">
        <w:rPr>
          <w:rFonts w:eastAsia="Calibri"/>
          <w:i/>
          <w:lang w:eastAsia="en-US"/>
        </w:rPr>
        <w:t>Environment and Planning D: Society and Space,</w:t>
      </w:r>
      <w:r w:rsidRPr="0018341E">
        <w:rPr>
          <w:rFonts w:eastAsia="Calibri"/>
          <w:lang w:eastAsia="en-US"/>
        </w:rPr>
        <w:t xml:space="preserve"> 22,</w:t>
      </w:r>
      <w:r>
        <w:rPr>
          <w:rFonts w:eastAsia="Calibri"/>
          <w:lang w:eastAsia="en-US"/>
        </w:rPr>
        <w:t xml:space="preserve"> </w:t>
      </w:r>
      <w:r w:rsidRPr="0018341E">
        <w:rPr>
          <w:rFonts w:eastAsia="Calibri"/>
          <w:lang w:eastAsia="en-US"/>
        </w:rPr>
        <w:t>157-173</w:t>
      </w:r>
      <w:r>
        <w:rPr>
          <w:rFonts w:eastAsia="Calibri"/>
          <w:lang w:eastAsia="en-US"/>
        </w:rPr>
        <w:t>.</w:t>
      </w:r>
      <w:r w:rsidRPr="0018341E">
        <w:rPr>
          <w:rFonts w:eastAsia="Calibri"/>
          <w:lang w:eastAsia="en-US"/>
        </w:rPr>
        <w:t xml:space="preserve"> </w:t>
      </w:r>
      <w:hyperlink r:id="rId20" w:history="1">
        <w:r w:rsidRPr="00981A40">
          <w:rPr>
            <w:rStyle w:val="Hyperlink"/>
            <w:rFonts w:eastAsia="Calibri"/>
            <w:lang w:eastAsia="en-US"/>
          </w:rPr>
          <w:t>https://doi.org/10.1068/d315t</w:t>
        </w:r>
      </w:hyperlink>
    </w:p>
    <w:p w14:paraId="17265E01" w14:textId="77777777" w:rsidR="00F8130C" w:rsidRDefault="00F8130C" w:rsidP="0018341E">
      <w:pPr>
        <w:pStyle w:val="References"/>
        <w:rPr>
          <w:rFonts w:eastAsia="Calibri"/>
          <w:lang w:eastAsia="en-US"/>
        </w:rPr>
      </w:pPr>
      <w:r w:rsidRPr="0018341E">
        <w:rPr>
          <w:rFonts w:eastAsia="Calibri"/>
          <w:lang w:eastAsia="en-US"/>
        </w:rPr>
        <w:t xml:space="preserve">Hubert, H. </w:t>
      </w:r>
      <w:r>
        <w:rPr>
          <w:rFonts w:eastAsia="Calibri"/>
          <w:lang w:eastAsia="en-US"/>
        </w:rPr>
        <w:t>&amp;</w:t>
      </w:r>
      <w:r w:rsidRPr="0018341E">
        <w:rPr>
          <w:rFonts w:eastAsia="Calibri"/>
          <w:lang w:eastAsia="en-US"/>
        </w:rPr>
        <w:t xml:space="preserve"> </w:t>
      </w:r>
      <w:proofErr w:type="spellStart"/>
      <w:r w:rsidRPr="0018341E">
        <w:rPr>
          <w:rFonts w:eastAsia="Calibri"/>
          <w:lang w:eastAsia="en-US"/>
        </w:rPr>
        <w:t>Mauss</w:t>
      </w:r>
      <w:proofErr w:type="spellEnd"/>
      <w:r w:rsidRPr="0018341E">
        <w:rPr>
          <w:rFonts w:eastAsia="Calibri"/>
          <w:lang w:eastAsia="en-US"/>
        </w:rPr>
        <w:t xml:space="preserve">, M. </w:t>
      </w:r>
      <w:r>
        <w:rPr>
          <w:rFonts w:eastAsia="Calibri"/>
          <w:lang w:eastAsia="en-US"/>
        </w:rPr>
        <w:t>(</w:t>
      </w:r>
      <w:r w:rsidRPr="0018341E">
        <w:rPr>
          <w:rFonts w:eastAsia="Calibri"/>
          <w:lang w:eastAsia="en-US"/>
        </w:rPr>
        <w:t>1964</w:t>
      </w:r>
      <w:r>
        <w:rPr>
          <w:rFonts w:eastAsia="Calibri"/>
          <w:lang w:eastAsia="en-US"/>
        </w:rPr>
        <w:t>).</w:t>
      </w:r>
      <w:r w:rsidRPr="0018341E">
        <w:rPr>
          <w:rFonts w:eastAsia="Calibri"/>
          <w:lang w:eastAsia="en-US"/>
        </w:rPr>
        <w:t xml:space="preserve"> </w:t>
      </w:r>
      <w:r w:rsidRPr="0018341E">
        <w:rPr>
          <w:rFonts w:eastAsia="Calibri"/>
          <w:i/>
          <w:lang w:eastAsia="en-US"/>
        </w:rPr>
        <w:t>Sacrifice</w:t>
      </w:r>
      <w:r>
        <w:rPr>
          <w:rFonts w:eastAsia="Calibri"/>
          <w:lang w:eastAsia="en-US"/>
        </w:rPr>
        <w:t xml:space="preserve">. </w:t>
      </w:r>
      <w:r w:rsidRPr="0018341E">
        <w:rPr>
          <w:rFonts w:eastAsia="Calibri"/>
          <w:lang w:eastAsia="en-US"/>
        </w:rPr>
        <w:t>London</w:t>
      </w:r>
      <w:r>
        <w:rPr>
          <w:rFonts w:eastAsia="Calibri"/>
          <w:lang w:eastAsia="en-US"/>
        </w:rPr>
        <w:t>:</w:t>
      </w:r>
      <w:r w:rsidRPr="0018341E">
        <w:rPr>
          <w:rFonts w:eastAsia="Calibri"/>
          <w:lang w:eastAsia="en-US"/>
        </w:rPr>
        <w:t xml:space="preserve"> Cohen and West</w:t>
      </w:r>
      <w:r>
        <w:rPr>
          <w:rFonts w:eastAsia="Calibri"/>
          <w:lang w:eastAsia="en-US"/>
        </w:rPr>
        <w:t>.</w:t>
      </w:r>
      <w:r w:rsidRPr="0018341E">
        <w:rPr>
          <w:rFonts w:eastAsia="Calibri"/>
          <w:lang w:eastAsia="en-US"/>
        </w:rPr>
        <w:t xml:space="preserve"> </w:t>
      </w:r>
    </w:p>
    <w:p w14:paraId="35F11738" w14:textId="77777777" w:rsidR="00F8130C" w:rsidRPr="0018341E" w:rsidRDefault="00F8130C" w:rsidP="0018341E">
      <w:pPr>
        <w:pStyle w:val="References"/>
        <w:rPr>
          <w:rFonts w:eastAsia="Calibri"/>
          <w:lang w:eastAsia="en-US"/>
        </w:rPr>
      </w:pPr>
      <w:proofErr w:type="spellStart"/>
      <w:r w:rsidRPr="00BD77C5">
        <w:rPr>
          <w:rFonts w:eastAsia="Calibri"/>
          <w:lang w:eastAsia="en-US"/>
        </w:rPr>
        <w:t>Hurdley</w:t>
      </w:r>
      <w:proofErr w:type="spellEnd"/>
      <w:r w:rsidRPr="00BD77C5">
        <w:rPr>
          <w:rFonts w:eastAsia="Calibri"/>
          <w:lang w:eastAsia="en-US"/>
        </w:rPr>
        <w:t>, R. (2006)</w:t>
      </w:r>
      <w:r>
        <w:rPr>
          <w:rFonts w:eastAsia="Calibri"/>
          <w:lang w:eastAsia="en-US"/>
        </w:rPr>
        <w:t>.</w:t>
      </w:r>
      <w:r w:rsidRPr="00BD77C5">
        <w:rPr>
          <w:rFonts w:eastAsia="Calibri"/>
          <w:lang w:eastAsia="en-US"/>
        </w:rPr>
        <w:t xml:space="preserve"> Dismantling Mantelpieces: Narrating Identities and Materializing Culture in</w:t>
      </w:r>
      <w:r>
        <w:rPr>
          <w:rFonts w:eastAsia="Calibri"/>
          <w:lang w:eastAsia="en-US"/>
        </w:rPr>
        <w:t xml:space="preserve"> </w:t>
      </w:r>
      <w:r w:rsidRPr="00BD77C5">
        <w:rPr>
          <w:rFonts w:eastAsia="Calibri"/>
          <w:lang w:eastAsia="en-US"/>
        </w:rPr>
        <w:t>the Home</w:t>
      </w:r>
      <w:r>
        <w:rPr>
          <w:rFonts w:eastAsia="Calibri"/>
          <w:lang w:eastAsia="en-US"/>
        </w:rPr>
        <w:t>.</w:t>
      </w:r>
      <w:r w:rsidRPr="00BD77C5">
        <w:rPr>
          <w:rFonts w:eastAsia="Calibri"/>
          <w:lang w:eastAsia="en-US"/>
        </w:rPr>
        <w:t> </w:t>
      </w:r>
      <w:r w:rsidRPr="00BD77C5">
        <w:rPr>
          <w:rFonts w:eastAsia="Calibri"/>
          <w:i/>
          <w:iCs/>
          <w:lang w:eastAsia="en-US"/>
        </w:rPr>
        <w:t>Sociology</w:t>
      </w:r>
      <w:r w:rsidRPr="00BD77C5">
        <w:rPr>
          <w:rFonts w:eastAsia="Calibri"/>
          <w:lang w:eastAsia="en-US"/>
        </w:rPr>
        <w:t>, 40</w:t>
      </w:r>
      <w:r>
        <w:rPr>
          <w:rFonts w:eastAsia="Calibri"/>
          <w:lang w:eastAsia="en-US"/>
        </w:rPr>
        <w:t xml:space="preserve"> (</w:t>
      </w:r>
      <w:r w:rsidRPr="00BD77C5">
        <w:rPr>
          <w:rFonts w:eastAsia="Calibri"/>
          <w:lang w:eastAsia="en-US"/>
        </w:rPr>
        <w:t>4</w:t>
      </w:r>
      <w:r>
        <w:rPr>
          <w:rFonts w:eastAsia="Calibri"/>
          <w:lang w:eastAsia="en-US"/>
        </w:rPr>
        <w:t>),</w:t>
      </w:r>
      <w:r w:rsidRPr="00BD77C5">
        <w:rPr>
          <w:rFonts w:eastAsia="Calibri"/>
          <w:lang w:eastAsia="en-US"/>
        </w:rPr>
        <w:t xml:space="preserve"> 717–733</w:t>
      </w:r>
      <w:r>
        <w:rPr>
          <w:rFonts w:eastAsia="Calibri"/>
          <w:lang w:eastAsia="en-US"/>
        </w:rPr>
        <w:t xml:space="preserve">. </w:t>
      </w:r>
      <w:hyperlink r:id="rId21" w:history="1">
        <w:r w:rsidRPr="00981A40">
          <w:rPr>
            <w:rStyle w:val="Hyperlink"/>
            <w:rFonts w:eastAsia="Calibri"/>
            <w:lang w:eastAsia="en-US"/>
          </w:rPr>
          <w:t>https://doi.org/10.1177/0038038506065157</w:t>
        </w:r>
      </w:hyperlink>
    </w:p>
    <w:p w14:paraId="7D14846D" w14:textId="77777777" w:rsidR="00F8130C" w:rsidRPr="0018341E" w:rsidRDefault="00F8130C" w:rsidP="0018341E">
      <w:pPr>
        <w:pStyle w:val="References"/>
        <w:rPr>
          <w:rFonts w:eastAsia="Calibri"/>
          <w:lang w:eastAsia="en-US"/>
        </w:rPr>
      </w:pPr>
      <w:proofErr w:type="spellStart"/>
      <w:r w:rsidRPr="0018341E">
        <w:rPr>
          <w:rFonts w:eastAsia="Calibri"/>
          <w:lang w:eastAsia="en-US"/>
        </w:rPr>
        <w:t>Hurdley</w:t>
      </w:r>
      <w:proofErr w:type="spellEnd"/>
      <w:r w:rsidRPr="0018341E">
        <w:rPr>
          <w:rFonts w:eastAsia="Calibri"/>
          <w:lang w:eastAsia="en-US"/>
        </w:rPr>
        <w:t xml:space="preserve">, R. </w:t>
      </w:r>
      <w:r>
        <w:rPr>
          <w:rFonts w:eastAsia="Calibri"/>
          <w:lang w:eastAsia="en-US"/>
        </w:rPr>
        <w:t>(</w:t>
      </w:r>
      <w:r w:rsidRPr="0018341E">
        <w:rPr>
          <w:rFonts w:eastAsia="Calibri"/>
          <w:lang w:eastAsia="en-US"/>
        </w:rPr>
        <w:t>2010</w:t>
      </w:r>
      <w:r>
        <w:rPr>
          <w:rFonts w:eastAsia="Calibri"/>
          <w:lang w:eastAsia="en-US"/>
        </w:rPr>
        <w:t>).</w:t>
      </w:r>
      <w:r w:rsidRPr="0018341E">
        <w:rPr>
          <w:rFonts w:eastAsia="Calibri"/>
          <w:lang w:eastAsia="en-US"/>
        </w:rPr>
        <w:t xml:space="preserve"> The Power of Corridors: connecting doors, mobilising materials, plotting openness</w:t>
      </w:r>
      <w:r>
        <w:rPr>
          <w:rFonts w:eastAsia="Calibri"/>
          <w:lang w:eastAsia="en-US"/>
        </w:rPr>
        <w:t>.</w:t>
      </w:r>
      <w:r w:rsidRPr="0018341E">
        <w:rPr>
          <w:rFonts w:eastAsia="Calibri"/>
          <w:lang w:eastAsia="en-US"/>
        </w:rPr>
        <w:t xml:space="preserve"> </w:t>
      </w:r>
      <w:r w:rsidRPr="00540956">
        <w:rPr>
          <w:rFonts w:eastAsia="Calibri"/>
          <w:i/>
          <w:iCs/>
          <w:lang w:eastAsia="en-US"/>
        </w:rPr>
        <w:t>The Sociological Review</w:t>
      </w:r>
      <w:r w:rsidRPr="0018341E">
        <w:rPr>
          <w:rFonts w:eastAsia="Calibri"/>
          <w:lang w:eastAsia="en-US"/>
        </w:rPr>
        <w:t>, 58</w:t>
      </w:r>
      <w:r>
        <w:rPr>
          <w:rFonts w:eastAsia="Calibri"/>
          <w:lang w:eastAsia="en-US"/>
        </w:rPr>
        <w:t xml:space="preserve"> (</w:t>
      </w:r>
      <w:r w:rsidRPr="0018341E">
        <w:rPr>
          <w:rFonts w:eastAsia="Calibri"/>
          <w:lang w:eastAsia="en-US"/>
        </w:rPr>
        <w:t>1</w:t>
      </w:r>
      <w:r>
        <w:rPr>
          <w:rFonts w:eastAsia="Calibri"/>
          <w:lang w:eastAsia="en-US"/>
        </w:rPr>
        <w:t>)</w:t>
      </w:r>
      <w:r w:rsidRPr="0018341E">
        <w:rPr>
          <w:rFonts w:eastAsia="Calibri"/>
          <w:lang w:eastAsia="en-US"/>
        </w:rPr>
        <w:t>, 45-63</w:t>
      </w:r>
      <w:r>
        <w:rPr>
          <w:rFonts w:eastAsia="Calibri"/>
          <w:lang w:eastAsia="en-US"/>
        </w:rPr>
        <w:t xml:space="preserve">. </w:t>
      </w:r>
      <w:hyperlink r:id="rId22" w:history="1">
        <w:r w:rsidRPr="00981A40">
          <w:rPr>
            <w:rStyle w:val="Hyperlink"/>
            <w:rFonts w:eastAsia="Calibri"/>
            <w:lang w:eastAsia="en-US"/>
          </w:rPr>
          <w:t>https://doi.org/10.1111/j.1467-954X.2009.01876.x</w:t>
        </w:r>
      </w:hyperlink>
    </w:p>
    <w:p w14:paraId="17293592" w14:textId="77777777" w:rsidR="00F8130C" w:rsidRPr="0018341E" w:rsidRDefault="00F8130C" w:rsidP="0018341E">
      <w:pPr>
        <w:pStyle w:val="References"/>
        <w:rPr>
          <w:rFonts w:eastAsia="Calibri"/>
          <w:lang w:eastAsia="en-US"/>
        </w:rPr>
      </w:pPr>
      <w:r w:rsidRPr="0018341E">
        <w:rPr>
          <w:rFonts w:eastAsia="Calibri"/>
          <w:lang w:eastAsia="en-US"/>
        </w:rPr>
        <w:t xml:space="preserve">Imrie, R. </w:t>
      </w:r>
      <w:r>
        <w:rPr>
          <w:rFonts w:eastAsia="Calibri"/>
          <w:lang w:eastAsia="en-US"/>
        </w:rPr>
        <w:t>(</w:t>
      </w:r>
      <w:r w:rsidRPr="0018341E">
        <w:rPr>
          <w:rFonts w:eastAsia="Calibri"/>
          <w:lang w:eastAsia="en-US"/>
        </w:rPr>
        <w:t>2003</w:t>
      </w:r>
      <w:r>
        <w:rPr>
          <w:rFonts w:eastAsia="Calibri"/>
          <w:lang w:eastAsia="en-US"/>
        </w:rPr>
        <w:t>).</w:t>
      </w:r>
      <w:r w:rsidRPr="0018341E">
        <w:rPr>
          <w:rFonts w:eastAsia="Calibri"/>
          <w:lang w:eastAsia="en-US"/>
        </w:rPr>
        <w:t xml:space="preserve"> </w:t>
      </w:r>
      <w:r>
        <w:rPr>
          <w:rFonts w:eastAsia="Calibri"/>
          <w:lang w:eastAsia="en-US"/>
        </w:rPr>
        <w:t>‘</w:t>
      </w:r>
      <w:r w:rsidRPr="0018341E">
        <w:rPr>
          <w:rFonts w:eastAsia="Calibri"/>
          <w:lang w:eastAsia="en-US"/>
        </w:rPr>
        <w:t>Architects’ Conceptions of the Human Body</w:t>
      </w:r>
      <w:r>
        <w:rPr>
          <w:rFonts w:eastAsia="Calibri"/>
          <w:lang w:eastAsia="en-US"/>
        </w:rPr>
        <w:t>.</w:t>
      </w:r>
      <w:r w:rsidRPr="0018341E">
        <w:rPr>
          <w:rFonts w:eastAsia="Calibri"/>
          <w:i/>
          <w:lang w:eastAsia="en-US"/>
        </w:rPr>
        <w:t xml:space="preserve"> Environment and Planning D: Society and Space,</w:t>
      </w:r>
      <w:r w:rsidRPr="0018341E">
        <w:rPr>
          <w:rFonts w:eastAsia="Calibri"/>
          <w:lang w:eastAsia="en-US"/>
        </w:rPr>
        <w:t xml:space="preserve"> 21, 47-65</w:t>
      </w:r>
      <w:r>
        <w:rPr>
          <w:rFonts w:eastAsia="Calibri"/>
          <w:lang w:eastAsia="en-US"/>
        </w:rPr>
        <w:t>.</w:t>
      </w:r>
      <w:r w:rsidRPr="0018341E">
        <w:rPr>
          <w:rFonts w:eastAsia="Calibri"/>
          <w:lang w:eastAsia="en-US"/>
        </w:rPr>
        <w:t xml:space="preserve"> </w:t>
      </w:r>
      <w:hyperlink r:id="rId23" w:history="1">
        <w:r w:rsidRPr="00981A40">
          <w:rPr>
            <w:rStyle w:val="Hyperlink"/>
            <w:rFonts w:eastAsia="Calibri"/>
            <w:lang w:eastAsia="en-US"/>
          </w:rPr>
          <w:t>https://doi.org/10.1068/d271t</w:t>
        </w:r>
      </w:hyperlink>
      <w:r>
        <w:rPr>
          <w:rFonts w:eastAsia="Calibri"/>
          <w:lang w:eastAsia="en-US"/>
        </w:rPr>
        <w:t xml:space="preserve"> </w:t>
      </w:r>
    </w:p>
    <w:p w14:paraId="22F8F224" w14:textId="77777777" w:rsidR="00F8130C" w:rsidRPr="0018341E" w:rsidRDefault="00F8130C" w:rsidP="0018341E">
      <w:pPr>
        <w:pStyle w:val="References"/>
        <w:rPr>
          <w:rFonts w:eastAsia="Calibri"/>
          <w:lang w:eastAsia="en-US"/>
        </w:rPr>
      </w:pPr>
      <w:proofErr w:type="spellStart"/>
      <w:r w:rsidRPr="0018341E">
        <w:rPr>
          <w:rFonts w:eastAsia="Calibri"/>
          <w:lang w:eastAsia="en-US"/>
        </w:rPr>
        <w:lastRenderedPageBreak/>
        <w:t>Irigary</w:t>
      </w:r>
      <w:proofErr w:type="spellEnd"/>
      <w:r w:rsidRPr="0018341E">
        <w:rPr>
          <w:rFonts w:eastAsia="Calibri"/>
          <w:lang w:eastAsia="en-US"/>
        </w:rPr>
        <w:t xml:space="preserve">, L. </w:t>
      </w:r>
      <w:r>
        <w:rPr>
          <w:rFonts w:eastAsia="Calibri"/>
          <w:lang w:eastAsia="en-US"/>
        </w:rPr>
        <w:t>(</w:t>
      </w:r>
      <w:r w:rsidRPr="0018341E">
        <w:rPr>
          <w:rFonts w:eastAsia="Calibri"/>
          <w:lang w:eastAsia="en-US"/>
        </w:rPr>
        <w:t>1993</w:t>
      </w:r>
      <w:r>
        <w:rPr>
          <w:rFonts w:eastAsia="Calibri"/>
          <w:lang w:eastAsia="en-US"/>
        </w:rPr>
        <w:t>).</w:t>
      </w:r>
      <w:r w:rsidRPr="0018341E">
        <w:rPr>
          <w:rFonts w:eastAsia="Calibri"/>
          <w:lang w:eastAsia="en-US"/>
        </w:rPr>
        <w:t xml:space="preserve"> </w:t>
      </w:r>
      <w:r w:rsidRPr="00EA6C4A">
        <w:rPr>
          <w:rFonts w:eastAsia="Calibri"/>
          <w:i/>
          <w:iCs/>
          <w:lang w:eastAsia="en-US"/>
        </w:rPr>
        <w:t>An Ethics of Sexual Difference</w:t>
      </w:r>
      <w:r>
        <w:rPr>
          <w:rFonts w:eastAsia="Calibri"/>
          <w:i/>
          <w:iCs/>
          <w:lang w:eastAsia="en-US"/>
        </w:rPr>
        <w:t xml:space="preserve">. </w:t>
      </w:r>
      <w:r w:rsidRPr="0018341E">
        <w:rPr>
          <w:rFonts w:eastAsia="Calibri"/>
          <w:lang w:eastAsia="en-US"/>
        </w:rPr>
        <w:t>Ithaca</w:t>
      </w:r>
      <w:r>
        <w:rPr>
          <w:rFonts w:eastAsia="Calibri"/>
          <w:lang w:eastAsia="en-US"/>
        </w:rPr>
        <w:t>:</w:t>
      </w:r>
      <w:r w:rsidRPr="0018341E">
        <w:rPr>
          <w:rFonts w:eastAsia="Calibri"/>
          <w:lang w:eastAsia="en-US"/>
        </w:rPr>
        <w:t xml:space="preserve"> Cornell University Press</w:t>
      </w:r>
      <w:r>
        <w:rPr>
          <w:rFonts w:eastAsia="Calibri"/>
          <w:lang w:eastAsia="en-US"/>
        </w:rPr>
        <w:t>.</w:t>
      </w:r>
      <w:r w:rsidRPr="0018341E">
        <w:rPr>
          <w:rFonts w:eastAsia="Calibri"/>
          <w:lang w:eastAsia="en-US"/>
        </w:rPr>
        <w:t xml:space="preserve"> </w:t>
      </w:r>
    </w:p>
    <w:p w14:paraId="436E0939" w14:textId="77777777" w:rsidR="00F8130C" w:rsidRPr="0018341E" w:rsidRDefault="00F8130C" w:rsidP="0018341E">
      <w:pPr>
        <w:pStyle w:val="References"/>
        <w:rPr>
          <w:rFonts w:eastAsia="Calibri"/>
          <w:lang w:eastAsia="en-US"/>
        </w:rPr>
      </w:pPr>
      <w:r w:rsidRPr="0018341E">
        <w:rPr>
          <w:rFonts w:eastAsia="Calibri"/>
          <w:lang w:eastAsia="en-US"/>
        </w:rPr>
        <w:t xml:space="preserve">Jacobs, J. </w:t>
      </w:r>
      <w:r>
        <w:rPr>
          <w:rFonts w:eastAsia="Calibri"/>
          <w:lang w:eastAsia="en-US"/>
        </w:rPr>
        <w:t>(</w:t>
      </w:r>
      <w:r w:rsidRPr="0018341E">
        <w:rPr>
          <w:rFonts w:eastAsia="Calibri"/>
          <w:lang w:eastAsia="en-US"/>
        </w:rPr>
        <w:t>2006</w:t>
      </w:r>
      <w:r>
        <w:rPr>
          <w:rFonts w:eastAsia="Calibri"/>
          <w:lang w:eastAsia="en-US"/>
        </w:rPr>
        <w:t>).</w:t>
      </w:r>
      <w:r w:rsidRPr="0018341E">
        <w:rPr>
          <w:rFonts w:eastAsia="Calibri"/>
          <w:lang w:eastAsia="en-US"/>
        </w:rPr>
        <w:t xml:space="preserve"> A geography of big things</w:t>
      </w:r>
      <w:r>
        <w:rPr>
          <w:rFonts w:eastAsia="Calibri"/>
          <w:lang w:eastAsia="en-US"/>
        </w:rPr>
        <w:t>.</w:t>
      </w:r>
      <w:r w:rsidRPr="0018341E">
        <w:rPr>
          <w:rFonts w:eastAsia="Calibri"/>
          <w:lang w:eastAsia="en-US"/>
        </w:rPr>
        <w:t xml:space="preserve"> </w:t>
      </w:r>
      <w:r w:rsidRPr="005B6EEE">
        <w:rPr>
          <w:rFonts w:eastAsia="Calibri"/>
          <w:i/>
          <w:iCs/>
          <w:lang w:eastAsia="en-US"/>
        </w:rPr>
        <w:t>Cultural Geographies</w:t>
      </w:r>
      <w:r w:rsidRPr="0018341E">
        <w:rPr>
          <w:rFonts w:eastAsia="Calibri"/>
          <w:lang w:eastAsia="en-US"/>
        </w:rPr>
        <w:t>, 13, 1–27</w:t>
      </w:r>
      <w:r>
        <w:rPr>
          <w:rFonts w:eastAsia="Calibri"/>
          <w:lang w:eastAsia="en-US"/>
        </w:rPr>
        <w:t>.</w:t>
      </w:r>
      <w:r w:rsidRPr="00F2672C">
        <w:t xml:space="preserve"> </w:t>
      </w:r>
      <w:hyperlink r:id="rId24" w:history="1">
        <w:r w:rsidRPr="00F2672C">
          <w:rPr>
            <w:rStyle w:val="Hyperlink"/>
            <w:rFonts w:eastAsia="Calibri"/>
            <w:lang w:eastAsia="en-US"/>
          </w:rPr>
          <w:t>https://doi.org/10.1191/1474474006eu354oa</w:t>
        </w:r>
      </w:hyperlink>
    </w:p>
    <w:p w14:paraId="6F64A7BF" w14:textId="77777777" w:rsidR="00F8130C" w:rsidRDefault="00F8130C" w:rsidP="00F2672C">
      <w:pPr>
        <w:pStyle w:val="References"/>
        <w:rPr>
          <w:rFonts w:eastAsia="Calibri"/>
          <w:lang w:eastAsia="en-US"/>
        </w:rPr>
      </w:pPr>
      <w:r w:rsidRPr="0018341E">
        <w:rPr>
          <w:rFonts w:eastAsia="Calibri"/>
          <w:lang w:eastAsia="en-US"/>
        </w:rPr>
        <w:t xml:space="preserve">Jacobs, J., Cairns, S. </w:t>
      </w:r>
      <w:r>
        <w:rPr>
          <w:rFonts w:eastAsia="Calibri"/>
          <w:lang w:eastAsia="en-US"/>
        </w:rPr>
        <w:t>&amp;</w:t>
      </w:r>
      <w:r w:rsidRPr="0018341E">
        <w:rPr>
          <w:rFonts w:eastAsia="Calibri"/>
          <w:lang w:eastAsia="en-US"/>
        </w:rPr>
        <w:t xml:space="preserve"> </w:t>
      </w:r>
      <w:proofErr w:type="spellStart"/>
      <w:r w:rsidRPr="0018341E">
        <w:rPr>
          <w:rFonts w:eastAsia="Calibri"/>
          <w:lang w:eastAsia="en-US"/>
        </w:rPr>
        <w:t>Strebel</w:t>
      </w:r>
      <w:proofErr w:type="spellEnd"/>
      <w:r w:rsidRPr="0018341E">
        <w:rPr>
          <w:rFonts w:eastAsia="Calibri"/>
          <w:lang w:eastAsia="en-US"/>
        </w:rPr>
        <w:t xml:space="preserve">, I. </w:t>
      </w:r>
      <w:r>
        <w:rPr>
          <w:rFonts w:eastAsia="Calibri"/>
          <w:lang w:eastAsia="en-US"/>
        </w:rPr>
        <w:t>(</w:t>
      </w:r>
      <w:r w:rsidRPr="0018341E">
        <w:rPr>
          <w:rFonts w:eastAsia="Calibri"/>
          <w:lang w:eastAsia="en-US"/>
        </w:rPr>
        <w:t>2008</w:t>
      </w:r>
      <w:r>
        <w:rPr>
          <w:rFonts w:eastAsia="Calibri"/>
          <w:lang w:eastAsia="en-US"/>
        </w:rPr>
        <w:t>).</w:t>
      </w:r>
      <w:r w:rsidRPr="0018341E">
        <w:rPr>
          <w:rFonts w:eastAsia="Calibri"/>
          <w:lang w:eastAsia="en-US"/>
        </w:rPr>
        <w:t xml:space="preserve"> Windows: Re-viewing Red Road</w:t>
      </w:r>
      <w:r>
        <w:rPr>
          <w:rFonts w:eastAsia="Calibri"/>
          <w:lang w:eastAsia="en-US"/>
        </w:rPr>
        <w:t>.</w:t>
      </w:r>
      <w:r w:rsidRPr="0018341E">
        <w:rPr>
          <w:rFonts w:eastAsia="Calibri"/>
          <w:lang w:eastAsia="en-US"/>
        </w:rPr>
        <w:t xml:space="preserve"> </w:t>
      </w:r>
      <w:r w:rsidRPr="0018341E">
        <w:rPr>
          <w:rFonts w:eastAsia="Calibri"/>
          <w:i/>
          <w:lang w:eastAsia="en-US"/>
        </w:rPr>
        <w:t>Scottish Geographical Journal</w:t>
      </w:r>
      <w:r w:rsidRPr="0018341E">
        <w:rPr>
          <w:rFonts w:eastAsia="Calibri"/>
          <w:lang w:eastAsia="en-US"/>
        </w:rPr>
        <w:t>, 124</w:t>
      </w:r>
      <w:r>
        <w:rPr>
          <w:rFonts w:eastAsia="Calibri"/>
          <w:lang w:eastAsia="en-US"/>
        </w:rPr>
        <w:t xml:space="preserve"> (</w:t>
      </w:r>
      <w:r w:rsidRPr="0018341E">
        <w:rPr>
          <w:rFonts w:eastAsia="Calibri"/>
          <w:lang w:eastAsia="en-US"/>
        </w:rPr>
        <w:t>2-3</w:t>
      </w:r>
      <w:r>
        <w:rPr>
          <w:rFonts w:eastAsia="Calibri"/>
          <w:lang w:eastAsia="en-US"/>
        </w:rPr>
        <w:t>)</w:t>
      </w:r>
      <w:r w:rsidRPr="0018341E">
        <w:rPr>
          <w:rFonts w:eastAsia="Calibri"/>
          <w:lang w:eastAsia="en-US"/>
        </w:rPr>
        <w:t>, 165-184</w:t>
      </w:r>
      <w:r>
        <w:rPr>
          <w:rFonts w:eastAsia="Calibri"/>
          <w:lang w:eastAsia="en-US"/>
        </w:rPr>
        <w:t xml:space="preserve">. </w:t>
      </w:r>
      <w:hyperlink r:id="rId25" w:history="1">
        <w:r w:rsidRPr="003A0C2D">
          <w:rPr>
            <w:rStyle w:val="Hyperlink"/>
            <w:rFonts w:eastAsia="Calibri"/>
            <w:lang w:eastAsia="en-US"/>
          </w:rPr>
          <w:t>https://doi.org/10.1080/14702540802438488</w:t>
        </w:r>
      </w:hyperlink>
    </w:p>
    <w:p w14:paraId="038434A4" w14:textId="77777777" w:rsidR="00F8130C" w:rsidRDefault="00F8130C" w:rsidP="00F2672C">
      <w:pPr>
        <w:pStyle w:val="References"/>
        <w:rPr>
          <w:rFonts w:eastAsia="Calibri"/>
          <w:lang w:eastAsia="en-US"/>
        </w:rPr>
      </w:pPr>
      <w:proofErr w:type="spellStart"/>
      <w:r w:rsidRPr="0018341E">
        <w:rPr>
          <w:rFonts w:eastAsia="Calibri"/>
          <w:lang w:eastAsia="en-US"/>
        </w:rPr>
        <w:t>Kaghan</w:t>
      </w:r>
      <w:proofErr w:type="spellEnd"/>
      <w:r w:rsidRPr="0018341E">
        <w:rPr>
          <w:rFonts w:eastAsia="Calibri"/>
          <w:lang w:eastAsia="en-US"/>
        </w:rPr>
        <w:t xml:space="preserve">, T. </w:t>
      </w:r>
      <w:r>
        <w:rPr>
          <w:rFonts w:eastAsia="Calibri"/>
          <w:lang w:eastAsia="en-US"/>
        </w:rPr>
        <w:t>(</w:t>
      </w:r>
      <w:r w:rsidRPr="0018341E">
        <w:rPr>
          <w:rFonts w:eastAsia="Calibri"/>
          <w:lang w:eastAsia="en-US"/>
        </w:rPr>
        <w:t>1939</w:t>
      </w:r>
      <w:r>
        <w:rPr>
          <w:rFonts w:eastAsia="Calibri"/>
          <w:lang w:eastAsia="en-US"/>
        </w:rPr>
        <w:t>, February 12th).</w:t>
      </w:r>
      <w:r w:rsidRPr="0018341E">
        <w:rPr>
          <w:rFonts w:eastAsia="Calibri"/>
          <w:lang w:eastAsia="en-US"/>
        </w:rPr>
        <w:t xml:space="preserve"> Humanity's Hall of Fame: Nominating the Man Who Made Doors Spin</w:t>
      </w:r>
      <w:r>
        <w:rPr>
          <w:rFonts w:eastAsia="Calibri"/>
          <w:lang w:eastAsia="en-US"/>
        </w:rPr>
        <w:t>.</w:t>
      </w:r>
      <w:r w:rsidRPr="0018341E">
        <w:rPr>
          <w:rFonts w:eastAsia="Calibri"/>
          <w:lang w:eastAsia="en-US"/>
        </w:rPr>
        <w:t xml:space="preserve"> </w:t>
      </w:r>
      <w:r>
        <w:rPr>
          <w:rFonts w:eastAsia="Calibri"/>
          <w:i/>
          <w:lang w:eastAsia="en-US"/>
        </w:rPr>
        <w:t xml:space="preserve">The Baltimore Sun. </w:t>
      </w:r>
      <w:r>
        <w:rPr>
          <w:rFonts w:eastAsia="Calibri"/>
          <w:iCs/>
          <w:lang w:eastAsia="en-US"/>
        </w:rPr>
        <w:t xml:space="preserve">Retrieved from </w:t>
      </w:r>
      <w:hyperlink r:id="rId26" w:history="1">
        <w:r w:rsidRPr="003A0C2D">
          <w:rPr>
            <w:rStyle w:val="Hyperlink"/>
          </w:rPr>
          <w:t>https://www.newspapers.com/clip/26868628/1939-theophilus-van-kannel-article-he/</w:t>
        </w:r>
      </w:hyperlink>
    </w:p>
    <w:p w14:paraId="01E41A93" w14:textId="77777777" w:rsidR="00F8130C" w:rsidRDefault="00F8130C" w:rsidP="0018341E">
      <w:pPr>
        <w:pStyle w:val="References"/>
        <w:rPr>
          <w:rFonts w:eastAsia="Calibri"/>
          <w:lang w:eastAsia="en-US"/>
        </w:rPr>
      </w:pPr>
      <w:r w:rsidRPr="008B2720">
        <w:rPr>
          <w:rFonts w:eastAsia="Calibri"/>
          <w:lang w:eastAsia="en-US"/>
        </w:rPr>
        <w:t>Katz, C. (1996)</w:t>
      </w:r>
      <w:r>
        <w:rPr>
          <w:rFonts w:eastAsia="Calibri"/>
          <w:lang w:eastAsia="en-US"/>
        </w:rPr>
        <w:t xml:space="preserve">. </w:t>
      </w:r>
      <w:r w:rsidRPr="008B2720">
        <w:rPr>
          <w:rFonts w:eastAsia="Calibri"/>
          <w:lang w:eastAsia="en-US"/>
        </w:rPr>
        <w:t>Towards Minor Theory</w:t>
      </w:r>
      <w:r>
        <w:rPr>
          <w:rFonts w:eastAsia="Calibri"/>
          <w:lang w:eastAsia="en-US"/>
        </w:rPr>
        <w:t>.</w:t>
      </w:r>
      <w:r w:rsidRPr="008B2720">
        <w:rPr>
          <w:rFonts w:eastAsia="Calibri"/>
          <w:lang w:eastAsia="en-US"/>
        </w:rPr>
        <w:t> </w:t>
      </w:r>
      <w:r w:rsidRPr="008B2720">
        <w:rPr>
          <w:rFonts w:eastAsia="Calibri"/>
          <w:i/>
          <w:iCs/>
          <w:lang w:eastAsia="en-US"/>
        </w:rPr>
        <w:t>Environment and Planning D: Society and Space</w:t>
      </w:r>
      <w:r w:rsidRPr="008B2720">
        <w:rPr>
          <w:rFonts w:eastAsia="Calibri"/>
          <w:lang w:eastAsia="en-US"/>
        </w:rPr>
        <w:t>, 14</w:t>
      </w:r>
      <w:r>
        <w:rPr>
          <w:rFonts w:eastAsia="Calibri"/>
          <w:lang w:eastAsia="en-US"/>
        </w:rPr>
        <w:t xml:space="preserve"> (</w:t>
      </w:r>
      <w:r w:rsidRPr="008B2720">
        <w:rPr>
          <w:rFonts w:eastAsia="Calibri"/>
          <w:lang w:eastAsia="en-US"/>
        </w:rPr>
        <w:t>4</w:t>
      </w:r>
      <w:r>
        <w:rPr>
          <w:rFonts w:eastAsia="Calibri"/>
          <w:lang w:eastAsia="en-US"/>
        </w:rPr>
        <w:t>)</w:t>
      </w:r>
      <w:r w:rsidRPr="008B2720">
        <w:rPr>
          <w:rFonts w:eastAsia="Calibri"/>
          <w:lang w:eastAsia="en-US"/>
        </w:rPr>
        <w:t>, 487–499</w:t>
      </w:r>
      <w:r>
        <w:rPr>
          <w:rFonts w:eastAsia="Calibri"/>
          <w:lang w:eastAsia="en-US"/>
        </w:rPr>
        <w:t xml:space="preserve">. </w:t>
      </w:r>
      <w:hyperlink r:id="rId27" w:history="1">
        <w:r w:rsidRPr="00F2672C">
          <w:rPr>
            <w:rStyle w:val="Hyperlink"/>
            <w:rFonts w:eastAsia="Calibri"/>
            <w:lang w:eastAsia="en-US"/>
          </w:rPr>
          <w:t>https://doi.org/10.1068/d140487</w:t>
        </w:r>
      </w:hyperlink>
    </w:p>
    <w:p w14:paraId="26DC2636" w14:textId="77777777" w:rsidR="00F8130C" w:rsidRPr="0018341E" w:rsidRDefault="00F8130C" w:rsidP="0018341E">
      <w:pPr>
        <w:pStyle w:val="References"/>
        <w:rPr>
          <w:rFonts w:eastAsia="Calibri"/>
          <w:lang w:eastAsia="en-US"/>
        </w:rPr>
      </w:pPr>
      <w:r w:rsidRPr="008B2720">
        <w:rPr>
          <w:rFonts w:eastAsia="Calibri"/>
          <w:lang w:eastAsia="en-US"/>
        </w:rPr>
        <w:t>Katz, C. (2017)</w:t>
      </w:r>
      <w:r>
        <w:rPr>
          <w:rFonts w:eastAsia="Calibri"/>
          <w:lang w:eastAsia="en-US"/>
        </w:rPr>
        <w:t>.</w:t>
      </w:r>
      <w:r w:rsidRPr="008B2720">
        <w:rPr>
          <w:rFonts w:eastAsia="Calibri"/>
          <w:lang w:eastAsia="en-US"/>
        </w:rPr>
        <w:t xml:space="preserve"> Revisiting minor theory</w:t>
      </w:r>
      <w:r>
        <w:rPr>
          <w:rFonts w:eastAsia="Calibri"/>
          <w:lang w:eastAsia="en-US"/>
        </w:rPr>
        <w:t>.</w:t>
      </w:r>
      <w:r w:rsidRPr="008B2720">
        <w:rPr>
          <w:rFonts w:eastAsia="Calibri"/>
          <w:lang w:eastAsia="en-US"/>
        </w:rPr>
        <w:t> </w:t>
      </w:r>
      <w:r w:rsidRPr="008B2720">
        <w:rPr>
          <w:rFonts w:eastAsia="Calibri"/>
          <w:i/>
          <w:iCs/>
          <w:lang w:eastAsia="en-US"/>
        </w:rPr>
        <w:t>Environment and Planning D: Society and Space</w:t>
      </w:r>
      <w:r w:rsidRPr="008B2720">
        <w:rPr>
          <w:rFonts w:eastAsia="Calibri"/>
          <w:lang w:eastAsia="en-US"/>
        </w:rPr>
        <w:t>, 35</w:t>
      </w:r>
      <w:r>
        <w:rPr>
          <w:rFonts w:eastAsia="Calibri"/>
          <w:lang w:eastAsia="en-US"/>
        </w:rPr>
        <w:t xml:space="preserve"> (</w:t>
      </w:r>
      <w:r w:rsidRPr="008B2720">
        <w:rPr>
          <w:rFonts w:eastAsia="Calibri"/>
          <w:lang w:eastAsia="en-US"/>
        </w:rPr>
        <w:t>4</w:t>
      </w:r>
      <w:r>
        <w:rPr>
          <w:rFonts w:eastAsia="Calibri"/>
          <w:lang w:eastAsia="en-US"/>
        </w:rPr>
        <w:t>)</w:t>
      </w:r>
      <w:r w:rsidRPr="008B2720">
        <w:rPr>
          <w:rFonts w:eastAsia="Calibri"/>
          <w:lang w:eastAsia="en-US"/>
        </w:rPr>
        <w:t>, 596–599</w:t>
      </w:r>
      <w:r>
        <w:rPr>
          <w:rFonts w:eastAsia="Calibri"/>
          <w:lang w:eastAsia="en-US"/>
        </w:rPr>
        <w:t xml:space="preserve">.  </w:t>
      </w:r>
      <w:hyperlink r:id="rId28" w:history="1">
        <w:r w:rsidRPr="00F2672C">
          <w:rPr>
            <w:rStyle w:val="Hyperlink"/>
            <w:rFonts w:eastAsia="Calibri"/>
            <w:lang w:eastAsia="en-US"/>
          </w:rPr>
          <w:t>https://doi.org/10.1177/0263775817718012</w:t>
        </w:r>
      </w:hyperlink>
    </w:p>
    <w:p w14:paraId="66B2B0EC" w14:textId="77777777" w:rsidR="00F8130C" w:rsidRDefault="00F8130C" w:rsidP="00F2672C">
      <w:pPr>
        <w:pStyle w:val="References"/>
        <w:rPr>
          <w:rFonts w:eastAsia="Calibri"/>
          <w:lang w:eastAsia="en-US"/>
        </w:rPr>
      </w:pPr>
      <w:proofErr w:type="spellStart"/>
      <w:r w:rsidRPr="0018341E">
        <w:rPr>
          <w:rFonts w:eastAsia="Calibri"/>
          <w:lang w:eastAsia="en-US"/>
        </w:rPr>
        <w:t>Kraftl</w:t>
      </w:r>
      <w:proofErr w:type="spellEnd"/>
      <w:r w:rsidRPr="0018341E">
        <w:rPr>
          <w:rFonts w:eastAsia="Calibri"/>
          <w:lang w:eastAsia="en-US"/>
        </w:rPr>
        <w:t xml:space="preserve">, P. </w:t>
      </w:r>
      <w:r>
        <w:rPr>
          <w:rFonts w:eastAsia="Calibri"/>
          <w:lang w:eastAsia="en-US"/>
        </w:rPr>
        <w:t>&amp;</w:t>
      </w:r>
      <w:r w:rsidRPr="0018341E">
        <w:rPr>
          <w:rFonts w:eastAsia="Calibri"/>
          <w:lang w:eastAsia="en-US"/>
        </w:rPr>
        <w:t xml:space="preserve"> Adey, P. </w:t>
      </w:r>
      <w:r>
        <w:rPr>
          <w:rFonts w:eastAsia="Calibri"/>
          <w:lang w:eastAsia="en-US"/>
        </w:rPr>
        <w:t>(</w:t>
      </w:r>
      <w:r w:rsidRPr="0018341E">
        <w:rPr>
          <w:rFonts w:eastAsia="Calibri"/>
          <w:lang w:eastAsia="en-US"/>
        </w:rPr>
        <w:t>2008</w:t>
      </w:r>
      <w:r>
        <w:rPr>
          <w:rFonts w:eastAsia="Calibri"/>
          <w:lang w:eastAsia="en-US"/>
        </w:rPr>
        <w:t>).</w:t>
      </w:r>
      <w:r w:rsidRPr="0018341E">
        <w:rPr>
          <w:rFonts w:eastAsia="Calibri"/>
          <w:lang w:eastAsia="en-US"/>
        </w:rPr>
        <w:t xml:space="preserve"> Architecture /affect /dwelling: geographies of being-in buildings</w:t>
      </w:r>
      <w:r>
        <w:rPr>
          <w:rFonts w:eastAsia="Calibri"/>
          <w:lang w:eastAsia="en-US"/>
        </w:rPr>
        <w:t xml:space="preserve">. </w:t>
      </w:r>
      <w:r w:rsidRPr="0018341E">
        <w:rPr>
          <w:rFonts w:eastAsia="Calibri"/>
          <w:i/>
          <w:lang w:eastAsia="en-US"/>
        </w:rPr>
        <w:t>Annals of the Association of American Geographers</w:t>
      </w:r>
      <w:r w:rsidRPr="0018341E">
        <w:rPr>
          <w:rFonts w:eastAsia="Calibri"/>
          <w:lang w:eastAsia="en-US"/>
        </w:rPr>
        <w:t>, 98, 213–231</w:t>
      </w:r>
      <w:r>
        <w:rPr>
          <w:rFonts w:eastAsia="Calibri"/>
          <w:lang w:eastAsia="en-US"/>
        </w:rPr>
        <w:t xml:space="preserve">. </w:t>
      </w:r>
      <w:hyperlink r:id="rId29" w:history="1">
        <w:r w:rsidRPr="00F2672C">
          <w:rPr>
            <w:rStyle w:val="Hyperlink"/>
            <w:rFonts w:eastAsia="Calibri"/>
            <w:lang w:eastAsia="en-US"/>
          </w:rPr>
          <w:t>https://doi.org/10.1080/00045600701734687</w:t>
        </w:r>
      </w:hyperlink>
    </w:p>
    <w:p w14:paraId="703A2D44" w14:textId="77777777" w:rsidR="00F8130C" w:rsidRPr="00F2672C" w:rsidRDefault="00F8130C" w:rsidP="00F2672C">
      <w:pPr>
        <w:pStyle w:val="References"/>
        <w:rPr>
          <w:rFonts w:eastAsia="Calibri"/>
          <w:lang w:eastAsia="en-US"/>
        </w:rPr>
      </w:pPr>
      <w:proofErr w:type="spellStart"/>
      <w:r w:rsidRPr="0018341E">
        <w:rPr>
          <w:rFonts w:eastAsia="Calibri"/>
          <w:lang w:eastAsia="en-US"/>
        </w:rPr>
        <w:t>Kraftl</w:t>
      </w:r>
      <w:proofErr w:type="spellEnd"/>
      <w:r w:rsidRPr="0018341E">
        <w:rPr>
          <w:rFonts w:eastAsia="Calibri"/>
          <w:lang w:eastAsia="en-US"/>
        </w:rPr>
        <w:t xml:space="preserve">, P. </w:t>
      </w:r>
      <w:r>
        <w:rPr>
          <w:rFonts w:eastAsia="Calibri"/>
          <w:lang w:eastAsia="en-US"/>
        </w:rPr>
        <w:t>(</w:t>
      </w:r>
      <w:r w:rsidRPr="0018341E">
        <w:rPr>
          <w:rFonts w:eastAsia="Calibri"/>
          <w:lang w:eastAsia="en-US"/>
        </w:rPr>
        <w:t>2010</w:t>
      </w:r>
      <w:r>
        <w:rPr>
          <w:rFonts w:eastAsia="Calibri"/>
          <w:lang w:eastAsia="en-US"/>
        </w:rPr>
        <w:t>).</w:t>
      </w:r>
      <w:r w:rsidRPr="0018341E">
        <w:rPr>
          <w:rFonts w:eastAsia="Calibri"/>
          <w:lang w:eastAsia="en-US"/>
        </w:rPr>
        <w:t xml:space="preserve"> Geographies of Architecture: The Multiple Lives of Buildings</w:t>
      </w:r>
      <w:r>
        <w:rPr>
          <w:rFonts w:eastAsia="Calibri"/>
          <w:lang w:eastAsia="en-US"/>
        </w:rPr>
        <w:t>.</w:t>
      </w:r>
      <w:r w:rsidRPr="0018341E">
        <w:rPr>
          <w:rFonts w:eastAsia="Calibri"/>
          <w:lang w:eastAsia="en-US"/>
        </w:rPr>
        <w:t xml:space="preserve"> </w:t>
      </w:r>
      <w:r w:rsidRPr="0018341E">
        <w:rPr>
          <w:rFonts w:eastAsia="Calibri"/>
          <w:i/>
          <w:lang w:eastAsia="en-US"/>
        </w:rPr>
        <w:t>Geography Compass,</w:t>
      </w:r>
      <w:r>
        <w:rPr>
          <w:rFonts w:eastAsia="Calibri"/>
          <w:i/>
          <w:lang w:eastAsia="en-US"/>
        </w:rPr>
        <w:t xml:space="preserve"> </w:t>
      </w:r>
      <w:r w:rsidRPr="0018341E">
        <w:rPr>
          <w:rFonts w:eastAsia="Calibri"/>
          <w:lang w:eastAsia="en-US"/>
        </w:rPr>
        <w:t>4, 402-415</w:t>
      </w:r>
      <w:r>
        <w:rPr>
          <w:rFonts w:eastAsia="Calibri"/>
          <w:lang w:eastAsia="en-US"/>
        </w:rPr>
        <w:t>.</w:t>
      </w:r>
      <w:r w:rsidRPr="0018341E">
        <w:rPr>
          <w:rFonts w:eastAsia="Calibri"/>
          <w:lang w:eastAsia="en-US"/>
        </w:rPr>
        <w:t xml:space="preserve"> </w:t>
      </w:r>
      <w:hyperlink r:id="rId30" w:history="1">
        <w:r w:rsidRPr="00F2672C">
          <w:rPr>
            <w:rStyle w:val="Hyperlink"/>
            <w:rFonts w:eastAsia="Calibri"/>
            <w:lang w:eastAsia="en-US"/>
          </w:rPr>
          <w:t>https://doi.org/10.1111/j.1749-8198.2010.00332.x</w:t>
        </w:r>
      </w:hyperlink>
    </w:p>
    <w:p w14:paraId="02E77A40" w14:textId="77777777" w:rsidR="00F8130C" w:rsidRPr="0018341E" w:rsidRDefault="00F8130C" w:rsidP="0018341E">
      <w:pPr>
        <w:pStyle w:val="References"/>
        <w:rPr>
          <w:rFonts w:eastAsia="Calibri"/>
          <w:lang w:eastAsia="en-US"/>
        </w:rPr>
      </w:pPr>
      <w:r w:rsidRPr="0018341E">
        <w:rPr>
          <w:rFonts w:eastAsia="Calibri"/>
          <w:lang w:eastAsia="en-US"/>
        </w:rPr>
        <w:t xml:space="preserve">Lacan, J. </w:t>
      </w:r>
      <w:r>
        <w:rPr>
          <w:rFonts w:eastAsia="Calibri"/>
          <w:lang w:eastAsia="en-US"/>
        </w:rPr>
        <w:t>(</w:t>
      </w:r>
      <w:r w:rsidRPr="0018341E">
        <w:rPr>
          <w:rFonts w:eastAsia="Calibri"/>
          <w:lang w:eastAsia="en-US"/>
        </w:rPr>
        <w:t>1988</w:t>
      </w:r>
      <w:r>
        <w:rPr>
          <w:rFonts w:eastAsia="Calibri"/>
          <w:lang w:eastAsia="en-US"/>
        </w:rPr>
        <w:t>).</w:t>
      </w:r>
      <w:r w:rsidRPr="0018341E">
        <w:rPr>
          <w:rFonts w:eastAsia="Calibri"/>
          <w:lang w:eastAsia="en-US"/>
        </w:rPr>
        <w:t xml:space="preserve"> </w:t>
      </w:r>
      <w:r w:rsidRPr="0018341E">
        <w:rPr>
          <w:rFonts w:eastAsia="Calibri"/>
          <w:i/>
          <w:lang w:eastAsia="en-US"/>
        </w:rPr>
        <w:t>The seminar of Jacques Lacan: Book II: The Ego in Freud Theory and in the Technique of Psychoanalysis</w:t>
      </w:r>
      <w:r>
        <w:rPr>
          <w:rFonts w:eastAsia="Calibri"/>
          <w:i/>
          <w:lang w:eastAsia="en-US"/>
        </w:rPr>
        <w:t xml:space="preserve">. </w:t>
      </w:r>
      <w:r>
        <w:rPr>
          <w:rFonts w:eastAsia="Calibri"/>
          <w:lang w:eastAsia="en-US"/>
        </w:rPr>
        <w:t>(</w:t>
      </w:r>
      <w:r w:rsidRPr="0018341E">
        <w:rPr>
          <w:rFonts w:eastAsia="Calibri"/>
          <w:lang w:eastAsia="en-US"/>
        </w:rPr>
        <w:t>S.</w:t>
      </w:r>
      <w:r w:rsidRPr="005B6EEE">
        <w:rPr>
          <w:rFonts w:eastAsia="Calibri"/>
          <w:lang w:eastAsia="en-US"/>
        </w:rPr>
        <w:t xml:space="preserve"> </w:t>
      </w:r>
      <w:r w:rsidRPr="0018341E">
        <w:rPr>
          <w:rFonts w:eastAsia="Calibri"/>
          <w:lang w:eastAsia="en-US"/>
        </w:rPr>
        <w:t>Tomaselli</w:t>
      </w:r>
      <w:r>
        <w:rPr>
          <w:rFonts w:eastAsia="Calibri"/>
          <w:lang w:eastAsia="en-US"/>
        </w:rPr>
        <w:t xml:space="preserve">, Trans.). </w:t>
      </w:r>
      <w:r w:rsidRPr="0018341E">
        <w:rPr>
          <w:rFonts w:eastAsia="Calibri"/>
          <w:lang w:eastAsia="en-US"/>
        </w:rPr>
        <w:t>Cambridge</w:t>
      </w:r>
      <w:r>
        <w:rPr>
          <w:rFonts w:eastAsia="Calibri"/>
          <w:lang w:eastAsia="en-US"/>
        </w:rPr>
        <w:t>:</w:t>
      </w:r>
      <w:r w:rsidRPr="0018341E">
        <w:rPr>
          <w:rFonts w:eastAsia="Calibri"/>
          <w:lang w:eastAsia="en-US"/>
        </w:rPr>
        <w:t xml:space="preserve"> Cambridge</w:t>
      </w:r>
      <w:r>
        <w:rPr>
          <w:rFonts w:eastAsia="Calibri"/>
          <w:lang w:eastAsia="en-US"/>
        </w:rPr>
        <w:t>,</w:t>
      </w:r>
      <w:r w:rsidRPr="0018341E">
        <w:rPr>
          <w:rFonts w:eastAsia="Calibri"/>
          <w:lang w:eastAsia="en-US"/>
        </w:rPr>
        <w:t xml:space="preserve"> University Press</w:t>
      </w:r>
      <w:r>
        <w:rPr>
          <w:rFonts w:eastAsia="Calibri"/>
          <w:lang w:eastAsia="en-US"/>
        </w:rPr>
        <w:t>.</w:t>
      </w:r>
    </w:p>
    <w:p w14:paraId="05499623" w14:textId="77777777" w:rsidR="00F8130C" w:rsidRPr="0018341E" w:rsidRDefault="00F8130C" w:rsidP="0018341E">
      <w:pPr>
        <w:pStyle w:val="References"/>
        <w:rPr>
          <w:rFonts w:eastAsia="Calibri"/>
          <w:lang w:eastAsia="en-US"/>
        </w:rPr>
      </w:pPr>
      <w:r w:rsidRPr="0018341E">
        <w:rPr>
          <w:rFonts w:eastAsia="Calibri"/>
          <w:lang w:eastAsia="en-US"/>
        </w:rPr>
        <w:t xml:space="preserve">Latour, B. </w:t>
      </w:r>
      <w:r>
        <w:rPr>
          <w:rFonts w:eastAsia="Calibri"/>
          <w:lang w:eastAsia="en-US"/>
        </w:rPr>
        <w:t>(</w:t>
      </w:r>
      <w:r w:rsidRPr="0018341E">
        <w:rPr>
          <w:rFonts w:eastAsia="Calibri"/>
          <w:lang w:eastAsia="en-US"/>
        </w:rPr>
        <w:t>1992</w:t>
      </w:r>
      <w:r>
        <w:rPr>
          <w:rFonts w:eastAsia="Calibri"/>
          <w:lang w:eastAsia="en-US"/>
        </w:rPr>
        <w:t>).</w:t>
      </w:r>
      <w:r w:rsidRPr="0018341E">
        <w:rPr>
          <w:rFonts w:eastAsia="Calibri"/>
          <w:lang w:eastAsia="en-US"/>
        </w:rPr>
        <w:t xml:space="preserve"> Where are the Missing Masses? The Sociology of a Few Mundane Artifacts</w:t>
      </w:r>
      <w:r>
        <w:rPr>
          <w:rFonts w:eastAsia="Calibri"/>
          <w:lang w:eastAsia="en-US"/>
        </w:rPr>
        <w:t>. I</w:t>
      </w:r>
      <w:r w:rsidRPr="0018341E">
        <w:rPr>
          <w:rFonts w:eastAsia="Calibri"/>
          <w:lang w:eastAsia="en-US"/>
        </w:rPr>
        <w:t>n W.</w:t>
      </w:r>
      <w:r>
        <w:rPr>
          <w:rFonts w:eastAsia="Calibri"/>
          <w:lang w:eastAsia="en-US"/>
        </w:rPr>
        <w:t xml:space="preserve"> </w:t>
      </w:r>
      <w:proofErr w:type="spellStart"/>
      <w:r w:rsidRPr="0018341E">
        <w:rPr>
          <w:rFonts w:eastAsia="Calibri"/>
          <w:lang w:eastAsia="en-US"/>
        </w:rPr>
        <w:t>Bijker</w:t>
      </w:r>
      <w:proofErr w:type="spellEnd"/>
      <w:r>
        <w:rPr>
          <w:rFonts w:eastAsia="Calibri"/>
          <w:lang w:eastAsia="en-US"/>
        </w:rPr>
        <w:t xml:space="preserve"> &amp;</w:t>
      </w:r>
      <w:r w:rsidRPr="0018341E">
        <w:rPr>
          <w:rFonts w:eastAsia="Calibri"/>
          <w:lang w:eastAsia="en-US"/>
        </w:rPr>
        <w:t xml:space="preserve"> J. Law (</w:t>
      </w:r>
      <w:r>
        <w:rPr>
          <w:rFonts w:eastAsia="Calibri"/>
          <w:lang w:eastAsia="en-US"/>
        </w:rPr>
        <w:t>E</w:t>
      </w:r>
      <w:r w:rsidRPr="0018341E">
        <w:rPr>
          <w:rFonts w:eastAsia="Calibri"/>
          <w:lang w:eastAsia="en-US"/>
        </w:rPr>
        <w:t xml:space="preserve">ds.), </w:t>
      </w:r>
      <w:r w:rsidRPr="0018341E">
        <w:rPr>
          <w:rFonts w:eastAsia="Calibri"/>
          <w:i/>
          <w:lang w:eastAsia="en-US"/>
        </w:rPr>
        <w:t xml:space="preserve">Shaping Technology, Building Society, Studies in Socio-technical </w:t>
      </w:r>
      <w:r w:rsidRPr="00F2672C">
        <w:rPr>
          <w:rFonts w:eastAsia="Calibri"/>
          <w:i/>
          <w:lang w:eastAsia="en-US"/>
        </w:rPr>
        <w:t>Change</w:t>
      </w:r>
      <w:r>
        <w:rPr>
          <w:rFonts w:eastAsia="Calibri"/>
          <w:iCs/>
          <w:lang w:eastAsia="en-US"/>
        </w:rPr>
        <w:t xml:space="preserve"> (pp. </w:t>
      </w:r>
      <w:r w:rsidRPr="005B6EEE">
        <w:rPr>
          <w:rFonts w:eastAsia="Calibri"/>
          <w:iCs/>
          <w:lang w:eastAsia="en-US"/>
        </w:rPr>
        <w:t>225</w:t>
      </w:r>
      <w:r w:rsidRPr="0018341E">
        <w:rPr>
          <w:rFonts w:eastAsia="Calibri"/>
          <w:lang w:eastAsia="en-US"/>
        </w:rPr>
        <w:t>-58</w:t>
      </w:r>
      <w:r>
        <w:rPr>
          <w:rFonts w:eastAsia="Calibri"/>
          <w:lang w:eastAsia="en-US"/>
        </w:rPr>
        <w:t xml:space="preserve">). </w:t>
      </w:r>
      <w:r w:rsidRPr="0018341E">
        <w:rPr>
          <w:rFonts w:eastAsia="Calibri"/>
          <w:lang w:eastAsia="en-US"/>
        </w:rPr>
        <w:t>Cambridge</w:t>
      </w:r>
      <w:r>
        <w:rPr>
          <w:rFonts w:eastAsia="Calibri"/>
          <w:lang w:eastAsia="en-US"/>
        </w:rPr>
        <w:t>:</w:t>
      </w:r>
      <w:r w:rsidRPr="0018341E">
        <w:rPr>
          <w:rFonts w:eastAsia="Calibri"/>
          <w:lang w:eastAsia="en-US"/>
        </w:rPr>
        <w:t xml:space="preserve"> MIT Press</w:t>
      </w:r>
      <w:r>
        <w:rPr>
          <w:rFonts w:eastAsia="Calibri"/>
          <w:lang w:eastAsia="en-US"/>
        </w:rPr>
        <w:t>.</w:t>
      </w:r>
    </w:p>
    <w:p w14:paraId="7311689F" w14:textId="77777777" w:rsidR="00F8130C" w:rsidRPr="0018341E" w:rsidRDefault="00F8130C" w:rsidP="0018341E">
      <w:pPr>
        <w:pStyle w:val="References"/>
        <w:rPr>
          <w:rFonts w:eastAsia="Calibri"/>
          <w:lang w:eastAsia="en-US"/>
        </w:rPr>
      </w:pPr>
      <w:r w:rsidRPr="0018341E">
        <w:rPr>
          <w:rFonts w:eastAsia="Calibri"/>
          <w:lang w:eastAsia="en-US"/>
        </w:rPr>
        <w:t xml:space="preserve">Lawrence, R. </w:t>
      </w:r>
      <w:r>
        <w:rPr>
          <w:rFonts w:eastAsia="Calibri"/>
          <w:lang w:eastAsia="en-US"/>
        </w:rPr>
        <w:t>(</w:t>
      </w:r>
      <w:r w:rsidRPr="0018341E">
        <w:rPr>
          <w:rFonts w:eastAsia="Calibri"/>
          <w:lang w:eastAsia="en-US"/>
        </w:rPr>
        <w:t>1984</w:t>
      </w:r>
      <w:r>
        <w:rPr>
          <w:rFonts w:eastAsia="Calibri"/>
          <w:lang w:eastAsia="en-US"/>
        </w:rPr>
        <w:t xml:space="preserve">). </w:t>
      </w:r>
      <w:r w:rsidRPr="0018341E">
        <w:rPr>
          <w:rFonts w:eastAsia="Calibri"/>
          <w:lang w:eastAsia="en-US"/>
        </w:rPr>
        <w:t>Transition Spaces and Dwelling Design</w:t>
      </w:r>
      <w:r>
        <w:rPr>
          <w:rFonts w:eastAsia="Calibri"/>
          <w:lang w:eastAsia="en-US"/>
        </w:rPr>
        <w:t xml:space="preserve">. </w:t>
      </w:r>
      <w:r w:rsidRPr="0018341E">
        <w:rPr>
          <w:rFonts w:eastAsia="Calibri"/>
          <w:i/>
          <w:lang w:eastAsia="en-US"/>
        </w:rPr>
        <w:t>Journal of Architectural and Planning Research,</w:t>
      </w:r>
      <w:r w:rsidRPr="0018341E">
        <w:rPr>
          <w:rFonts w:eastAsia="Calibri"/>
          <w:lang w:eastAsia="en-US"/>
        </w:rPr>
        <w:t xml:space="preserve"> 1, </w:t>
      </w:r>
      <w:r>
        <w:rPr>
          <w:rFonts w:eastAsia="Calibri"/>
          <w:lang w:eastAsia="en-US"/>
        </w:rPr>
        <w:t>(4)</w:t>
      </w:r>
      <w:r w:rsidRPr="0018341E">
        <w:rPr>
          <w:rFonts w:eastAsia="Calibri"/>
          <w:lang w:eastAsia="en-US"/>
        </w:rPr>
        <w:t>, 261-271</w:t>
      </w:r>
      <w:r>
        <w:rPr>
          <w:rFonts w:eastAsia="Calibri"/>
          <w:lang w:eastAsia="en-US"/>
        </w:rPr>
        <w:t xml:space="preserve">. </w:t>
      </w:r>
      <w:hyperlink r:id="rId31" w:history="1">
        <w:r w:rsidRPr="003A0C2D">
          <w:rPr>
            <w:rStyle w:val="Hyperlink"/>
            <w:rFonts w:eastAsia="Calibri"/>
            <w:lang w:eastAsia="en-US"/>
          </w:rPr>
          <w:t>https://www.jstor.org/stable/43028706</w:t>
        </w:r>
      </w:hyperlink>
      <w:r>
        <w:rPr>
          <w:rFonts w:eastAsia="Calibri"/>
          <w:lang w:eastAsia="en-US"/>
        </w:rPr>
        <w:t xml:space="preserve"> </w:t>
      </w:r>
    </w:p>
    <w:p w14:paraId="7DE79D86" w14:textId="77777777" w:rsidR="00F8130C" w:rsidRDefault="00F8130C" w:rsidP="00F2672C">
      <w:pPr>
        <w:pStyle w:val="References"/>
        <w:rPr>
          <w:rFonts w:eastAsia="Calibri"/>
          <w:lang w:eastAsia="en-US"/>
        </w:rPr>
      </w:pPr>
      <w:r w:rsidRPr="0018341E">
        <w:rPr>
          <w:rFonts w:eastAsia="Calibri"/>
          <w:lang w:eastAsia="en-US"/>
        </w:rPr>
        <w:t xml:space="preserve">Leach, N. </w:t>
      </w:r>
      <w:r>
        <w:rPr>
          <w:rFonts w:eastAsia="Calibri"/>
          <w:lang w:eastAsia="en-US"/>
        </w:rPr>
        <w:t>(</w:t>
      </w:r>
      <w:r w:rsidRPr="0018341E">
        <w:rPr>
          <w:rFonts w:eastAsia="Calibri"/>
          <w:lang w:eastAsia="en-US"/>
        </w:rPr>
        <w:t>2006</w:t>
      </w:r>
      <w:r>
        <w:rPr>
          <w:rFonts w:eastAsia="Calibri"/>
          <w:lang w:eastAsia="en-US"/>
        </w:rPr>
        <w:t>).</w:t>
      </w:r>
      <w:r w:rsidRPr="0018341E">
        <w:rPr>
          <w:rFonts w:eastAsia="Calibri"/>
          <w:lang w:eastAsia="en-US"/>
        </w:rPr>
        <w:t xml:space="preserve"> </w:t>
      </w:r>
      <w:r w:rsidRPr="0018341E">
        <w:rPr>
          <w:rFonts w:eastAsia="Calibri"/>
          <w:i/>
          <w:lang w:eastAsia="en-US"/>
        </w:rPr>
        <w:t>Camouflage</w:t>
      </w:r>
      <w:r>
        <w:rPr>
          <w:rFonts w:eastAsia="Calibri"/>
          <w:lang w:eastAsia="en-US"/>
        </w:rPr>
        <w:t xml:space="preserve">. </w:t>
      </w:r>
      <w:r w:rsidRPr="0018341E">
        <w:rPr>
          <w:rFonts w:eastAsia="Calibri"/>
          <w:lang w:eastAsia="en-US"/>
        </w:rPr>
        <w:t>Cambridge</w:t>
      </w:r>
      <w:r>
        <w:rPr>
          <w:rFonts w:eastAsia="Calibri"/>
          <w:lang w:eastAsia="en-US"/>
        </w:rPr>
        <w:t xml:space="preserve"> MA:</w:t>
      </w:r>
      <w:r w:rsidRPr="0018341E">
        <w:rPr>
          <w:rFonts w:eastAsia="Calibri"/>
          <w:lang w:eastAsia="en-US"/>
        </w:rPr>
        <w:t xml:space="preserve"> MIT Press</w:t>
      </w:r>
      <w:r>
        <w:rPr>
          <w:rFonts w:eastAsia="Calibri"/>
          <w:lang w:eastAsia="en-US"/>
        </w:rPr>
        <w:t>.</w:t>
      </w:r>
    </w:p>
    <w:p w14:paraId="399325D3" w14:textId="77777777" w:rsidR="00F8130C" w:rsidRPr="00F2672C" w:rsidRDefault="00F8130C" w:rsidP="00F2672C">
      <w:pPr>
        <w:pStyle w:val="References"/>
        <w:rPr>
          <w:rFonts w:eastAsia="Calibri"/>
          <w:lang w:eastAsia="en-US"/>
        </w:rPr>
      </w:pPr>
      <w:r w:rsidRPr="0018341E">
        <w:rPr>
          <w:rFonts w:eastAsia="Calibri"/>
          <w:lang w:eastAsia="en-US"/>
        </w:rPr>
        <w:t xml:space="preserve">Lees, L. </w:t>
      </w:r>
      <w:r>
        <w:rPr>
          <w:rFonts w:eastAsia="Calibri"/>
          <w:lang w:eastAsia="en-US"/>
        </w:rPr>
        <w:t>&amp;</w:t>
      </w:r>
      <w:r w:rsidRPr="0018341E">
        <w:rPr>
          <w:rFonts w:eastAsia="Calibri"/>
          <w:lang w:eastAsia="en-US"/>
        </w:rPr>
        <w:t xml:space="preserve"> Baxter, R. </w:t>
      </w:r>
      <w:r>
        <w:rPr>
          <w:rFonts w:eastAsia="Calibri"/>
          <w:lang w:eastAsia="en-US"/>
        </w:rPr>
        <w:t>(</w:t>
      </w:r>
      <w:r w:rsidRPr="0018341E">
        <w:rPr>
          <w:rFonts w:eastAsia="Calibri"/>
          <w:lang w:eastAsia="en-US"/>
        </w:rPr>
        <w:t>2011</w:t>
      </w:r>
      <w:r>
        <w:rPr>
          <w:rFonts w:eastAsia="Calibri"/>
          <w:lang w:eastAsia="en-US"/>
        </w:rPr>
        <w:t>).</w:t>
      </w:r>
      <w:r w:rsidRPr="0018341E">
        <w:rPr>
          <w:rFonts w:eastAsia="Calibri"/>
          <w:lang w:eastAsia="en-US"/>
        </w:rPr>
        <w:t xml:space="preserve"> A ‘building event’ of fear: thinking through the geography of architecture</w:t>
      </w:r>
      <w:r>
        <w:rPr>
          <w:rFonts w:eastAsia="Calibri"/>
          <w:lang w:eastAsia="en-US"/>
        </w:rPr>
        <w:t>.</w:t>
      </w:r>
      <w:r w:rsidRPr="0018341E">
        <w:rPr>
          <w:rFonts w:eastAsia="Calibri"/>
          <w:lang w:eastAsia="en-US"/>
        </w:rPr>
        <w:t xml:space="preserve"> </w:t>
      </w:r>
      <w:r w:rsidRPr="0018341E">
        <w:rPr>
          <w:rFonts w:eastAsia="Calibri"/>
          <w:i/>
          <w:lang w:eastAsia="en-US"/>
        </w:rPr>
        <w:t xml:space="preserve">Social and Cultural Geography, </w:t>
      </w:r>
      <w:r w:rsidRPr="0018341E">
        <w:rPr>
          <w:rFonts w:eastAsia="Calibri"/>
          <w:lang w:eastAsia="en-US"/>
        </w:rPr>
        <w:t>12</w:t>
      </w:r>
      <w:r>
        <w:rPr>
          <w:rFonts w:eastAsia="Calibri"/>
          <w:lang w:eastAsia="en-US"/>
        </w:rPr>
        <w:t xml:space="preserve"> (</w:t>
      </w:r>
      <w:r w:rsidRPr="0018341E">
        <w:rPr>
          <w:rFonts w:eastAsia="Calibri"/>
          <w:lang w:eastAsia="en-US"/>
        </w:rPr>
        <w:t>2</w:t>
      </w:r>
      <w:r>
        <w:rPr>
          <w:rFonts w:eastAsia="Calibri"/>
          <w:lang w:eastAsia="en-US"/>
        </w:rPr>
        <w:t>)</w:t>
      </w:r>
      <w:r w:rsidRPr="0018341E">
        <w:rPr>
          <w:rFonts w:eastAsia="Calibri"/>
          <w:lang w:eastAsia="en-US"/>
        </w:rPr>
        <w:t>, 107-122</w:t>
      </w:r>
      <w:r>
        <w:rPr>
          <w:rFonts w:eastAsia="Calibri"/>
          <w:lang w:eastAsia="en-US"/>
        </w:rPr>
        <w:t>.</w:t>
      </w:r>
      <w:r w:rsidRPr="0018341E">
        <w:rPr>
          <w:rFonts w:eastAsia="Calibri"/>
          <w:lang w:eastAsia="en-US"/>
        </w:rPr>
        <w:t xml:space="preserve"> </w:t>
      </w:r>
      <w:hyperlink r:id="rId32" w:history="1">
        <w:r w:rsidRPr="00F2672C">
          <w:rPr>
            <w:rStyle w:val="Hyperlink"/>
            <w:rFonts w:eastAsia="Calibri"/>
            <w:lang w:eastAsia="en-US"/>
          </w:rPr>
          <w:t>https://doi.org/10.1080/14649365.2011.545138</w:t>
        </w:r>
      </w:hyperlink>
    </w:p>
    <w:p w14:paraId="5D1EEB23" w14:textId="77777777" w:rsidR="00F8130C" w:rsidRPr="0018341E" w:rsidRDefault="00F8130C" w:rsidP="0018341E">
      <w:pPr>
        <w:pStyle w:val="References"/>
        <w:rPr>
          <w:rFonts w:eastAsia="Calibri"/>
          <w:lang w:eastAsia="en-US"/>
        </w:rPr>
      </w:pPr>
      <w:r w:rsidRPr="0018341E">
        <w:rPr>
          <w:rFonts w:eastAsia="Calibri"/>
          <w:lang w:eastAsia="en-US"/>
        </w:rPr>
        <w:lastRenderedPageBreak/>
        <w:t xml:space="preserve">Lees, L. </w:t>
      </w:r>
      <w:r>
        <w:rPr>
          <w:rFonts w:eastAsia="Calibri"/>
          <w:lang w:eastAsia="en-US"/>
        </w:rPr>
        <w:t>(</w:t>
      </w:r>
      <w:r w:rsidRPr="0018341E">
        <w:rPr>
          <w:rFonts w:eastAsia="Calibri"/>
          <w:lang w:eastAsia="en-US"/>
        </w:rPr>
        <w:t>2001</w:t>
      </w:r>
      <w:r>
        <w:rPr>
          <w:rFonts w:eastAsia="Calibri"/>
          <w:lang w:eastAsia="en-US"/>
        </w:rPr>
        <w:t>).</w:t>
      </w:r>
      <w:r w:rsidRPr="0018341E">
        <w:rPr>
          <w:rFonts w:eastAsia="Calibri"/>
          <w:lang w:eastAsia="en-US"/>
        </w:rPr>
        <w:t xml:space="preserve"> Towards a critical geography of architecture: the case of an ersatz colosseum</w:t>
      </w:r>
      <w:r>
        <w:rPr>
          <w:rFonts w:eastAsia="Calibri"/>
          <w:lang w:eastAsia="en-US"/>
        </w:rPr>
        <w:t>.</w:t>
      </w:r>
      <w:r w:rsidRPr="0018341E">
        <w:rPr>
          <w:rFonts w:eastAsia="Calibri"/>
          <w:lang w:eastAsia="en-US"/>
        </w:rPr>
        <w:t xml:space="preserve"> </w:t>
      </w:r>
      <w:r w:rsidRPr="005B6EEE">
        <w:rPr>
          <w:rFonts w:eastAsia="Calibri"/>
          <w:i/>
          <w:iCs/>
          <w:lang w:eastAsia="en-US"/>
        </w:rPr>
        <w:t>Ecumene</w:t>
      </w:r>
      <w:r>
        <w:rPr>
          <w:rFonts w:eastAsia="Calibri"/>
          <w:i/>
          <w:iCs/>
          <w:lang w:eastAsia="en-US"/>
        </w:rPr>
        <w:t>,</w:t>
      </w:r>
      <w:r w:rsidRPr="0018341E">
        <w:rPr>
          <w:rFonts w:eastAsia="Calibri"/>
          <w:lang w:eastAsia="en-US"/>
        </w:rPr>
        <w:t xml:space="preserve"> 8,</w:t>
      </w:r>
      <w:r>
        <w:rPr>
          <w:rFonts w:eastAsia="Calibri"/>
          <w:lang w:eastAsia="en-US"/>
        </w:rPr>
        <w:t xml:space="preserve"> (1),</w:t>
      </w:r>
      <w:r w:rsidRPr="0018341E">
        <w:rPr>
          <w:rFonts w:eastAsia="Calibri"/>
          <w:lang w:eastAsia="en-US"/>
        </w:rPr>
        <w:t xml:space="preserve"> 51–86</w:t>
      </w:r>
      <w:r>
        <w:rPr>
          <w:rFonts w:eastAsia="Calibri"/>
          <w:lang w:eastAsia="en-US"/>
        </w:rPr>
        <w:t xml:space="preserve">. </w:t>
      </w:r>
      <w:hyperlink r:id="rId33" w:history="1">
        <w:r w:rsidRPr="003A0C2D">
          <w:rPr>
            <w:rStyle w:val="Hyperlink"/>
            <w:rFonts w:eastAsia="Calibri"/>
            <w:lang w:eastAsia="en-US"/>
          </w:rPr>
          <w:t>https://doi.org/10.1177/096746080100800103</w:t>
        </w:r>
      </w:hyperlink>
    </w:p>
    <w:p w14:paraId="062F959B" w14:textId="77777777" w:rsidR="00F8130C" w:rsidRPr="0018341E" w:rsidRDefault="00F8130C" w:rsidP="0018341E">
      <w:pPr>
        <w:pStyle w:val="References"/>
        <w:rPr>
          <w:rFonts w:eastAsia="Calibri"/>
          <w:lang w:eastAsia="en-US"/>
        </w:rPr>
      </w:pPr>
      <w:r w:rsidRPr="0018341E">
        <w:rPr>
          <w:rFonts w:eastAsia="Calibri"/>
          <w:lang w:eastAsia="en-US"/>
        </w:rPr>
        <w:t xml:space="preserve">Lewis, T. </w:t>
      </w:r>
      <w:r>
        <w:rPr>
          <w:rFonts w:eastAsia="Calibri"/>
          <w:lang w:eastAsia="en-US"/>
        </w:rPr>
        <w:t>(</w:t>
      </w:r>
      <w:r w:rsidRPr="0018341E">
        <w:rPr>
          <w:rFonts w:eastAsia="Calibri"/>
          <w:lang w:eastAsia="en-US"/>
        </w:rPr>
        <w:t>2012</w:t>
      </w:r>
      <w:r>
        <w:rPr>
          <w:rFonts w:eastAsia="Calibri"/>
          <w:lang w:eastAsia="en-US"/>
        </w:rPr>
        <w:t>).</w:t>
      </w:r>
      <w:r w:rsidRPr="0018341E">
        <w:rPr>
          <w:rFonts w:eastAsia="Calibri"/>
          <w:lang w:eastAsia="en-US"/>
        </w:rPr>
        <w:t xml:space="preserve"> The architecture of Potentiality: Weak Utopianism and Educational Space in the Work of Giorgio Agamben</w:t>
      </w:r>
      <w:r>
        <w:rPr>
          <w:rFonts w:eastAsia="Calibri"/>
          <w:lang w:eastAsia="en-US"/>
        </w:rPr>
        <w:t>.</w:t>
      </w:r>
      <w:r w:rsidRPr="0018341E">
        <w:rPr>
          <w:rFonts w:eastAsia="Calibri"/>
          <w:lang w:eastAsia="en-US"/>
        </w:rPr>
        <w:t xml:space="preserve"> </w:t>
      </w:r>
      <w:r w:rsidRPr="0018341E">
        <w:rPr>
          <w:rFonts w:eastAsia="Calibri"/>
          <w:i/>
          <w:lang w:eastAsia="en-US"/>
        </w:rPr>
        <w:t>Utopian Studies,</w:t>
      </w:r>
      <w:r w:rsidRPr="0018341E">
        <w:rPr>
          <w:rFonts w:eastAsia="Calibri"/>
          <w:lang w:eastAsia="en-US"/>
        </w:rPr>
        <w:t xml:space="preserve"> 23</w:t>
      </w:r>
      <w:r>
        <w:rPr>
          <w:rFonts w:eastAsia="Calibri"/>
          <w:lang w:eastAsia="en-US"/>
        </w:rPr>
        <w:t xml:space="preserve"> (</w:t>
      </w:r>
      <w:r w:rsidRPr="0018341E">
        <w:rPr>
          <w:rFonts w:eastAsia="Calibri"/>
          <w:lang w:eastAsia="en-US"/>
        </w:rPr>
        <w:t>2</w:t>
      </w:r>
      <w:r>
        <w:rPr>
          <w:rFonts w:eastAsia="Calibri"/>
          <w:lang w:eastAsia="en-US"/>
        </w:rPr>
        <w:t>)</w:t>
      </w:r>
      <w:r w:rsidRPr="0018341E">
        <w:rPr>
          <w:rFonts w:eastAsia="Calibri"/>
          <w:lang w:eastAsia="en-US"/>
        </w:rPr>
        <w:t>, 355-373</w:t>
      </w:r>
      <w:r>
        <w:rPr>
          <w:rFonts w:eastAsia="Calibri"/>
          <w:lang w:eastAsia="en-US"/>
        </w:rPr>
        <w:t>.</w:t>
      </w:r>
      <w:r w:rsidRPr="0018341E">
        <w:rPr>
          <w:rFonts w:eastAsia="Calibri"/>
          <w:lang w:eastAsia="en-US"/>
        </w:rPr>
        <w:t xml:space="preserve"> </w:t>
      </w:r>
      <w:hyperlink r:id="rId34" w:history="1">
        <w:r w:rsidRPr="003A0C2D">
          <w:rPr>
            <w:rStyle w:val="Hyperlink"/>
            <w:rFonts w:eastAsia="Calibri"/>
            <w:lang w:eastAsia="en-US"/>
          </w:rPr>
          <w:t>https://www.jstor.org/stable/10.5325/utopianstudies.23.2.0355</w:t>
        </w:r>
      </w:hyperlink>
      <w:r>
        <w:rPr>
          <w:rFonts w:eastAsia="Calibri"/>
          <w:lang w:eastAsia="en-US"/>
        </w:rPr>
        <w:t xml:space="preserve"> </w:t>
      </w:r>
    </w:p>
    <w:p w14:paraId="6A8B0065" w14:textId="77777777" w:rsidR="00F8130C" w:rsidRDefault="00F8130C" w:rsidP="0018341E">
      <w:pPr>
        <w:pStyle w:val="References"/>
        <w:rPr>
          <w:rFonts w:eastAsia="Calibri"/>
          <w:lang w:eastAsia="en-US"/>
        </w:rPr>
      </w:pPr>
      <w:r w:rsidRPr="0018341E">
        <w:rPr>
          <w:rFonts w:eastAsia="Calibri"/>
          <w:lang w:eastAsia="en-US"/>
        </w:rPr>
        <w:t xml:space="preserve">Li, X. </w:t>
      </w:r>
      <w:r>
        <w:rPr>
          <w:rFonts w:eastAsia="Calibri"/>
          <w:lang w:eastAsia="en-US"/>
        </w:rPr>
        <w:t>&amp;</w:t>
      </w:r>
      <w:r w:rsidRPr="0018341E">
        <w:rPr>
          <w:rFonts w:eastAsia="Calibri"/>
          <w:lang w:eastAsia="en-US"/>
        </w:rPr>
        <w:t xml:space="preserve"> Smith, K. </w:t>
      </w:r>
      <w:r>
        <w:rPr>
          <w:rFonts w:eastAsia="Calibri"/>
          <w:lang w:eastAsia="en-US"/>
        </w:rPr>
        <w:t>(</w:t>
      </w:r>
      <w:r w:rsidRPr="0018341E">
        <w:rPr>
          <w:rFonts w:eastAsia="Calibri"/>
          <w:lang w:eastAsia="en-US"/>
        </w:rPr>
        <w:t>2011</w:t>
      </w:r>
      <w:r>
        <w:rPr>
          <w:rFonts w:eastAsia="Calibri"/>
          <w:lang w:eastAsia="en-US"/>
        </w:rPr>
        <w:t>).</w:t>
      </w:r>
      <w:r w:rsidRPr="0018341E">
        <w:rPr>
          <w:rFonts w:eastAsia="Calibri"/>
          <w:lang w:eastAsia="en-US"/>
        </w:rPr>
        <w:t xml:space="preserve"> Time, Space and Construction: Starting with Auspicious Carpentry in the Vernacular Dong Dwelling</w:t>
      </w:r>
      <w:r>
        <w:rPr>
          <w:rFonts w:eastAsia="Calibri"/>
          <w:lang w:eastAsia="en-US"/>
        </w:rPr>
        <w:t xml:space="preserve">. </w:t>
      </w:r>
      <w:r w:rsidRPr="0018341E">
        <w:rPr>
          <w:rFonts w:eastAsia="Calibri"/>
          <w:i/>
          <w:lang w:eastAsia="en-US"/>
        </w:rPr>
        <w:t>Journal of the Society of Architectural Historians,</w:t>
      </w:r>
      <w:r w:rsidRPr="0018341E">
        <w:rPr>
          <w:rFonts w:eastAsia="Calibri"/>
          <w:lang w:eastAsia="en-US"/>
        </w:rPr>
        <w:t xml:space="preserve"> 70</w:t>
      </w:r>
      <w:r>
        <w:rPr>
          <w:rFonts w:eastAsia="Calibri"/>
          <w:lang w:eastAsia="en-US"/>
        </w:rPr>
        <w:t xml:space="preserve"> (</w:t>
      </w:r>
      <w:r w:rsidRPr="0018341E">
        <w:rPr>
          <w:rFonts w:eastAsia="Calibri"/>
          <w:lang w:eastAsia="en-US"/>
        </w:rPr>
        <w:t>1</w:t>
      </w:r>
      <w:r>
        <w:rPr>
          <w:rFonts w:eastAsia="Calibri"/>
          <w:lang w:eastAsia="en-US"/>
        </w:rPr>
        <w:t>)</w:t>
      </w:r>
      <w:r w:rsidRPr="0018341E">
        <w:rPr>
          <w:rFonts w:eastAsia="Calibri"/>
          <w:lang w:eastAsia="en-US"/>
        </w:rPr>
        <w:t>, 7-17</w:t>
      </w:r>
      <w:r>
        <w:rPr>
          <w:rFonts w:eastAsia="Calibri"/>
          <w:lang w:eastAsia="en-US"/>
        </w:rPr>
        <w:t xml:space="preserve">. </w:t>
      </w:r>
      <w:hyperlink r:id="rId35" w:history="1">
        <w:r w:rsidRPr="003A0C2D">
          <w:rPr>
            <w:rStyle w:val="Hyperlink"/>
            <w:rFonts w:eastAsia="Calibri"/>
            <w:lang w:eastAsia="en-US"/>
          </w:rPr>
          <w:t>https://doi.org/10.1525/jsah.2011.70.1.07</w:t>
        </w:r>
      </w:hyperlink>
      <w:r>
        <w:rPr>
          <w:rFonts w:eastAsia="Calibri"/>
          <w:lang w:eastAsia="en-US"/>
        </w:rPr>
        <w:t xml:space="preserve"> </w:t>
      </w:r>
    </w:p>
    <w:p w14:paraId="719B1F85" w14:textId="77777777" w:rsidR="00F8130C" w:rsidRPr="00D62017" w:rsidRDefault="00F8130C" w:rsidP="0018341E">
      <w:pPr>
        <w:pStyle w:val="References"/>
        <w:rPr>
          <w:rFonts w:eastAsia="Calibri"/>
          <w:lang w:eastAsia="en-US"/>
        </w:rPr>
      </w:pPr>
      <w:proofErr w:type="spellStart"/>
      <w:r>
        <w:rPr>
          <w:rFonts w:eastAsia="Calibri"/>
          <w:lang w:eastAsia="en-US"/>
        </w:rPr>
        <w:t>Licea</w:t>
      </w:r>
      <w:proofErr w:type="spellEnd"/>
      <w:r>
        <w:rPr>
          <w:rFonts w:eastAsia="Calibri"/>
          <w:lang w:eastAsia="en-US"/>
        </w:rPr>
        <w:t xml:space="preserve">, M. (2016 January 17th). Poor door tenants of luxury tower reveal the financial apartheid within. </w:t>
      </w:r>
      <w:r>
        <w:rPr>
          <w:rFonts w:eastAsia="Calibri"/>
          <w:i/>
          <w:iCs/>
          <w:lang w:eastAsia="en-US"/>
        </w:rPr>
        <w:t xml:space="preserve">The New York Post. </w:t>
      </w:r>
      <w:r>
        <w:rPr>
          <w:rFonts w:eastAsia="Calibri"/>
          <w:lang w:eastAsia="en-US"/>
        </w:rPr>
        <w:t xml:space="preserve">Retrieved from </w:t>
      </w:r>
      <w:hyperlink r:id="rId36" w:history="1">
        <w:r w:rsidRPr="003A0C2D">
          <w:rPr>
            <w:rStyle w:val="Hyperlink"/>
            <w:rFonts w:eastAsia="Calibri"/>
            <w:lang w:eastAsia="en-US"/>
          </w:rPr>
          <w:t>https://nypost.com/2016/01/17/poor-door-tenants-reveal-luxury-towers-financial-apartheid/</w:t>
        </w:r>
      </w:hyperlink>
      <w:r>
        <w:rPr>
          <w:rFonts w:eastAsia="Calibri"/>
          <w:lang w:eastAsia="en-US"/>
        </w:rPr>
        <w:t xml:space="preserve">  </w:t>
      </w:r>
    </w:p>
    <w:p w14:paraId="671522AE" w14:textId="77777777" w:rsidR="00F8130C" w:rsidRDefault="00F8130C" w:rsidP="00F2672C">
      <w:pPr>
        <w:pStyle w:val="References"/>
        <w:rPr>
          <w:rFonts w:eastAsia="Calibri"/>
          <w:lang w:eastAsia="en-US"/>
        </w:rPr>
      </w:pPr>
      <w:r w:rsidRPr="00D407CD">
        <w:rPr>
          <w:rFonts w:eastAsia="Calibri"/>
          <w:lang w:eastAsia="en-US"/>
        </w:rPr>
        <w:t>Loo</w:t>
      </w:r>
      <w:r>
        <w:rPr>
          <w:rFonts w:eastAsia="Calibri"/>
          <w:lang w:eastAsia="en-US"/>
        </w:rPr>
        <w:t>, Y. M</w:t>
      </w:r>
      <w:r w:rsidRPr="00D407CD">
        <w:rPr>
          <w:rFonts w:eastAsia="Calibri"/>
          <w:lang w:eastAsia="en-US"/>
        </w:rPr>
        <w:t xml:space="preserve"> (2017)</w:t>
      </w:r>
      <w:r>
        <w:rPr>
          <w:rFonts w:eastAsia="Calibri"/>
          <w:lang w:eastAsia="en-US"/>
        </w:rPr>
        <w:t>.</w:t>
      </w:r>
      <w:r w:rsidRPr="00D407CD">
        <w:rPr>
          <w:rFonts w:eastAsia="Calibri"/>
          <w:lang w:eastAsia="en-US"/>
        </w:rPr>
        <w:t xml:space="preserve"> Towards a decolonisation of architecture</w:t>
      </w:r>
      <w:r>
        <w:rPr>
          <w:rFonts w:eastAsia="Calibri"/>
          <w:lang w:eastAsia="en-US"/>
        </w:rPr>
        <w:t>.</w:t>
      </w:r>
      <w:r w:rsidRPr="00D407CD">
        <w:rPr>
          <w:rFonts w:eastAsia="Calibri"/>
          <w:lang w:eastAsia="en-US"/>
        </w:rPr>
        <w:t xml:space="preserve"> </w:t>
      </w:r>
      <w:r w:rsidRPr="00D407CD">
        <w:rPr>
          <w:rFonts w:eastAsia="Calibri"/>
          <w:i/>
          <w:iCs/>
          <w:lang w:eastAsia="en-US"/>
        </w:rPr>
        <w:t>The Journal of Architecture,</w:t>
      </w:r>
      <w:r w:rsidRPr="00D407CD">
        <w:rPr>
          <w:rFonts w:eastAsia="Calibri"/>
          <w:lang w:eastAsia="en-US"/>
        </w:rPr>
        <w:t xml:space="preserve"> 22</w:t>
      </w:r>
      <w:r>
        <w:rPr>
          <w:rFonts w:eastAsia="Calibri"/>
          <w:lang w:eastAsia="en-US"/>
        </w:rPr>
        <w:t xml:space="preserve"> (</w:t>
      </w:r>
      <w:r w:rsidRPr="00D407CD">
        <w:rPr>
          <w:rFonts w:eastAsia="Calibri"/>
          <w:lang w:eastAsia="en-US"/>
        </w:rPr>
        <w:t>4</w:t>
      </w:r>
      <w:r>
        <w:rPr>
          <w:rFonts w:eastAsia="Calibri"/>
          <w:lang w:eastAsia="en-US"/>
        </w:rPr>
        <w:t>)</w:t>
      </w:r>
      <w:r w:rsidRPr="00D407CD">
        <w:rPr>
          <w:rFonts w:eastAsia="Calibri"/>
          <w:lang w:eastAsia="en-US"/>
        </w:rPr>
        <w:t>, 631-638</w:t>
      </w:r>
      <w:r>
        <w:rPr>
          <w:rFonts w:eastAsia="Calibri"/>
          <w:lang w:eastAsia="en-US"/>
        </w:rPr>
        <w:t xml:space="preserve">. </w:t>
      </w:r>
      <w:hyperlink r:id="rId37" w:history="1">
        <w:r w:rsidRPr="00F2672C">
          <w:rPr>
            <w:rStyle w:val="Hyperlink"/>
            <w:rFonts w:eastAsia="Calibri"/>
            <w:lang w:eastAsia="en-US"/>
          </w:rPr>
          <w:t>https://doi.org/10.1080/13602365.2017.1338412</w:t>
        </w:r>
      </w:hyperlink>
    </w:p>
    <w:p w14:paraId="30E066AC" w14:textId="77777777" w:rsidR="00F8130C" w:rsidRPr="0018341E" w:rsidRDefault="00F8130C" w:rsidP="00F2672C">
      <w:pPr>
        <w:pStyle w:val="References"/>
        <w:rPr>
          <w:rFonts w:eastAsia="Calibri"/>
          <w:lang w:eastAsia="en-US"/>
        </w:rPr>
      </w:pPr>
      <w:r w:rsidRPr="0018341E">
        <w:rPr>
          <w:rFonts w:eastAsia="Calibri"/>
          <w:lang w:eastAsia="en-US"/>
        </w:rPr>
        <w:t xml:space="preserve">McCormack, D. </w:t>
      </w:r>
      <w:r>
        <w:rPr>
          <w:rFonts w:eastAsia="Calibri"/>
          <w:lang w:eastAsia="en-US"/>
        </w:rPr>
        <w:t>(</w:t>
      </w:r>
      <w:r w:rsidRPr="0018341E">
        <w:rPr>
          <w:rFonts w:eastAsia="Calibri"/>
          <w:lang w:eastAsia="en-US"/>
        </w:rPr>
        <w:t>2004</w:t>
      </w:r>
      <w:r>
        <w:rPr>
          <w:rFonts w:eastAsia="Calibri"/>
          <w:lang w:eastAsia="en-US"/>
        </w:rPr>
        <w:t>).</w:t>
      </w:r>
      <w:r w:rsidRPr="0018341E">
        <w:rPr>
          <w:rFonts w:eastAsia="Calibri"/>
          <w:lang w:eastAsia="en-US"/>
        </w:rPr>
        <w:t xml:space="preserve"> Cultural Geographies in Practice: Drawing out the lines of the event</w:t>
      </w:r>
      <w:r>
        <w:rPr>
          <w:rFonts w:eastAsia="Calibri"/>
          <w:lang w:eastAsia="en-US"/>
        </w:rPr>
        <w:t>.</w:t>
      </w:r>
      <w:r w:rsidRPr="0018341E">
        <w:rPr>
          <w:rFonts w:eastAsia="Calibri"/>
          <w:lang w:eastAsia="en-US"/>
        </w:rPr>
        <w:t xml:space="preserve"> </w:t>
      </w:r>
      <w:r w:rsidRPr="0018341E">
        <w:rPr>
          <w:rFonts w:eastAsia="Calibri"/>
          <w:i/>
          <w:lang w:eastAsia="en-US"/>
        </w:rPr>
        <w:t xml:space="preserve">Cultural Geographies, </w:t>
      </w:r>
      <w:r w:rsidRPr="0018341E">
        <w:rPr>
          <w:rFonts w:eastAsia="Calibri"/>
          <w:lang w:eastAsia="en-US"/>
        </w:rPr>
        <w:t>11, 211-220</w:t>
      </w:r>
      <w:r>
        <w:rPr>
          <w:rFonts w:eastAsia="Calibri"/>
          <w:lang w:eastAsia="en-US"/>
        </w:rPr>
        <w:t xml:space="preserve">. </w:t>
      </w:r>
      <w:hyperlink r:id="rId38" w:history="1">
        <w:r w:rsidRPr="003A0C2D">
          <w:rPr>
            <w:rStyle w:val="Hyperlink"/>
            <w:rFonts w:eastAsia="Calibri"/>
            <w:lang w:eastAsia="en-US"/>
          </w:rPr>
          <w:t>https://doi.org/10.1191/14744744004eu303xx</w:t>
        </w:r>
      </w:hyperlink>
    </w:p>
    <w:p w14:paraId="2BCF98D2" w14:textId="77777777" w:rsidR="00F8130C" w:rsidRPr="0018341E" w:rsidRDefault="00F8130C" w:rsidP="0018341E">
      <w:pPr>
        <w:pStyle w:val="References"/>
        <w:rPr>
          <w:rFonts w:eastAsia="Calibri"/>
          <w:lang w:eastAsia="en-US"/>
        </w:rPr>
      </w:pPr>
      <w:r w:rsidRPr="00D407CD">
        <w:rPr>
          <w:rFonts w:eastAsia="Calibri"/>
          <w:lang w:eastAsia="en-US"/>
        </w:rPr>
        <w:t>McFarlane, A. (2019)</w:t>
      </w:r>
      <w:r>
        <w:rPr>
          <w:rFonts w:eastAsia="Calibri"/>
          <w:lang w:eastAsia="en-US"/>
        </w:rPr>
        <w:t xml:space="preserve">. </w:t>
      </w:r>
      <w:r w:rsidRPr="00D407CD">
        <w:rPr>
          <w:rFonts w:eastAsia="Calibri"/>
          <w:lang w:eastAsia="en-US"/>
        </w:rPr>
        <w:t>The properties of integration: Mixed-income housing as discrimination management</w:t>
      </w:r>
      <w:r>
        <w:rPr>
          <w:rFonts w:eastAsia="Calibri"/>
          <w:lang w:eastAsia="en-US"/>
        </w:rPr>
        <w:t xml:space="preserve">. </w:t>
      </w:r>
      <w:r w:rsidRPr="00D407CD">
        <w:rPr>
          <w:rFonts w:eastAsia="Calibri"/>
          <w:i/>
          <w:iCs/>
          <w:lang w:eastAsia="en-US"/>
        </w:rPr>
        <w:t xml:space="preserve">UCLA Law Review, </w:t>
      </w:r>
      <w:r w:rsidRPr="00D407CD">
        <w:rPr>
          <w:rFonts w:eastAsia="Calibri"/>
          <w:lang w:eastAsia="en-US"/>
        </w:rPr>
        <w:t>66</w:t>
      </w:r>
      <w:r>
        <w:rPr>
          <w:rFonts w:eastAsia="Calibri"/>
          <w:lang w:eastAsia="en-US"/>
        </w:rPr>
        <w:t xml:space="preserve"> (</w:t>
      </w:r>
      <w:r w:rsidRPr="00D407CD">
        <w:rPr>
          <w:rFonts w:eastAsia="Calibri"/>
          <w:lang w:eastAsia="en-US"/>
        </w:rPr>
        <w:t>5</w:t>
      </w:r>
      <w:r>
        <w:rPr>
          <w:rFonts w:eastAsia="Calibri"/>
          <w:lang w:eastAsia="en-US"/>
        </w:rPr>
        <w:t>)</w:t>
      </w:r>
      <w:r w:rsidRPr="00D407CD">
        <w:rPr>
          <w:rFonts w:eastAsia="Calibri"/>
          <w:lang w:eastAsia="en-US"/>
        </w:rPr>
        <w:t>, 1140-1215</w:t>
      </w:r>
      <w:r>
        <w:rPr>
          <w:rFonts w:eastAsia="Calibri"/>
          <w:lang w:eastAsia="en-US"/>
        </w:rPr>
        <w:t xml:space="preserve">. </w:t>
      </w:r>
      <w:hyperlink r:id="rId39" w:tgtFrame="_blank" w:history="1">
        <w:r w:rsidRPr="00F2672C">
          <w:rPr>
            <w:rStyle w:val="Hyperlink"/>
            <w:rFonts w:eastAsia="Calibri"/>
            <w:lang w:eastAsia="en-US"/>
          </w:rPr>
          <w:t>https://ssrn.com/abstract=3489272</w:t>
        </w:r>
      </w:hyperlink>
      <w:r>
        <w:rPr>
          <w:rFonts w:eastAsia="Calibri"/>
          <w:lang w:eastAsia="en-US"/>
        </w:rPr>
        <w:t xml:space="preserve"> </w:t>
      </w:r>
    </w:p>
    <w:p w14:paraId="56267CF1" w14:textId="6555E904" w:rsidR="00F8130C" w:rsidRDefault="00F8130C" w:rsidP="00483A7B">
      <w:pPr>
        <w:pStyle w:val="References"/>
        <w:rPr>
          <w:rFonts w:eastAsia="Calibri"/>
          <w:lang w:eastAsia="en-US"/>
        </w:rPr>
      </w:pPr>
      <w:r w:rsidRPr="000B04CF">
        <w:rPr>
          <w:rFonts w:eastAsia="Calibri"/>
          <w:lang w:eastAsia="en-US"/>
        </w:rPr>
        <w:t xml:space="preserve">Merriam </w:t>
      </w:r>
      <w:r w:rsidR="004704CC" w:rsidRPr="000B04CF">
        <w:rPr>
          <w:rFonts w:eastAsia="Calibri"/>
          <w:lang w:eastAsia="en-US"/>
        </w:rPr>
        <w:t>Webster</w:t>
      </w:r>
      <w:r w:rsidRPr="000B04CF">
        <w:rPr>
          <w:rFonts w:eastAsia="Calibri"/>
          <w:lang w:eastAsia="en-US"/>
        </w:rPr>
        <w:t xml:space="preserve"> (2020). </w:t>
      </w:r>
      <w:r w:rsidRPr="000B04CF">
        <w:rPr>
          <w:rFonts w:eastAsia="Calibri"/>
          <w:iCs/>
          <w:lang w:eastAsia="en-US"/>
        </w:rPr>
        <w:t>English Definition of Door</w:t>
      </w:r>
      <w:r>
        <w:rPr>
          <w:rFonts w:eastAsia="Calibri"/>
          <w:iCs/>
          <w:lang w:eastAsia="en-US"/>
        </w:rPr>
        <w:t xml:space="preserve">. Retrieved from </w:t>
      </w:r>
      <w:hyperlink r:id="rId40" w:history="1">
        <w:r w:rsidRPr="003A0C2D">
          <w:rPr>
            <w:rStyle w:val="Hyperlink"/>
            <w:rFonts w:eastAsia="Calibri"/>
            <w:lang w:eastAsia="en-US"/>
          </w:rPr>
          <w:t>https://www.merriam-webster.com/dictionary/door</w:t>
        </w:r>
      </w:hyperlink>
      <w:r w:rsidRPr="000B04CF">
        <w:rPr>
          <w:rFonts w:eastAsia="Calibri"/>
          <w:lang w:eastAsia="en-US"/>
        </w:rPr>
        <w:t xml:space="preserve"> </w:t>
      </w:r>
    </w:p>
    <w:p w14:paraId="1D93FC6D" w14:textId="77777777" w:rsidR="00F8130C" w:rsidRPr="0018341E" w:rsidRDefault="00F8130C" w:rsidP="0018341E">
      <w:pPr>
        <w:pStyle w:val="References"/>
        <w:rPr>
          <w:rFonts w:eastAsia="Calibri"/>
          <w:lang w:eastAsia="en-US"/>
        </w:rPr>
      </w:pPr>
      <w:r w:rsidRPr="0018341E">
        <w:rPr>
          <w:rFonts w:eastAsia="Calibri"/>
          <w:lang w:eastAsia="en-US"/>
        </w:rPr>
        <w:t xml:space="preserve">Moore, M. </w:t>
      </w:r>
      <w:r>
        <w:rPr>
          <w:rFonts w:eastAsia="Calibri"/>
          <w:lang w:eastAsia="en-US"/>
        </w:rPr>
        <w:t>(</w:t>
      </w:r>
      <w:r w:rsidRPr="0018341E">
        <w:rPr>
          <w:rFonts w:eastAsia="Calibri"/>
          <w:lang w:eastAsia="en-US"/>
        </w:rPr>
        <w:t>1981</w:t>
      </w:r>
      <w:r>
        <w:rPr>
          <w:rFonts w:eastAsia="Calibri"/>
          <w:lang w:eastAsia="en-US"/>
        </w:rPr>
        <w:t>).</w:t>
      </w:r>
      <w:r w:rsidRPr="0018341E">
        <w:rPr>
          <w:rFonts w:eastAsia="Calibri"/>
          <w:lang w:eastAsia="en-US"/>
        </w:rPr>
        <w:t xml:space="preserve"> On the Signification of Doors and Gates in the Visual Arts</w:t>
      </w:r>
      <w:r>
        <w:rPr>
          <w:rFonts w:eastAsia="Calibri"/>
          <w:lang w:eastAsia="en-US"/>
        </w:rPr>
        <w:t>.</w:t>
      </w:r>
      <w:r w:rsidRPr="0018341E">
        <w:rPr>
          <w:rFonts w:eastAsia="Calibri"/>
          <w:lang w:eastAsia="en-US"/>
        </w:rPr>
        <w:t xml:space="preserve"> </w:t>
      </w:r>
      <w:r w:rsidRPr="0018341E">
        <w:rPr>
          <w:rFonts w:eastAsia="Calibri"/>
          <w:i/>
          <w:lang w:eastAsia="en-US"/>
        </w:rPr>
        <w:t>Leonardo,</w:t>
      </w:r>
      <w:r w:rsidRPr="0018341E">
        <w:rPr>
          <w:rFonts w:eastAsia="Calibri"/>
          <w:lang w:eastAsia="en-US"/>
        </w:rPr>
        <w:t xml:space="preserve"> 14 </w:t>
      </w:r>
      <w:r>
        <w:rPr>
          <w:rFonts w:eastAsia="Calibri"/>
          <w:lang w:eastAsia="en-US"/>
        </w:rPr>
        <w:t>(</w:t>
      </w:r>
      <w:r w:rsidRPr="0018341E">
        <w:rPr>
          <w:rFonts w:eastAsia="Calibri"/>
          <w:lang w:eastAsia="en-US"/>
        </w:rPr>
        <w:t>3</w:t>
      </w:r>
      <w:r>
        <w:rPr>
          <w:rFonts w:eastAsia="Calibri"/>
          <w:lang w:eastAsia="en-US"/>
        </w:rPr>
        <w:t>)</w:t>
      </w:r>
      <w:r w:rsidRPr="0018341E">
        <w:rPr>
          <w:rFonts w:eastAsia="Calibri"/>
          <w:lang w:eastAsia="en-US"/>
        </w:rPr>
        <w:t>, 202-205</w:t>
      </w:r>
      <w:r>
        <w:rPr>
          <w:rFonts w:eastAsia="Calibri"/>
          <w:lang w:eastAsia="en-US"/>
        </w:rPr>
        <w:t>.</w:t>
      </w:r>
      <w:r w:rsidRPr="0018341E">
        <w:rPr>
          <w:rFonts w:eastAsia="Calibri"/>
          <w:lang w:eastAsia="en-US"/>
        </w:rPr>
        <w:t xml:space="preserve"> </w:t>
      </w:r>
      <w:hyperlink r:id="rId41" w:history="1">
        <w:r w:rsidRPr="00F2672C">
          <w:rPr>
            <w:rStyle w:val="Hyperlink"/>
            <w:rFonts w:eastAsia="Calibri"/>
            <w:lang w:eastAsia="en-US"/>
          </w:rPr>
          <w:t>muse.jhu.edu/article/599714</w:t>
        </w:r>
      </w:hyperlink>
      <w:r w:rsidRPr="00F2672C">
        <w:rPr>
          <w:rFonts w:eastAsia="Calibri"/>
          <w:lang w:eastAsia="en-US"/>
        </w:rPr>
        <w:t>.</w:t>
      </w:r>
      <w:r>
        <w:rPr>
          <w:rFonts w:eastAsia="Calibri"/>
          <w:lang w:eastAsia="en-US"/>
        </w:rPr>
        <w:t xml:space="preserve"> </w:t>
      </w:r>
    </w:p>
    <w:p w14:paraId="51479107" w14:textId="77777777" w:rsidR="00F8130C" w:rsidRPr="0018341E" w:rsidRDefault="00F8130C" w:rsidP="0018341E">
      <w:pPr>
        <w:pStyle w:val="References"/>
        <w:rPr>
          <w:rFonts w:eastAsia="Calibri"/>
          <w:lang w:eastAsia="en-US"/>
        </w:rPr>
      </w:pPr>
      <w:r w:rsidRPr="0018341E">
        <w:rPr>
          <w:rFonts w:eastAsia="Calibri"/>
          <w:lang w:eastAsia="en-US"/>
        </w:rPr>
        <w:t xml:space="preserve">Moran, D., Turner, J. </w:t>
      </w:r>
      <w:r>
        <w:rPr>
          <w:rFonts w:eastAsia="Calibri"/>
          <w:lang w:eastAsia="en-US"/>
        </w:rPr>
        <w:t>&amp;</w:t>
      </w:r>
      <w:r w:rsidRPr="0018341E">
        <w:rPr>
          <w:rFonts w:eastAsia="Calibri"/>
          <w:lang w:eastAsia="en-US"/>
        </w:rPr>
        <w:t xml:space="preserve"> </w:t>
      </w:r>
      <w:proofErr w:type="spellStart"/>
      <w:r w:rsidRPr="0018341E">
        <w:rPr>
          <w:rFonts w:eastAsia="Calibri"/>
          <w:lang w:eastAsia="en-US"/>
        </w:rPr>
        <w:t>Jewkes</w:t>
      </w:r>
      <w:proofErr w:type="spellEnd"/>
      <w:r w:rsidRPr="0018341E">
        <w:rPr>
          <w:rFonts w:eastAsia="Calibri"/>
          <w:lang w:eastAsia="en-US"/>
        </w:rPr>
        <w:t xml:space="preserve">, Y. </w:t>
      </w:r>
      <w:r>
        <w:rPr>
          <w:rFonts w:eastAsia="Calibri"/>
          <w:lang w:eastAsia="en-US"/>
        </w:rPr>
        <w:t>(</w:t>
      </w:r>
      <w:r w:rsidRPr="0018341E">
        <w:rPr>
          <w:rFonts w:eastAsia="Calibri"/>
          <w:lang w:eastAsia="en-US"/>
        </w:rPr>
        <w:t>2016</w:t>
      </w:r>
      <w:r>
        <w:rPr>
          <w:rFonts w:eastAsia="Calibri"/>
          <w:lang w:eastAsia="en-US"/>
        </w:rPr>
        <w:t>).</w:t>
      </w:r>
      <w:r w:rsidRPr="0018341E">
        <w:rPr>
          <w:rFonts w:eastAsia="Calibri"/>
          <w:lang w:eastAsia="en-US"/>
        </w:rPr>
        <w:t xml:space="preserve"> Becoming big things: building events and the architectural geographies of incarceration in England and Wales</w:t>
      </w:r>
      <w:r>
        <w:rPr>
          <w:rFonts w:eastAsia="Calibri"/>
          <w:lang w:eastAsia="en-US"/>
        </w:rPr>
        <w:t>.</w:t>
      </w:r>
      <w:r w:rsidRPr="0018341E">
        <w:rPr>
          <w:rFonts w:eastAsia="Calibri"/>
          <w:lang w:eastAsia="en-US"/>
        </w:rPr>
        <w:t xml:space="preserve"> </w:t>
      </w:r>
      <w:r w:rsidRPr="0018341E">
        <w:rPr>
          <w:rFonts w:eastAsia="Calibri"/>
          <w:i/>
          <w:lang w:eastAsia="en-US"/>
        </w:rPr>
        <w:t>Transactions of the Institute of British Geographers</w:t>
      </w:r>
      <w:r w:rsidRPr="0018341E">
        <w:rPr>
          <w:rFonts w:eastAsia="Calibri"/>
          <w:lang w:eastAsia="en-US"/>
        </w:rPr>
        <w:t>, 41, 416–428</w:t>
      </w:r>
      <w:r>
        <w:rPr>
          <w:rFonts w:eastAsia="Calibri"/>
          <w:lang w:eastAsia="en-US"/>
        </w:rPr>
        <w:t xml:space="preserve">. </w:t>
      </w:r>
      <w:hyperlink r:id="rId42" w:history="1">
        <w:bookmarkStart w:id="21" w:name="_Hlk38391289"/>
        <w:r w:rsidRPr="00483A7B">
          <w:rPr>
            <w:rStyle w:val="Hyperlink"/>
            <w:rFonts w:eastAsia="Calibri"/>
            <w:lang w:eastAsia="en-US"/>
          </w:rPr>
          <w:t>https://doi.org/</w:t>
        </w:r>
        <w:bookmarkEnd w:id="21"/>
        <w:r w:rsidRPr="00483A7B">
          <w:rPr>
            <w:rStyle w:val="Hyperlink"/>
            <w:rFonts w:eastAsia="Calibri"/>
            <w:lang w:eastAsia="en-US"/>
          </w:rPr>
          <w:t>10.1111/tran.12140</w:t>
        </w:r>
      </w:hyperlink>
    </w:p>
    <w:p w14:paraId="4193928F" w14:textId="77777777" w:rsidR="00F8130C" w:rsidRPr="0018341E" w:rsidRDefault="00F8130C" w:rsidP="0018341E">
      <w:pPr>
        <w:pStyle w:val="References"/>
        <w:rPr>
          <w:rFonts w:eastAsia="Calibri"/>
          <w:lang w:eastAsia="en-US"/>
        </w:rPr>
      </w:pPr>
      <w:r w:rsidRPr="0018341E">
        <w:rPr>
          <w:rFonts w:eastAsia="Calibri"/>
          <w:lang w:eastAsia="en-US"/>
        </w:rPr>
        <w:t>Museum of London</w:t>
      </w:r>
      <w:r>
        <w:rPr>
          <w:rFonts w:eastAsia="Calibri"/>
          <w:lang w:eastAsia="en-US"/>
        </w:rPr>
        <w:t xml:space="preserve"> </w:t>
      </w:r>
      <w:r w:rsidRPr="0018341E">
        <w:rPr>
          <w:rFonts w:eastAsia="Calibri"/>
          <w:lang w:eastAsia="en-US"/>
        </w:rPr>
        <w:t>(MOL)</w:t>
      </w:r>
      <w:r>
        <w:rPr>
          <w:rFonts w:eastAsia="Calibri"/>
          <w:lang w:eastAsia="en-US"/>
        </w:rPr>
        <w:t>.</w:t>
      </w:r>
      <w:r w:rsidRPr="0018341E">
        <w:rPr>
          <w:rFonts w:eastAsia="Calibri"/>
          <w:lang w:eastAsia="en-US"/>
        </w:rPr>
        <w:t xml:space="preserve"> </w:t>
      </w:r>
      <w:r>
        <w:rPr>
          <w:rFonts w:eastAsia="Calibri"/>
          <w:lang w:eastAsia="en-US"/>
        </w:rPr>
        <w:t>(</w:t>
      </w:r>
      <w:r w:rsidRPr="0018341E">
        <w:rPr>
          <w:rFonts w:eastAsia="Calibri"/>
          <w:lang w:eastAsia="en-US"/>
        </w:rPr>
        <w:t>2011</w:t>
      </w:r>
      <w:r>
        <w:rPr>
          <w:rFonts w:eastAsia="Calibri"/>
          <w:lang w:eastAsia="en-US"/>
        </w:rPr>
        <w:t>).</w:t>
      </w:r>
      <w:r w:rsidRPr="0018341E">
        <w:rPr>
          <w:rFonts w:eastAsia="Calibri"/>
          <w:lang w:eastAsia="en-US"/>
        </w:rPr>
        <w:t xml:space="preserve"> </w:t>
      </w:r>
      <w:r w:rsidRPr="00677202">
        <w:rPr>
          <w:rFonts w:eastAsia="Calibri"/>
          <w:iCs/>
          <w:lang w:eastAsia="en-US"/>
        </w:rPr>
        <w:t>Pocket Histories: London Plagues</w:t>
      </w:r>
      <w:r>
        <w:rPr>
          <w:rFonts w:eastAsia="Calibri"/>
          <w:i/>
          <w:lang w:eastAsia="en-US"/>
        </w:rPr>
        <w:t xml:space="preserve">. </w:t>
      </w:r>
      <w:r>
        <w:rPr>
          <w:rFonts w:eastAsia="Calibri"/>
          <w:lang w:eastAsia="en-US"/>
        </w:rPr>
        <w:t xml:space="preserve">Retrieved from </w:t>
      </w:r>
      <w:hyperlink r:id="rId43" w:history="1">
        <w:r w:rsidRPr="003A0C2D">
          <w:rPr>
            <w:rStyle w:val="Hyperlink"/>
            <w:rFonts w:eastAsia="Calibri"/>
            <w:lang w:eastAsia="en-US"/>
          </w:rPr>
          <w:t>http://www.museumoflondon.org.uk/explore-online/pocket-histories/london-plagues-13481665/black-death-13481350/</w:t>
        </w:r>
      </w:hyperlink>
      <w:r>
        <w:rPr>
          <w:rFonts w:eastAsia="Calibri"/>
          <w:lang w:eastAsia="en-US"/>
        </w:rPr>
        <w:t xml:space="preserve"> </w:t>
      </w:r>
      <w:r w:rsidRPr="00923C58">
        <w:rPr>
          <w:rFonts w:eastAsia="Calibri"/>
          <w:lang w:eastAsia="en-US"/>
        </w:rPr>
        <w:t xml:space="preserve"> </w:t>
      </w:r>
    </w:p>
    <w:p w14:paraId="556A49B2" w14:textId="77777777" w:rsidR="00F8130C" w:rsidRPr="0018341E" w:rsidRDefault="00F8130C" w:rsidP="0018341E">
      <w:pPr>
        <w:pStyle w:val="References"/>
        <w:rPr>
          <w:rFonts w:eastAsia="Calibri"/>
          <w:lang w:eastAsia="en-US"/>
        </w:rPr>
      </w:pPr>
      <w:proofErr w:type="spellStart"/>
      <w:r w:rsidRPr="0018341E">
        <w:rPr>
          <w:rFonts w:eastAsia="Calibri"/>
          <w:lang w:eastAsia="en-US"/>
        </w:rPr>
        <w:lastRenderedPageBreak/>
        <w:t>Naginski</w:t>
      </w:r>
      <w:proofErr w:type="spellEnd"/>
      <w:r w:rsidRPr="0018341E">
        <w:rPr>
          <w:rFonts w:eastAsia="Calibri"/>
          <w:lang w:eastAsia="en-US"/>
        </w:rPr>
        <w:t xml:space="preserve">, E. </w:t>
      </w:r>
      <w:r>
        <w:rPr>
          <w:rFonts w:eastAsia="Calibri"/>
          <w:lang w:eastAsia="en-US"/>
        </w:rPr>
        <w:t>(</w:t>
      </w:r>
      <w:r w:rsidRPr="0018341E">
        <w:rPr>
          <w:rFonts w:eastAsia="Calibri"/>
          <w:lang w:eastAsia="en-US"/>
        </w:rPr>
        <w:t>2010</w:t>
      </w:r>
      <w:r>
        <w:rPr>
          <w:rFonts w:eastAsia="Calibri"/>
          <w:lang w:eastAsia="en-US"/>
        </w:rPr>
        <w:t>).</w:t>
      </w:r>
      <w:r w:rsidRPr="0018341E">
        <w:rPr>
          <w:rFonts w:eastAsia="Calibri"/>
          <w:lang w:eastAsia="en-US"/>
        </w:rPr>
        <w:t xml:space="preserve"> Architecture at the Threshold</w:t>
      </w:r>
      <w:r>
        <w:rPr>
          <w:rFonts w:eastAsia="Calibri"/>
          <w:lang w:eastAsia="en-US"/>
        </w:rPr>
        <w:t>.</w:t>
      </w:r>
      <w:r w:rsidRPr="0018341E">
        <w:rPr>
          <w:rFonts w:eastAsia="Calibri"/>
          <w:lang w:eastAsia="en-US"/>
        </w:rPr>
        <w:t xml:space="preserve"> </w:t>
      </w:r>
      <w:proofErr w:type="spellStart"/>
      <w:r w:rsidRPr="0018341E">
        <w:rPr>
          <w:rFonts w:eastAsia="Calibri"/>
          <w:i/>
          <w:lang w:eastAsia="en-US"/>
        </w:rPr>
        <w:t>Perspecta</w:t>
      </w:r>
      <w:proofErr w:type="spellEnd"/>
      <w:r w:rsidRPr="0018341E">
        <w:rPr>
          <w:rFonts w:eastAsia="Calibri"/>
          <w:i/>
          <w:lang w:eastAsia="en-US"/>
        </w:rPr>
        <w:t xml:space="preserve">, </w:t>
      </w:r>
      <w:r w:rsidRPr="0018341E">
        <w:rPr>
          <w:rFonts w:eastAsia="Calibri"/>
          <w:lang w:eastAsia="en-US"/>
        </w:rPr>
        <w:t>43, 200-207</w:t>
      </w:r>
      <w:r>
        <w:rPr>
          <w:rFonts w:eastAsia="Calibri"/>
          <w:lang w:eastAsia="en-US"/>
        </w:rPr>
        <w:t xml:space="preserve">. </w:t>
      </w:r>
      <w:hyperlink r:id="rId44" w:history="1">
        <w:r w:rsidRPr="003A0C2D">
          <w:rPr>
            <w:rStyle w:val="Hyperlink"/>
            <w:rFonts w:eastAsia="Calibri"/>
            <w:lang w:eastAsia="en-US"/>
          </w:rPr>
          <w:t>https://www.jstor.org/stable/41680285</w:t>
        </w:r>
      </w:hyperlink>
      <w:r>
        <w:rPr>
          <w:rFonts w:eastAsia="Calibri"/>
          <w:lang w:eastAsia="en-US"/>
        </w:rPr>
        <w:t xml:space="preserve"> </w:t>
      </w:r>
    </w:p>
    <w:p w14:paraId="699A1205" w14:textId="77777777" w:rsidR="00F8130C" w:rsidRPr="0018341E" w:rsidRDefault="00F8130C" w:rsidP="0018341E">
      <w:pPr>
        <w:pStyle w:val="References"/>
        <w:rPr>
          <w:rFonts w:eastAsia="Calibri"/>
          <w:lang w:eastAsia="en-US"/>
        </w:rPr>
      </w:pPr>
      <w:proofErr w:type="spellStart"/>
      <w:r w:rsidRPr="0018341E">
        <w:rPr>
          <w:rFonts w:eastAsia="Calibri"/>
          <w:lang w:eastAsia="en-US"/>
        </w:rPr>
        <w:t>Neaher</w:t>
      </w:r>
      <w:proofErr w:type="spellEnd"/>
      <w:r w:rsidRPr="0018341E">
        <w:rPr>
          <w:rFonts w:eastAsia="Calibri"/>
          <w:lang w:eastAsia="en-US"/>
        </w:rPr>
        <w:t xml:space="preserve">, N. </w:t>
      </w:r>
      <w:r>
        <w:rPr>
          <w:rFonts w:eastAsia="Calibri"/>
          <w:lang w:eastAsia="en-US"/>
        </w:rPr>
        <w:t>(</w:t>
      </w:r>
      <w:r w:rsidRPr="0018341E">
        <w:rPr>
          <w:rFonts w:eastAsia="Calibri"/>
          <w:lang w:eastAsia="en-US"/>
        </w:rPr>
        <w:t>1981</w:t>
      </w:r>
      <w:r>
        <w:rPr>
          <w:rFonts w:eastAsia="Calibri"/>
          <w:lang w:eastAsia="en-US"/>
        </w:rPr>
        <w:t>).</w:t>
      </w:r>
      <w:r w:rsidRPr="0018341E">
        <w:rPr>
          <w:rFonts w:eastAsia="Calibri"/>
          <w:lang w:eastAsia="en-US"/>
        </w:rPr>
        <w:t xml:space="preserve"> Igbo Carved Doors</w:t>
      </w:r>
      <w:r>
        <w:rPr>
          <w:rFonts w:eastAsia="Calibri"/>
          <w:lang w:eastAsia="en-US"/>
        </w:rPr>
        <w:t xml:space="preserve">. </w:t>
      </w:r>
      <w:r w:rsidRPr="0018341E">
        <w:rPr>
          <w:rFonts w:eastAsia="Calibri"/>
          <w:i/>
          <w:lang w:eastAsia="en-US"/>
        </w:rPr>
        <w:t>African Arts,</w:t>
      </w:r>
      <w:r w:rsidRPr="0018341E">
        <w:rPr>
          <w:rFonts w:eastAsia="Calibri"/>
          <w:lang w:eastAsia="en-US"/>
        </w:rPr>
        <w:t xml:space="preserve"> 15 </w:t>
      </w:r>
      <w:r>
        <w:rPr>
          <w:rFonts w:eastAsia="Calibri"/>
          <w:lang w:eastAsia="en-US"/>
        </w:rPr>
        <w:t>(</w:t>
      </w:r>
      <w:r w:rsidRPr="0018341E">
        <w:rPr>
          <w:rFonts w:eastAsia="Calibri"/>
          <w:lang w:eastAsia="en-US"/>
        </w:rPr>
        <w:t>1</w:t>
      </w:r>
      <w:r>
        <w:rPr>
          <w:rFonts w:eastAsia="Calibri"/>
          <w:lang w:eastAsia="en-US"/>
        </w:rPr>
        <w:t>)</w:t>
      </w:r>
      <w:r w:rsidRPr="0018341E">
        <w:rPr>
          <w:rFonts w:eastAsia="Calibri"/>
          <w:lang w:eastAsia="en-US"/>
        </w:rPr>
        <w:t>, 49-55</w:t>
      </w:r>
      <w:r>
        <w:rPr>
          <w:rFonts w:eastAsia="Calibri"/>
          <w:lang w:eastAsia="en-US"/>
        </w:rPr>
        <w:t>.</w:t>
      </w:r>
      <w:r w:rsidRPr="0018341E">
        <w:rPr>
          <w:rFonts w:eastAsia="Calibri"/>
          <w:lang w:eastAsia="en-US"/>
        </w:rPr>
        <w:t xml:space="preserve"> </w:t>
      </w:r>
      <w:hyperlink r:id="rId45" w:history="1">
        <w:r w:rsidRPr="003A0C2D">
          <w:rPr>
            <w:rStyle w:val="Hyperlink"/>
            <w:rFonts w:eastAsia="Calibri"/>
            <w:lang w:eastAsia="en-US"/>
          </w:rPr>
          <w:t>https://doi.org/10.2307/3336006</w:t>
        </w:r>
      </w:hyperlink>
      <w:r>
        <w:rPr>
          <w:rFonts w:eastAsia="Calibri"/>
          <w:lang w:eastAsia="en-US"/>
        </w:rPr>
        <w:t xml:space="preserve"> </w:t>
      </w:r>
    </w:p>
    <w:p w14:paraId="56B23A48" w14:textId="53292C2F" w:rsidR="00F8130C" w:rsidRPr="00D62017" w:rsidRDefault="00F8130C" w:rsidP="00D62017">
      <w:pPr>
        <w:pStyle w:val="References"/>
        <w:rPr>
          <w:rFonts w:eastAsia="Calibri"/>
          <w:lang w:eastAsia="en-US"/>
        </w:rPr>
      </w:pPr>
      <w:r>
        <w:rPr>
          <w:rFonts w:eastAsia="Calibri"/>
          <w:lang w:eastAsia="en-US"/>
        </w:rPr>
        <w:t xml:space="preserve">Osborne, H. (2014). Poor doors; the segregation of London’s inner-city flat dwellers. </w:t>
      </w:r>
      <w:r>
        <w:rPr>
          <w:rFonts w:eastAsia="Calibri"/>
          <w:i/>
          <w:iCs/>
          <w:lang w:eastAsia="en-US"/>
        </w:rPr>
        <w:t>The Guardian,</w:t>
      </w:r>
      <w:r>
        <w:rPr>
          <w:rFonts w:eastAsia="Calibri"/>
          <w:lang w:eastAsia="en-US"/>
        </w:rPr>
        <w:t xml:space="preserve"> Retrieved from </w:t>
      </w:r>
      <w:hyperlink r:id="rId46" w:history="1">
        <w:r w:rsidRPr="003A0C2D">
          <w:rPr>
            <w:rStyle w:val="Hyperlink"/>
            <w:rFonts w:eastAsia="Calibri"/>
            <w:lang w:eastAsia="en-US"/>
          </w:rPr>
          <w:t>https://www.theguardian.com/society/2014/jul/25/poor-doors-segregation-london-flats</w:t>
        </w:r>
      </w:hyperlink>
      <w:r>
        <w:rPr>
          <w:rFonts w:eastAsia="Calibri"/>
          <w:lang w:eastAsia="en-US"/>
        </w:rPr>
        <w:t xml:space="preserve"> </w:t>
      </w:r>
    </w:p>
    <w:p w14:paraId="0E72CEA6" w14:textId="77777777" w:rsidR="00F8130C" w:rsidRPr="00483A7B" w:rsidRDefault="00F8130C" w:rsidP="00483A7B">
      <w:pPr>
        <w:pStyle w:val="References"/>
        <w:rPr>
          <w:rFonts w:eastAsia="Calibri"/>
          <w:lang w:eastAsia="en-US"/>
        </w:rPr>
      </w:pPr>
      <w:r w:rsidRPr="0018341E">
        <w:rPr>
          <w:rFonts w:eastAsia="Calibri"/>
          <w:lang w:eastAsia="en-US"/>
        </w:rPr>
        <w:t xml:space="preserve">Paterson, M. </w:t>
      </w:r>
      <w:r>
        <w:rPr>
          <w:rFonts w:eastAsia="Calibri"/>
          <w:lang w:eastAsia="en-US"/>
        </w:rPr>
        <w:t>(</w:t>
      </w:r>
      <w:r w:rsidRPr="0018341E">
        <w:rPr>
          <w:rFonts w:eastAsia="Calibri"/>
          <w:lang w:eastAsia="en-US"/>
        </w:rPr>
        <w:t>2011</w:t>
      </w:r>
      <w:r>
        <w:rPr>
          <w:rFonts w:eastAsia="Calibri"/>
          <w:lang w:eastAsia="en-US"/>
        </w:rPr>
        <w:t>).</w:t>
      </w:r>
      <w:r w:rsidRPr="0018341E">
        <w:rPr>
          <w:rFonts w:eastAsia="Calibri"/>
          <w:lang w:eastAsia="en-US"/>
        </w:rPr>
        <w:t xml:space="preserve"> More-than visual approaches to architecture. Vision, touch, technique</w:t>
      </w:r>
      <w:r>
        <w:rPr>
          <w:rFonts w:eastAsia="Calibri"/>
          <w:lang w:eastAsia="en-US"/>
        </w:rPr>
        <w:t>.</w:t>
      </w:r>
      <w:r w:rsidRPr="0018341E">
        <w:rPr>
          <w:rFonts w:eastAsia="Calibri"/>
          <w:lang w:eastAsia="en-US"/>
        </w:rPr>
        <w:t xml:space="preserve"> </w:t>
      </w:r>
      <w:r w:rsidRPr="0018341E">
        <w:rPr>
          <w:rFonts w:eastAsia="Calibri"/>
          <w:i/>
          <w:lang w:eastAsia="en-US"/>
        </w:rPr>
        <w:t>Social &amp; Cultural Geography,</w:t>
      </w:r>
      <w:r w:rsidRPr="0018341E">
        <w:rPr>
          <w:rFonts w:eastAsia="Calibri"/>
          <w:lang w:eastAsia="en-US"/>
        </w:rPr>
        <w:t xml:space="preserve"> 12</w:t>
      </w:r>
      <w:r>
        <w:rPr>
          <w:rFonts w:eastAsia="Calibri"/>
          <w:lang w:eastAsia="en-US"/>
        </w:rPr>
        <w:t xml:space="preserve"> (</w:t>
      </w:r>
      <w:r w:rsidRPr="0018341E">
        <w:rPr>
          <w:rFonts w:eastAsia="Calibri"/>
          <w:lang w:eastAsia="en-US"/>
        </w:rPr>
        <w:t>3</w:t>
      </w:r>
      <w:r>
        <w:rPr>
          <w:rFonts w:eastAsia="Calibri"/>
          <w:lang w:eastAsia="en-US"/>
        </w:rPr>
        <w:t>)</w:t>
      </w:r>
      <w:r w:rsidRPr="0018341E">
        <w:rPr>
          <w:rFonts w:eastAsia="Calibri"/>
          <w:lang w:eastAsia="en-US"/>
        </w:rPr>
        <w:t>, 263-281</w:t>
      </w:r>
      <w:r>
        <w:rPr>
          <w:rFonts w:eastAsia="Calibri"/>
          <w:lang w:eastAsia="en-US"/>
        </w:rPr>
        <w:t xml:space="preserve">. </w:t>
      </w:r>
      <w:hyperlink r:id="rId47" w:history="1">
        <w:r w:rsidRPr="00483A7B">
          <w:rPr>
            <w:rStyle w:val="Hyperlink"/>
            <w:rFonts w:eastAsia="Calibri"/>
            <w:lang w:eastAsia="en-US"/>
          </w:rPr>
          <w:t>https://doi.org/10.1080/14649365.2011.564733</w:t>
        </w:r>
      </w:hyperlink>
    </w:p>
    <w:p w14:paraId="656E7EC2" w14:textId="77777777" w:rsidR="00F8130C" w:rsidRPr="0018341E" w:rsidRDefault="00F8130C" w:rsidP="0018341E">
      <w:pPr>
        <w:pStyle w:val="References"/>
        <w:rPr>
          <w:rFonts w:eastAsia="Calibri"/>
          <w:lang w:eastAsia="en-US"/>
        </w:rPr>
      </w:pPr>
      <w:proofErr w:type="spellStart"/>
      <w:r w:rsidRPr="0018341E">
        <w:rPr>
          <w:rFonts w:eastAsia="Calibri"/>
          <w:lang w:eastAsia="en-US"/>
        </w:rPr>
        <w:t>Pizzi</w:t>
      </w:r>
      <w:proofErr w:type="spellEnd"/>
      <w:r w:rsidRPr="0018341E">
        <w:rPr>
          <w:rFonts w:eastAsia="Calibri"/>
          <w:lang w:eastAsia="en-US"/>
        </w:rPr>
        <w:t xml:space="preserve">, C. </w:t>
      </w:r>
      <w:r>
        <w:rPr>
          <w:rFonts w:eastAsia="Calibri"/>
          <w:lang w:eastAsia="en-US"/>
        </w:rPr>
        <w:t>(</w:t>
      </w:r>
      <w:r w:rsidRPr="0018341E">
        <w:rPr>
          <w:rFonts w:eastAsia="Calibri"/>
          <w:lang w:eastAsia="en-US"/>
        </w:rPr>
        <w:t>2003</w:t>
      </w:r>
      <w:r>
        <w:rPr>
          <w:rFonts w:eastAsia="Calibri"/>
          <w:lang w:eastAsia="en-US"/>
        </w:rPr>
        <w:t>).</w:t>
      </w:r>
      <w:r w:rsidRPr="0018341E">
        <w:rPr>
          <w:rFonts w:eastAsia="Calibri"/>
          <w:lang w:eastAsia="en-US"/>
        </w:rPr>
        <w:t xml:space="preserve"> Doorways: A Visual Essay</w:t>
      </w:r>
      <w:r>
        <w:rPr>
          <w:rFonts w:eastAsia="Calibri"/>
          <w:lang w:eastAsia="en-US"/>
        </w:rPr>
        <w:t>.</w:t>
      </w:r>
      <w:r w:rsidRPr="0018341E">
        <w:rPr>
          <w:rFonts w:eastAsia="Calibri"/>
          <w:lang w:eastAsia="en-US"/>
        </w:rPr>
        <w:t xml:space="preserve"> </w:t>
      </w:r>
      <w:r w:rsidRPr="0018341E">
        <w:rPr>
          <w:rFonts w:eastAsia="Calibri"/>
          <w:i/>
          <w:lang w:eastAsia="en-US"/>
        </w:rPr>
        <w:t xml:space="preserve">The American Scholar, </w:t>
      </w:r>
      <w:r w:rsidRPr="0018341E">
        <w:rPr>
          <w:rFonts w:eastAsia="Calibri"/>
          <w:lang w:eastAsia="en-US"/>
        </w:rPr>
        <w:t>72</w:t>
      </w:r>
      <w:r>
        <w:rPr>
          <w:rFonts w:eastAsia="Calibri"/>
          <w:lang w:eastAsia="en-US"/>
        </w:rPr>
        <w:t xml:space="preserve"> (</w:t>
      </w:r>
      <w:r w:rsidRPr="0018341E">
        <w:rPr>
          <w:rFonts w:eastAsia="Calibri"/>
          <w:lang w:eastAsia="en-US"/>
        </w:rPr>
        <w:t>3</w:t>
      </w:r>
      <w:r>
        <w:rPr>
          <w:rFonts w:eastAsia="Calibri"/>
          <w:lang w:eastAsia="en-US"/>
        </w:rPr>
        <w:t>)</w:t>
      </w:r>
      <w:r w:rsidRPr="0018341E">
        <w:rPr>
          <w:rFonts w:eastAsia="Calibri"/>
          <w:lang w:eastAsia="en-US"/>
        </w:rPr>
        <w:t>, 77-83</w:t>
      </w:r>
      <w:r>
        <w:rPr>
          <w:rFonts w:eastAsia="Calibri"/>
          <w:lang w:eastAsia="en-US"/>
        </w:rPr>
        <w:t>.</w:t>
      </w:r>
      <w:r w:rsidRPr="00483A7B">
        <w:rPr>
          <w:rFonts w:ascii="Arial" w:hAnsi="Arial" w:cs="Arial"/>
          <w:color w:val="4B5555"/>
          <w:sz w:val="18"/>
          <w:szCs w:val="18"/>
          <w:shd w:val="clear" w:color="auto" w:fill="FFFFFF"/>
        </w:rPr>
        <w:t xml:space="preserve"> </w:t>
      </w:r>
      <w:hyperlink r:id="rId48" w:history="1">
        <w:r w:rsidRPr="003A0C2D">
          <w:rPr>
            <w:rStyle w:val="Hyperlink"/>
            <w:rFonts w:eastAsia="Calibri"/>
            <w:lang w:eastAsia="en-US"/>
          </w:rPr>
          <w:t>https://www.jstor.org/stable/41221155</w:t>
        </w:r>
      </w:hyperlink>
      <w:r>
        <w:rPr>
          <w:rFonts w:eastAsia="Calibri"/>
          <w:lang w:eastAsia="en-US"/>
        </w:rPr>
        <w:t xml:space="preserve">  </w:t>
      </w:r>
    </w:p>
    <w:p w14:paraId="5B01CB1E" w14:textId="77777777" w:rsidR="00F8130C" w:rsidRPr="0018341E" w:rsidRDefault="00F8130C" w:rsidP="0018341E">
      <w:pPr>
        <w:pStyle w:val="References"/>
        <w:rPr>
          <w:rFonts w:eastAsia="Calibri"/>
          <w:lang w:eastAsia="en-US"/>
        </w:rPr>
      </w:pPr>
      <w:r w:rsidRPr="0018341E">
        <w:rPr>
          <w:rFonts w:eastAsia="Calibri"/>
          <w:lang w:eastAsia="en-US"/>
        </w:rPr>
        <w:t xml:space="preserve">Rendell, J. </w:t>
      </w:r>
      <w:r>
        <w:rPr>
          <w:rFonts w:eastAsia="Calibri"/>
          <w:lang w:eastAsia="en-US"/>
        </w:rPr>
        <w:t>(</w:t>
      </w:r>
      <w:r w:rsidRPr="0018341E">
        <w:rPr>
          <w:rFonts w:eastAsia="Calibri"/>
          <w:lang w:eastAsia="en-US"/>
        </w:rPr>
        <w:t>2006</w:t>
      </w:r>
      <w:r>
        <w:rPr>
          <w:rFonts w:eastAsia="Calibri"/>
          <w:lang w:eastAsia="en-US"/>
        </w:rPr>
        <w:t>).</w:t>
      </w:r>
      <w:r w:rsidRPr="0018341E">
        <w:rPr>
          <w:rFonts w:eastAsia="Calibri"/>
          <w:lang w:eastAsia="en-US"/>
        </w:rPr>
        <w:t xml:space="preserve"> </w:t>
      </w:r>
      <w:r w:rsidRPr="000B04CF">
        <w:rPr>
          <w:rFonts w:eastAsia="Calibri"/>
          <w:i/>
          <w:iCs/>
          <w:lang w:eastAsia="en-US"/>
        </w:rPr>
        <w:t>Art and Architecture: A Place Between</w:t>
      </w:r>
      <w:r>
        <w:rPr>
          <w:rFonts w:eastAsia="Calibri"/>
          <w:lang w:eastAsia="en-US"/>
        </w:rPr>
        <w:t>.</w:t>
      </w:r>
      <w:r w:rsidRPr="0018341E">
        <w:rPr>
          <w:rFonts w:eastAsia="Calibri"/>
          <w:lang w:eastAsia="en-US"/>
        </w:rPr>
        <w:t xml:space="preserve"> London</w:t>
      </w:r>
      <w:r>
        <w:rPr>
          <w:rFonts w:eastAsia="Calibri"/>
          <w:lang w:eastAsia="en-US"/>
        </w:rPr>
        <w:t>:</w:t>
      </w:r>
      <w:r w:rsidRPr="0018341E">
        <w:rPr>
          <w:rFonts w:eastAsia="Calibri"/>
          <w:lang w:eastAsia="en-US"/>
        </w:rPr>
        <w:t xml:space="preserve"> I.B Tauris</w:t>
      </w:r>
      <w:r>
        <w:rPr>
          <w:rFonts w:eastAsia="Calibri"/>
          <w:lang w:eastAsia="en-US"/>
        </w:rPr>
        <w:t xml:space="preserve"> </w:t>
      </w:r>
      <w:r w:rsidRPr="0018341E">
        <w:rPr>
          <w:rFonts w:eastAsia="Calibri"/>
          <w:lang w:eastAsia="en-US"/>
        </w:rPr>
        <w:t>&amp; Co Ltd</w:t>
      </w:r>
      <w:r>
        <w:rPr>
          <w:rFonts w:eastAsia="Calibri"/>
          <w:lang w:eastAsia="en-US"/>
        </w:rPr>
        <w:t>.</w:t>
      </w:r>
    </w:p>
    <w:p w14:paraId="6EDA144A" w14:textId="77777777" w:rsidR="00F8130C" w:rsidRPr="0018341E" w:rsidRDefault="00F8130C" w:rsidP="0018341E">
      <w:pPr>
        <w:pStyle w:val="References"/>
        <w:rPr>
          <w:rFonts w:eastAsia="Calibri"/>
          <w:lang w:eastAsia="en-US"/>
        </w:rPr>
      </w:pPr>
      <w:r w:rsidRPr="0018341E">
        <w:rPr>
          <w:rFonts w:eastAsia="Calibri"/>
          <w:lang w:eastAsia="en-US"/>
        </w:rPr>
        <w:t xml:space="preserve">Romano. G. </w:t>
      </w:r>
      <w:r>
        <w:rPr>
          <w:rFonts w:eastAsia="Calibri"/>
          <w:lang w:eastAsia="en-US"/>
        </w:rPr>
        <w:t>(</w:t>
      </w:r>
      <w:r w:rsidRPr="0018341E">
        <w:rPr>
          <w:rFonts w:eastAsia="Calibri"/>
          <w:lang w:eastAsia="en-US"/>
        </w:rPr>
        <w:t>1999</w:t>
      </w:r>
      <w:r>
        <w:rPr>
          <w:rFonts w:eastAsia="Calibri"/>
          <w:lang w:eastAsia="en-US"/>
        </w:rPr>
        <w:t>).</w:t>
      </w:r>
      <w:r w:rsidRPr="0018341E">
        <w:rPr>
          <w:rFonts w:eastAsia="Calibri"/>
          <w:lang w:eastAsia="en-US"/>
        </w:rPr>
        <w:t xml:space="preserve"> The house as a place to share</w:t>
      </w:r>
      <w:r>
        <w:rPr>
          <w:rFonts w:eastAsia="Calibri"/>
          <w:lang w:eastAsia="en-US"/>
        </w:rPr>
        <w:t>.</w:t>
      </w:r>
      <w:r w:rsidRPr="0018341E">
        <w:rPr>
          <w:rFonts w:eastAsia="Calibri"/>
          <w:lang w:eastAsia="en-US"/>
        </w:rPr>
        <w:t xml:space="preserve"> </w:t>
      </w:r>
      <w:r w:rsidRPr="00677202">
        <w:rPr>
          <w:rFonts w:eastAsia="Calibri"/>
          <w:i/>
          <w:iCs/>
          <w:lang w:eastAsia="en-US"/>
        </w:rPr>
        <w:t>Leonardo</w:t>
      </w:r>
      <w:r w:rsidRPr="0018341E">
        <w:rPr>
          <w:rFonts w:eastAsia="Calibri"/>
          <w:lang w:eastAsia="en-US"/>
        </w:rPr>
        <w:t xml:space="preserve">, 32 </w:t>
      </w:r>
      <w:r>
        <w:rPr>
          <w:rFonts w:eastAsia="Calibri"/>
          <w:lang w:eastAsia="en-US"/>
        </w:rPr>
        <w:t>(</w:t>
      </w:r>
      <w:r w:rsidRPr="0018341E">
        <w:rPr>
          <w:rFonts w:eastAsia="Calibri"/>
          <w:lang w:eastAsia="en-US"/>
        </w:rPr>
        <w:t>2</w:t>
      </w:r>
      <w:r>
        <w:rPr>
          <w:rFonts w:eastAsia="Calibri"/>
          <w:lang w:eastAsia="en-US"/>
        </w:rPr>
        <w:t>)</w:t>
      </w:r>
      <w:r w:rsidRPr="0018341E">
        <w:rPr>
          <w:rFonts w:eastAsia="Calibri"/>
          <w:lang w:eastAsia="en-US"/>
        </w:rPr>
        <w:t>, 149-151</w:t>
      </w:r>
      <w:r>
        <w:rPr>
          <w:rFonts w:eastAsia="Calibri"/>
          <w:lang w:eastAsia="en-US"/>
        </w:rPr>
        <w:t xml:space="preserve">. </w:t>
      </w:r>
      <w:hyperlink r:id="rId49" w:history="1">
        <w:r w:rsidRPr="00483A7B">
          <w:rPr>
            <w:rStyle w:val="Hyperlink"/>
            <w:rFonts w:eastAsia="Calibri"/>
            <w:lang w:eastAsia="en-US"/>
          </w:rPr>
          <w:t>https://doi.org/10.1162/002409499553037</w:t>
        </w:r>
      </w:hyperlink>
    </w:p>
    <w:p w14:paraId="3F494548" w14:textId="77777777" w:rsidR="00F8130C" w:rsidRPr="0018341E" w:rsidRDefault="00F8130C" w:rsidP="0018341E">
      <w:pPr>
        <w:pStyle w:val="References"/>
        <w:rPr>
          <w:rFonts w:eastAsia="Calibri"/>
          <w:lang w:eastAsia="en-US"/>
        </w:rPr>
      </w:pPr>
      <w:r w:rsidRPr="0018341E">
        <w:rPr>
          <w:rFonts w:eastAsia="Calibri"/>
          <w:lang w:eastAsia="en-US"/>
        </w:rPr>
        <w:t xml:space="preserve">Roosevelt, C. </w:t>
      </w:r>
      <w:r>
        <w:rPr>
          <w:rFonts w:eastAsia="Calibri"/>
          <w:lang w:eastAsia="en-US"/>
        </w:rPr>
        <w:t>(</w:t>
      </w:r>
      <w:r w:rsidRPr="0018341E">
        <w:rPr>
          <w:rFonts w:eastAsia="Calibri"/>
          <w:lang w:eastAsia="en-US"/>
        </w:rPr>
        <w:t>2006</w:t>
      </w:r>
      <w:r>
        <w:rPr>
          <w:rFonts w:eastAsia="Calibri"/>
          <w:lang w:eastAsia="en-US"/>
        </w:rPr>
        <w:t>).</w:t>
      </w:r>
      <w:r w:rsidRPr="0018341E">
        <w:rPr>
          <w:rFonts w:eastAsia="Calibri"/>
          <w:lang w:eastAsia="en-US"/>
        </w:rPr>
        <w:t xml:space="preserve"> Symbolic Door Stelae and Graveside Monuments in Western Anatolia</w:t>
      </w:r>
      <w:r>
        <w:rPr>
          <w:rFonts w:eastAsia="Calibri"/>
          <w:lang w:eastAsia="en-US"/>
        </w:rPr>
        <w:t>.</w:t>
      </w:r>
      <w:r w:rsidRPr="0018341E">
        <w:rPr>
          <w:rFonts w:eastAsia="Calibri"/>
          <w:lang w:eastAsia="en-US"/>
        </w:rPr>
        <w:t xml:space="preserve"> </w:t>
      </w:r>
      <w:r w:rsidRPr="0018341E">
        <w:rPr>
          <w:rFonts w:eastAsia="Calibri"/>
          <w:i/>
          <w:lang w:eastAsia="en-US"/>
        </w:rPr>
        <w:t>American Journal of Archaeology,</w:t>
      </w:r>
      <w:r w:rsidRPr="0018341E">
        <w:rPr>
          <w:rFonts w:eastAsia="Calibri"/>
          <w:lang w:eastAsia="en-US"/>
        </w:rPr>
        <w:t xml:space="preserve"> 110</w:t>
      </w:r>
      <w:r>
        <w:rPr>
          <w:rFonts w:eastAsia="Calibri"/>
          <w:lang w:eastAsia="en-US"/>
        </w:rPr>
        <w:t xml:space="preserve"> (</w:t>
      </w:r>
      <w:r w:rsidRPr="0018341E">
        <w:rPr>
          <w:rFonts w:eastAsia="Calibri"/>
          <w:lang w:eastAsia="en-US"/>
        </w:rPr>
        <w:t>1</w:t>
      </w:r>
      <w:r>
        <w:rPr>
          <w:rFonts w:eastAsia="Calibri"/>
          <w:lang w:eastAsia="en-US"/>
        </w:rPr>
        <w:t>)</w:t>
      </w:r>
      <w:r w:rsidRPr="0018341E">
        <w:rPr>
          <w:rFonts w:eastAsia="Calibri"/>
          <w:lang w:eastAsia="en-US"/>
        </w:rPr>
        <w:t>, 65-91</w:t>
      </w:r>
      <w:r>
        <w:rPr>
          <w:rFonts w:eastAsia="Calibri"/>
          <w:lang w:eastAsia="en-US"/>
        </w:rPr>
        <w:t>.</w:t>
      </w:r>
      <w:r w:rsidRPr="0018341E">
        <w:rPr>
          <w:rFonts w:eastAsia="Calibri"/>
          <w:lang w:eastAsia="en-US"/>
        </w:rPr>
        <w:t xml:space="preserve"> </w:t>
      </w:r>
      <w:hyperlink r:id="rId50" w:history="1">
        <w:r w:rsidRPr="003A0C2D">
          <w:rPr>
            <w:rStyle w:val="Hyperlink"/>
            <w:rFonts w:eastAsia="Calibri"/>
            <w:lang w:eastAsia="en-US"/>
          </w:rPr>
          <w:t>https://doi.org/10.3764/aja.110.1.65</w:t>
        </w:r>
      </w:hyperlink>
      <w:r>
        <w:rPr>
          <w:rFonts w:eastAsia="Calibri"/>
          <w:lang w:eastAsia="en-US"/>
        </w:rPr>
        <w:t xml:space="preserve"> </w:t>
      </w:r>
    </w:p>
    <w:p w14:paraId="78F3B24B" w14:textId="77777777" w:rsidR="00F8130C" w:rsidRDefault="00F8130C" w:rsidP="00483A7B">
      <w:pPr>
        <w:pStyle w:val="References"/>
        <w:rPr>
          <w:rFonts w:eastAsia="Calibri"/>
          <w:lang w:eastAsia="en-US"/>
        </w:rPr>
      </w:pPr>
      <w:r w:rsidRPr="0018341E">
        <w:rPr>
          <w:rFonts w:eastAsia="Calibri"/>
          <w:lang w:eastAsia="en-US"/>
        </w:rPr>
        <w:t xml:space="preserve">Rose, G., Degen, M. </w:t>
      </w:r>
      <w:r>
        <w:rPr>
          <w:rFonts w:eastAsia="Calibri"/>
          <w:lang w:eastAsia="en-US"/>
        </w:rPr>
        <w:t>&amp;</w:t>
      </w:r>
      <w:r w:rsidRPr="0018341E">
        <w:rPr>
          <w:rFonts w:eastAsia="Calibri"/>
          <w:lang w:eastAsia="en-US"/>
        </w:rPr>
        <w:t xml:space="preserve"> </w:t>
      </w:r>
      <w:proofErr w:type="spellStart"/>
      <w:r w:rsidRPr="0018341E">
        <w:rPr>
          <w:rFonts w:eastAsia="Calibri"/>
          <w:lang w:eastAsia="en-US"/>
        </w:rPr>
        <w:t>Basdas</w:t>
      </w:r>
      <w:proofErr w:type="spellEnd"/>
      <w:r w:rsidRPr="0018341E">
        <w:rPr>
          <w:rFonts w:eastAsia="Calibri"/>
          <w:lang w:eastAsia="en-US"/>
        </w:rPr>
        <w:t xml:space="preserve">, B. </w:t>
      </w:r>
      <w:r>
        <w:rPr>
          <w:rFonts w:eastAsia="Calibri"/>
          <w:lang w:eastAsia="en-US"/>
        </w:rPr>
        <w:t>(</w:t>
      </w:r>
      <w:r w:rsidRPr="0018341E">
        <w:rPr>
          <w:rFonts w:eastAsia="Calibri"/>
          <w:lang w:eastAsia="en-US"/>
        </w:rPr>
        <w:t>2010</w:t>
      </w:r>
      <w:r>
        <w:rPr>
          <w:rFonts w:eastAsia="Calibri"/>
          <w:lang w:eastAsia="en-US"/>
        </w:rPr>
        <w:t>).</w:t>
      </w:r>
      <w:r w:rsidRPr="0018341E">
        <w:rPr>
          <w:rFonts w:eastAsia="Calibri"/>
          <w:lang w:eastAsia="en-US"/>
        </w:rPr>
        <w:t xml:space="preserve"> More on ‘big things’: building events and feelings</w:t>
      </w:r>
      <w:r>
        <w:rPr>
          <w:rFonts w:eastAsia="Calibri"/>
          <w:lang w:eastAsia="en-US"/>
        </w:rPr>
        <w:t xml:space="preserve">. </w:t>
      </w:r>
      <w:r w:rsidRPr="00316091">
        <w:rPr>
          <w:rFonts w:eastAsia="Calibri"/>
          <w:i/>
          <w:iCs/>
          <w:lang w:eastAsia="en-US"/>
        </w:rPr>
        <w:t>Transactions of the Institute of British Geographers</w:t>
      </w:r>
      <w:r w:rsidRPr="0018341E">
        <w:rPr>
          <w:rFonts w:eastAsia="Calibri"/>
          <w:lang w:eastAsia="en-US"/>
        </w:rPr>
        <w:t>, 35, 334–49</w:t>
      </w:r>
      <w:r>
        <w:rPr>
          <w:rFonts w:eastAsia="Calibri"/>
          <w:lang w:eastAsia="en-US"/>
        </w:rPr>
        <w:t xml:space="preserve">. </w:t>
      </w:r>
      <w:hyperlink r:id="rId51" w:history="1">
        <w:r w:rsidRPr="00483A7B">
          <w:rPr>
            <w:rStyle w:val="Hyperlink"/>
            <w:rFonts w:eastAsia="Calibri"/>
            <w:lang w:eastAsia="en-US"/>
          </w:rPr>
          <w:t>https://doi.org/10.1111/j.1475-5661.2010.00388.x</w:t>
        </w:r>
      </w:hyperlink>
    </w:p>
    <w:p w14:paraId="380BF0F7" w14:textId="77777777" w:rsidR="00F8130C" w:rsidRPr="0018341E" w:rsidRDefault="00F8130C" w:rsidP="00483A7B">
      <w:pPr>
        <w:pStyle w:val="References"/>
        <w:rPr>
          <w:rFonts w:eastAsia="Calibri"/>
          <w:lang w:eastAsia="en-US"/>
        </w:rPr>
      </w:pPr>
      <w:proofErr w:type="spellStart"/>
      <w:r w:rsidRPr="00BD77C5">
        <w:rPr>
          <w:rFonts w:eastAsia="Calibri"/>
          <w:lang w:eastAsia="en-US"/>
        </w:rPr>
        <w:t>Rosselin</w:t>
      </w:r>
      <w:proofErr w:type="spellEnd"/>
      <w:r w:rsidRPr="00BD77C5">
        <w:rPr>
          <w:rFonts w:eastAsia="Calibri"/>
          <w:lang w:eastAsia="en-US"/>
        </w:rPr>
        <w:t xml:space="preserve">, C. </w:t>
      </w:r>
      <w:r>
        <w:rPr>
          <w:rFonts w:eastAsia="Calibri"/>
          <w:lang w:eastAsia="en-US"/>
        </w:rPr>
        <w:t>(</w:t>
      </w:r>
      <w:r w:rsidRPr="00BD77C5">
        <w:rPr>
          <w:rFonts w:eastAsia="Calibri"/>
          <w:lang w:eastAsia="en-US"/>
        </w:rPr>
        <w:t>1999</w:t>
      </w:r>
      <w:r>
        <w:rPr>
          <w:rFonts w:eastAsia="Calibri"/>
          <w:lang w:eastAsia="en-US"/>
        </w:rPr>
        <w:t>).</w:t>
      </w:r>
      <w:r w:rsidRPr="00BD77C5">
        <w:rPr>
          <w:rFonts w:eastAsia="Calibri"/>
          <w:lang w:eastAsia="en-US"/>
        </w:rPr>
        <w:t xml:space="preserve"> The </w:t>
      </w:r>
      <w:proofErr w:type="gramStart"/>
      <w:r w:rsidRPr="00BD77C5">
        <w:rPr>
          <w:rFonts w:eastAsia="Calibri"/>
          <w:lang w:eastAsia="en-US"/>
        </w:rPr>
        <w:t>Ins</w:t>
      </w:r>
      <w:proofErr w:type="gramEnd"/>
      <w:r w:rsidRPr="00BD77C5">
        <w:rPr>
          <w:rFonts w:eastAsia="Calibri"/>
          <w:lang w:eastAsia="en-US"/>
        </w:rPr>
        <w:t xml:space="preserve"> and Outs of the Hall: A Parisian Example. In I.</w:t>
      </w:r>
      <w:r>
        <w:rPr>
          <w:rFonts w:eastAsia="Calibri"/>
          <w:lang w:eastAsia="en-US"/>
        </w:rPr>
        <w:t xml:space="preserve"> </w:t>
      </w:r>
      <w:proofErr w:type="spellStart"/>
      <w:r w:rsidRPr="00BD77C5">
        <w:rPr>
          <w:rFonts w:eastAsia="Calibri"/>
          <w:lang w:eastAsia="en-US"/>
        </w:rPr>
        <w:t>Cieraad</w:t>
      </w:r>
      <w:proofErr w:type="spellEnd"/>
      <w:r w:rsidRPr="00BD77C5">
        <w:rPr>
          <w:rFonts w:eastAsia="Calibri"/>
          <w:lang w:eastAsia="en-US"/>
        </w:rPr>
        <w:t xml:space="preserve"> (</w:t>
      </w:r>
      <w:r>
        <w:rPr>
          <w:rFonts w:eastAsia="Calibri"/>
          <w:lang w:eastAsia="en-US"/>
        </w:rPr>
        <w:t>E</w:t>
      </w:r>
      <w:r w:rsidRPr="00BD77C5">
        <w:rPr>
          <w:rFonts w:eastAsia="Calibri"/>
          <w:lang w:eastAsia="en-US"/>
        </w:rPr>
        <w:t>d</w:t>
      </w:r>
      <w:r>
        <w:rPr>
          <w:rFonts w:eastAsia="Calibri"/>
          <w:lang w:eastAsia="en-US"/>
        </w:rPr>
        <w:t>.</w:t>
      </w:r>
      <w:r w:rsidRPr="00BD77C5">
        <w:rPr>
          <w:rFonts w:eastAsia="Calibri"/>
          <w:lang w:eastAsia="en-US"/>
        </w:rPr>
        <w:t>)</w:t>
      </w:r>
      <w:r>
        <w:rPr>
          <w:rFonts w:eastAsia="Calibri"/>
          <w:lang w:eastAsia="en-US"/>
        </w:rPr>
        <w:t>,</w:t>
      </w:r>
      <w:r w:rsidRPr="00BD77C5">
        <w:rPr>
          <w:rFonts w:eastAsia="Calibri"/>
          <w:lang w:eastAsia="en-US"/>
        </w:rPr>
        <w:t xml:space="preserve"> </w:t>
      </w:r>
      <w:r w:rsidRPr="00BD77C5">
        <w:rPr>
          <w:rFonts w:eastAsia="Calibri"/>
          <w:i/>
          <w:iCs/>
          <w:lang w:eastAsia="en-US"/>
        </w:rPr>
        <w:t xml:space="preserve">An Anthropology of Domestic </w:t>
      </w:r>
      <w:r w:rsidRPr="00316091">
        <w:rPr>
          <w:rFonts w:eastAsia="Calibri"/>
          <w:lang w:eastAsia="en-US"/>
        </w:rPr>
        <w:t>Space</w:t>
      </w:r>
      <w:r>
        <w:rPr>
          <w:rFonts w:eastAsia="Calibri"/>
          <w:lang w:eastAsia="en-US"/>
        </w:rPr>
        <w:t xml:space="preserve"> (pp. 53-59). </w:t>
      </w:r>
      <w:r w:rsidRPr="00316091">
        <w:rPr>
          <w:rFonts w:eastAsia="Calibri"/>
          <w:lang w:eastAsia="en-US"/>
        </w:rPr>
        <w:t>New</w:t>
      </w:r>
      <w:r w:rsidRPr="00BD77C5">
        <w:rPr>
          <w:rFonts w:eastAsia="Calibri"/>
          <w:lang w:eastAsia="en-US"/>
        </w:rPr>
        <w:t xml:space="preserve"> York</w:t>
      </w:r>
      <w:r>
        <w:rPr>
          <w:rFonts w:eastAsia="Calibri"/>
          <w:lang w:eastAsia="en-US"/>
        </w:rPr>
        <w:t xml:space="preserve">: </w:t>
      </w:r>
      <w:r w:rsidRPr="00BD77C5">
        <w:rPr>
          <w:rFonts w:eastAsia="Calibri"/>
          <w:lang w:eastAsia="en-US"/>
        </w:rPr>
        <w:t>Syracuse University Press</w:t>
      </w:r>
      <w:r>
        <w:rPr>
          <w:rFonts w:eastAsia="Calibri"/>
          <w:lang w:eastAsia="en-US"/>
        </w:rPr>
        <w:t xml:space="preserve">. </w:t>
      </w:r>
    </w:p>
    <w:p w14:paraId="3D28082D" w14:textId="77777777" w:rsidR="00F8130C" w:rsidRPr="0018341E" w:rsidRDefault="00F8130C" w:rsidP="0018341E">
      <w:pPr>
        <w:pStyle w:val="References"/>
        <w:rPr>
          <w:rFonts w:eastAsia="Calibri"/>
          <w:lang w:eastAsia="en-US"/>
        </w:rPr>
      </w:pPr>
      <w:proofErr w:type="spellStart"/>
      <w:r w:rsidRPr="0018341E">
        <w:rPr>
          <w:rFonts w:eastAsia="Calibri"/>
          <w:lang w:eastAsia="en-US"/>
        </w:rPr>
        <w:t>Rugoff</w:t>
      </w:r>
      <w:proofErr w:type="spellEnd"/>
      <w:r w:rsidRPr="0018341E">
        <w:rPr>
          <w:rFonts w:eastAsia="Calibri"/>
          <w:lang w:eastAsia="en-US"/>
        </w:rPr>
        <w:t xml:space="preserve">, R. </w:t>
      </w:r>
      <w:r>
        <w:rPr>
          <w:rFonts w:eastAsia="Calibri"/>
          <w:lang w:eastAsia="en-US"/>
        </w:rPr>
        <w:t>(</w:t>
      </w:r>
      <w:r w:rsidRPr="0018341E">
        <w:rPr>
          <w:rFonts w:eastAsia="Calibri"/>
          <w:lang w:eastAsia="en-US"/>
        </w:rPr>
        <w:t>2008</w:t>
      </w:r>
      <w:r>
        <w:rPr>
          <w:rFonts w:eastAsia="Calibri"/>
          <w:lang w:eastAsia="en-US"/>
        </w:rPr>
        <w:t>).</w:t>
      </w:r>
      <w:r w:rsidRPr="0018341E">
        <w:rPr>
          <w:rFonts w:eastAsia="Calibri"/>
          <w:lang w:eastAsia="en-US"/>
        </w:rPr>
        <w:t xml:space="preserve"> Psycho Buildings. In R., </w:t>
      </w:r>
      <w:proofErr w:type="spellStart"/>
      <w:r w:rsidRPr="0018341E">
        <w:rPr>
          <w:rFonts w:eastAsia="Calibri"/>
          <w:lang w:eastAsia="en-US"/>
        </w:rPr>
        <w:t>Rugoff</w:t>
      </w:r>
      <w:proofErr w:type="spellEnd"/>
      <w:r w:rsidRPr="0018341E">
        <w:rPr>
          <w:rFonts w:eastAsia="Calibri"/>
          <w:lang w:eastAsia="en-US"/>
        </w:rPr>
        <w:t>,</w:t>
      </w:r>
      <w:r>
        <w:rPr>
          <w:rFonts w:eastAsia="Calibri"/>
          <w:lang w:eastAsia="en-US"/>
        </w:rPr>
        <w:t xml:space="preserve"> </w:t>
      </w:r>
      <w:r w:rsidRPr="0018341E">
        <w:rPr>
          <w:rFonts w:eastAsia="Calibri"/>
          <w:lang w:eastAsia="en-US"/>
        </w:rPr>
        <w:t>B. Dillon,</w:t>
      </w:r>
      <w:r>
        <w:rPr>
          <w:rFonts w:eastAsia="Calibri"/>
          <w:lang w:eastAsia="en-US"/>
        </w:rPr>
        <w:t xml:space="preserve"> &amp;</w:t>
      </w:r>
      <w:r w:rsidRPr="0018341E">
        <w:rPr>
          <w:rFonts w:eastAsia="Calibri"/>
          <w:lang w:eastAsia="en-US"/>
        </w:rPr>
        <w:t xml:space="preserve"> J. Rendell (</w:t>
      </w:r>
      <w:r>
        <w:rPr>
          <w:rFonts w:eastAsia="Calibri"/>
          <w:lang w:eastAsia="en-US"/>
        </w:rPr>
        <w:t>E</w:t>
      </w:r>
      <w:r w:rsidRPr="0018341E">
        <w:rPr>
          <w:rFonts w:eastAsia="Calibri"/>
          <w:lang w:eastAsia="en-US"/>
        </w:rPr>
        <w:t>ds.)</w:t>
      </w:r>
      <w:r>
        <w:rPr>
          <w:rFonts w:eastAsia="Calibri"/>
          <w:lang w:eastAsia="en-US"/>
        </w:rPr>
        <w:t>,</w:t>
      </w:r>
      <w:r w:rsidRPr="0018341E">
        <w:rPr>
          <w:rFonts w:eastAsia="Calibri"/>
          <w:lang w:eastAsia="en-US"/>
        </w:rPr>
        <w:t xml:space="preserve"> </w:t>
      </w:r>
      <w:r w:rsidRPr="00677202">
        <w:rPr>
          <w:rFonts w:eastAsia="Calibri"/>
          <w:i/>
          <w:iCs/>
          <w:lang w:eastAsia="en-US"/>
        </w:rPr>
        <w:t>Psycho Buildings</w:t>
      </w:r>
      <w:r>
        <w:rPr>
          <w:rFonts w:eastAsia="Calibri"/>
          <w:lang w:eastAsia="en-US"/>
        </w:rPr>
        <w:t xml:space="preserve"> (pp. </w:t>
      </w:r>
      <w:r w:rsidRPr="00316091">
        <w:rPr>
          <w:rFonts w:eastAsia="Calibri"/>
          <w:lang w:eastAsia="en-US"/>
        </w:rPr>
        <w:t>17</w:t>
      </w:r>
      <w:r w:rsidRPr="0018341E">
        <w:rPr>
          <w:rFonts w:eastAsia="Calibri"/>
          <w:lang w:eastAsia="en-US"/>
        </w:rPr>
        <w:t>-26</w:t>
      </w:r>
      <w:r>
        <w:rPr>
          <w:rFonts w:eastAsia="Calibri"/>
          <w:lang w:eastAsia="en-US"/>
        </w:rPr>
        <w:t>).</w:t>
      </w:r>
      <w:r w:rsidRPr="0018341E">
        <w:rPr>
          <w:rFonts w:eastAsia="Calibri"/>
          <w:lang w:eastAsia="en-US"/>
        </w:rPr>
        <w:t xml:space="preserve"> London</w:t>
      </w:r>
      <w:r>
        <w:rPr>
          <w:rFonts w:eastAsia="Calibri"/>
          <w:lang w:eastAsia="en-US"/>
        </w:rPr>
        <w:t>:</w:t>
      </w:r>
      <w:r w:rsidRPr="0018341E">
        <w:rPr>
          <w:rFonts w:eastAsia="Calibri"/>
          <w:lang w:eastAsia="en-US"/>
        </w:rPr>
        <w:t xml:space="preserve"> Hayward Publishing</w:t>
      </w:r>
      <w:r>
        <w:rPr>
          <w:rFonts w:eastAsia="Calibri"/>
          <w:lang w:eastAsia="en-US"/>
        </w:rPr>
        <w:t>.</w:t>
      </w:r>
      <w:r w:rsidRPr="0018341E">
        <w:rPr>
          <w:rFonts w:eastAsia="Calibri"/>
          <w:lang w:eastAsia="en-US"/>
        </w:rPr>
        <w:t xml:space="preserve"> </w:t>
      </w:r>
    </w:p>
    <w:p w14:paraId="43CE7506" w14:textId="77777777" w:rsidR="00F8130C" w:rsidRPr="0018341E" w:rsidRDefault="00F8130C" w:rsidP="0018341E">
      <w:pPr>
        <w:pStyle w:val="References"/>
        <w:rPr>
          <w:rFonts w:eastAsia="Calibri"/>
          <w:lang w:eastAsia="en-US"/>
        </w:rPr>
      </w:pPr>
      <w:r w:rsidRPr="0018341E">
        <w:rPr>
          <w:rFonts w:eastAsia="Calibri"/>
          <w:lang w:eastAsia="en-US"/>
        </w:rPr>
        <w:t xml:space="preserve">Shields, R. </w:t>
      </w:r>
      <w:r>
        <w:rPr>
          <w:rFonts w:eastAsia="Calibri"/>
          <w:lang w:eastAsia="en-US"/>
        </w:rPr>
        <w:t>(</w:t>
      </w:r>
      <w:r w:rsidRPr="0018341E">
        <w:rPr>
          <w:rFonts w:eastAsia="Calibri"/>
          <w:lang w:eastAsia="en-US"/>
        </w:rPr>
        <w:t>1991</w:t>
      </w:r>
      <w:r>
        <w:rPr>
          <w:rFonts w:eastAsia="Calibri"/>
          <w:lang w:eastAsia="en-US"/>
        </w:rPr>
        <w:t>).</w:t>
      </w:r>
      <w:r w:rsidRPr="0018341E">
        <w:rPr>
          <w:rFonts w:eastAsia="Calibri"/>
          <w:lang w:eastAsia="en-US"/>
        </w:rPr>
        <w:t xml:space="preserve"> </w:t>
      </w:r>
      <w:r w:rsidRPr="0018341E">
        <w:rPr>
          <w:rFonts w:eastAsia="Calibri"/>
          <w:i/>
          <w:lang w:eastAsia="en-US"/>
        </w:rPr>
        <w:t>Places on the Margin: Alternative Geographies of Modernity</w:t>
      </w:r>
      <w:r>
        <w:rPr>
          <w:rFonts w:eastAsia="Calibri"/>
          <w:i/>
          <w:lang w:eastAsia="en-US"/>
        </w:rPr>
        <w:t>.</w:t>
      </w:r>
      <w:r w:rsidRPr="0018341E">
        <w:rPr>
          <w:rFonts w:eastAsia="Calibri"/>
          <w:lang w:eastAsia="en-US"/>
        </w:rPr>
        <w:t xml:space="preserve"> London</w:t>
      </w:r>
      <w:r>
        <w:rPr>
          <w:rFonts w:eastAsia="Calibri"/>
          <w:lang w:eastAsia="en-US"/>
        </w:rPr>
        <w:t xml:space="preserve">: </w:t>
      </w:r>
      <w:r w:rsidRPr="0018341E">
        <w:rPr>
          <w:rFonts w:eastAsia="Calibri"/>
          <w:lang w:eastAsia="en-US"/>
        </w:rPr>
        <w:t>Routledge</w:t>
      </w:r>
      <w:r>
        <w:rPr>
          <w:rFonts w:eastAsia="Calibri"/>
          <w:lang w:eastAsia="en-US"/>
        </w:rPr>
        <w:t>.</w:t>
      </w:r>
    </w:p>
    <w:p w14:paraId="626C3661" w14:textId="77777777" w:rsidR="00F8130C" w:rsidRPr="0018341E" w:rsidRDefault="00F8130C" w:rsidP="0018341E">
      <w:pPr>
        <w:pStyle w:val="References"/>
        <w:rPr>
          <w:rFonts w:eastAsia="Calibri"/>
          <w:lang w:eastAsia="en-US"/>
        </w:rPr>
      </w:pPr>
      <w:proofErr w:type="spellStart"/>
      <w:r w:rsidRPr="0018341E">
        <w:rPr>
          <w:rFonts w:eastAsia="Calibri"/>
          <w:lang w:eastAsia="en-US"/>
        </w:rPr>
        <w:t>Shortt</w:t>
      </w:r>
      <w:proofErr w:type="spellEnd"/>
      <w:r w:rsidRPr="0018341E">
        <w:rPr>
          <w:rFonts w:eastAsia="Calibri"/>
          <w:lang w:eastAsia="en-US"/>
        </w:rPr>
        <w:t xml:space="preserve">, H. </w:t>
      </w:r>
      <w:r>
        <w:rPr>
          <w:rFonts w:eastAsia="Calibri"/>
          <w:lang w:eastAsia="en-US"/>
        </w:rPr>
        <w:t>(</w:t>
      </w:r>
      <w:r w:rsidRPr="0018341E">
        <w:rPr>
          <w:rFonts w:eastAsia="Calibri"/>
          <w:lang w:eastAsia="en-US"/>
        </w:rPr>
        <w:t>2015</w:t>
      </w:r>
      <w:r>
        <w:rPr>
          <w:rFonts w:eastAsia="Calibri"/>
          <w:lang w:eastAsia="en-US"/>
        </w:rPr>
        <w:t>).</w:t>
      </w:r>
      <w:r w:rsidRPr="0018341E">
        <w:rPr>
          <w:rFonts w:eastAsia="Calibri"/>
          <w:lang w:eastAsia="en-US"/>
        </w:rPr>
        <w:t xml:space="preserve"> Liminality, space and the importance of ‘transitory dwelling places’ at work</w:t>
      </w:r>
      <w:r>
        <w:rPr>
          <w:rFonts w:eastAsia="Calibri"/>
          <w:lang w:eastAsia="en-US"/>
        </w:rPr>
        <w:t>.</w:t>
      </w:r>
      <w:r w:rsidRPr="0018341E">
        <w:rPr>
          <w:rFonts w:eastAsia="Calibri"/>
          <w:lang w:eastAsia="en-US"/>
        </w:rPr>
        <w:t xml:space="preserve"> </w:t>
      </w:r>
      <w:r w:rsidRPr="0018341E">
        <w:rPr>
          <w:rFonts w:eastAsia="Calibri"/>
          <w:i/>
          <w:lang w:eastAsia="en-US"/>
        </w:rPr>
        <w:t xml:space="preserve">Human relations, </w:t>
      </w:r>
      <w:r w:rsidRPr="0018341E">
        <w:rPr>
          <w:rFonts w:eastAsia="Calibri"/>
          <w:lang w:eastAsia="en-US"/>
        </w:rPr>
        <w:t xml:space="preserve">68 </w:t>
      </w:r>
      <w:r>
        <w:rPr>
          <w:rFonts w:eastAsia="Calibri"/>
          <w:lang w:eastAsia="en-US"/>
        </w:rPr>
        <w:t>(</w:t>
      </w:r>
      <w:r w:rsidRPr="0018341E">
        <w:rPr>
          <w:rFonts w:eastAsia="Calibri"/>
          <w:lang w:eastAsia="en-US"/>
        </w:rPr>
        <w:t>4</w:t>
      </w:r>
      <w:r>
        <w:rPr>
          <w:rFonts w:eastAsia="Calibri"/>
          <w:lang w:eastAsia="en-US"/>
        </w:rPr>
        <w:t>)</w:t>
      </w:r>
      <w:r w:rsidRPr="0018341E">
        <w:rPr>
          <w:rFonts w:eastAsia="Calibri"/>
          <w:lang w:eastAsia="en-US"/>
        </w:rPr>
        <w:t>, 633-658</w:t>
      </w:r>
      <w:r>
        <w:rPr>
          <w:rFonts w:eastAsia="Calibri"/>
          <w:lang w:eastAsia="en-US"/>
        </w:rPr>
        <w:t xml:space="preserve">. </w:t>
      </w:r>
      <w:hyperlink r:id="rId52" w:history="1">
        <w:r w:rsidRPr="003A0C2D">
          <w:rPr>
            <w:rStyle w:val="Hyperlink"/>
            <w:rFonts w:eastAsia="Calibri"/>
            <w:lang w:eastAsia="en-US"/>
          </w:rPr>
          <w:t>https://doi.org/10.1177/0018726714536938</w:t>
        </w:r>
      </w:hyperlink>
    </w:p>
    <w:p w14:paraId="6C6F00DA" w14:textId="77777777" w:rsidR="00F8130C" w:rsidRPr="0018341E" w:rsidRDefault="00F8130C" w:rsidP="0018341E">
      <w:pPr>
        <w:pStyle w:val="References"/>
        <w:rPr>
          <w:rFonts w:eastAsia="Calibri"/>
          <w:lang w:eastAsia="en-US"/>
        </w:rPr>
      </w:pPr>
      <w:proofErr w:type="spellStart"/>
      <w:r w:rsidRPr="0018341E">
        <w:rPr>
          <w:rFonts w:eastAsia="Calibri"/>
          <w:lang w:eastAsia="en-US"/>
        </w:rPr>
        <w:lastRenderedPageBreak/>
        <w:t>Siegert</w:t>
      </w:r>
      <w:proofErr w:type="spellEnd"/>
      <w:r w:rsidRPr="0018341E">
        <w:rPr>
          <w:rFonts w:eastAsia="Calibri"/>
          <w:lang w:eastAsia="en-US"/>
        </w:rPr>
        <w:t xml:space="preserve">, B. </w:t>
      </w:r>
      <w:r>
        <w:rPr>
          <w:rFonts w:eastAsia="Calibri"/>
          <w:lang w:eastAsia="en-US"/>
        </w:rPr>
        <w:t>(</w:t>
      </w:r>
      <w:r w:rsidRPr="0018341E">
        <w:rPr>
          <w:rFonts w:eastAsia="Calibri"/>
          <w:lang w:eastAsia="en-US"/>
        </w:rPr>
        <w:t>2015</w:t>
      </w:r>
      <w:r>
        <w:rPr>
          <w:rFonts w:eastAsia="Calibri"/>
          <w:lang w:eastAsia="en-US"/>
        </w:rPr>
        <w:t>).</w:t>
      </w:r>
      <w:r w:rsidRPr="0018341E">
        <w:rPr>
          <w:rFonts w:eastAsia="Calibri"/>
          <w:lang w:eastAsia="en-US"/>
        </w:rPr>
        <w:t xml:space="preserve"> </w:t>
      </w:r>
      <w:r w:rsidRPr="0018341E">
        <w:rPr>
          <w:rFonts w:eastAsia="Calibri"/>
          <w:i/>
          <w:lang w:eastAsia="en-US"/>
        </w:rPr>
        <w:t>Cultural Techniques: Grids, Filters, Doors, and Other Articulations of the Real</w:t>
      </w:r>
      <w:r>
        <w:rPr>
          <w:rFonts w:eastAsia="Calibri"/>
          <w:i/>
          <w:lang w:eastAsia="en-US"/>
        </w:rPr>
        <w:t>.</w:t>
      </w:r>
      <w:r>
        <w:rPr>
          <w:rFonts w:eastAsia="Calibri"/>
          <w:lang w:eastAsia="en-US"/>
        </w:rPr>
        <w:t xml:space="preserve"> </w:t>
      </w:r>
      <w:r w:rsidRPr="0018341E">
        <w:rPr>
          <w:rFonts w:eastAsia="Calibri"/>
          <w:lang w:eastAsia="en-US"/>
        </w:rPr>
        <w:t>New York</w:t>
      </w:r>
      <w:r>
        <w:rPr>
          <w:rFonts w:eastAsia="Calibri"/>
          <w:lang w:eastAsia="en-US"/>
        </w:rPr>
        <w:t xml:space="preserve">: </w:t>
      </w:r>
      <w:r w:rsidRPr="0018341E">
        <w:rPr>
          <w:rFonts w:eastAsia="Calibri"/>
          <w:lang w:eastAsia="en-US"/>
        </w:rPr>
        <w:t>Fordham University Press</w:t>
      </w:r>
      <w:r>
        <w:rPr>
          <w:rFonts w:eastAsia="Calibri"/>
          <w:lang w:eastAsia="en-US"/>
        </w:rPr>
        <w:t>.</w:t>
      </w:r>
    </w:p>
    <w:p w14:paraId="79808E52" w14:textId="77777777" w:rsidR="00F8130C" w:rsidRPr="0018341E" w:rsidRDefault="00F8130C" w:rsidP="0018341E">
      <w:pPr>
        <w:pStyle w:val="References"/>
        <w:rPr>
          <w:rFonts w:eastAsia="Calibri"/>
          <w:lang w:eastAsia="en-US"/>
        </w:rPr>
      </w:pPr>
      <w:r w:rsidRPr="0018341E">
        <w:rPr>
          <w:rFonts w:eastAsia="Calibri"/>
          <w:lang w:eastAsia="en-US"/>
        </w:rPr>
        <w:t xml:space="preserve">Simmel, G. </w:t>
      </w:r>
      <w:r>
        <w:rPr>
          <w:rFonts w:eastAsia="Calibri"/>
          <w:lang w:eastAsia="en-US"/>
        </w:rPr>
        <w:t>(</w:t>
      </w:r>
      <w:r w:rsidRPr="0018341E">
        <w:rPr>
          <w:rFonts w:eastAsia="Calibri"/>
          <w:lang w:eastAsia="en-US"/>
        </w:rPr>
        <w:t>1994</w:t>
      </w:r>
      <w:r>
        <w:rPr>
          <w:rFonts w:eastAsia="Calibri"/>
          <w:lang w:eastAsia="en-US"/>
        </w:rPr>
        <w:t>).</w:t>
      </w:r>
      <w:r w:rsidRPr="0018341E">
        <w:rPr>
          <w:rFonts w:eastAsia="Calibri"/>
          <w:lang w:eastAsia="en-US"/>
        </w:rPr>
        <w:t xml:space="preserve"> Bridge and Door</w:t>
      </w:r>
      <w:r>
        <w:rPr>
          <w:rFonts w:eastAsia="Calibri"/>
          <w:lang w:eastAsia="en-US"/>
        </w:rPr>
        <w:t>.</w:t>
      </w:r>
      <w:r w:rsidRPr="0018341E">
        <w:rPr>
          <w:rFonts w:eastAsia="Calibri"/>
          <w:lang w:eastAsia="en-US"/>
        </w:rPr>
        <w:t xml:space="preserve"> </w:t>
      </w:r>
      <w:r w:rsidRPr="0018341E">
        <w:rPr>
          <w:rFonts w:eastAsia="Calibri"/>
          <w:i/>
          <w:lang w:eastAsia="en-US"/>
        </w:rPr>
        <w:t>Theory, Culture and Society,</w:t>
      </w:r>
      <w:r w:rsidRPr="0018341E">
        <w:rPr>
          <w:rFonts w:eastAsia="Calibri"/>
          <w:lang w:eastAsia="en-US"/>
        </w:rPr>
        <w:t xml:space="preserve"> 11, 5-10</w:t>
      </w:r>
      <w:r>
        <w:rPr>
          <w:rFonts w:eastAsia="Calibri"/>
          <w:lang w:eastAsia="en-US"/>
        </w:rPr>
        <w:t>.</w:t>
      </w:r>
      <w:r w:rsidRPr="0018341E">
        <w:rPr>
          <w:rFonts w:eastAsia="Calibri"/>
          <w:lang w:eastAsia="en-US"/>
        </w:rPr>
        <w:t xml:space="preserve"> </w:t>
      </w:r>
      <w:hyperlink r:id="rId53" w:history="1">
        <w:r w:rsidRPr="00483A7B">
          <w:rPr>
            <w:rStyle w:val="Hyperlink"/>
            <w:rFonts w:eastAsia="Calibri"/>
            <w:lang w:eastAsia="en-US"/>
          </w:rPr>
          <w:t>https://doi.org/10.1177/026327694011001002</w:t>
        </w:r>
      </w:hyperlink>
    </w:p>
    <w:p w14:paraId="53E0EBFB" w14:textId="77777777" w:rsidR="00F8130C" w:rsidRDefault="00F8130C" w:rsidP="00483A7B">
      <w:pPr>
        <w:pStyle w:val="References"/>
        <w:rPr>
          <w:rFonts w:eastAsia="Calibri"/>
          <w:lang w:eastAsia="en-US"/>
        </w:rPr>
      </w:pPr>
      <w:proofErr w:type="spellStart"/>
      <w:r w:rsidRPr="0018341E">
        <w:rPr>
          <w:rFonts w:eastAsia="Calibri"/>
          <w:lang w:eastAsia="en-US"/>
        </w:rPr>
        <w:t>Smitherham</w:t>
      </w:r>
      <w:proofErr w:type="spellEnd"/>
      <w:r w:rsidRPr="0018341E">
        <w:rPr>
          <w:rFonts w:eastAsia="Calibri"/>
          <w:lang w:eastAsia="en-US"/>
        </w:rPr>
        <w:t xml:space="preserve">, J. </w:t>
      </w:r>
      <w:r>
        <w:rPr>
          <w:rFonts w:eastAsia="Calibri"/>
          <w:lang w:eastAsia="en-US"/>
        </w:rPr>
        <w:t>(</w:t>
      </w:r>
      <w:r w:rsidRPr="0018341E">
        <w:rPr>
          <w:rFonts w:eastAsia="Calibri"/>
          <w:lang w:eastAsia="en-US"/>
        </w:rPr>
        <w:t>2011</w:t>
      </w:r>
      <w:r>
        <w:rPr>
          <w:rFonts w:eastAsia="Calibri"/>
          <w:lang w:eastAsia="en-US"/>
        </w:rPr>
        <w:t>).</w:t>
      </w:r>
      <w:r w:rsidRPr="0018341E">
        <w:rPr>
          <w:rFonts w:eastAsia="Calibri"/>
          <w:lang w:eastAsia="en-US"/>
        </w:rPr>
        <w:t xml:space="preserve"> Spatial Performativity/Spatial Performance</w:t>
      </w:r>
      <w:r>
        <w:rPr>
          <w:rFonts w:eastAsia="Calibri"/>
          <w:lang w:eastAsia="en-US"/>
        </w:rPr>
        <w:t>.</w:t>
      </w:r>
      <w:r w:rsidRPr="0018341E">
        <w:rPr>
          <w:rFonts w:eastAsia="Calibri"/>
          <w:lang w:eastAsia="en-US"/>
        </w:rPr>
        <w:t xml:space="preserve"> </w:t>
      </w:r>
      <w:r w:rsidRPr="0018341E">
        <w:rPr>
          <w:rFonts w:eastAsia="Calibri"/>
          <w:i/>
          <w:lang w:eastAsia="en-US"/>
        </w:rPr>
        <w:t>Architectural Theory Review</w:t>
      </w:r>
      <w:r w:rsidRPr="0018341E">
        <w:rPr>
          <w:rFonts w:eastAsia="Calibri"/>
          <w:lang w:eastAsia="en-US"/>
        </w:rPr>
        <w:t>, 16</w:t>
      </w:r>
      <w:r>
        <w:rPr>
          <w:rFonts w:eastAsia="Calibri"/>
          <w:lang w:eastAsia="en-US"/>
        </w:rPr>
        <w:t xml:space="preserve"> (</w:t>
      </w:r>
      <w:r w:rsidRPr="0018341E">
        <w:rPr>
          <w:rFonts w:eastAsia="Calibri"/>
          <w:lang w:eastAsia="en-US"/>
        </w:rPr>
        <w:t>1</w:t>
      </w:r>
      <w:r>
        <w:rPr>
          <w:rFonts w:eastAsia="Calibri"/>
          <w:lang w:eastAsia="en-US"/>
        </w:rPr>
        <w:t>)</w:t>
      </w:r>
      <w:r w:rsidRPr="0018341E">
        <w:rPr>
          <w:rFonts w:eastAsia="Calibri"/>
          <w:lang w:eastAsia="en-US"/>
        </w:rPr>
        <w:t>, 55-69</w:t>
      </w:r>
      <w:r>
        <w:rPr>
          <w:rFonts w:eastAsia="Calibri"/>
          <w:lang w:eastAsia="en-US"/>
        </w:rPr>
        <w:t xml:space="preserve">. </w:t>
      </w:r>
      <w:hyperlink r:id="rId54" w:history="1">
        <w:r w:rsidRPr="00483A7B">
          <w:rPr>
            <w:rStyle w:val="Hyperlink"/>
            <w:rFonts w:eastAsia="Calibri"/>
            <w:lang w:eastAsia="en-US"/>
          </w:rPr>
          <w:t>https://doi.org/10.1080/13264826.2011.560387</w:t>
        </w:r>
      </w:hyperlink>
    </w:p>
    <w:p w14:paraId="76C9D053" w14:textId="77777777" w:rsidR="00F8130C" w:rsidRDefault="00F8130C" w:rsidP="00483A7B">
      <w:pPr>
        <w:pStyle w:val="References"/>
        <w:rPr>
          <w:rFonts w:eastAsia="Calibri"/>
          <w:lang w:eastAsia="en-US"/>
        </w:rPr>
      </w:pPr>
      <w:proofErr w:type="spellStart"/>
      <w:r w:rsidRPr="0018341E">
        <w:rPr>
          <w:rFonts w:eastAsia="Calibri"/>
          <w:lang w:eastAsia="en-US"/>
        </w:rPr>
        <w:t>Stalder</w:t>
      </w:r>
      <w:proofErr w:type="spellEnd"/>
      <w:r w:rsidRPr="0018341E">
        <w:rPr>
          <w:rFonts w:eastAsia="Calibri"/>
          <w:lang w:eastAsia="en-US"/>
        </w:rPr>
        <w:t xml:space="preserve">, L. </w:t>
      </w:r>
      <w:r>
        <w:rPr>
          <w:rFonts w:eastAsia="Calibri"/>
          <w:lang w:eastAsia="en-US"/>
        </w:rPr>
        <w:t>(</w:t>
      </w:r>
      <w:r w:rsidRPr="0018341E">
        <w:rPr>
          <w:rFonts w:eastAsia="Calibri"/>
          <w:lang w:eastAsia="en-US"/>
        </w:rPr>
        <w:t>2009</w:t>
      </w:r>
      <w:r>
        <w:rPr>
          <w:rFonts w:eastAsia="Calibri"/>
          <w:lang w:eastAsia="en-US"/>
        </w:rPr>
        <w:t>).</w:t>
      </w:r>
      <w:r w:rsidRPr="0018341E">
        <w:rPr>
          <w:rFonts w:eastAsia="Calibri"/>
          <w:lang w:eastAsia="en-US"/>
        </w:rPr>
        <w:t xml:space="preserve"> Turning Architecture Inside out: Revolving Doors and Other Threshold Devices</w:t>
      </w:r>
      <w:r>
        <w:rPr>
          <w:rFonts w:eastAsia="Calibri"/>
          <w:lang w:eastAsia="en-US"/>
        </w:rPr>
        <w:t>.</w:t>
      </w:r>
      <w:r w:rsidRPr="0018341E">
        <w:rPr>
          <w:rFonts w:eastAsia="Calibri"/>
          <w:lang w:eastAsia="en-US"/>
        </w:rPr>
        <w:t xml:space="preserve"> </w:t>
      </w:r>
      <w:r w:rsidRPr="0018341E">
        <w:rPr>
          <w:rFonts w:eastAsia="Calibri"/>
          <w:i/>
          <w:lang w:eastAsia="en-US"/>
        </w:rPr>
        <w:t>Journal of Design History,</w:t>
      </w:r>
      <w:r w:rsidRPr="0018341E">
        <w:rPr>
          <w:rFonts w:eastAsia="Calibri"/>
          <w:lang w:eastAsia="en-US"/>
        </w:rPr>
        <w:t xml:space="preserve"> 22</w:t>
      </w:r>
      <w:r>
        <w:rPr>
          <w:rFonts w:eastAsia="Calibri"/>
          <w:lang w:eastAsia="en-US"/>
        </w:rPr>
        <w:t xml:space="preserve"> (</w:t>
      </w:r>
      <w:r w:rsidRPr="0018341E">
        <w:rPr>
          <w:rFonts w:eastAsia="Calibri"/>
          <w:lang w:eastAsia="en-US"/>
        </w:rPr>
        <w:t>1</w:t>
      </w:r>
      <w:r>
        <w:rPr>
          <w:rFonts w:eastAsia="Calibri"/>
          <w:lang w:eastAsia="en-US"/>
        </w:rPr>
        <w:t>)</w:t>
      </w:r>
      <w:r w:rsidRPr="0018341E">
        <w:rPr>
          <w:rFonts w:eastAsia="Calibri"/>
          <w:lang w:eastAsia="en-US"/>
        </w:rPr>
        <w:t>, 69-77</w:t>
      </w:r>
      <w:r>
        <w:rPr>
          <w:rFonts w:eastAsia="Calibri"/>
          <w:lang w:eastAsia="en-US"/>
        </w:rPr>
        <w:t xml:space="preserve">. </w:t>
      </w:r>
      <w:hyperlink r:id="rId55" w:history="1">
        <w:r w:rsidRPr="003A0C2D">
          <w:rPr>
            <w:rStyle w:val="Hyperlink"/>
            <w:rFonts w:eastAsia="Calibri"/>
            <w:lang w:eastAsia="en-US"/>
          </w:rPr>
          <w:t>https://doi.org/10.1093/jdh/epn047</w:t>
        </w:r>
      </w:hyperlink>
    </w:p>
    <w:p w14:paraId="3749FFAE" w14:textId="77777777" w:rsidR="00F8130C" w:rsidRPr="00CA75D3" w:rsidRDefault="00F8130C" w:rsidP="0018341E">
      <w:pPr>
        <w:pStyle w:val="References"/>
        <w:rPr>
          <w:rFonts w:eastAsia="Calibri"/>
          <w:lang w:eastAsia="en-US"/>
        </w:rPr>
      </w:pPr>
      <w:r>
        <w:rPr>
          <w:rFonts w:eastAsia="Calibri"/>
          <w:lang w:eastAsia="en-US"/>
        </w:rPr>
        <w:t xml:space="preserve">Stoner, J. (2012). </w:t>
      </w:r>
      <w:r>
        <w:rPr>
          <w:rFonts w:eastAsia="Calibri"/>
          <w:i/>
          <w:iCs/>
          <w:lang w:eastAsia="en-US"/>
        </w:rPr>
        <w:t>Toward a minor architecture.</w:t>
      </w:r>
      <w:r>
        <w:rPr>
          <w:rFonts w:eastAsia="Calibri"/>
          <w:lang w:eastAsia="en-US"/>
        </w:rPr>
        <w:t xml:space="preserve"> London: MIT Press.</w:t>
      </w:r>
    </w:p>
    <w:p w14:paraId="2CE2960C" w14:textId="77777777" w:rsidR="00F8130C" w:rsidRPr="0018341E" w:rsidRDefault="00F8130C" w:rsidP="0018341E">
      <w:pPr>
        <w:pStyle w:val="References"/>
        <w:rPr>
          <w:rFonts w:eastAsia="Calibri"/>
          <w:lang w:eastAsia="en-US"/>
        </w:rPr>
      </w:pPr>
      <w:proofErr w:type="spellStart"/>
      <w:r w:rsidRPr="0018341E">
        <w:rPr>
          <w:rFonts w:eastAsia="Calibri"/>
          <w:lang w:eastAsia="en-US"/>
        </w:rPr>
        <w:t>Teyssot</w:t>
      </w:r>
      <w:proofErr w:type="spellEnd"/>
      <w:r w:rsidRPr="0018341E">
        <w:rPr>
          <w:rFonts w:eastAsia="Calibri"/>
          <w:lang w:eastAsia="en-US"/>
        </w:rPr>
        <w:t xml:space="preserve">, G. </w:t>
      </w:r>
      <w:r>
        <w:rPr>
          <w:rFonts w:eastAsia="Calibri"/>
          <w:lang w:eastAsia="en-US"/>
        </w:rPr>
        <w:t>(</w:t>
      </w:r>
      <w:r w:rsidRPr="0018341E">
        <w:rPr>
          <w:rFonts w:eastAsia="Calibri"/>
          <w:lang w:eastAsia="en-US"/>
        </w:rPr>
        <w:t>2008</w:t>
      </w:r>
      <w:r>
        <w:rPr>
          <w:rFonts w:eastAsia="Calibri"/>
          <w:lang w:eastAsia="en-US"/>
        </w:rPr>
        <w:t>).</w:t>
      </w:r>
      <w:r w:rsidRPr="0018341E">
        <w:rPr>
          <w:rFonts w:eastAsia="Calibri"/>
          <w:lang w:eastAsia="en-US"/>
        </w:rPr>
        <w:t xml:space="preserve"> A Theory of Design and Interface</w:t>
      </w:r>
      <w:r>
        <w:rPr>
          <w:rFonts w:eastAsia="Calibri"/>
          <w:lang w:eastAsia="en-US"/>
        </w:rPr>
        <w:t xml:space="preserve">. </w:t>
      </w:r>
      <w:r w:rsidRPr="0018341E">
        <w:rPr>
          <w:rFonts w:eastAsia="Calibri"/>
          <w:i/>
          <w:lang w:eastAsia="en-US"/>
        </w:rPr>
        <w:t>Architectural Association School of Architecture,</w:t>
      </w:r>
      <w:r w:rsidRPr="0018341E">
        <w:rPr>
          <w:rFonts w:eastAsia="Calibri"/>
          <w:lang w:eastAsia="en-US"/>
        </w:rPr>
        <w:t xml:space="preserve"> 57, 3-12</w:t>
      </w:r>
      <w:r>
        <w:rPr>
          <w:rFonts w:eastAsia="Calibri"/>
          <w:lang w:eastAsia="en-US"/>
        </w:rPr>
        <w:t xml:space="preserve">. </w:t>
      </w:r>
      <w:hyperlink r:id="rId56" w:history="1">
        <w:r w:rsidRPr="003A0C2D">
          <w:rPr>
            <w:rStyle w:val="Hyperlink"/>
            <w:rFonts w:eastAsia="Calibri"/>
            <w:lang w:eastAsia="en-US"/>
          </w:rPr>
          <w:t>https://www.jstor.org/stable/29544683</w:t>
        </w:r>
      </w:hyperlink>
      <w:r>
        <w:rPr>
          <w:rFonts w:eastAsia="Calibri"/>
          <w:lang w:eastAsia="en-US"/>
        </w:rPr>
        <w:t xml:space="preserve"> </w:t>
      </w:r>
    </w:p>
    <w:p w14:paraId="0BA30A0D" w14:textId="77777777" w:rsidR="00F8130C" w:rsidRPr="0018341E" w:rsidRDefault="00F8130C" w:rsidP="0018341E">
      <w:pPr>
        <w:pStyle w:val="References"/>
        <w:rPr>
          <w:rFonts w:eastAsia="Calibri"/>
          <w:lang w:eastAsia="en-US"/>
        </w:rPr>
      </w:pPr>
      <w:r w:rsidRPr="0018341E">
        <w:rPr>
          <w:rFonts w:eastAsia="Calibri"/>
          <w:lang w:eastAsia="en-US"/>
        </w:rPr>
        <w:t xml:space="preserve">Turner, T. </w:t>
      </w:r>
      <w:r>
        <w:rPr>
          <w:rFonts w:eastAsia="Calibri"/>
          <w:lang w:eastAsia="en-US"/>
        </w:rPr>
        <w:t>(</w:t>
      </w:r>
      <w:r w:rsidRPr="0018341E">
        <w:rPr>
          <w:rFonts w:eastAsia="Calibri"/>
          <w:lang w:eastAsia="en-US"/>
        </w:rPr>
        <w:t>1977</w:t>
      </w:r>
      <w:r>
        <w:rPr>
          <w:rFonts w:eastAsia="Calibri"/>
          <w:lang w:eastAsia="en-US"/>
        </w:rPr>
        <w:t>).</w:t>
      </w:r>
      <w:r w:rsidRPr="0018341E">
        <w:rPr>
          <w:rFonts w:eastAsia="Calibri"/>
          <w:lang w:eastAsia="en-US"/>
        </w:rPr>
        <w:t xml:space="preserve"> Transformation, Hierarchy and Transcendence: A reformation of Van </w:t>
      </w:r>
      <w:proofErr w:type="spellStart"/>
      <w:r w:rsidRPr="0018341E">
        <w:rPr>
          <w:rFonts w:eastAsia="Calibri"/>
          <w:lang w:eastAsia="en-US"/>
        </w:rPr>
        <w:t>Gennep’s</w:t>
      </w:r>
      <w:proofErr w:type="spellEnd"/>
      <w:r w:rsidRPr="0018341E">
        <w:rPr>
          <w:rFonts w:eastAsia="Calibri"/>
          <w:lang w:eastAsia="en-US"/>
        </w:rPr>
        <w:t xml:space="preserve"> Model of the Structure of Rites de Passage. In S. Moore,</w:t>
      </w:r>
      <w:r>
        <w:rPr>
          <w:rFonts w:eastAsia="Calibri"/>
          <w:lang w:eastAsia="en-US"/>
        </w:rPr>
        <w:t xml:space="preserve"> &amp;</w:t>
      </w:r>
      <w:r w:rsidRPr="0018341E">
        <w:rPr>
          <w:rFonts w:eastAsia="Calibri"/>
          <w:lang w:eastAsia="en-US"/>
        </w:rPr>
        <w:t xml:space="preserve"> B. </w:t>
      </w:r>
      <w:proofErr w:type="spellStart"/>
      <w:r w:rsidRPr="0018341E">
        <w:rPr>
          <w:rFonts w:eastAsia="Calibri"/>
          <w:lang w:eastAsia="en-US"/>
        </w:rPr>
        <w:t>Myerhoff</w:t>
      </w:r>
      <w:proofErr w:type="spellEnd"/>
      <w:r>
        <w:rPr>
          <w:rFonts w:eastAsia="Calibri"/>
          <w:lang w:eastAsia="en-US"/>
        </w:rPr>
        <w:t xml:space="preserve"> </w:t>
      </w:r>
      <w:r w:rsidRPr="0018341E">
        <w:rPr>
          <w:rFonts w:eastAsia="Calibri"/>
          <w:lang w:eastAsia="en-US"/>
        </w:rPr>
        <w:t>(</w:t>
      </w:r>
      <w:r>
        <w:rPr>
          <w:rFonts w:eastAsia="Calibri"/>
          <w:lang w:eastAsia="en-US"/>
        </w:rPr>
        <w:t>E</w:t>
      </w:r>
      <w:r w:rsidRPr="0018341E">
        <w:rPr>
          <w:rFonts w:eastAsia="Calibri"/>
          <w:lang w:eastAsia="en-US"/>
        </w:rPr>
        <w:t xml:space="preserve">ds.), </w:t>
      </w:r>
      <w:r w:rsidRPr="0018341E">
        <w:rPr>
          <w:rFonts w:eastAsia="Calibri"/>
          <w:i/>
          <w:lang w:eastAsia="en-US"/>
        </w:rPr>
        <w:t>Secular Ritual</w:t>
      </w:r>
      <w:r>
        <w:rPr>
          <w:rFonts w:eastAsia="Calibri"/>
          <w:i/>
          <w:lang w:eastAsia="en-US"/>
        </w:rPr>
        <w:t xml:space="preserve"> </w:t>
      </w:r>
      <w:r>
        <w:rPr>
          <w:rFonts w:eastAsia="Calibri"/>
          <w:iCs/>
          <w:lang w:eastAsia="en-US"/>
        </w:rPr>
        <w:t xml:space="preserve">(pp. </w:t>
      </w:r>
      <w:r w:rsidRPr="0018341E">
        <w:rPr>
          <w:rFonts w:eastAsia="Calibri"/>
          <w:lang w:eastAsia="en-US"/>
        </w:rPr>
        <w:t>61-62</w:t>
      </w:r>
      <w:r>
        <w:rPr>
          <w:rFonts w:eastAsia="Calibri"/>
          <w:lang w:eastAsia="en-US"/>
        </w:rPr>
        <w:t xml:space="preserve">). </w:t>
      </w:r>
      <w:r w:rsidRPr="0018341E">
        <w:rPr>
          <w:rFonts w:eastAsia="Calibri"/>
          <w:lang w:eastAsia="en-US"/>
        </w:rPr>
        <w:t>Amsterdam</w:t>
      </w:r>
      <w:r>
        <w:rPr>
          <w:rFonts w:eastAsia="Calibri"/>
          <w:lang w:eastAsia="en-US"/>
        </w:rPr>
        <w:t>:</w:t>
      </w:r>
      <w:r w:rsidRPr="00316091">
        <w:rPr>
          <w:rFonts w:eastAsia="Calibri"/>
          <w:lang w:eastAsia="en-US"/>
        </w:rPr>
        <w:t xml:space="preserve"> </w:t>
      </w:r>
      <w:r w:rsidRPr="0018341E">
        <w:rPr>
          <w:rFonts w:eastAsia="Calibri"/>
          <w:lang w:eastAsia="en-US"/>
        </w:rPr>
        <w:t xml:space="preserve">Van </w:t>
      </w:r>
      <w:proofErr w:type="spellStart"/>
      <w:r w:rsidRPr="0018341E">
        <w:rPr>
          <w:rFonts w:eastAsia="Calibri"/>
          <w:lang w:eastAsia="en-US"/>
        </w:rPr>
        <w:t>Gorcum</w:t>
      </w:r>
      <w:proofErr w:type="spellEnd"/>
      <w:r w:rsidRPr="0018341E">
        <w:rPr>
          <w:rFonts w:eastAsia="Calibri"/>
          <w:lang w:eastAsia="en-US"/>
        </w:rPr>
        <w:t xml:space="preserve"> Press</w:t>
      </w:r>
      <w:r>
        <w:rPr>
          <w:rFonts w:eastAsia="Calibri"/>
          <w:lang w:eastAsia="en-US"/>
        </w:rPr>
        <w:t>.</w:t>
      </w:r>
      <w:r w:rsidRPr="0018341E">
        <w:rPr>
          <w:rFonts w:eastAsia="Calibri"/>
          <w:lang w:eastAsia="en-US"/>
        </w:rPr>
        <w:t xml:space="preserve"> </w:t>
      </w:r>
    </w:p>
    <w:p w14:paraId="08C55756" w14:textId="77777777" w:rsidR="00F8130C" w:rsidRPr="0018341E" w:rsidRDefault="00F8130C" w:rsidP="0018341E">
      <w:pPr>
        <w:pStyle w:val="References"/>
        <w:rPr>
          <w:rFonts w:eastAsia="Calibri"/>
          <w:lang w:eastAsia="en-US"/>
        </w:rPr>
      </w:pPr>
      <w:r w:rsidRPr="0018341E">
        <w:rPr>
          <w:rFonts w:eastAsia="Calibri"/>
          <w:lang w:eastAsia="en-US"/>
        </w:rPr>
        <w:t xml:space="preserve">Turner, V. </w:t>
      </w:r>
      <w:r>
        <w:rPr>
          <w:rFonts w:eastAsia="Calibri"/>
          <w:lang w:eastAsia="en-US"/>
        </w:rPr>
        <w:t>(</w:t>
      </w:r>
      <w:r w:rsidRPr="0018341E">
        <w:rPr>
          <w:rFonts w:eastAsia="Calibri"/>
          <w:lang w:eastAsia="en-US"/>
        </w:rPr>
        <w:t>1969</w:t>
      </w:r>
      <w:r>
        <w:rPr>
          <w:rFonts w:eastAsia="Calibri"/>
          <w:lang w:eastAsia="en-US"/>
        </w:rPr>
        <w:t>).</w:t>
      </w:r>
      <w:r w:rsidRPr="0018341E">
        <w:rPr>
          <w:rFonts w:eastAsia="Calibri"/>
          <w:lang w:eastAsia="en-US"/>
        </w:rPr>
        <w:t xml:space="preserve"> </w:t>
      </w:r>
      <w:r w:rsidRPr="0018341E">
        <w:rPr>
          <w:rFonts w:eastAsia="Calibri"/>
          <w:i/>
          <w:lang w:eastAsia="en-US"/>
        </w:rPr>
        <w:t>The Ritual Process: Structure and Anti-Structure</w:t>
      </w:r>
      <w:r>
        <w:rPr>
          <w:rFonts w:eastAsia="Calibri"/>
          <w:i/>
          <w:lang w:eastAsia="en-US"/>
        </w:rPr>
        <w:t xml:space="preserve">. </w:t>
      </w:r>
      <w:r w:rsidRPr="0018341E">
        <w:rPr>
          <w:rFonts w:eastAsia="Calibri"/>
          <w:lang w:eastAsia="en-US"/>
        </w:rPr>
        <w:t>Chicago</w:t>
      </w:r>
      <w:r>
        <w:rPr>
          <w:rFonts w:eastAsia="Calibri"/>
          <w:lang w:eastAsia="en-US"/>
        </w:rPr>
        <w:t>,</w:t>
      </w:r>
      <w:r w:rsidRPr="0018341E">
        <w:rPr>
          <w:rFonts w:eastAsia="Calibri"/>
          <w:lang w:eastAsia="en-US"/>
        </w:rPr>
        <w:t xml:space="preserve"> Aldine Publishing</w:t>
      </w:r>
      <w:r>
        <w:rPr>
          <w:rFonts w:eastAsia="Calibri"/>
          <w:lang w:eastAsia="en-US"/>
        </w:rPr>
        <w:t>.</w:t>
      </w:r>
    </w:p>
    <w:p w14:paraId="15B44414" w14:textId="77777777" w:rsidR="00F8130C" w:rsidRPr="0018341E" w:rsidRDefault="00F8130C" w:rsidP="0018341E">
      <w:pPr>
        <w:pStyle w:val="References"/>
        <w:rPr>
          <w:rFonts w:eastAsia="Calibri"/>
          <w:lang w:eastAsia="en-US"/>
        </w:rPr>
      </w:pPr>
      <w:r w:rsidRPr="0018341E">
        <w:rPr>
          <w:rFonts w:eastAsia="Calibri"/>
          <w:lang w:eastAsia="en-US"/>
        </w:rPr>
        <w:t xml:space="preserve">Turner, V. </w:t>
      </w:r>
      <w:r>
        <w:rPr>
          <w:rFonts w:eastAsia="Calibri"/>
          <w:lang w:eastAsia="en-US"/>
        </w:rPr>
        <w:t>(</w:t>
      </w:r>
      <w:r w:rsidRPr="0018341E">
        <w:rPr>
          <w:rFonts w:eastAsia="Calibri"/>
          <w:lang w:eastAsia="en-US"/>
        </w:rPr>
        <w:t>1982</w:t>
      </w:r>
      <w:r>
        <w:rPr>
          <w:rFonts w:eastAsia="Calibri"/>
          <w:lang w:eastAsia="en-US"/>
        </w:rPr>
        <w:t>).</w:t>
      </w:r>
      <w:r w:rsidRPr="0018341E">
        <w:rPr>
          <w:rFonts w:eastAsia="Calibri"/>
          <w:lang w:eastAsia="en-US"/>
        </w:rPr>
        <w:t xml:space="preserve"> </w:t>
      </w:r>
      <w:r w:rsidRPr="0018341E">
        <w:rPr>
          <w:rFonts w:eastAsia="Calibri"/>
          <w:i/>
          <w:lang w:eastAsia="en-US"/>
        </w:rPr>
        <w:t>From Ritual to Theatre: The Human Seriousness of Play</w:t>
      </w:r>
      <w:r>
        <w:rPr>
          <w:rFonts w:eastAsia="Calibri"/>
          <w:i/>
          <w:lang w:eastAsia="en-US"/>
        </w:rPr>
        <w:t>.</w:t>
      </w:r>
      <w:r w:rsidRPr="0018341E">
        <w:rPr>
          <w:rFonts w:eastAsia="Calibri"/>
          <w:lang w:eastAsia="en-US"/>
        </w:rPr>
        <w:t xml:space="preserve"> New York</w:t>
      </w:r>
      <w:r>
        <w:rPr>
          <w:rFonts w:eastAsia="Calibri"/>
          <w:lang w:eastAsia="en-US"/>
        </w:rPr>
        <w:t>:</w:t>
      </w:r>
      <w:r w:rsidRPr="0018341E">
        <w:rPr>
          <w:rFonts w:eastAsia="Calibri"/>
          <w:lang w:eastAsia="en-US"/>
        </w:rPr>
        <w:t xml:space="preserve"> Performing Arts Journal Publications</w:t>
      </w:r>
      <w:r>
        <w:rPr>
          <w:rFonts w:eastAsia="Calibri"/>
          <w:lang w:eastAsia="en-US"/>
        </w:rPr>
        <w:t>.</w:t>
      </w:r>
      <w:r w:rsidRPr="0018341E">
        <w:rPr>
          <w:rFonts w:eastAsia="Calibri"/>
          <w:lang w:eastAsia="en-US"/>
        </w:rPr>
        <w:t xml:space="preserve"> </w:t>
      </w:r>
    </w:p>
    <w:p w14:paraId="3FA471D5" w14:textId="77777777" w:rsidR="00F8130C" w:rsidRPr="0018341E" w:rsidRDefault="00F8130C" w:rsidP="0018341E">
      <w:pPr>
        <w:pStyle w:val="References"/>
        <w:rPr>
          <w:rFonts w:eastAsia="Calibri"/>
          <w:lang w:eastAsia="en-US"/>
        </w:rPr>
      </w:pPr>
      <w:r w:rsidRPr="0018341E">
        <w:rPr>
          <w:rFonts w:eastAsia="Calibri"/>
          <w:lang w:eastAsia="en-US"/>
        </w:rPr>
        <w:t xml:space="preserve">Vickery, A. </w:t>
      </w:r>
      <w:r>
        <w:rPr>
          <w:rFonts w:eastAsia="Calibri"/>
          <w:lang w:eastAsia="en-US"/>
        </w:rPr>
        <w:t>(</w:t>
      </w:r>
      <w:r w:rsidRPr="0018341E">
        <w:rPr>
          <w:rFonts w:eastAsia="Calibri"/>
          <w:lang w:eastAsia="en-US"/>
        </w:rPr>
        <w:t>2008</w:t>
      </w:r>
      <w:r>
        <w:rPr>
          <w:rFonts w:eastAsia="Calibri"/>
          <w:lang w:eastAsia="en-US"/>
        </w:rPr>
        <w:t>).</w:t>
      </w:r>
      <w:r w:rsidRPr="0018341E">
        <w:rPr>
          <w:rFonts w:eastAsia="Calibri"/>
          <w:lang w:eastAsia="en-US"/>
        </w:rPr>
        <w:t xml:space="preserve"> An Englishman’s Home is his Castle? Thresholds, Boundaries and Privacies in the Eighteenth-Century London House</w:t>
      </w:r>
      <w:r>
        <w:rPr>
          <w:rFonts w:eastAsia="Calibri"/>
          <w:lang w:eastAsia="en-US"/>
        </w:rPr>
        <w:t>.</w:t>
      </w:r>
      <w:r w:rsidRPr="0018341E">
        <w:rPr>
          <w:rFonts w:eastAsia="Calibri"/>
          <w:lang w:eastAsia="en-US"/>
        </w:rPr>
        <w:t xml:space="preserve"> </w:t>
      </w:r>
      <w:r w:rsidRPr="0018341E">
        <w:rPr>
          <w:rFonts w:eastAsia="Calibri"/>
          <w:i/>
          <w:lang w:eastAsia="en-US"/>
        </w:rPr>
        <w:t>Past and Present,</w:t>
      </w:r>
      <w:r w:rsidRPr="0018341E">
        <w:rPr>
          <w:rFonts w:eastAsia="Calibri"/>
          <w:lang w:eastAsia="en-US"/>
        </w:rPr>
        <w:t xml:space="preserve"> 199, 147-173</w:t>
      </w:r>
      <w:r>
        <w:rPr>
          <w:rFonts w:eastAsia="Calibri"/>
          <w:lang w:eastAsia="en-US"/>
        </w:rPr>
        <w:t>.</w:t>
      </w:r>
      <w:r w:rsidRPr="0018341E">
        <w:rPr>
          <w:rFonts w:eastAsia="Calibri"/>
          <w:lang w:eastAsia="en-US"/>
        </w:rPr>
        <w:t xml:space="preserve"> </w:t>
      </w:r>
      <w:hyperlink r:id="rId57" w:history="1">
        <w:r w:rsidRPr="004A3E75">
          <w:rPr>
            <w:rStyle w:val="Hyperlink"/>
            <w:rFonts w:eastAsia="Calibri"/>
            <w:lang w:eastAsia="en-US"/>
          </w:rPr>
          <w:t>https://doi.org/10.1093/pastj/gtn006</w:t>
        </w:r>
      </w:hyperlink>
      <w:r>
        <w:rPr>
          <w:rFonts w:eastAsia="Calibri"/>
          <w:lang w:eastAsia="en-US"/>
        </w:rPr>
        <w:t xml:space="preserve"> </w:t>
      </w:r>
    </w:p>
    <w:p w14:paraId="22AFC58F" w14:textId="77777777" w:rsidR="00F8130C" w:rsidRDefault="00F8130C" w:rsidP="0018341E">
      <w:pPr>
        <w:pStyle w:val="References"/>
        <w:rPr>
          <w:rFonts w:eastAsia="Calibri"/>
          <w:lang w:eastAsia="en-US"/>
        </w:rPr>
      </w:pPr>
      <w:r w:rsidRPr="0018341E">
        <w:rPr>
          <w:rFonts w:eastAsia="Calibri"/>
          <w:lang w:eastAsia="en-US"/>
        </w:rPr>
        <w:t xml:space="preserve">Vogler, A. </w:t>
      </w:r>
      <w:r>
        <w:rPr>
          <w:rFonts w:eastAsia="Calibri"/>
          <w:lang w:eastAsia="en-US"/>
        </w:rPr>
        <w:t>&amp;</w:t>
      </w:r>
      <w:r w:rsidRPr="0018341E">
        <w:rPr>
          <w:rFonts w:eastAsia="Calibri"/>
          <w:lang w:eastAsia="en-US"/>
        </w:rPr>
        <w:t xml:space="preserve"> Jorgensen, J. </w:t>
      </w:r>
      <w:r>
        <w:rPr>
          <w:rFonts w:eastAsia="Calibri"/>
          <w:lang w:eastAsia="en-US"/>
        </w:rPr>
        <w:t>(</w:t>
      </w:r>
      <w:r w:rsidRPr="0018341E">
        <w:rPr>
          <w:rFonts w:eastAsia="Calibri"/>
          <w:lang w:eastAsia="en-US"/>
        </w:rPr>
        <w:t>2005</w:t>
      </w:r>
      <w:r>
        <w:rPr>
          <w:rFonts w:eastAsia="Calibri"/>
          <w:lang w:eastAsia="en-US"/>
        </w:rPr>
        <w:t>).</w:t>
      </w:r>
      <w:r w:rsidRPr="0018341E">
        <w:rPr>
          <w:rFonts w:eastAsia="Calibri"/>
          <w:lang w:eastAsia="en-US"/>
        </w:rPr>
        <w:t xml:space="preserve"> Windows to the World, Doors to Space: The Psychology of Space Architecture</w:t>
      </w:r>
      <w:r>
        <w:rPr>
          <w:rFonts w:eastAsia="Calibri"/>
          <w:lang w:eastAsia="en-US"/>
        </w:rPr>
        <w:t>.</w:t>
      </w:r>
      <w:r w:rsidRPr="0018341E">
        <w:rPr>
          <w:rFonts w:eastAsia="Calibri"/>
          <w:lang w:eastAsia="en-US"/>
        </w:rPr>
        <w:t xml:space="preserve"> </w:t>
      </w:r>
      <w:r w:rsidRPr="0018341E">
        <w:rPr>
          <w:rFonts w:eastAsia="Calibri"/>
          <w:i/>
          <w:lang w:eastAsia="en-US"/>
        </w:rPr>
        <w:t>Leonardo,</w:t>
      </w:r>
      <w:r w:rsidRPr="0018341E">
        <w:rPr>
          <w:rFonts w:eastAsia="Calibri"/>
          <w:lang w:eastAsia="en-US"/>
        </w:rPr>
        <w:t xml:space="preserve"> 38</w:t>
      </w:r>
      <w:r>
        <w:rPr>
          <w:rFonts w:eastAsia="Calibri"/>
          <w:lang w:eastAsia="en-US"/>
        </w:rPr>
        <w:t xml:space="preserve"> (</w:t>
      </w:r>
      <w:r w:rsidRPr="0018341E">
        <w:rPr>
          <w:rFonts w:eastAsia="Calibri"/>
          <w:lang w:eastAsia="en-US"/>
        </w:rPr>
        <w:t>5</w:t>
      </w:r>
      <w:r>
        <w:rPr>
          <w:rFonts w:eastAsia="Calibri"/>
          <w:lang w:eastAsia="en-US"/>
        </w:rPr>
        <w:t>)</w:t>
      </w:r>
      <w:r w:rsidRPr="0018341E">
        <w:rPr>
          <w:rFonts w:eastAsia="Calibri"/>
          <w:lang w:eastAsia="en-US"/>
        </w:rPr>
        <w:t>,</w:t>
      </w:r>
      <w:r>
        <w:rPr>
          <w:rFonts w:eastAsia="Calibri"/>
          <w:lang w:eastAsia="en-US"/>
        </w:rPr>
        <w:t xml:space="preserve"> </w:t>
      </w:r>
      <w:r w:rsidRPr="0018341E">
        <w:rPr>
          <w:rFonts w:eastAsia="Calibri"/>
          <w:lang w:eastAsia="en-US"/>
        </w:rPr>
        <w:t>390-399</w:t>
      </w:r>
      <w:r>
        <w:rPr>
          <w:rFonts w:eastAsia="Calibri"/>
          <w:lang w:eastAsia="en-US"/>
        </w:rPr>
        <w:t>.</w:t>
      </w:r>
      <w:r w:rsidRPr="0018341E">
        <w:rPr>
          <w:rFonts w:eastAsia="Calibri"/>
          <w:lang w:eastAsia="en-US"/>
        </w:rPr>
        <w:t xml:space="preserve"> </w:t>
      </w:r>
      <w:hyperlink r:id="rId58" w:history="1">
        <w:r w:rsidRPr="003A0C2D">
          <w:rPr>
            <w:rStyle w:val="Hyperlink"/>
            <w:rFonts w:eastAsia="Calibri"/>
            <w:lang w:eastAsia="en-US"/>
          </w:rPr>
          <w:t>https://doi.org/10.1162/leon.2005.38.5.390</w:t>
        </w:r>
      </w:hyperlink>
      <w:r>
        <w:rPr>
          <w:rFonts w:eastAsia="Calibri"/>
          <w:lang w:eastAsia="en-US"/>
        </w:rPr>
        <w:t xml:space="preserve">  </w:t>
      </w:r>
    </w:p>
    <w:p w14:paraId="4C3AB5DF" w14:textId="77777777" w:rsidR="00F8130C" w:rsidRPr="00D62017" w:rsidRDefault="00F8130C" w:rsidP="0018341E">
      <w:pPr>
        <w:pStyle w:val="References"/>
        <w:rPr>
          <w:rFonts w:eastAsia="Calibri"/>
          <w:lang w:eastAsia="en-US"/>
        </w:rPr>
      </w:pPr>
      <w:r>
        <w:rPr>
          <w:rFonts w:eastAsia="Calibri"/>
          <w:lang w:eastAsia="en-US"/>
        </w:rPr>
        <w:t xml:space="preserve">Wall. T &amp; Osborne, H. (2018 November 25th). Poor doors are still creating wealth divide in new housing. </w:t>
      </w:r>
      <w:r>
        <w:rPr>
          <w:rFonts w:eastAsia="Calibri"/>
          <w:i/>
          <w:iCs/>
          <w:lang w:eastAsia="en-US"/>
        </w:rPr>
        <w:t>The Guardian.</w:t>
      </w:r>
      <w:r>
        <w:rPr>
          <w:rFonts w:eastAsia="Calibri"/>
          <w:lang w:eastAsia="en-US"/>
        </w:rPr>
        <w:t xml:space="preserve"> Retrieved from </w:t>
      </w:r>
      <w:hyperlink r:id="rId59" w:history="1">
        <w:r w:rsidRPr="003A0C2D">
          <w:rPr>
            <w:rStyle w:val="Hyperlink"/>
          </w:rPr>
          <w:t>https://www.theguardian.com/society/2018/nov/25/poor-doors-developers-segregate-rich-from-poor-london-housing-blocks</w:t>
        </w:r>
      </w:hyperlink>
      <w:r>
        <w:t xml:space="preserve">  </w:t>
      </w:r>
    </w:p>
    <w:p w14:paraId="03600B53" w14:textId="77777777" w:rsidR="00F8130C" w:rsidRPr="0018341E" w:rsidRDefault="00F8130C" w:rsidP="0018341E">
      <w:pPr>
        <w:pStyle w:val="References"/>
        <w:rPr>
          <w:rFonts w:eastAsia="Calibri"/>
          <w:lang w:eastAsia="en-US"/>
        </w:rPr>
      </w:pPr>
      <w:r w:rsidRPr="0018341E">
        <w:rPr>
          <w:rFonts w:eastAsia="Calibri"/>
          <w:lang w:eastAsia="en-US"/>
        </w:rPr>
        <w:t xml:space="preserve">Walsh, D. </w:t>
      </w:r>
      <w:r>
        <w:rPr>
          <w:rFonts w:eastAsia="Calibri"/>
          <w:lang w:eastAsia="en-US"/>
        </w:rPr>
        <w:t>(</w:t>
      </w:r>
      <w:r w:rsidRPr="0018341E">
        <w:rPr>
          <w:rFonts w:eastAsia="Calibri"/>
          <w:lang w:eastAsia="en-US"/>
        </w:rPr>
        <w:t>1983</w:t>
      </w:r>
      <w:r>
        <w:rPr>
          <w:rFonts w:eastAsia="Calibri"/>
          <w:lang w:eastAsia="en-US"/>
        </w:rPr>
        <w:t>).</w:t>
      </w:r>
      <w:r w:rsidRPr="0018341E">
        <w:rPr>
          <w:rFonts w:eastAsia="Calibri"/>
          <w:lang w:eastAsia="en-US"/>
        </w:rPr>
        <w:t xml:space="preserve"> Doors of the Greek and Roman World</w:t>
      </w:r>
      <w:r>
        <w:rPr>
          <w:rFonts w:eastAsia="Calibri"/>
          <w:lang w:eastAsia="en-US"/>
        </w:rPr>
        <w:t>.</w:t>
      </w:r>
      <w:r w:rsidRPr="0018341E">
        <w:rPr>
          <w:rFonts w:eastAsia="Calibri"/>
          <w:lang w:eastAsia="en-US"/>
        </w:rPr>
        <w:t xml:space="preserve"> </w:t>
      </w:r>
      <w:r w:rsidRPr="0018341E">
        <w:rPr>
          <w:rFonts w:eastAsia="Calibri"/>
          <w:i/>
          <w:lang w:eastAsia="en-US"/>
        </w:rPr>
        <w:t xml:space="preserve">Archaeology, </w:t>
      </w:r>
      <w:r w:rsidRPr="0018341E">
        <w:rPr>
          <w:rFonts w:eastAsia="Calibri"/>
          <w:lang w:eastAsia="en-US"/>
        </w:rPr>
        <w:t xml:space="preserve">36 </w:t>
      </w:r>
      <w:r>
        <w:rPr>
          <w:rFonts w:eastAsia="Calibri"/>
          <w:lang w:eastAsia="en-US"/>
        </w:rPr>
        <w:t>(</w:t>
      </w:r>
      <w:r w:rsidRPr="0018341E">
        <w:rPr>
          <w:rFonts w:eastAsia="Calibri"/>
          <w:lang w:eastAsia="en-US"/>
        </w:rPr>
        <w:t>1</w:t>
      </w:r>
      <w:r>
        <w:rPr>
          <w:rFonts w:eastAsia="Calibri"/>
          <w:lang w:eastAsia="en-US"/>
        </w:rPr>
        <w:t>)</w:t>
      </w:r>
      <w:r w:rsidRPr="0018341E">
        <w:rPr>
          <w:rFonts w:eastAsia="Calibri"/>
          <w:lang w:eastAsia="en-US"/>
        </w:rPr>
        <w:t>, 44-50</w:t>
      </w:r>
      <w:r>
        <w:rPr>
          <w:rFonts w:eastAsia="Calibri"/>
          <w:lang w:eastAsia="en-US"/>
        </w:rPr>
        <w:t>.</w:t>
      </w:r>
      <w:r w:rsidRPr="004A3E75">
        <w:rPr>
          <w:rFonts w:ascii="Arial" w:hAnsi="Arial" w:cs="Arial"/>
          <w:color w:val="333333"/>
          <w:sz w:val="21"/>
          <w:szCs w:val="21"/>
          <w:shd w:val="clear" w:color="auto" w:fill="FFFFFF"/>
        </w:rPr>
        <w:t xml:space="preserve"> </w:t>
      </w:r>
      <w:hyperlink r:id="rId60" w:history="1">
        <w:r w:rsidRPr="003A0C2D">
          <w:rPr>
            <w:rStyle w:val="Hyperlink"/>
            <w:rFonts w:eastAsia="Calibri"/>
            <w:lang w:eastAsia="en-US"/>
          </w:rPr>
          <w:t>www.jstor.org/stable/41729039</w:t>
        </w:r>
      </w:hyperlink>
      <w:r>
        <w:rPr>
          <w:rFonts w:eastAsia="Calibri"/>
          <w:lang w:eastAsia="en-US"/>
        </w:rPr>
        <w:t xml:space="preserve"> </w:t>
      </w:r>
    </w:p>
    <w:p w14:paraId="169F246E" w14:textId="77777777" w:rsidR="00F8130C" w:rsidRPr="0018341E" w:rsidRDefault="00F8130C" w:rsidP="0018341E">
      <w:pPr>
        <w:pStyle w:val="References"/>
        <w:rPr>
          <w:rFonts w:eastAsia="Calibri"/>
          <w:lang w:eastAsia="en-US"/>
        </w:rPr>
      </w:pPr>
      <w:r w:rsidRPr="0018341E">
        <w:rPr>
          <w:rFonts w:eastAsia="Calibri"/>
          <w:lang w:eastAsia="en-US"/>
        </w:rPr>
        <w:t xml:space="preserve">Wilbur, M. </w:t>
      </w:r>
      <w:r>
        <w:rPr>
          <w:rFonts w:eastAsia="Calibri"/>
          <w:lang w:eastAsia="en-US"/>
        </w:rPr>
        <w:t>(</w:t>
      </w:r>
      <w:r w:rsidRPr="0018341E">
        <w:rPr>
          <w:rFonts w:eastAsia="Calibri"/>
          <w:lang w:eastAsia="en-US"/>
        </w:rPr>
        <w:t>2013</w:t>
      </w:r>
      <w:r>
        <w:rPr>
          <w:rFonts w:eastAsia="Calibri"/>
          <w:lang w:eastAsia="en-US"/>
        </w:rPr>
        <w:t>).</w:t>
      </w:r>
      <w:r w:rsidRPr="0018341E">
        <w:rPr>
          <w:rFonts w:eastAsia="Calibri"/>
          <w:lang w:eastAsia="en-US"/>
        </w:rPr>
        <w:t xml:space="preserve"> </w:t>
      </w:r>
      <w:r w:rsidRPr="00630062">
        <w:rPr>
          <w:rFonts w:eastAsia="Calibri"/>
          <w:i/>
          <w:iCs/>
          <w:lang w:eastAsia="en-US"/>
        </w:rPr>
        <w:t xml:space="preserve">At the Threshold: liminality, </w:t>
      </w:r>
      <w:proofErr w:type="gramStart"/>
      <w:r w:rsidRPr="00630062">
        <w:rPr>
          <w:rFonts w:eastAsia="Calibri"/>
          <w:i/>
          <w:iCs/>
          <w:lang w:eastAsia="en-US"/>
        </w:rPr>
        <w:t>Architecture</w:t>
      </w:r>
      <w:proofErr w:type="gramEnd"/>
      <w:r w:rsidRPr="00630062">
        <w:rPr>
          <w:rFonts w:eastAsia="Calibri"/>
          <w:i/>
          <w:iCs/>
          <w:lang w:eastAsia="en-US"/>
        </w:rPr>
        <w:t xml:space="preserve"> and the Hidden Language of Space</w:t>
      </w:r>
      <w:r w:rsidRPr="0018341E">
        <w:rPr>
          <w:rFonts w:eastAsia="Calibri"/>
          <w:lang w:eastAsia="en-US"/>
        </w:rPr>
        <w:t xml:space="preserve"> </w:t>
      </w:r>
      <w:r>
        <w:rPr>
          <w:rFonts w:eastAsia="Calibri"/>
          <w:lang w:eastAsia="en-US"/>
        </w:rPr>
        <w:t>(U</w:t>
      </w:r>
      <w:r w:rsidRPr="0018341E">
        <w:rPr>
          <w:rFonts w:eastAsia="Calibri"/>
          <w:lang w:eastAsia="en-US"/>
        </w:rPr>
        <w:t>npublished MA thesis</w:t>
      </w:r>
      <w:r>
        <w:rPr>
          <w:rFonts w:eastAsia="Calibri"/>
          <w:lang w:eastAsia="en-US"/>
        </w:rPr>
        <w:t>).</w:t>
      </w:r>
      <w:r w:rsidRPr="0018341E">
        <w:rPr>
          <w:rFonts w:eastAsia="Calibri"/>
          <w:lang w:eastAsia="en-US"/>
        </w:rPr>
        <w:t xml:space="preserve"> University of Austin</w:t>
      </w:r>
      <w:r>
        <w:rPr>
          <w:rFonts w:eastAsia="Calibri"/>
          <w:lang w:eastAsia="en-US"/>
        </w:rPr>
        <w:t>,</w:t>
      </w:r>
      <w:r w:rsidRPr="0018341E">
        <w:rPr>
          <w:rFonts w:eastAsia="Calibri"/>
          <w:lang w:eastAsia="en-US"/>
        </w:rPr>
        <w:t xml:space="preserve"> Texas</w:t>
      </w:r>
      <w:r>
        <w:rPr>
          <w:rFonts w:eastAsia="Calibri"/>
          <w:lang w:eastAsia="en-US"/>
        </w:rPr>
        <w:t>.</w:t>
      </w:r>
      <w:r w:rsidRPr="0018341E">
        <w:rPr>
          <w:rFonts w:eastAsia="Calibri"/>
          <w:lang w:eastAsia="en-US"/>
        </w:rPr>
        <w:t xml:space="preserve"> </w:t>
      </w:r>
    </w:p>
    <w:p w14:paraId="7245490E" w14:textId="77777777" w:rsidR="00F8130C" w:rsidRDefault="00F8130C" w:rsidP="0018341E">
      <w:pPr>
        <w:pStyle w:val="References"/>
        <w:rPr>
          <w:rFonts w:eastAsia="Calibri"/>
          <w:lang w:eastAsia="en-US"/>
        </w:rPr>
      </w:pPr>
      <w:r w:rsidRPr="0018341E">
        <w:rPr>
          <w:rFonts w:eastAsia="Calibri"/>
          <w:lang w:eastAsia="en-US"/>
        </w:rPr>
        <w:lastRenderedPageBreak/>
        <w:t xml:space="preserve">Wood, D. </w:t>
      </w:r>
      <w:r>
        <w:rPr>
          <w:rFonts w:eastAsia="Calibri"/>
          <w:lang w:eastAsia="en-US"/>
        </w:rPr>
        <w:t>&amp;</w:t>
      </w:r>
      <w:r w:rsidRPr="0018341E">
        <w:rPr>
          <w:rFonts w:eastAsia="Calibri"/>
          <w:lang w:eastAsia="en-US"/>
        </w:rPr>
        <w:t xml:space="preserve"> Beck, R. </w:t>
      </w:r>
      <w:r>
        <w:rPr>
          <w:rFonts w:eastAsia="Calibri"/>
          <w:lang w:eastAsia="en-US"/>
        </w:rPr>
        <w:t>(</w:t>
      </w:r>
      <w:r w:rsidRPr="0018341E">
        <w:rPr>
          <w:rFonts w:eastAsia="Calibri"/>
          <w:lang w:eastAsia="en-US"/>
        </w:rPr>
        <w:t>1990</w:t>
      </w:r>
      <w:r>
        <w:rPr>
          <w:rFonts w:eastAsia="Calibri"/>
          <w:lang w:eastAsia="en-US"/>
        </w:rPr>
        <w:t>).</w:t>
      </w:r>
      <w:r w:rsidRPr="0018341E">
        <w:rPr>
          <w:rFonts w:eastAsia="Calibri"/>
          <w:lang w:eastAsia="en-US"/>
        </w:rPr>
        <w:t xml:space="preserve"> Do’s and Don’ts: Family Rules, Rooms, and Their Relationships</w:t>
      </w:r>
      <w:r>
        <w:rPr>
          <w:rFonts w:eastAsia="Calibri"/>
          <w:lang w:eastAsia="en-US"/>
        </w:rPr>
        <w:t xml:space="preserve">. </w:t>
      </w:r>
      <w:r w:rsidRPr="0018341E">
        <w:rPr>
          <w:rFonts w:eastAsia="Calibri"/>
          <w:i/>
          <w:lang w:eastAsia="en-US"/>
        </w:rPr>
        <w:t>Children’s Environments Quarterly,</w:t>
      </w:r>
      <w:r w:rsidRPr="0018341E">
        <w:rPr>
          <w:rFonts w:eastAsia="Calibri"/>
          <w:lang w:eastAsia="en-US"/>
        </w:rPr>
        <w:t xml:space="preserve"> 7</w:t>
      </w:r>
      <w:r>
        <w:rPr>
          <w:rFonts w:eastAsia="Calibri"/>
          <w:lang w:eastAsia="en-US"/>
        </w:rPr>
        <w:t xml:space="preserve"> (</w:t>
      </w:r>
      <w:r w:rsidRPr="0018341E">
        <w:rPr>
          <w:rFonts w:eastAsia="Calibri"/>
          <w:lang w:eastAsia="en-US"/>
        </w:rPr>
        <w:t>1</w:t>
      </w:r>
      <w:r>
        <w:rPr>
          <w:rFonts w:eastAsia="Calibri"/>
          <w:lang w:eastAsia="en-US"/>
        </w:rPr>
        <w:t>)</w:t>
      </w:r>
      <w:r w:rsidRPr="0018341E">
        <w:rPr>
          <w:rFonts w:eastAsia="Calibri"/>
          <w:lang w:eastAsia="en-US"/>
        </w:rPr>
        <w:t>, 2-14</w:t>
      </w:r>
      <w:r>
        <w:rPr>
          <w:rFonts w:eastAsia="Calibri"/>
          <w:lang w:eastAsia="en-US"/>
        </w:rPr>
        <w:t>.</w:t>
      </w:r>
      <w:r w:rsidRPr="004A3E75">
        <w:rPr>
          <w:rFonts w:ascii="Arial" w:hAnsi="Arial" w:cs="Arial"/>
          <w:color w:val="4B5555"/>
          <w:sz w:val="18"/>
          <w:szCs w:val="18"/>
          <w:shd w:val="clear" w:color="auto" w:fill="FFFFFF"/>
        </w:rPr>
        <w:t xml:space="preserve"> </w:t>
      </w:r>
      <w:hyperlink r:id="rId61" w:history="1">
        <w:r w:rsidRPr="003A0C2D">
          <w:rPr>
            <w:rStyle w:val="Hyperlink"/>
            <w:rFonts w:eastAsia="Calibri"/>
            <w:lang w:eastAsia="en-US"/>
          </w:rPr>
          <w:t>https://www.jstor.org/stable/41514713</w:t>
        </w:r>
      </w:hyperlink>
      <w:r>
        <w:rPr>
          <w:rFonts w:eastAsia="Calibri"/>
          <w:lang w:eastAsia="en-US"/>
        </w:rPr>
        <w:t xml:space="preserve"> </w:t>
      </w:r>
    </w:p>
    <w:sectPr w:rsidR="00F8130C" w:rsidSect="00074B81">
      <w:footerReference w:type="default" r:id="rId62"/>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6C131" w14:textId="77777777" w:rsidR="004F7E60" w:rsidRDefault="004F7E60" w:rsidP="00AF2C92">
      <w:r>
        <w:separator/>
      </w:r>
    </w:p>
  </w:endnote>
  <w:endnote w:type="continuationSeparator" w:id="0">
    <w:p w14:paraId="4B2D9C36" w14:textId="77777777" w:rsidR="004F7E60" w:rsidRDefault="004F7E6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371079"/>
      <w:docPartObj>
        <w:docPartGallery w:val="Page Numbers (Bottom of Page)"/>
        <w:docPartUnique/>
      </w:docPartObj>
    </w:sdtPr>
    <w:sdtEndPr>
      <w:rPr>
        <w:noProof/>
      </w:rPr>
    </w:sdtEndPr>
    <w:sdtContent>
      <w:p w14:paraId="58079E02" w14:textId="055EC39F" w:rsidR="00483A7B" w:rsidRDefault="00483A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2FEF18" w14:textId="77777777" w:rsidR="00483A7B" w:rsidRDefault="00483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30902" w14:textId="77777777" w:rsidR="004F7E60" w:rsidRDefault="004F7E60" w:rsidP="00AF2C92">
      <w:r>
        <w:separator/>
      </w:r>
    </w:p>
  </w:footnote>
  <w:footnote w:type="continuationSeparator" w:id="0">
    <w:p w14:paraId="36BAABB8" w14:textId="77777777" w:rsidR="004F7E60" w:rsidRDefault="004F7E60"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A30B8E"/>
    <w:multiLevelType w:val="multilevel"/>
    <w:tmpl w:val="CB80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A51A6B"/>
    <w:multiLevelType w:val="multilevel"/>
    <w:tmpl w:val="555E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7F1279"/>
    <w:multiLevelType w:val="multilevel"/>
    <w:tmpl w:val="DDF8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6E488E"/>
    <w:multiLevelType w:val="multilevel"/>
    <w:tmpl w:val="8492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87232"/>
    <w:multiLevelType w:val="multilevel"/>
    <w:tmpl w:val="8CC2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0632E6"/>
    <w:multiLevelType w:val="multilevel"/>
    <w:tmpl w:val="9ED0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15925"/>
    <w:multiLevelType w:val="multilevel"/>
    <w:tmpl w:val="764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5"/>
  </w:num>
  <w:num w:numId="15">
    <w:abstractNumId w:val="17"/>
  </w:num>
  <w:num w:numId="16">
    <w:abstractNumId w:val="19"/>
  </w:num>
  <w:num w:numId="17">
    <w:abstractNumId w:val="11"/>
  </w:num>
  <w:num w:numId="18">
    <w:abstractNumId w:val="0"/>
  </w:num>
  <w:num w:numId="19">
    <w:abstractNumId w:val="12"/>
  </w:num>
  <w:num w:numId="20">
    <w:abstractNumId w:val="25"/>
  </w:num>
  <w:num w:numId="21">
    <w:abstractNumId w:val="25"/>
  </w:num>
  <w:num w:numId="22">
    <w:abstractNumId w:val="25"/>
  </w:num>
  <w:num w:numId="23">
    <w:abstractNumId w:val="25"/>
  </w:num>
  <w:num w:numId="24">
    <w:abstractNumId w:val="20"/>
  </w:num>
  <w:num w:numId="25">
    <w:abstractNumId w:val="21"/>
  </w:num>
  <w:num w:numId="26">
    <w:abstractNumId w:val="26"/>
  </w:num>
  <w:num w:numId="27">
    <w:abstractNumId w:val="27"/>
  </w:num>
  <w:num w:numId="28">
    <w:abstractNumId w:val="25"/>
  </w:num>
  <w:num w:numId="29">
    <w:abstractNumId w:val="16"/>
  </w:num>
  <w:num w:numId="30">
    <w:abstractNumId w:val="28"/>
  </w:num>
  <w:num w:numId="31">
    <w:abstractNumId w:val="23"/>
  </w:num>
  <w:num w:numId="32">
    <w:abstractNumId w:val="14"/>
  </w:num>
  <w:num w:numId="33">
    <w:abstractNumId w:val="22"/>
  </w:num>
  <w:num w:numId="34">
    <w:abstractNumId w:val="13"/>
  </w:num>
  <w:num w:numId="35">
    <w:abstractNumId w:val="30"/>
  </w:num>
  <w:num w:numId="36">
    <w:abstractNumId w:val="1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AA"/>
    <w:rsid w:val="00001899"/>
    <w:rsid w:val="00001D5A"/>
    <w:rsid w:val="0000398C"/>
    <w:rsid w:val="000049AD"/>
    <w:rsid w:val="0000531B"/>
    <w:rsid w:val="00005C89"/>
    <w:rsid w:val="0000681B"/>
    <w:rsid w:val="000133C0"/>
    <w:rsid w:val="00014C4E"/>
    <w:rsid w:val="00017107"/>
    <w:rsid w:val="000202E2"/>
    <w:rsid w:val="00022441"/>
    <w:rsid w:val="0002261E"/>
    <w:rsid w:val="00024839"/>
    <w:rsid w:val="0002496B"/>
    <w:rsid w:val="00026871"/>
    <w:rsid w:val="00031C58"/>
    <w:rsid w:val="00037A98"/>
    <w:rsid w:val="000427FB"/>
    <w:rsid w:val="0004387F"/>
    <w:rsid w:val="0004455E"/>
    <w:rsid w:val="00047CB5"/>
    <w:rsid w:val="00051FAA"/>
    <w:rsid w:val="00054914"/>
    <w:rsid w:val="000569DF"/>
    <w:rsid w:val="000572A9"/>
    <w:rsid w:val="00061325"/>
    <w:rsid w:val="00066C73"/>
    <w:rsid w:val="000673EB"/>
    <w:rsid w:val="000733AC"/>
    <w:rsid w:val="00074B81"/>
    <w:rsid w:val="00074D22"/>
    <w:rsid w:val="00075081"/>
    <w:rsid w:val="0007528A"/>
    <w:rsid w:val="00076791"/>
    <w:rsid w:val="00080049"/>
    <w:rsid w:val="000811AB"/>
    <w:rsid w:val="00083C5F"/>
    <w:rsid w:val="0009172C"/>
    <w:rsid w:val="00092FD1"/>
    <w:rsid w:val="000930EC"/>
    <w:rsid w:val="00095E61"/>
    <w:rsid w:val="000966C1"/>
    <w:rsid w:val="000970AC"/>
    <w:rsid w:val="000A1167"/>
    <w:rsid w:val="000A4428"/>
    <w:rsid w:val="000A4B57"/>
    <w:rsid w:val="000A6D40"/>
    <w:rsid w:val="000A75E8"/>
    <w:rsid w:val="000A7BC3"/>
    <w:rsid w:val="000B04CF"/>
    <w:rsid w:val="000B1661"/>
    <w:rsid w:val="000B1F0B"/>
    <w:rsid w:val="000B2E88"/>
    <w:rsid w:val="000B4603"/>
    <w:rsid w:val="000C09BE"/>
    <w:rsid w:val="000C1380"/>
    <w:rsid w:val="000C3C0E"/>
    <w:rsid w:val="000C554F"/>
    <w:rsid w:val="000D0DC5"/>
    <w:rsid w:val="000D15FF"/>
    <w:rsid w:val="000D28DF"/>
    <w:rsid w:val="000D488B"/>
    <w:rsid w:val="000D5C42"/>
    <w:rsid w:val="000D68DF"/>
    <w:rsid w:val="000E138D"/>
    <w:rsid w:val="000E187A"/>
    <w:rsid w:val="000E2D61"/>
    <w:rsid w:val="000E30FF"/>
    <w:rsid w:val="000E450E"/>
    <w:rsid w:val="000E6259"/>
    <w:rsid w:val="000F0E24"/>
    <w:rsid w:val="000F4677"/>
    <w:rsid w:val="000F5BE0"/>
    <w:rsid w:val="00100587"/>
    <w:rsid w:val="00100FF7"/>
    <w:rsid w:val="0010284E"/>
    <w:rsid w:val="00102DB7"/>
    <w:rsid w:val="00103122"/>
    <w:rsid w:val="0010336A"/>
    <w:rsid w:val="00103867"/>
    <w:rsid w:val="001050F1"/>
    <w:rsid w:val="00105442"/>
    <w:rsid w:val="00105AEA"/>
    <w:rsid w:val="00106DAF"/>
    <w:rsid w:val="00114ABE"/>
    <w:rsid w:val="00116023"/>
    <w:rsid w:val="001250C0"/>
    <w:rsid w:val="001322B1"/>
    <w:rsid w:val="00134A51"/>
    <w:rsid w:val="00140727"/>
    <w:rsid w:val="00141BD4"/>
    <w:rsid w:val="00145344"/>
    <w:rsid w:val="00160628"/>
    <w:rsid w:val="00161344"/>
    <w:rsid w:val="00162195"/>
    <w:rsid w:val="0016322A"/>
    <w:rsid w:val="00165A21"/>
    <w:rsid w:val="001665F6"/>
    <w:rsid w:val="001705CE"/>
    <w:rsid w:val="00170F63"/>
    <w:rsid w:val="00176BC9"/>
    <w:rsid w:val="0017714B"/>
    <w:rsid w:val="001804DF"/>
    <w:rsid w:val="001804FB"/>
    <w:rsid w:val="00180E75"/>
    <w:rsid w:val="00181BDC"/>
    <w:rsid w:val="00181DB0"/>
    <w:rsid w:val="001829E3"/>
    <w:rsid w:val="0018341E"/>
    <w:rsid w:val="001924C0"/>
    <w:rsid w:val="001967B6"/>
    <w:rsid w:val="0019731E"/>
    <w:rsid w:val="001A09FE"/>
    <w:rsid w:val="001A3039"/>
    <w:rsid w:val="001A67C9"/>
    <w:rsid w:val="001A69DE"/>
    <w:rsid w:val="001A713C"/>
    <w:rsid w:val="001B1C7C"/>
    <w:rsid w:val="001B398F"/>
    <w:rsid w:val="001B4125"/>
    <w:rsid w:val="001B46C6"/>
    <w:rsid w:val="001B4B48"/>
    <w:rsid w:val="001B4D1F"/>
    <w:rsid w:val="001B7681"/>
    <w:rsid w:val="001B79BF"/>
    <w:rsid w:val="001B7CAE"/>
    <w:rsid w:val="001C0772"/>
    <w:rsid w:val="001C0D4F"/>
    <w:rsid w:val="001C1BA3"/>
    <w:rsid w:val="001C1DEC"/>
    <w:rsid w:val="001C4B01"/>
    <w:rsid w:val="001C5736"/>
    <w:rsid w:val="001C5F2F"/>
    <w:rsid w:val="001D3A5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5D7B"/>
    <w:rsid w:val="0021620C"/>
    <w:rsid w:val="00216E78"/>
    <w:rsid w:val="00217275"/>
    <w:rsid w:val="002211DD"/>
    <w:rsid w:val="00227D3B"/>
    <w:rsid w:val="00230164"/>
    <w:rsid w:val="002325E5"/>
    <w:rsid w:val="002337CD"/>
    <w:rsid w:val="002369CD"/>
    <w:rsid w:val="00236F4B"/>
    <w:rsid w:val="00242B0D"/>
    <w:rsid w:val="002467C6"/>
    <w:rsid w:val="0024692A"/>
    <w:rsid w:val="002514E7"/>
    <w:rsid w:val="00252BBA"/>
    <w:rsid w:val="00253123"/>
    <w:rsid w:val="00253609"/>
    <w:rsid w:val="00261A65"/>
    <w:rsid w:val="00264001"/>
    <w:rsid w:val="00266354"/>
    <w:rsid w:val="00267A18"/>
    <w:rsid w:val="00273462"/>
    <w:rsid w:val="0027395B"/>
    <w:rsid w:val="00274933"/>
    <w:rsid w:val="00275854"/>
    <w:rsid w:val="002810CD"/>
    <w:rsid w:val="00283B41"/>
    <w:rsid w:val="00284FB0"/>
    <w:rsid w:val="0028576D"/>
    <w:rsid w:val="00285F28"/>
    <w:rsid w:val="00286398"/>
    <w:rsid w:val="002A3C42"/>
    <w:rsid w:val="002A492B"/>
    <w:rsid w:val="002A5D75"/>
    <w:rsid w:val="002B0BF6"/>
    <w:rsid w:val="002B1B1A"/>
    <w:rsid w:val="002B5797"/>
    <w:rsid w:val="002B6681"/>
    <w:rsid w:val="002B7228"/>
    <w:rsid w:val="002C53EE"/>
    <w:rsid w:val="002D24F7"/>
    <w:rsid w:val="002D2799"/>
    <w:rsid w:val="002D2CD7"/>
    <w:rsid w:val="002D4DDC"/>
    <w:rsid w:val="002D4F75"/>
    <w:rsid w:val="002D6493"/>
    <w:rsid w:val="002D7AB6"/>
    <w:rsid w:val="002E06D0"/>
    <w:rsid w:val="002E34BC"/>
    <w:rsid w:val="002E3C27"/>
    <w:rsid w:val="002E403A"/>
    <w:rsid w:val="002E7F3A"/>
    <w:rsid w:val="002F4EDB"/>
    <w:rsid w:val="002F6054"/>
    <w:rsid w:val="002F61B8"/>
    <w:rsid w:val="002F76AD"/>
    <w:rsid w:val="003076F3"/>
    <w:rsid w:val="00310E13"/>
    <w:rsid w:val="00313A4D"/>
    <w:rsid w:val="00313ADC"/>
    <w:rsid w:val="0031457D"/>
    <w:rsid w:val="00315713"/>
    <w:rsid w:val="00315985"/>
    <w:rsid w:val="00315CE6"/>
    <w:rsid w:val="00316091"/>
    <w:rsid w:val="0031686C"/>
    <w:rsid w:val="00316FE0"/>
    <w:rsid w:val="003204D2"/>
    <w:rsid w:val="0032605E"/>
    <w:rsid w:val="003275D1"/>
    <w:rsid w:val="00330B2A"/>
    <w:rsid w:val="00331E17"/>
    <w:rsid w:val="0033247E"/>
    <w:rsid w:val="00333063"/>
    <w:rsid w:val="00333584"/>
    <w:rsid w:val="003408E3"/>
    <w:rsid w:val="0034147A"/>
    <w:rsid w:val="00343480"/>
    <w:rsid w:val="00345E89"/>
    <w:rsid w:val="003522A1"/>
    <w:rsid w:val="0035254B"/>
    <w:rsid w:val="00352B75"/>
    <w:rsid w:val="00352B9E"/>
    <w:rsid w:val="00353555"/>
    <w:rsid w:val="003565D4"/>
    <w:rsid w:val="003607FB"/>
    <w:rsid w:val="00360FD5"/>
    <w:rsid w:val="0036340D"/>
    <w:rsid w:val="003634A5"/>
    <w:rsid w:val="00365E11"/>
    <w:rsid w:val="00366868"/>
    <w:rsid w:val="00367506"/>
    <w:rsid w:val="00370085"/>
    <w:rsid w:val="00370379"/>
    <w:rsid w:val="00371E0A"/>
    <w:rsid w:val="003744A7"/>
    <w:rsid w:val="00376235"/>
    <w:rsid w:val="00380A55"/>
    <w:rsid w:val="00381FB6"/>
    <w:rsid w:val="003836D3"/>
    <w:rsid w:val="00383A52"/>
    <w:rsid w:val="00391652"/>
    <w:rsid w:val="0039507F"/>
    <w:rsid w:val="003A1260"/>
    <w:rsid w:val="003A295F"/>
    <w:rsid w:val="003A41DD"/>
    <w:rsid w:val="003A7033"/>
    <w:rsid w:val="003A7AA6"/>
    <w:rsid w:val="003B097F"/>
    <w:rsid w:val="003B2A28"/>
    <w:rsid w:val="003B47FE"/>
    <w:rsid w:val="003B5673"/>
    <w:rsid w:val="003B6287"/>
    <w:rsid w:val="003B62C9"/>
    <w:rsid w:val="003C0606"/>
    <w:rsid w:val="003C41B5"/>
    <w:rsid w:val="003C4D93"/>
    <w:rsid w:val="003C54E2"/>
    <w:rsid w:val="003C7176"/>
    <w:rsid w:val="003D0074"/>
    <w:rsid w:val="003D0929"/>
    <w:rsid w:val="003D4729"/>
    <w:rsid w:val="003D583B"/>
    <w:rsid w:val="003D5E58"/>
    <w:rsid w:val="003D63F4"/>
    <w:rsid w:val="003D76B7"/>
    <w:rsid w:val="003D7DD6"/>
    <w:rsid w:val="003E5AAF"/>
    <w:rsid w:val="003E600D"/>
    <w:rsid w:val="003E6254"/>
    <w:rsid w:val="003E64DF"/>
    <w:rsid w:val="003E6A5D"/>
    <w:rsid w:val="003F193A"/>
    <w:rsid w:val="003F3F42"/>
    <w:rsid w:val="003F4207"/>
    <w:rsid w:val="003F5C46"/>
    <w:rsid w:val="003F75FF"/>
    <w:rsid w:val="003F7CBB"/>
    <w:rsid w:val="003F7D34"/>
    <w:rsid w:val="00407623"/>
    <w:rsid w:val="00412C8E"/>
    <w:rsid w:val="0041518D"/>
    <w:rsid w:val="0041636D"/>
    <w:rsid w:val="0042221D"/>
    <w:rsid w:val="004245A9"/>
    <w:rsid w:val="00424DD3"/>
    <w:rsid w:val="004269C5"/>
    <w:rsid w:val="00435939"/>
    <w:rsid w:val="00437CC7"/>
    <w:rsid w:val="00442B9C"/>
    <w:rsid w:val="00442C3D"/>
    <w:rsid w:val="004441C4"/>
    <w:rsid w:val="00445819"/>
    <w:rsid w:val="00445EFA"/>
    <w:rsid w:val="0044738A"/>
    <w:rsid w:val="004473D3"/>
    <w:rsid w:val="00452231"/>
    <w:rsid w:val="00455501"/>
    <w:rsid w:val="00455808"/>
    <w:rsid w:val="00455E2D"/>
    <w:rsid w:val="004562B1"/>
    <w:rsid w:val="00460185"/>
    <w:rsid w:val="00460C13"/>
    <w:rsid w:val="00463228"/>
    <w:rsid w:val="00463782"/>
    <w:rsid w:val="004667E0"/>
    <w:rsid w:val="0046760E"/>
    <w:rsid w:val="004704CC"/>
    <w:rsid w:val="00470E10"/>
    <w:rsid w:val="004725D4"/>
    <w:rsid w:val="00477A97"/>
    <w:rsid w:val="00481343"/>
    <w:rsid w:val="00483A7B"/>
    <w:rsid w:val="0048549E"/>
    <w:rsid w:val="004930C6"/>
    <w:rsid w:val="00493347"/>
    <w:rsid w:val="00496092"/>
    <w:rsid w:val="004A08DB"/>
    <w:rsid w:val="004A19CB"/>
    <w:rsid w:val="004A1B96"/>
    <w:rsid w:val="004A25D0"/>
    <w:rsid w:val="004A37E8"/>
    <w:rsid w:val="004A3E75"/>
    <w:rsid w:val="004A7549"/>
    <w:rsid w:val="004B09D4"/>
    <w:rsid w:val="004B309D"/>
    <w:rsid w:val="004B330A"/>
    <w:rsid w:val="004B7C8E"/>
    <w:rsid w:val="004C3D3C"/>
    <w:rsid w:val="004C52E1"/>
    <w:rsid w:val="004C5349"/>
    <w:rsid w:val="004C6114"/>
    <w:rsid w:val="004D047F"/>
    <w:rsid w:val="004D0EDC"/>
    <w:rsid w:val="004D1220"/>
    <w:rsid w:val="004D14B3"/>
    <w:rsid w:val="004D1529"/>
    <w:rsid w:val="004D2253"/>
    <w:rsid w:val="004D34C4"/>
    <w:rsid w:val="004D5514"/>
    <w:rsid w:val="004D56C3"/>
    <w:rsid w:val="004E0338"/>
    <w:rsid w:val="004E4FF3"/>
    <w:rsid w:val="004E56A8"/>
    <w:rsid w:val="004E652C"/>
    <w:rsid w:val="004F1307"/>
    <w:rsid w:val="004F27E5"/>
    <w:rsid w:val="004F3303"/>
    <w:rsid w:val="004F3B55"/>
    <w:rsid w:val="004F428E"/>
    <w:rsid w:val="004F4E46"/>
    <w:rsid w:val="004F6B7D"/>
    <w:rsid w:val="004F76CC"/>
    <w:rsid w:val="004F7E60"/>
    <w:rsid w:val="005013B4"/>
    <w:rsid w:val="005015F6"/>
    <w:rsid w:val="005030C4"/>
    <w:rsid w:val="005031C5"/>
    <w:rsid w:val="00504FDC"/>
    <w:rsid w:val="005120CC"/>
    <w:rsid w:val="00512B7B"/>
    <w:rsid w:val="00514EA1"/>
    <w:rsid w:val="00515142"/>
    <w:rsid w:val="00516C89"/>
    <w:rsid w:val="0051798B"/>
    <w:rsid w:val="00521F5A"/>
    <w:rsid w:val="0052588D"/>
    <w:rsid w:val="00525E06"/>
    <w:rsid w:val="00526454"/>
    <w:rsid w:val="005273C0"/>
    <w:rsid w:val="00531823"/>
    <w:rsid w:val="00531ADC"/>
    <w:rsid w:val="00533726"/>
    <w:rsid w:val="00534ECC"/>
    <w:rsid w:val="0053720D"/>
    <w:rsid w:val="00537450"/>
    <w:rsid w:val="00540956"/>
    <w:rsid w:val="00540EF5"/>
    <w:rsid w:val="00541BF3"/>
    <w:rsid w:val="00541CD3"/>
    <w:rsid w:val="005425E0"/>
    <w:rsid w:val="005476FA"/>
    <w:rsid w:val="0055595E"/>
    <w:rsid w:val="00557988"/>
    <w:rsid w:val="00562C49"/>
    <w:rsid w:val="00562DEF"/>
    <w:rsid w:val="0056321A"/>
    <w:rsid w:val="00563A35"/>
    <w:rsid w:val="00566596"/>
    <w:rsid w:val="00566C49"/>
    <w:rsid w:val="00572FEE"/>
    <w:rsid w:val="005741E9"/>
    <w:rsid w:val="005748CF"/>
    <w:rsid w:val="00574FCF"/>
    <w:rsid w:val="00583566"/>
    <w:rsid w:val="00584270"/>
    <w:rsid w:val="00584738"/>
    <w:rsid w:val="00584D5C"/>
    <w:rsid w:val="00586E72"/>
    <w:rsid w:val="00587FBD"/>
    <w:rsid w:val="005920B0"/>
    <w:rsid w:val="0059380D"/>
    <w:rsid w:val="00595A8F"/>
    <w:rsid w:val="005977C2"/>
    <w:rsid w:val="00597BF2"/>
    <w:rsid w:val="005A1F54"/>
    <w:rsid w:val="005A3020"/>
    <w:rsid w:val="005A5489"/>
    <w:rsid w:val="005A63EB"/>
    <w:rsid w:val="005B07B4"/>
    <w:rsid w:val="005B134E"/>
    <w:rsid w:val="005B2039"/>
    <w:rsid w:val="005B344F"/>
    <w:rsid w:val="005B3EF7"/>
    <w:rsid w:val="005B3FBA"/>
    <w:rsid w:val="005B4A1D"/>
    <w:rsid w:val="005B674D"/>
    <w:rsid w:val="005B6EEE"/>
    <w:rsid w:val="005C056D"/>
    <w:rsid w:val="005C0CBE"/>
    <w:rsid w:val="005C1FCF"/>
    <w:rsid w:val="005C2FE5"/>
    <w:rsid w:val="005C3F41"/>
    <w:rsid w:val="005C45BB"/>
    <w:rsid w:val="005C604E"/>
    <w:rsid w:val="005D1885"/>
    <w:rsid w:val="005D18F3"/>
    <w:rsid w:val="005D3BF1"/>
    <w:rsid w:val="005D4A38"/>
    <w:rsid w:val="005E2EEA"/>
    <w:rsid w:val="005E3708"/>
    <w:rsid w:val="005E3CCD"/>
    <w:rsid w:val="005E3D6B"/>
    <w:rsid w:val="005E598E"/>
    <w:rsid w:val="005E5B55"/>
    <w:rsid w:val="005E5E4A"/>
    <w:rsid w:val="005E693D"/>
    <w:rsid w:val="005E75BF"/>
    <w:rsid w:val="005F57BA"/>
    <w:rsid w:val="005F61E6"/>
    <w:rsid w:val="005F6C45"/>
    <w:rsid w:val="00601F04"/>
    <w:rsid w:val="00605A69"/>
    <w:rsid w:val="00605D49"/>
    <w:rsid w:val="00606C54"/>
    <w:rsid w:val="00614375"/>
    <w:rsid w:val="00615B0A"/>
    <w:rsid w:val="006168CF"/>
    <w:rsid w:val="0062011B"/>
    <w:rsid w:val="00626DE0"/>
    <w:rsid w:val="00627940"/>
    <w:rsid w:val="00630062"/>
    <w:rsid w:val="00630901"/>
    <w:rsid w:val="00631061"/>
    <w:rsid w:val="00631F1C"/>
    <w:rsid w:val="00631F8E"/>
    <w:rsid w:val="00634CCC"/>
    <w:rsid w:val="00636EE9"/>
    <w:rsid w:val="00640950"/>
    <w:rsid w:val="00641AE7"/>
    <w:rsid w:val="00642629"/>
    <w:rsid w:val="00645657"/>
    <w:rsid w:val="0064782B"/>
    <w:rsid w:val="00650BFF"/>
    <w:rsid w:val="0065293D"/>
    <w:rsid w:val="00653862"/>
    <w:rsid w:val="006539CC"/>
    <w:rsid w:val="00653EFC"/>
    <w:rsid w:val="00654021"/>
    <w:rsid w:val="00661045"/>
    <w:rsid w:val="00663C0A"/>
    <w:rsid w:val="00664997"/>
    <w:rsid w:val="00666767"/>
    <w:rsid w:val="00666DA8"/>
    <w:rsid w:val="00671057"/>
    <w:rsid w:val="00674BFF"/>
    <w:rsid w:val="00675AAF"/>
    <w:rsid w:val="00677202"/>
    <w:rsid w:val="0068031A"/>
    <w:rsid w:val="00681B2F"/>
    <w:rsid w:val="0068335F"/>
    <w:rsid w:val="00683862"/>
    <w:rsid w:val="00685AB2"/>
    <w:rsid w:val="0068623E"/>
    <w:rsid w:val="00687217"/>
    <w:rsid w:val="0069020E"/>
    <w:rsid w:val="00693302"/>
    <w:rsid w:val="0069640B"/>
    <w:rsid w:val="006A1B83"/>
    <w:rsid w:val="006A21CD"/>
    <w:rsid w:val="006A5918"/>
    <w:rsid w:val="006A78A2"/>
    <w:rsid w:val="006B21B2"/>
    <w:rsid w:val="006B4A4A"/>
    <w:rsid w:val="006C19B2"/>
    <w:rsid w:val="006C27FD"/>
    <w:rsid w:val="006C4409"/>
    <w:rsid w:val="006C5BB8"/>
    <w:rsid w:val="006C6936"/>
    <w:rsid w:val="006C7B01"/>
    <w:rsid w:val="006D0FE8"/>
    <w:rsid w:val="006D4044"/>
    <w:rsid w:val="006D4B2B"/>
    <w:rsid w:val="006D4F3C"/>
    <w:rsid w:val="006D5A28"/>
    <w:rsid w:val="006D5C66"/>
    <w:rsid w:val="006D7002"/>
    <w:rsid w:val="006E1B3C"/>
    <w:rsid w:val="006E23FB"/>
    <w:rsid w:val="006E325A"/>
    <w:rsid w:val="006E33EC"/>
    <w:rsid w:val="006E3802"/>
    <w:rsid w:val="006E6C02"/>
    <w:rsid w:val="006F231A"/>
    <w:rsid w:val="006F4DA7"/>
    <w:rsid w:val="006F5BD7"/>
    <w:rsid w:val="006F6B55"/>
    <w:rsid w:val="006F788D"/>
    <w:rsid w:val="006F78E1"/>
    <w:rsid w:val="00701072"/>
    <w:rsid w:val="00702054"/>
    <w:rsid w:val="007035A4"/>
    <w:rsid w:val="00706B04"/>
    <w:rsid w:val="00711799"/>
    <w:rsid w:val="00712B78"/>
    <w:rsid w:val="0071393B"/>
    <w:rsid w:val="00713EE2"/>
    <w:rsid w:val="007157C6"/>
    <w:rsid w:val="007177FC"/>
    <w:rsid w:val="00720C5E"/>
    <w:rsid w:val="00721701"/>
    <w:rsid w:val="00724CF4"/>
    <w:rsid w:val="007274F0"/>
    <w:rsid w:val="00731835"/>
    <w:rsid w:val="00731906"/>
    <w:rsid w:val="007330C0"/>
    <w:rsid w:val="007340B0"/>
    <w:rsid w:val="007341F8"/>
    <w:rsid w:val="00734372"/>
    <w:rsid w:val="00734EB8"/>
    <w:rsid w:val="00735F8B"/>
    <w:rsid w:val="0074090B"/>
    <w:rsid w:val="007411F6"/>
    <w:rsid w:val="00742D1F"/>
    <w:rsid w:val="00743EBA"/>
    <w:rsid w:val="00744C8E"/>
    <w:rsid w:val="00745767"/>
    <w:rsid w:val="00746F17"/>
    <w:rsid w:val="0074707E"/>
    <w:rsid w:val="00747F07"/>
    <w:rsid w:val="0075125D"/>
    <w:rsid w:val="007516DC"/>
    <w:rsid w:val="00752E58"/>
    <w:rsid w:val="00754B62"/>
    <w:rsid w:val="00754B80"/>
    <w:rsid w:val="00761918"/>
    <w:rsid w:val="0076289D"/>
    <w:rsid w:val="00762F03"/>
    <w:rsid w:val="007633DC"/>
    <w:rsid w:val="00763714"/>
    <w:rsid w:val="0076413B"/>
    <w:rsid w:val="007648AE"/>
    <w:rsid w:val="00764BF8"/>
    <w:rsid w:val="0076514D"/>
    <w:rsid w:val="00770015"/>
    <w:rsid w:val="00773D59"/>
    <w:rsid w:val="00781003"/>
    <w:rsid w:val="00781285"/>
    <w:rsid w:val="007857A1"/>
    <w:rsid w:val="007911FD"/>
    <w:rsid w:val="00791F5D"/>
    <w:rsid w:val="00793930"/>
    <w:rsid w:val="00793DD1"/>
    <w:rsid w:val="00794FEC"/>
    <w:rsid w:val="00795B4E"/>
    <w:rsid w:val="007A003E"/>
    <w:rsid w:val="007A1965"/>
    <w:rsid w:val="007A2ED1"/>
    <w:rsid w:val="007A4BE6"/>
    <w:rsid w:val="007B0DC6"/>
    <w:rsid w:val="007B1094"/>
    <w:rsid w:val="007B1762"/>
    <w:rsid w:val="007B3320"/>
    <w:rsid w:val="007C301F"/>
    <w:rsid w:val="007C4540"/>
    <w:rsid w:val="007C65AF"/>
    <w:rsid w:val="007C6AF0"/>
    <w:rsid w:val="007D135D"/>
    <w:rsid w:val="007D4C98"/>
    <w:rsid w:val="007D730F"/>
    <w:rsid w:val="007D7CD8"/>
    <w:rsid w:val="007E3AA7"/>
    <w:rsid w:val="007F3A67"/>
    <w:rsid w:val="007F56A8"/>
    <w:rsid w:val="007F737D"/>
    <w:rsid w:val="0080308E"/>
    <w:rsid w:val="00805303"/>
    <w:rsid w:val="00806705"/>
    <w:rsid w:val="00806738"/>
    <w:rsid w:val="00821118"/>
    <w:rsid w:val="008216D5"/>
    <w:rsid w:val="008222DE"/>
    <w:rsid w:val="008249CE"/>
    <w:rsid w:val="00831A50"/>
    <w:rsid w:val="00831B3C"/>
    <w:rsid w:val="00831C89"/>
    <w:rsid w:val="00832114"/>
    <w:rsid w:val="00834C46"/>
    <w:rsid w:val="0084093E"/>
    <w:rsid w:val="00841CE1"/>
    <w:rsid w:val="00844DA8"/>
    <w:rsid w:val="008473D8"/>
    <w:rsid w:val="00847856"/>
    <w:rsid w:val="008528DC"/>
    <w:rsid w:val="00852B8C"/>
    <w:rsid w:val="00854981"/>
    <w:rsid w:val="00864B2E"/>
    <w:rsid w:val="00864D69"/>
    <w:rsid w:val="00865963"/>
    <w:rsid w:val="00871C1D"/>
    <w:rsid w:val="0087450E"/>
    <w:rsid w:val="00874CBA"/>
    <w:rsid w:val="00875A82"/>
    <w:rsid w:val="00876CA3"/>
    <w:rsid w:val="008772FE"/>
    <w:rsid w:val="008775F1"/>
    <w:rsid w:val="008821AE"/>
    <w:rsid w:val="00883C06"/>
    <w:rsid w:val="00883D3A"/>
    <w:rsid w:val="008854F7"/>
    <w:rsid w:val="00885A9D"/>
    <w:rsid w:val="008873DF"/>
    <w:rsid w:val="00887870"/>
    <w:rsid w:val="008929D2"/>
    <w:rsid w:val="00893636"/>
    <w:rsid w:val="008938C6"/>
    <w:rsid w:val="00893B94"/>
    <w:rsid w:val="00894CB7"/>
    <w:rsid w:val="00896E9D"/>
    <w:rsid w:val="00896F11"/>
    <w:rsid w:val="008A1049"/>
    <w:rsid w:val="008A1C98"/>
    <w:rsid w:val="008A22A7"/>
    <w:rsid w:val="008A322D"/>
    <w:rsid w:val="008A4D72"/>
    <w:rsid w:val="008A6285"/>
    <w:rsid w:val="008A63B2"/>
    <w:rsid w:val="008B2720"/>
    <w:rsid w:val="008B345D"/>
    <w:rsid w:val="008C1FC2"/>
    <w:rsid w:val="008C2980"/>
    <w:rsid w:val="008C48F6"/>
    <w:rsid w:val="008C4DD6"/>
    <w:rsid w:val="008C4F53"/>
    <w:rsid w:val="008C5AFB"/>
    <w:rsid w:val="008D07FB"/>
    <w:rsid w:val="008D0C02"/>
    <w:rsid w:val="008D357D"/>
    <w:rsid w:val="008D435A"/>
    <w:rsid w:val="008E387B"/>
    <w:rsid w:val="008E6087"/>
    <w:rsid w:val="008E758D"/>
    <w:rsid w:val="008F10A7"/>
    <w:rsid w:val="008F2F53"/>
    <w:rsid w:val="008F755D"/>
    <w:rsid w:val="008F7A39"/>
    <w:rsid w:val="00900E41"/>
    <w:rsid w:val="009021E8"/>
    <w:rsid w:val="009021EE"/>
    <w:rsid w:val="0090237F"/>
    <w:rsid w:val="00903ABE"/>
    <w:rsid w:val="00904677"/>
    <w:rsid w:val="00905EE2"/>
    <w:rsid w:val="00906E81"/>
    <w:rsid w:val="00911440"/>
    <w:rsid w:val="00911712"/>
    <w:rsid w:val="00911B27"/>
    <w:rsid w:val="009170BE"/>
    <w:rsid w:val="00917B39"/>
    <w:rsid w:val="00920B55"/>
    <w:rsid w:val="00920E11"/>
    <w:rsid w:val="00922E34"/>
    <w:rsid w:val="00923C58"/>
    <w:rsid w:val="009262C9"/>
    <w:rsid w:val="00930EB9"/>
    <w:rsid w:val="00933DC7"/>
    <w:rsid w:val="00936062"/>
    <w:rsid w:val="00940C70"/>
    <w:rsid w:val="009418F4"/>
    <w:rsid w:val="00942BBC"/>
    <w:rsid w:val="00942CD0"/>
    <w:rsid w:val="00944180"/>
    <w:rsid w:val="00944AA0"/>
    <w:rsid w:val="00947443"/>
    <w:rsid w:val="00947DA2"/>
    <w:rsid w:val="00951177"/>
    <w:rsid w:val="00951CFB"/>
    <w:rsid w:val="00960A91"/>
    <w:rsid w:val="009670CA"/>
    <w:rsid w:val="009673E8"/>
    <w:rsid w:val="00974DB8"/>
    <w:rsid w:val="00980661"/>
    <w:rsid w:val="0098093B"/>
    <w:rsid w:val="00980C6C"/>
    <w:rsid w:val="00981A40"/>
    <w:rsid w:val="009876D4"/>
    <w:rsid w:val="009914A5"/>
    <w:rsid w:val="00993914"/>
    <w:rsid w:val="0099548E"/>
    <w:rsid w:val="00995653"/>
    <w:rsid w:val="00996456"/>
    <w:rsid w:val="00996A12"/>
    <w:rsid w:val="00997B0F"/>
    <w:rsid w:val="009A0CC3"/>
    <w:rsid w:val="009A1CAD"/>
    <w:rsid w:val="009A3440"/>
    <w:rsid w:val="009A5832"/>
    <w:rsid w:val="009A67E6"/>
    <w:rsid w:val="009A6838"/>
    <w:rsid w:val="009B1F8E"/>
    <w:rsid w:val="009B24B5"/>
    <w:rsid w:val="009B4EBC"/>
    <w:rsid w:val="009B5ABB"/>
    <w:rsid w:val="009B73CE"/>
    <w:rsid w:val="009C2461"/>
    <w:rsid w:val="009C5A15"/>
    <w:rsid w:val="009C6FE2"/>
    <w:rsid w:val="009C7674"/>
    <w:rsid w:val="009D004A"/>
    <w:rsid w:val="009D0895"/>
    <w:rsid w:val="009D2A1A"/>
    <w:rsid w:val="009D5880"/>
    <w:rsid w:val="009E1FD4"/>
    <w:rsid w:val="009E2892"/>
    <w:rsid w:val="009E2BC3"/>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278EF"/>
    <w:rsid w:val="00A32FCB"/>
    <w:rsid w:val="00A34C25"/>
    <w:rsid w:val="00A3507D"/>
    <w:rsid w:val="00A3717A"/>
    <w:rsid w:val="00A4088C"/>
    <w:rsid w:val="00A4141C"/>
    <w:rsid w:val="00A42F38"/>
    <w:rsid w:val="00A430D3"/>
    <w:rsid w:val="00A4456B"/>
    <w:rsid w:val="00A448D4"/>
    <w:rsid w:val="00A452E0"/>
    <w:rsid w:val="00A457F1"/>
    <w:rsid w:val="00A506DF"/>
    <w:rsid w:val="00A51EA5"/>
    <w:rsid w:val="00A53742"/>
    <w:rsid w:val="00A54933"/>
    <w:rsid w:val="00A557A1"/>
    <w:rsid w:val="00A63059"/>
    <w:rsid w:val="00A63AE3"/>
    <w:rsid w:val="00A651A4"/>
    <w:rsid w:val="00A70863"/>
    <w:rsid w:val="00A71361"/>
    <w:rsid w:val="00A735E2"/>
    <w:rsid w:val="00A746E2"/>
    <w:rsid w:val="00A75A07"/>
    <w:rsid w:val="00A77FC0"/>
    <w:rsid w:val="00A80CC6"/>
    <w:rsid w:val="00A81FF2"/>
    <w:rsid w:val="00A83904"/>
    <w:rsid w:val="00A86B24"/>
    <w:rsid w:val="00A90A79"/>
    <w:rsid w:val="00A91CAB"/>
    <w:rsid w:val="00A96B30"/>
    <w:rsid w:val="00A96D77"/>
    <w:rsid w:val="00AA442D"/>
    <w:rsid w:val="00AA59B5"/>
    <w:rsid w:val="00AA6297"/>
    <w:rsid w:val="00AA7777"/>
    <w:rsid w:val="00AA7B84"/>
    <w:rsid w:val="00AB2806"/>
    <w:rsid w:val="00AB4873"/>
    <w:rsid w:val="00AB5736"/>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603C"/>
    <w:rsid w:val="00AF7E86"/>
    <w:rsid w:val="00B01F2F"/>
    <w:rsid w:val="00B024B9"/>
    <w:rsid w:val="00B06038"/>
    <w:rsid w:val="00B077FA"/>
    <w:rsid w:val="00B111AB"/>
    <w:rsid w:val="00B127D7"/>
    <w:rsid w:val="00B13B0C"/>
    <w:rsid w:val="00B13C3E"/>
    <w:rsid w:val="00B14330"/>
    <w:rsid w:val="00B14408"/>
    <w:rsid w:val="00B1453A"/>
    <w:rsid w:val="00B1520B"/>
    <w:rsid w:val="00B20F82"/>
    <w:rsid w:val="00B25B54"/>
    <w:rsid w:val="00B25BD5"/>
    <w:rsid w:val="00B27292"/>
    <w:rsid w:val="00B33BD5"/>
    <w:rsid w:val="00B34079"/>
    <w:rsid w:val="00B34BAA"/>
    <w:rsid w:val="00B3793A"/>
    <w:rsid w:val="00B401BA"/>
    <w:rsid w:val="00B407E4"/>
    <w:rsid w:val="00B425B6"/>
    <w:rsid w:val="00B42A72"/>
    <w:rsid w:val="00B441AE"/>
    <w:rsid w:val="00B45A65"/>
    <w:rsid w:val="00B45F33"/>
    <w:rsid w:val="00B46D50"/>
    <w:rsid w:val="00B53170"/>
    <w:rsid w:val="00B53279"/>
    <w:rsid w:val="00B548B9"/>
    <w:rsid w:val="00B5526C"/>
    <w:rsid w:val="00B56DBE"/>
    <w:rsid w:val="00B62999"/>
    <w:rsid w:val="00B63BE3"/>
    <w:rsid w:val="00B64885"/>
    <w:rsid w:val="00B64FA3"/>
    <w:rsid w:val="00B66810"/>
    <w:rsid w:val="00B71721"/>
    <w:rsid w:val="00B72BE3"/>
    <w:rsid w:val="00B73B80"/>
    <w:rsid w:val="00B770C7"/>
    <w:rsid w:val="00B80F26"/>
    <w:rsid w:val="00B822BD"/>
    <w:rsid w:val="00B842F4"/>
    <w:rsid w:val="00B91A7B"/>
    <w:rsid w:val="00B929DD"/>
    <w:rsid w:val="00B93AF6"/>
    <w:rsid w:val="00B9519A"/>
    <w:rsid w:val="00B95405"/>
    <w:rsid w:val="00B963F1"/>
    <w:rsid w:val="00BA020A"/>
    <w:rsid w:val="00BA1625"/>
    <w:rsid w:val="00BA676A"/>
    <w:rsid w:val="00BB025A"/>
    <w:rsid w:val="00BB02A4"/>
    <w:rsid w:val="00BB1270"/>
    <w:rsid w:val="00BB1E44"/>
    <w:rsid w:val="00BB3667"/>
    <w:rsid w:val="00BB5267"/>
    <w:rsid w:val="00BB52B8"/>
    <w:rsid w:val="00BB59D8"/>
    <w:rsid w:val="00BB7E2E"/>
    <w:rsid w:val="00BB7E69"/>
    <w:rsid w:val="00BC099D"/>
    <w:rsid w:val="00BC0E51"/>
    <w:rsid w:val="00BC3C1F"/>
    <w:rsid w:val="00BC47D2"/>
    <w:rsid w:val="00BC5385"/>
    <w:rsid w:val="00BC7CE7"/>
    <w:rsid w:val="00BD295E"/>
    <w:rsid w:val="00BD4664"/>
    <w:rsid w:val="00BD77C5"/>
    <w:rsid w:val="00BE1193"/>
    <w:rsid w:val="00BE7EAA"/>
    <w:rsid w:val="00BF4849"/>
    <w:rsid w:val="00BF4EA7"/>
    <w:rsid w:val="00BF6525"/>
    <w:rsid w:val="00C00EDB"/>
    <w:rsid w:val="00C01368"/>
    <w:rsid w:val="00C02863"/>
    <w:rsid w:val="00C0383A"/>
    <w:rsid w:val="00C067FF"/>
    <w:rsid w:val="00C12862"/>
    <w:rsid w:val="00C13D28"/>
    <w:rsid w:val="00C14585"/>
    <w:rsid w:val="00C165A0"/>
    <w:rsid w:val="00C16FB9"/>
    <w:rsid w:val="00C216CE"/>
    <w:rsid w:val="00C2184F"/>
    <w:rsid w:val="00C22A78"/>
    <w:rsid w:val="00C23C7E"/>
    <w:rsid w:val="00C246C5"/>
    <w:rsid w:val="00C25687"/>
    <w:rsid w:val="00C25A82"/>
    <w:rsid w:val="00C26174"/>
    <w:rsid w:val="00C30A2A"/>
    <w:rsid w:val="00C30D94"/>
    <w:rsid w:val="00C32F05"/>
    <w:rsid w:val="00C33993"/>
    <w:rsid w:val="00C36193"/>
    <w:rsid w:val="00C4069E"/>
    <w:rsid w:val="00C41ADC"/>
    <w:rsid w:val="00C44149"/>
    <w:rsid w:val="00C44410"/>
    <w:rsid w:val="00C44A15"/>
    <w:rsid w:val="00C4630A"/>
    <w:rsid w:val="00C523F0"/>
    <w:rsid w:val="00C526D2"/>
    <w:rsid w:val="00C53A91"/>
    <w:rsid w:val="00C56626"/>
    <w:rsid w:val="00C5794E"/>
    <w:rsid w:val="00C60968"/>
    <w:rsid w:val="00C63D39"/>
    <w:rsid w:val="00C63EDD"/>
    <w:rsid w:val="00C65B36"/>
    <w:rsid w:val="00C7292E"/>
    <w:rsid w:val="00C72AAA"/>
    <w:rsid w:val="00C74E88"/>
    <w:rsid w:val="00C75BDB"/>
    <w:rsid w:val="00C80924"/>
    <w:rsid w:val="00C8271F"/>
    <w:rsid w:val="00C8286B"/>
    <w:rsid w:val="00C82D36"/>
    <w:rsid w:val="00C9456B"/>
    <w:rsid w:val="00C947F8"/>
    <w:rsid w:val="00C9515F"/>
    <w:rsid w:val="00C963C5"/>
    <w:rsid w:val="00CA030C"/>
    <w:rsid w:val="00CA06AC"/>
    <w:rsid w:val="00CA1F41"/>
    <w:rsid w:val="00CA32EE"/>
    <w:rsid w:val="00CA5771"/>
    <w:rsid w:val="00CA6A1A"/>
    <w:rsid w:val="00CA75D3"/>
    <w:rsid w:val="00CC1E75"/>
    <w:rsid w:val="00CC2D54"/>
    <w:rsid w:val="00CC2E0E"/>
    <w:rsid w:val="00CC361C"/>
    <w:rsid w:val="00CC37C5"/>
    <w:rsid w:val="00CC474B"/>
    <w:rsid w:val="00CC658C"/>
    <w:rsid w:val="00CC67BF"/>
    <w:rsid w:val="00CC751C"/>
    <w:rsid w:val="00CD0843"/>
    <w:rsid w:val="00CD4E31"/>
    <w:rsid w:val="00CD5A78"/>
    <w:rsid w:val="00CD7345"/>
    <w:rsid w:val="00CE0C11"/>
    <w:rsid w:val="00CE20A6"/>
    <w:rsid w:val="00CE372E"/>
    <w:rsid w:val="00CF0307"/>
    <w:rsid w:val="00CF0799"/>
    <w:rsid w:val="00CF0A1B"/>
    <w:rsid w:val="00CF13B1"/>
    <w:rsid w:val="00CF19F6"/>
    <w:rsid w:val="00CF2F4F"/>
    <w:rsid w:val="00CF3DEA"/>
    <w:rsid w:val="00CF536D"/>
    <w:rsid w:val="00CF5F12"/>
    <w:rsid w:val="00CF78A1"/>
    <w:rsid w:val="00D02E9D"/>
    <w:rsid w:val="00D10CB8"/>
    <w:rsid w:val="00D12806"/>
    <w:rsid w:val="00D12D44"/>
    <w:rsid w:val="00D15018"/>
    <w:rsid w:val="00D158AC"/>
    <w:rsid w:val="00D1694C"/>
    <w:rsid w:val="00D17193"/>
    <w:rsid w:val="00D20F5E"/>
    <w:rsid w:val="00D23B76"/>
    <w:rsid w:val="00D24B4A"/>
    <w:rsid w:val="00D3404E"/>
    <w:rsid w:val="00D379A3"/>
    <w:rsid w:val="00D407CD"/>
    <w:rsid w:val="00D4551B"/>
    <w:rsid w:val="00D45FF3"/>
    <w:rsid w:val="00D502DA"/>
    <w:rsid w:val="00D512CF"/>
    <w:rsid w:val="00D528B9"/>
    <w:rsid w:val="00D53186"/>
    <w:rsid w:val="00D5487D"/>
    <w:rsid w:val="00D60140"/>
    <w:rsid w:val="00D6024A"/>
    <w:rsid w:val="00D608B5"/>
    <w:rsid w:val="00D6104F"/>
    <w:rsid w:val="00D62017"/>
    <w:rsid w:val="00D64739"/>
    <w:rsid w:val="00D71F99"/>
    <w:rsid w:val="00D730A6"/>
    <w:rsid w:val="00D73661"/>
    <w:rsid w:val="00D73CA4"/>
    <w:rsid w:val="00D73D71"/>
    <w:rsid w:val="00D74396"/>
    <w:rsid w:val="00D76FB4"/>
    <w:rsid w:val="00D80284"/>
    <w:rsid w:val="00D8089A"/>
    <w:rsid w:val="00D81F71"/>
    <w:rsid w:val="00D8642D"/>
    <w:rsid w:val="00D90A5E"/>
    <w:rsid w:val="00D91A68"/>
    <w:rsid w:val="00D95A68"/>
    <w:rsid w:val="00DA17C7"/>
    <w:rsid w:val="00DA21A8"/>
    <w:rsid w:val="00DA54A0"/>
    <w:rsid w:val="00DA6A1A"/>
    <w:rsid w:val="00DA6A9A"/>
    <w:rsid w:val="00DB1566"/>
    <w:rsid w:val="00DB1EFD"/>
    <w:rsid w:val="00DB3EAF"/>
    <w:rsid w:val="00DB46C6"/>
    <w:rsid w:val="00DC3203"/>
    <w:rsid w:val="00DC3C99"/>
    <w:rsid w:val="00DC52F5"/>
    <w:rsid w:val="00DC5FD0"/>
    <w:rsid w:val="00DC7A3B"/>
    <w:rsid w:val="00DD0354"/>
    <w:rsid w:val="00DD27D7"/>
    <w:rsid w:val="00DD458C"/>
    <w:rsid w:val="00DD72E9"/>
    <w:rsid w:val="00DD7605"/>
    <w:rsid w:val="00DE1B27"/>
    <w:rsid w:val="00DE2020"/>
    <w:rsid w:val="00DE3476"/>
    <w:rsid w:val="00DE740B"/>
    <w:rsid w:val="00DE7BEA"/>
    <w:rsid w:val="00DF4CEF"/>
    <w:rsid w:val="00DF5B84"/>
    <w:rsid w:val="00DF5C15"/>
    <w:rsid w:val="00DF6D5B"/>
    <w:rsid w:val="00DF771B"/>
    <w:rsid w:val="00DF7CA3"/>
    <w:rsid w:val="00DF7EE2"/>
    <w:rsid w:val="00E01BAA"/>
    <w:rsid w:val="00E0282A"/>
    <w:rsid w:val="00E02DC7"/>
    <w:rsid w:val="00E02F9B"/>
    <w:rsid w:val="00E0533D"/>
    <w:rsid w:val="00E07E14"/>
    <w:rsid w:val="00E14F94"/>
    <w:rsid w:val="00E17336"/>
    <w:rsid w:val="00E17D15"/>
    <w:rsid w:val="00E22B95"/>
    <w:rsid w:val="00E27B9C"/>
    <w:rsid w:val="00E30331"/>
    <w:rsid w:val="00E30BB8"/>
    <w:rsid w:val="00E31F9C"/>
    <w:rsid w:val="00E3357E"/>
    <w:rsid w:val="00E362A9"/>
    <w:rsid w:val="00E40488"/>
    <w:rsid w:val="00E437A9"/>
    <w:rsid w:val="00E50367"/>
    <w:rsid w:val="00E51ABA"/>
    <w:rsid w:val="00E524CB"/>
    <w:rsid w:val="00E62CE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040"/>
    <w:rsid w:val="00EA1CC2"/>
    <w:rsid w:val="00EA2CB1"/>
    <w:rsid w:val="00EA2D76"/>
    <w:rsid w:val="00EA4644"/>
    <w:rsid w:val="00EA4D01"/>
    <w:rsid w:val="00EA527C"/>
    <w:rsid w:val="00EA6C4A"/>
    <w:rsid w:val="00EA758A"/>
    <w:rsid w:val="00EB096F"/>
    <w:rsid w:val="00EB199F"/>
    <w:rsid w:val="00EB21A4"/>
    <w:rsid w:val="00EB27C4"/>
    <w:rsid w:val="00EB3C98"/>
    <w:rsid w:val="00EB5387"/>
    <w:rsid w:val="00EB5C10"/>
    <w:rsid w:val="00EB7322"/>
    <w:rsid w:val="00EB75BC"/>
    <w:rsid w:val="00EC0FE9"/>
    <w:rsid w:val="00EC198B"/>
    <w:rsid w:val="00EC426D"/>
    <w:rsid w:val="00EC571B"/>
    <w:rsid w:val="00EC57D7"/>
    <w:rsid w:val="00EC6385"/>
    <w:rsid w:val="00ED1DE9"/>
    <w:rsid w:val="00ED23D4"/>
    <w:rsid w:val="00ED5E0B"/>
    <w:rsid w:val="00EE37B6"/>
    <w:rsid w:val="00EE3954"/>
    <w:rsid w:val="00EE4FA5"/>
    <w:rsid w:val="00EF0F45"/>
    <w:rsid w:val="00EF138B"/>
    <w:rsid w:val="00EF4C80"/>
    <w:rsid w:val="00EF7463"/>
    <w:rsid w:val="00EF7971"/>
    <w:rsid w:val="00EF7FA0"/>
    <w:rsid w:val="00F002EF"/>
    <w:rsid w:val="00F01EE9"/>
    <w:rsid w:val="00F0286F"/>
    <w:rsid w:val="00F04828"/>
    <w:rsid w:val="00F04900"/>
    <w:rsid w:val="00F065A4"/>
    <w:rsid w:val="00F07FD2"/>
    <w:rsid w:val="00F1020C"/>
    <w:rsid w:val="00F126B9"/>
    <w:rsid w:val="00F12715"/>
    <w:rsid w:val="00F144D5"/>
    <w:rsid w:val="00F146F0"/>
    <w:rsid w:val="00F15039"/>
    <w:rsid w:val="00F15A14"/>
    <w:rsid w:val="00F20FF3"/>
    <w:rsid w:val="00F2190B"/>
    <w:rsid w:val="00F228B5"/>
    <w:rsid w:val="00F2389C"/>
    <w:rsid w:val="00F2573E"/>
    <w:rsid w:val="00F25C67"/>
    <w:rsid w:val="00F2672C"/>
    <w:rsid w:val="00F30DFF"/>
    <w:rsid w:val="00F32B80"/>
    <w:rsid w:val="00F340EB"/>
    <w:rsid w:val="00F35285"/>
    <w:rsid w:val="00F43B9D"/>
    <w:rsid w:val="00F44D5E"/>
    <w:rsid w:val="00F47C07"/>
    <w:rsid w:val="00F53A35"/>
    <w:rsid w:val="00F55A3D"/>
    <w:rsid w:val="00F5744B"/>
    <w:rsid w:val="00F61209"/>
    <w:rsid w:val="00F623AB"/>
    <w:rsid w:val="00F6259E"/>
    <w:rsid w:val="00F65DD4"/>
    <w:rsid w:val="00F672B2"/>
    <w:rsid w:val="00F71BC9"/>
    <w:rsid w:val="00F8130C"/>
    <w:rsid w:val="00F8254D"/>
    <w:rsid w:val="00F82F6F"/>
    <w:rsid w:val="00F83973"/>
    <w:rsid w:val="00F87FA3"/>
    <w:rsid w:val="00F93D8C"/>
    <w:rsid w:val="00FA3102"/>
    <w:rsid w:val="00FA48D4"/>
    <w:rsid w:val="00FA54FA"/>
    <w:rsid w:val="00FA6D39"/>
    <w:rsid w:val="00FA7965"/>
    <w:rsid w:val="00FB061F"/>
    <w:rsid w:val="00FB227E"/>
    <w:rsid w:val="00FB3D61"/>
    <w:rsid w:val="00FB44CE"/>
    <w:rsid w:val="00FB5009"/>
    <w:rsid w:val="00FB5A5C"/>
    <w:rsid w:val="00FB76AB"/>
    <w:rsid w:val="00FC362E"/>
    <w:rsid w:val="00FD03FE"/>
    <w:rsid w:val="00FD126E"/>
    <w:rsid w:val="00FD3C36"/>
    <w:rsid w:val="00FD4D81"/>
    <w:rsid w:val="00FD7498"/>
    <w:rsid w:val="00FD7FB3"/>
    <w:rsid w:val="00FE436B"/>
    <w:rsid w:val="00FE4713"/>
    <w:rsid w:val="00FF1F44"/>
    <w:rsid w:val="00FF225E"/>
    <w:rsid w:val="00FF41FD"/>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FC3EF"/>
  <w14:defaultImageDpi w14:val="330"/>
  <w15:docId w15:val="{4B18C314-B0D8-4FB7-9E3E-45B8EAFB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940C70"/>
    <w:rPr>
      <w:color w:val="0000FF" w:themeColor="hyperlink"/>
      <w:u w:val="single"/>
    </w:rPr>
  </w:style>
  <w:style w:type="character" w:styleId="UnresolvedMention">
    <w:name w:val="Unresolved Mention"/>
    <w:basedOn w:val="DefaultParagraphFont"/>
    <w:uiPriority w:val="99"/>
    <w:semiHidden/>
    <w:unhideWhenUsed/>
    <w:rsid w:val="00940C70"/>
    <w:rPr>
      <w:color w:val="605E5C"/>
      <w:shd w:val="clear" w:color="auto" w:fill="E1DFDD"/>
    </w:rPr>
  </w:style>
  <w:style w:type="paragraph" w:styleId="BalloonText">
    <w:name w:val="Balloon Text"/>
    <w:basedOn w:val="Normal"/>
    <w:link w:val="BalloonTextChar"/>
    <w:semiHidden/>
    <w:unhideWhenUsed/>
    <w:rsid w:val="00940C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40C70"/>
    <w:rPr>
      <w:rFonts w:ascii="Segoe UI" w:hAnsi="Segoe UI" w:cs="Segoe UI"/>
      <w:sz w:val="18"/>
      <w:szCs w:val="18"/>
    </w:rPr>
  </w:style>
  <w:style w:type="character" w:styleId="FollowedHyperlink">
    <w:name w:val="FollowedHyperlink"/>
    <w:basedOn w:val="DefaultParagraphFont"/>
    <w:semiHidden/>
    <w:unhideWhenUsed/>
    <w:rsid w:val="00F26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8784">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sChild>
        <w:div w:id="1003775427">
          <w:marLeft w:val="0"/>
          <w:marRight w:val="0"/>
          <w:marTop w:val="0"/>
          <w:marBottom w:val="0"/>
          <w:divBdr>
            <w:top w:val="none" w:sz="0" w:space="0" w:color="auto"/>
            <w:left w:val="none" w:sz="0" w:space="0" w:color="auto"/>
            <w:bottom w:val="none" w:sz="0" w:space="0" w:color="auto"/>
            <w:right w:val="none" w:sz="0" w:space="0" w:color="auto"/>
          </w:divBdr>
        </w:div>
      </w:divsChild>
    </w:div>
    <w:div w:id="531890629">
      <w:bodyDiv w:val="1"/>
      <w:marLeft w:val="0"/>
      <w:marRight w:val="0"/>
      <w:marTop w:val="0"/>
      <w:marBottom w:val="0"/>
      <w:divBdr>
        <w:top w:val="none" w:sz="0" w:space="0" w:color="auto"/>
        <w:left w:val="none" w:sz="0" w:space="0" w:color="auto"/>
        <w:bottom w:val="none" w:sz="0" w:space="0" w:color="auto"/>
        <w:right w:val="none" w:sz="0" w:space="0" w:color="auto"/>
      </w:divBdr>
      <w:divsChild>
        <w:div w:id="576325576">
          <w:marLeft w:val="0"/>
          <w:marRight w:val="0"/>
          <w:marTop w:val="0"/>
          <w:marBottom w:val="0"/>
          <w:divBdr>
            <w:top w:val="none" w:sz="0" w:space="0" w:color="auto"/>
            <w:left w:val="none" w:sz="0" w:space="0" w:color="auto"/>
            <w:bottom w:val="none" w:sz="0" w:space="0" w:color="auto"/>
            <w:right w:val="none" w:sz="0" w:space="0" w:color="auto"/>
          </w:divBdr>
        </w:div>
      </w:divsChild>
    </w:div>
    <w:div w:id="71350166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23117897">
      <w:bodyDiv w:val="1"/>
      <w:marLeft w:val="0"/>
      <w:marRight w:val="0"/>
      <w:marTop w:val="0"/>
      <w:marBottom w:val="0"/>
      <w:divBdr>
        <w:top w:val="none" w:sz="0" w:space="0" w:color="auto"/>
        <w:left w:val="none" w:sz="0" w:space="0" w:color="auto"/>
        <w:bottom w:val="none" w:sz="0" w:space="0" w:color="auto"/>
        <w:right w:val="none" w:sz="0" w:space="0" w:color="auto"/>
      </w:divBdr>
    </w:div>
    <w:div w:id="1326937713">
      <w:bodyDiv w:val="1"/>
      <w:marLeft w:val="0"/>
      <w:marRight w:val="0"/>
      <w:marTop w:val="0"/>
      <w:marBottom w:val="0"/>
      <w:divBdr>
        <w:top w:val="none" w:sz="0" w:space="0" w:color="auto"/>
        <w:left w:val="none" w:sz="0" w:space="0" w:color="auto"/>
        <w:bottom w:val="none" w:sz="0" w:space="0" w:color="auto"/>
        <w:right w:val="none" w:sz="0" w:space="0" w:color="auto"/>
      </w:divBdr>
    </w:div>
    <w:div w:id="1415008322">
      <w:bodyDiv w:val="1"/>
      <w:marLeft w:val="0"/>
      <w:marRight w:val="0"/>
      <w:marTop w:val="0"/>
      <w:marBottom w:val="0"/>
      <w:divBdr>
        <w:top w:val="none" w:sz="0" w:space="0" w:color="auto"/>
        <w:left w:val="none" w:sz="0" w:space="0" w:color="auto"/>
        <w:bottom w:val="none" w:sz="0" w:space="0" w:color="auto"/>
        <w:right w:val="none" w:sz="0" w:space="0" w:color="auto"/>
      </w:divBdr>
    </w:div>
    <w:div w:id="1590693930">
      <w:bodyDiv w:val="1"/>
      <w:marLeft w:val="0"/>
      <w:marRight w:val="0"/>
      <w:marTop w:val="0"/>
      <w:marBottom w:val="0"/>
      <w:divBdr>
        <w:top w:val="none" w:sz="0" w:space="0" w:color="auto"/>
        <w:left w:val="none" w:sz="0" w:space="0" w:color="auto"/>
        <w:bottom w:val="none" w:sz="0" w:space="0" w:color="auto"/>
        <w:right w:val="none" w:sz="0" w:space="0" w:color="auto"/>
      </w:divBdr>
    </w:div>
    <w:div w:id="1984458351">
      <w:bodyDiv w:val="1"/>
      <w:marLeft w:val="0"/>
      <w:marRight w:val="0"/>
      <w:marTop w:val="0"/>
      <w:marBottom w:val="0"/>
      <w:divBdr>
        <w:top w:val="none" w:sz="0" w:space="0" w:color="auto"/>
        <w:left w:val="none" w:sz="0" w:space="0" w:color="auto"/>
        <w:bottom w:val="none" w:sz="0" w:space="0" w:color="auto"/>
        <w:right w:val="none" w:sz="0" w:space="0" w:color="auto"/>
      </w:divBdr>
    </w:div>
    <w:div w:id="2002809598">
      <w:bodyDiv w:val="1"/>
      <w:marLeft w:val="0"/>
      <w:marRight w:val="0"/>
      <w:marTop w:val="0"/>
      <w:marBottom w:val="0"/>
      <w:divBdr>
        <w:top w:val="none" w:sz="0" w:space="0" w:color="auto"/>
        <w:left w:val="none" w:sz="0" w:space="0" w:color="auto"/>
        <w:bottom w:val="none" w:sz="0" w:space="0" w:color="auto"/>
        <w:right w:val="none" w:sz="0" w:space="0" w:color="auto"/>
      </w:divBdr>
    </w:div>
    <w:div w:id="21168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F1474474007087500" TargetMode="External"/><Relationship Id="rId18" Type="http://schemas.openxmlformats.org/officeDocument/2006/relationships/hyperlink" Target="http://www.jstor.org/stable/1520711" TargetMode="External"/><Relationship Id="rId26" Type="http://schemas.openxmlformats.org/officeDocument/2006/relationships/hyperlink" Target="https://www.newspapers.com/clip/26868628/1939-theophilus-van-kannel-article-he/" TargetMode="External"/><Relationship Id="rId39" Type="http://schemas.openxmlformats.org/officeDocument/2006/relationships/hyperlink" Target="https://ssrn.com/abstract=3489272" TargetMode="External"/><Relationship Id="rId21" Type="http://schemas.openxmlformats.org/officeDocument/2006/relationships/hyperlink" Target="https://doi.org/10.1177%2F0038038506065157" TargetMode="External"/><Relationship Id="rId34" Type="http://schemas.openxmlformats.org/officeDocument/2006/relationships/hyperlink" Target="https://www.jstor.org/stable/10.5325/utopianstudies.23.2.0355" TargetMode="External"/><Relationship Id="rId42" Type="http://schemas.openxmlformats.org/officeDocument/2006/relationships/hyperlink" Target="https://doi.org/10.1111/tran.12140" TargetMode="External"/><Relationship Id="rId47" Type="http://schemas.openxmlformats.org/officeDocument/2006/relationships/hyperlink" Target="https://doi.org/10.1080/14649365.2011.564733" TargetMode="External"/><Relationship Id="rId50" Type="http://schemas.openxmlformats.org/officeDocument/2006/relationships/hyperlink" Target="https://doi.org/10.3764/aja.110.1.65" TargetMode="External"/><Relationship Id="rId55" Type="http://schemas.openxmlformats.org/officeDocument/2006/relationships/hyperlink" Target="https://doi.org/10.1093/jdh/epn047"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jstor.org/stable/20133921" TargetMode="External"/><Relationship Id="rId20" Type="http://schemas.openxmlformats.org/officeDocument/2006/relationships/hyperlink" Target="https://doi.org/10.1068%2Fd315t" TargetMode="External"/><Relationship Id="rId29" Type="http://schemas.openxmlformats.org/officeDocument/2006/relationships/hyperlink" Target="https://doi.org/10.1080/00045600701734687" TargetMode="External"/><Relationship Id="rId41" Type="http://schemas.openxmlformats.org/officeDocument/2006/relationships/hyperlink" Target="https://muse.jhu.edu/article/599714" TargetMode="External"/><Relationship Id="rId54" Type="http://schemas.openxmlformats.org/officeDocument/2006/relationships/hyperlink" Target="https://doi.org/10.1080/13264826.2011.560387"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2533952.2013.842340" TargetMode="External"/><Relationship Id="rId24" Type="http://schemas.openxmlformats.org/officeDocument/2006/relationships/hyperlink" Target="https://doi.org/10.1191%2F1474474006eu354oa" TargetMode="External"/><Relationship Id="rId32" Type="http://schemas.openxmlformats.org/officeDocument/2006/relationships/hyperlink" Target="https://doi.org/10.1080/14649365.2011.545138" TargetMode="External"/><Relationship Id="rId37" Type="http://schemas.openxmlformats.org/officeDocument/2006/relationships/hyperlink" Target="https://doi.org/10.1080/13602365.2017.1338412" TargetMode="External"/><Relationship Id="rId40" Type="http://schemas.openxmlformats.org/officeDocument/2006/relationships/hyperlink" Target="https://www.merriam-webster.com/dictionary/door" TargetMode="External"/><Relationship Id="rId45" Type="http://schemas.openxmlformats.org/officeDocument/2006/relationships/hyperlink" Target="https://doi.org/10.2307/3336006" TargetMode="External"/><Relationship Id="rId53" Type="http://schemas.openxmlformats.org/officeDocument/2006/relationships/hyperlink" Target="https://doi.org/10.1177%2F026327694011001002" TargetMode="External"/><Relationship Id="rId58" Type="http://schemas.openxmlformats.org/officeDocument/2006/relationships/hyperlink" Target="https://doi.org/10.1162/leon.2005.38.5.390" TargetMode="External"/><Relationship Id="rId5" Type="http://schemas.openxmlformats.org/officeDocument/2006/relationships/webSettings" Target="webSettings.xml"/><Relationship Id="rId15" Type="http://schemas.openxmlformats.org/officeDocument/2006/relationships/hyperlink" Target="https://doi.org/10.1111/tran.12166" TargetMode="External"/><Relationship Id="rId23" Type="http://schemas.openxmlformats.org/officeDocument/2006/relationships/hyperlink" Target="https://doi.org/10.1068%2Fd271t" TargetMode="External"/><Relationship Id="rId28" Type="http://schemas.openxmlformats.org/officeDocument/2006/relationships/hyperlink" Target="https://doi.org/10.1177%2F0263775817718012" TargetMode="External"/><Relationship Id="rId36" Type="http://schemas.openxmlformats.org/officeDocument/2006/relationships/hyperlink" Target="https://nypost.com/2016/01/17/poor-door-tenants-reveal-luxury-towers-financial-apartheid/" TargetMode="External"/><Relationship Id="rId49" Type="http://schemas.openxmlformats.org/officeDocument/2006/relationships/hyperlink" Target="https://doi.org/10.1162/002409499553037" TargetMode="External"/><Relationship Id="rId57" Type="http://schemas.openxmlformats.org/officeDocument/2006/relationships/hyperlink" Target="https://doi.org/10.1093/pastj/gtn006" TargetMode="External"/><Relationship Id="rId61" Type="http://schemas.openxmlformats.org/officeDocument/2006/relationships/hyperlink" Target="https://www.jstor.org/stable/41514713" TargetMode="External"/><Relationship Id="rId10" Type="http://schemas.openxmlformats.org/officeDocument/2006/relationships/hyperlink" Target="https://doi.org/10.1191%2F0309132505ph564pr" TargetMode="External"/><Relationship Id="rId19" Type="http://schemas.openxmlformats.org/officeDocument/2006/relationships/hyperlink" Target="https://doi.org/10.1068%2Fd232" TargetMode="External"/><Relationship Id="rId31" Type="http://schemas.openxmlformats.org/officeDocument/2006/relationships/hyperlink" Target="https://www.jstor.org/stable/43028706" TargetMode="External"/><Relationship Id="rId44" Type="http://schemas.openxmlformats.org/officeDocument/2006/relationships/hyperlink" Target="https://www.jstor.org/stable/41680285" TargetMode="External"/><Relationship Id="rId52" Type="http://schemas.openxmlformats.org/officeDocument/2006/relationships/hyperlink" Target="https://doi.org/10.1177/0018726714536938" TargetMode="External"/><Relationship Id="rId60" Type="http://schemas.openxmlformats.org/officeDocument/2006/relationships/hyperlink" Target="http://www.jstor.org/stable/41729039" TargetMode="External"/><Relationship Id="rId4" Type="http://schemas.openxmlformats.org/officeDocument/2006/relationships/settings" Target="settings.xml"/><Relationship Id="rId9" Type="http://schemas.openxmlformats.org/officeDocument/2006/relationships/hyperlink" Target="https://doi.org/10.1016/j.geoforum.2007.09.001" TargetMode="External"/><Relationship Id="rId14" Type="http://schemas.openxmlformats.org/officeDocument/2006/relationships/hyperlink" Target="https://doi.org/10.1111/gec3.12376" TargetMode="External"/><Relationship Id="rId22" Type="http://schemas.openxmlformats.org/officeDocument/2006/relationships/hyperlink" Target="https://doi.org/10.1111/j.1467-954X.2009.01876.x" TargetMode="External"/><Relationship Id="rId27" Type="http://schemas.openxmlformats.org/officeDocument/2006/relationships/hyperlink" Target="https://doi.org/10.1068%2Fd140487" TargetMode="External"/><Relationship Id="rId30" Type="http://schemas.openxmlformats.org/officeDocument/2006/relationships/hyperlink" Target="https://doi.org/10.1111/j.1749-8198.2010.00332.x" TargetMode="External"/><Relationship Id="rId35" Type="http://schemas.openxmlformats.org/officeDocument/2006/relationships/hyperlink" Target="https://doi.org/10.1525/jsah.2011.70.1.07" TargetMode="External"/><Relationship Id="rId43" Type="http://schemas.openxmlformats.org/officeDocument/2006/relationships/hyperlink" Target="http://www.museumoflondon.org.uk/explore-online/pocket-histories/london-plagues-13481665/black-death-13481350/" TargetMode="External"/><Relationship Id="rId48" Type="http://schemas.openxmlformats.org/officeDocument/2006/relationships/hyperlink" Target="https://www.jstor.org/stable/41221155" TargetMode="External"/><Relationship Id="rId56" Type="http://schemas.openxmlformats.org/officeDocument/2006/relationships/hyperlink" Target="https://www.jstor.org/stable/29544683" TargetMode="External"/><Relationship Id="rId64" Type="http://schemas.openxmlformats.org/officeDocument/2006/relationships/theme" Target="theme/theme1.xml"/><Relationship Id="rId8" Type="http://schemas.openxmlformats.org/officeDocument/2006/relationships/hyperlink" Target="mailto:mbvb211@live.rhul.ac.uk" TargetMode="External"/><Relationship Id="rId51" Type="http://schemas.openxmlformats.org/officeDocument/2006/relationships/hyperlink" Target="https://doi.org/10.1111/j.1475-5661.2010.00388.x" TargetMode="External"/><Relationship Id="rId3" Type="http://schemas.openxmlformats.org/officeDocument/2006/relationships/styles" Target="styles.xml"/><Relationship Id="rId12" Type="http://schemas.openxmlformats.org/officeDocument/2006/relationships/hyperlink" Target="https://www.telegraph.co.uk/news/uknews/immigration/12120009/Red-doors-and-wristbands-Another-day-another-comparison-to-Nazi-Germany.html" TargetMode="External"/><Relationship Id="rId17" Type="http://schemas.openxmlformats.org/officeDocument/2006/relationships/hyperlink" Target="https://doi.org/10.1111/j.1475-5661.2010.00421.x" TargetMode="External"/><Relationship Id="rId25" Type="http://schemas.openxmlformats.org/officeDocument/2006/relationships/hyperlink" Target="https://doi.org/10.1080/14702540802438488" TargetMode="External"/><Relationship Id="rId33" Type="http://schemas.openxmlformats.org/officeDocument/2006/relationships/hyperlink" Target="https://doi.org/10.1177/096746080100800103" TargetMode="External"/><Relationship Id="rId38" Type="http://schemas.openxmlformats.org/officeDocument/2006/relationships/hyperlink" Target="https://doi.org/10.1191/14744744004eu303xx" TargetMode="External"/><Relationship Id="rId46" Type="http://schemas.openxmlformats.org/officeDocument/2006/relationships/hyperlink" Target="https://www.theguardian.com/society/2014/jul/25/poor-doors-segregation-london-flats" TargetMode="External"/><Relationship Id="rId59" Type="http://schemas.openxmlformats.org/officeDocument/2006/relationships/hyperlink" Target="https://www.theguardian.com/society/2018/nov/25/poor-doors-developers-segregate-rich-from-poor-london-housing-bl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edd\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4FDA-6F8B-4097-BCED-B8942C12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1261</TotalTime>
  <Pages>31</Pages>
  <Words>9445</Words>
  <Characters>53840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63159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Ed Brookes</dc:creator>
  <cp:keywords/>
  <dc:description/>
  <cp:lastModifiedBy>Ed Brookes</cp:lastModifiedBy>
  <cp:revision>22</cp:revision>
  <cp:lastPrinted>2011-07-22T14:54:00Z</cp:lastPrinted>
  <dcterms:created xsi:type="dcterms:W3CDTF">2020-04-21T14:32:00Z</dcterms:created>
  <dcterms:modified xsi:type="dcterms:W3CDTF">2020-08-20T14:40:00Z</dcterms:modified>
</cp:coreProperties>
</file>