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CBFCB" w14:textId="77777777" w:rsidR="004C22E7" w:rsidRPr="008D371E" w:rsidRDefault="004C22E7" w:rsidP="004C22E7">
      <w:pPr>
        <w:spacing w:after="0"/>
        <w:ind w:firstLine="0"/>
        <w:rPr>
          <w:lang w:val="en-GB"/>
        </w:rPr>
      </w:pPr>
    </w:p>
    <w:p w14:paraId="2AC6890B" w14:textId="77777777" w:rsidR="004C22E7" w:rsidRPr="008D371E" w:rsidRDefault="004C22E7" w:rsidP="004C22E7">
      <w:pPr>
        <w:spacing w:before="480" w:after="480"/>
        <w:ind w:firstLine="0"/>
        <w:contextualSpacing/>
        <w:jc w:val="center"/>
        <w:outlineLvl w:val="0"/>
        <w:rPr>
          <w:rFonts w:eastAsiaTheme="majorEastAsia" w:cs="Times New Roman"/>
          <w:b/>
          <w:spacing w:val="-10"/>
          <w:kern w:val="28"/>
          <w:sz w:val="36"/>
          <w:szCs w:val="36"/>
          <w:lang w:val="en-GB"/>
        </w:rPr>
      </w:pPr>
      <w:r>
        <w:rPr>
          <w:rFonts w:eastAsiaTheme="majorEastAsia" w:cs="Times New Roman"/>
          <w:b/>
          <w:spacing w:val="-10"/>
          <w:kern w:val="28"/>
          <w:sz w:val="36"/>
          <w:szCs w:val="36"/>
          <w:lang w:val="en-GB"/>
        </w:rPr>
        <w:t>Accounting for Heritage Assets: Thomas Holloway’s Picture Collection, 1881-2019</w:t>
      </w:r>
    </w:p>
    <w:p w14:paraId="1D842A9D" w14:textId="77777777" w:rsidR="004C22E7" w:rsidRPr="008D371E" w:rsidRDefault="004C22E7" w:rsidP="004C22E7">
      <w:pPr>
        <w:numPr>
          <w:ilvl w:val="1"/>
          <w:numId w:val="0"/>
        </w:numPr>
        <w:spacing w:after="480"/>
        <w:jc w:val="center"/>
        <w:rPr>
          <w:rFonts w:eastAsiaTheme="minorEastAsia" w:cs="Times New Roman"/>
          <w:i/>
          <w:spacing w:val="15"/>
          <w:szCs w:val="24"/>
        </w:rPr>
      </w:pPr>
      <w:r>
        <w:rPr>
          <w:rFonts w:eastAsiaTheme="minorEastAsia" w:cs="Times New Roman"/>
          <w:i/>
          <w:spacing w:val="15"/>
          <w:szCs w:val="24"/>
        </w:rPr>
        <w:t>Christopher J. Napier</w:t>
      </w:r>
      <w:r w:rsidRPr="008D371E">
        <w:rPr>
          <w:rFonts w:eastAsiaTheme="minorEastAsia" w:cs="Times New Roman"/>
          <w:i/>
          <w:spacing w:val="15"/>
          <w:szCs w:val="24"/>
        </w:rPr>
        <w:t xml:space="preserve">* and </w:t>
      </w:r>
      <w:r>
        <w:rPr>
          <w:rFonts w:eastAsiaTheme="minorEastAsia" w:cs="Times New Roman"/>
          <w:i/>
          <w:spacing w:val="15"/>
          <w:szCs w:val="24"/>
        </w:rPr>
        <w:t>Elena Giovannoni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2589"/>
        <w:gridCol w:w="6101"/>
      </w:tblGrid>
      <w:tr w:rsidR="004C22E7" w:rsidRPr="008D371E" w14:paraId="654AA7A1" w14:textId="77777777" w:rsidTr="001758FA">
        <w:tc>
          <w:tcPr>
            <w:tcW w:w="336" w:type="dxa"/>
          </w:tcPr>
          <w:p w14:paraId="726384AD" w14:textId="77777777" w:rsidR="004C22E7" w:rsidRPr="008D371E" w:rsidRDefault="004C22E7" w:rsidP="001758FA">
            <w:pPr>
              <w:spacing w:after="0"/>
              <w:ind w:firstLine="0"/>
              <w:rPr>
                <w:rFonts w:cs="Times New Roman"/>
                <w:szCs w:val="24"/>
                <w:lang w:val="en-GB"/>
              </w:rPr>
            </w:pPr>
            <w:r w:rsidRPr="008D371E">
              <w:rPr>
                <w:rFonts w:cs="Times New Roman"/>
                <w:szCs w:val="24"/>
                <w:lang w:val="en-GB"/>
              </w:rPr>
              <w:t>*</w:t>
            </w:r>
          </w:p>
        </w:tc>
        <w:tc>
          <w:tcPr>
            <w:tcW w:w="2778" w:type="dxa"/>
          </w:tcPr>
          <w:p w14:paraId="6EE5D12A" w14:textId="77777777" w:rsidR="004C22E7" w:rsidRPr="008D371E" w:rsidRDefault="004C22E7" w:rsidP="001758FA">
            <w:pPr>
              <w:spacing w:after="0"/>
              <w:ind w:firstLine="0"/>
              <w:rPr>
                <w:rFonts w:cs="Times New Roman"/>
                <w:szCs w:val="24"/>
                <w:lang w:val="en-GB"/>
              </w:rPr>
            </w:pPr>
            <w:r w:rsidRPr="008D371E">
              <w:rPr>
                <w:rFonts w:cs="Times New Roman"/>
                <w:szCs w:val="24"/>
                <w:lang w:val="en-GB"/>
              </w:rPr>
              <w:t>Corresponding Author</w:t>
            </w:r>
          </w:p>
          <w:p w14:paraId="01961CE4" w14:textId="77777777" w:rsidR="004C22E7" w:rsidRPr="008D371E" w:rsidRDefault="004C22E7" w:rsidP="001758FA">
            <w:pPr>
              <w:spacing w:after="0"/>
              <w:ind w:firstLine="0"/>
              <w:rPr>
                <w:rFonts w:cs="Times New Roman"/>
                <w:szCs w:val="24"/>
                <w:lang w:val="en-GB"/>
              </w:rPr>
            </w:pPr>
          </w:p>
        </w:tc>
        <w:tc>
          <w:tcPr>
            <w:tcW w:w="6514" w:type="dxa"/>
          </w:tcPr>
          <w:p w14:paraId="76DF0834" w14:textId="77777777" w:rsidR="004C22E7" w:rsidRPr="008D371E" w:rsidRDefault="004C22E7" w:rsidP="001758FA">
            <w:pPr>
              <w:spacing w:after="0"/>
              <w:ind w:firstLine="0"/>
              <w:rPr>
                <w:rFonts w:cs="Times New Roman"/>
                <w:szCs w:val="24"/>
                <w:lang w:val="en-GB"/>
              </w:rPr>
            </w:pPr>
          </w:p>
        </w:tc>
      </w:tr>
      <w:tr w:rsidR="004C22E7" w:rsidRPr="008D371E" w14:paraId="77751AD6" w14:textId="77777777" w:rsidTr="001758FA">
        <w:tc>
          <w:tcPr>
            <w:tcW w:w="336" w:type="dxa"/>
          </w:tcPr>
          <w:p w14:paraId="7C0DB0B7" w14:textId="77777777" w:rsidR="004C22E7" w:rsidRPr="008D371E" w:rsidRDefault="004C22E7" w:rsidP="001758FA">
            <w:pPr>
              <w:spacing w:after="0"/>
              <w:ind w:firstLine="0"/>
              <w:rPr>
                <w:rFonts w:cs="Times New Roman"/>
                <w:szCs w:val="24"/>
                <w:lang w:val="en-GB"/>
              </w:rPr>
            </w:pPr>
          </w:p>
        </w:tc>
        <w:tc>
          <w:tcPr>
            <w:tcW w:w="2778" w:type="dxa"/>
          </w:tcPr>
          <w:p w14:paraId="34414588" w14:textId="77777777" w:rsidR="004C22E7" w:rsidRPr="008D371E" w:rsidRDefault="004C22E7" w:rsidP="001758FA">
            <w:pPr>
              <w:spacing w:after="0"/>
              <w:ind w:firstLine="0"/>
              <w:rPr>
                <w:rFonts w:cs="Times New Roman"/>
                <w:szCs w:val="24"/>
                <w:lang w:val="en-GB"/>
              </w:rPr>
            </w:pPr>
            <w:r w:rsidRPr="008D371E">
              <w:rPr>
                <w:rFonts w:cs="Times New Roman"/>
                <w:szCs w:val="24"/>
                <w:lang w:val="en-GB"/>
              </w:rPr>
              <w:t>Correspondence Address:</w:t>
            </w:r>
          </w:p>
        </w:tc>
        <w:tc>
          <w:tcPr>
            <w:tcW w:w="6514" w:type="dxa"/>
          </w:tcPr>
          <w:p w14:paraId="47153F5C" w14:textId="77777777" w:rsidR="004C22E7" w:rsidRPr="008D371E" w:rsidRDefault="004C22E7" w:rsidP="001758FA">
            <w:pPr>
              <w:spacing w:after="0"/>
              <w:ind w:firstLine="0"/>
              <w:rPr>
                <w:rFonts w:cs="Times New Roman"/>
                <w:szCs w:val="24"/>
                <w:lang w:val="en-GB"/>
              </w:rPr>
            </w:pPr>
            <w:r>
              <w:rPr>
                <w:rFonts w:cs="Times New Roman"/>
                <w:szCs w:val="24"/>
                <w:lang w:val="en-GB"/>
              </w:rPr>
              <w:t>Department of Accounting and Financial Management</w:t>
            </w:r>
          </w:p>
          <w:p w14:paraId="152C74CE" w14:textId="77777777" w:rsidR="004C22E7" w:rsidRPr="008D371E" w:rsidRDefault="004C22E7" w:rsidP="001758FA">
            <w:pPr>
              <w:spacing w:after="0"/>
              <w:ind w:firstLine="0"/>
              <w:rPr>
                <w:rFonts w:cs="Times New Roman"/>
                <w:szCs w:val="24"/>
                <w:lang w:val="en-GB"/>
              </w:rPr>
            </w:pPr>
            <w:r w:rsidRPr="008D371E">
              <w:rPr>
                <w:rFonts w:cs="Times New Roman"/>
                <w:szCs w:val="24"/>
                <w:lang w:val="en-GB"/>
              </w:rPr>
              <w:t>Royal Holloway University of London</w:t>
            </w:r>
          </w:p>
          <w:p w14:paraId="6589C825" w14:textId="77777777" w:rsidR="004C22E7" w:rsidRPr="008D371E" w:rsidRDefault="004C22E7" w:rsidP="001758FA">
            <w:pPr>
              <w:spacing w:after="0"/>
              <w:ind w:firstLine="0"/>
              <w:rPr>
                <w:rFonts w:cs="Times New Roman"/>
                <w:szCs w:val="24"/>
                <w:lang w:val="en-GB"/>
              </w:rPr>
            </w:pPr>
            <w:r w:rsidRPr="008D371E">
              <w:rPr>
                <w:rFonts w:cs="Times New Roman"/>
                <w:szCs w:val="24"/>
                <w:lang w:val="en-GB"/>
              </w:rPr>
              <w:t>Egham</w:t>
            </w:r>
          </w:p>
          <w:p w14:paraId="71D00DF4" w14:textId="77777777" w:rsidR="004C22E7" w:rsidRPr="008D371E" w:rsidRDefault="004C22E7" w:rsidP="001758FA">
            <w:pPr>
              <w:spacing w:after="0"/>
              <w:ind w:firstLine="0"/>
              <w:rPr>
                <w:rFonts w:cs="Times New Roman"/>
                <w:szCs w:val="24"/>
                <w:lang w:val="en-GB"/>
              </w:rPr>
            </w:pPr>
            <w:r w:rsidRPr="008D371E">
              <w:rPr>
                <w:rFonts w:cs="Times New Roman"/>
                <w:szCs w:val="24"/>
                <w:lang w:val="en-GB"/>
              </w:rPr>
              <w:t>Surrey</w:t>
            </w:r>
          </w:p>
          <w:p w14:paraId="55B433AA" w14:textId="77777777" w:rsidR="004C22E7" w:rsidRPr="008D371E" w:rsidRDefault="004C22E7" w:rsidP="001758FA">
            <w:pPr>
              <w:spacing w:after="0"/>
              <w:ind w:firstLine="0"/>
              <w:rPr>
                <w:rFonts w:cs="Times New Roman"/>
                <w:szCs w:val="24"/>
                <w:lang w:val="en-GB"/>
              </w:rPr>
            </w:pPr>
            <w:r w:rsidRPr="008D371E">
              <w:rPr>
                <w:rFonts w:cs="Times New Roman"/>
                <w:szCs w:val="24"/>
                <w:lang w:val="en-GB"/>
              </w:rPr>
              <w:t>TW20 0EX</w:t>
            </w:r>
          </w:p>
          <w:p w14:paraId="7D2EDB7E" w14:textId="77777777" w:rsidR="004C22E7" w:rsidRPr="008D371E" w:rsidRDefault="004C22E7" w:rsidP="001758FA">
            <w:pPr>
              <w:spacing w:after="0"/>
              <w:ind w:firstLine="0"/>
              <w:rPr>
                <w:rFonts w:cs="Times New Roman"/>
                <w:szCs w:val="24"/>
                <w:lang w:val="en-GB"/>
              </w:rPr>
            </w:pPr>
            <w:r w:rsidRPr="008D371E">
              <w:rPr>
                <w:rFonts w:cs="Times New Roman"/>
                <w:szCs w:val="24"/>
                <w:lang w:val="en-GB"/>
              </w:rPr>
              <w:t>UK</w:t>
            </w:r>
          </w:p>
          <w:p w14:paraId="09A76FB5" w14:textId="77777777" w:rsidR="004C22E7" w:rsidRPr="008D371E" w:rsidRDefault="004C22E7" w:rsidP="001758FA">
            <w:pPr>
              <w:spacing w:after="0"/>
              <w:ind w:firstLine="0"/>
              <w:rPr>
                <w:rFonts w:cs="Times New Roman"/>
                <w:szCs w:val="24"/>
                <w:lang w:val="en-GB"/>
              </w:rPr>
            </w:pPr>
          </w:p>
        </w:tc>
      </w:tr>
      <w:tr w:rsidR="004C22E7" w:rsidRPr="00FA7429" w14:paraId="5EEA6245" w14:textId="77777777" w:rsidTr="001758FA">
        <w:tc>
          <w:tcPr>
            <w:tcW w:w="336" w:type="dxa"/>
          </w:tcPr>
          <w:p w14:paraId="62938AC3" w14:textId="77777777" w:rsidR="004C22E7" w:rsidRPr="008D371E" w:rsidRDefault="004C22E7" w:rsidP="001758FA">
            <w:pPr>
              <w:spacing w:after="0"/>
              <w:ind w:firstLine="0"/>
              <w:rPr>
                <w:rFonts w:cs="Times New Roman"/>
                <w:szCs w:val="24"/>
                <w:lang w:val="en-GB"/>
              </w:rPr>
            </w:pPr>
          </w:p>
        </w:tc>
        <w:tc>
          <w:tcPr>
            <w:tcW w:w="2778" w:type="dxa"/>
          </w:tcPr>
          <w:p w14:paraId="513F40F7" w14:textId="77777777" w:rsidR="004C22E7" w:rsidRPr="008D371E" w:rsidRDefault="004C22E7" w:rsidP="001758FA">
            <w:pPr>
              <w:spacing w:after="0"/>
              <w:ind w:firstLine="0"/>
              <w:rPr>
                <w:rFonts w:cs="Times New Roman"/>
                <w:szCs w:val="24"/>
                <w:lang w:val="en-GB"/>
              </w:rPr>
            </w:pPr>
            <w:r w:rsidRPr="008D371E">
              <w:rPr>
                <w:rFonts w:cs="Times New Roman"/>
                <w:szCs w:val="24"/>
                <w:lang w:val="en-GB"/>
              </w:rPr>
              <w:t>E-mail address</w:t>
            </w:r>
          </w:p>
        </w:tc>
        <w:tc>
          <w:tcPr>
            <w:tcW w:w="6514" w:type="dxa"/>
          </w:tcPr>
          <w:p w14:paraId="02AC33AD" w14:textId="77777777" w:rsidR="004C22E7" w:rsidRPr="008D371E" w:rsidRDefault="004C22E7" w:rsidP="001758FA">
            <w:pPr>
              <w:spacing w:after="0"/>
              <w:ind w:firstLine="0"/>
              <w:rPr>
                <w:rFonts w:cs="Times New Roman"/>
                <w:szCs w:val="24"/>
                <w:lang w:val="en-GB"/>
              </w:rPr>
            </w:pPr>
            <w:hyperlink r:id="rId8" w:history="1">
              <w:r w:rsidRPr="008D371E">
                <w:rPr>
                  <w:rFonts w:cs="Times New Roman"/>
                  <w:color w:val="0000FF"/>
                  <w:szCs w:val="24"/>
                  <w:u w:val="single"/>
                  <w:lang w:val="en-GB"/>
                </w:rPr>
                <w:t>Christopher.Napier@Royalholloway.ac.uk</w:t>
              </w:r>
            </w:hyperlink>
          </w:p>
          <w:p w14:paraId="23473590" w14:textId="77777777" w:rsidR="004C22E7" w:rsidRPr="008D371E" w:rsidRDefault="004C22E7" w:rsidP="001758FA">
            <w:pPr>
              <w:spacing w:after="0"/>
              <w:ind w:firstLine="0"/>
              <w:rPr>
                <w:rFonts w:cs="Times New Roman"/>
                <w:szCs w:val="24"/>
                <w:lang w:val="en-GB"/>
              </w:rPr>
            </w:pPr>
            <w:hyperlink r:id="rId9" w:history="1">
              <w:r w:rsidRPr="008D371E">
                <w:rPr>
                  <w:rFonts w:cs="Times New Roman"/>
                  <w:color w:val="0000FF"/>
                  <w:szCs w:val="24"/>
                  <w:u w:val="single"/>
                  <w:lang w:val="en-GB"/>
                </w:rPr>
                <w:t>Elena.Giovannoni@Royalholloway.ac.uk</w:t>
              </w:r>
            </w:hyperlink>
          </w:p>
          <w:p w14:paraId="7DDE9440" w14:textId="77777777" w:rsidR="004C22E7" w:rsidRPr="008D371E" w:rsidRDefault="004C22E7" w:rsidP="001758FA">
            <w:pPr>
              <w:spacing w:after="0"/>
              <w:ind w:firstLine="0"/>
              <w:rPr>
                <w:rFonts w:cs="Times New Roman"/>
                <w:szCs w:val="24"/>
                <w:lang w:val="en-GB"/>
              </w:rPr>
            </w:pPr>
          </w:p>
        </w:tc>
      </w:tr>
    </w:tbl>
    <w:p w14:paraId="60C8D731" w14:textId="77777777" w:rsidR="004C22E7" w:rsidRPr="008D371E" w:rsidRDefault="004C22E7" w:rsidP="004C22E7">
      <w:pPr>
        <w:spacing w:after="0"/>
        <w:ind w:firstLine="0"/>
        <w:rPr>
          <w:rFonts w:cs="Times New Roman"/>
          <w:b/>
          <w:szCs w:val="24"/>
          <w:lang w:val="en-GB"/>
        </w:rPr>
      </w:pPr>
      <w:r>
        <w:rPr>
          <w:rFonts w:cs="Times New Roman"/>
          <w:b/>
          <w:szCs w:val="24"/>
          <w:lang w:val="en-GB"/>
        </w:rPr>
        <w:t xml:space="preserve">Authors’ </w:t>
      </w:r>
      <w:r w:rsidRPr="008D371E">
        <w:rPr>
          <w:rFonts w:cs="Times New Roman"/>
          <w:b/>
          <w:szCs w:val="24"/>
          <w:lang w:val="en-GB"/>
        </w:rPr>
        <w:t>affiliations:</w:t>
      </w:r>
    </w:p>
    <w:p w14:paraId="13F462BF" w14:textId="77777777" w:rsidR="004C22E7" w:rsidRPr="008D371E" w:rsidRDefault="004C22E7" w:rsidP="004C22E7">
      <w:pPr>
        <w:spacing w:after="0"/>
        <w:ind w:firstLine="0"/>
        <w:rPr>
          <w:rFonts w:cs="Times New Roman"/>
          <w:szCs w:val="24"/>
          <w:lang w:val="en-GB"/>
        </w:rPr>
      </w:pPr>
      <w:r w:rsidRPr="008D371E">
        <w:rPr>
          <w:rFonts w:cs="Times New Roman"/>
          <w:szCs w:val="24"/>
          <w:lang w:val="en-GB"/>
        </w:rPr>
        <w:t>Christopher J. Napier,</w:t>
      </w:r>
      <w:r>
        <w:rPr>
          <w:rFonts w:cs="Times New Roman"/>
          <w:szCs w:val="24"/>
          <w:lang w:val="en-GB"/>
        </w:rPr>
        <w:t xml:space="preserve"> </w:t>
      </w:r>
      <w:r w:rsidRPr="008D371E">
        <w:rPr>
          <w:rFonts w:cs="Times New Roman"/>
          <w:szCs w:val="24"/>
          <w:lang w:val="en-GB"/>
        </w:rPr>
        <w:t>Royal Holloway University of London</w:t>
      </w:r>
    </w:p>
    <w:p w14:paraId="217CFB1A" w14:textId="77777777" w:rsidR="004C22E7" w:rsidRPr="008D371E" w:rsidRDefault="004C22E7" w:rsidP="004C22E7">
      <w:pPr>
        <w:spacing w:after="0"/>
        <w:ind w:firstLine="0"/>
        <w:rPr>
          <w:rFonts w:cs="Times New Roman"/>
          <w:szCs w:val="24"/>
          <w:lang w:val="en-GB"/>
        </w:rPr>
      </w:pPr>
      <w:r>
        <w:rPr>
          <w:rFonts w:cs="Times New Roman"/>
          <w:szCs w:val="24"/>
          <w:lang w:val="en-GB"/>
        </w:rPr>
        <w:t xml:space="preserve">Elena </w:t>
      </w:r>
      <w:proofErr w:type="spellStart"/>
      <w:r>
        <w:rPr>
          <w:rFonts w:cs="Times New Roman"/>
          <w:szCs w:val="24"/>
          <w:lang w:val="en-GB"/>
        </w:rPr>
        <w:t>Giovannoni</w:t>
      </w:r>
      <w:proofErr w:type="spellEnd"/>
      <w:r w:rsidRPr="008D371E">
        <w:rPr>
          <w:rFonts w:cs="Times New Roman"/>
          <w:szCs w:val="24"/>
          <w:lang w:val="en-GB"/>
        </w:rPr>
        <w:t>, Roya</w:t>
      </w:r>
      <w:r>
        <w:rPr>
          <w:rFonts w:cs="Times New Roman"/>
          <w:szCs w:val="24"/>
          <w:lang w:val="en-GB"/>
        </w:rPr>
        <w:t>l Holloway University of London</w:t>
      </w:r>
      <w:r w:rsidRPr="008D371E">
        <w:rPr>
          <w:rFonts w:cs="Times New Roman"/>
          <w:szCs w:val="24"/>
          <w:lang w:val="en-GB"/>
        </w:rPr>
        <w:t xml:space="preserve"> </w:t>
      </w:r>
      <w:r>
        <w:rPr>
          <w:rFonts w:cs="Times New Roman"/>
          <w:szCs w:val="24"/>
          <w:lang w:val="en-GB"/>
        </w:rPr>
        <w:t>and University of Siena</w:t>
      </w:r>
    </w:p>
    <w:p w14:paraId="52B9D362" w14:textId="77777777" w:rsidR="004C22E7" w:rsidRDefault="004C22E7" w:rsidP="004C22E7">
      <w:pPr>
        <w:rPr>
          <w:lang w:val="en-GB"/>
        </w:rPr>
      </w:pPr>
    </w:p>
    <w:p w14:paraId="3DEF469F" w14:textId="77777777" w:rsidR="004C22E7" w:rsidRDefault="004C22E7" w:rsidP="004C22E7">
      <w:pPr>
        <w:spacing w:after="0" w:line="240" w:lineRule="auto"/>
        <w:ind w:firstLine="0"/>
        <w:jc w:val="center"/>
        <w:rPr>
          <w:rFonts w:cs="Times New Roman"/>
          <w:szCs w:val="24"/>
          <w:lang w:val="en-GB"/>
        </w:rPr>
      </w:pPr>
      <w:r>
        <w:rPr>
          <w:rFonts w:cs="Times New Roman"/>
          <w:szCs w:val="24"/>
          <w:lang w:val="en-GB"/>
        </w:rPr>
        <w:t>Earlier versions of this paper were presented at the XIV National Congress of the Italian Society of Accounting History – Accounting History and Arts – Turin, 22-23 November 2018 and at the Annual Meeting of the American Accounting Association, San Francisco, 9</w:t>
      </w:r>
      <w:r>
        <w:rPr>
          <w:rFonts w:cs="Times New Roman"/>
          <w:szCs w:val="24"/>
          <w:lang w:val="en-GB"/>
        </w:rPr>
        <w:noBreakHyphen/>
        <w:t xml:space="preserve">14 August 2019. We thank participants at these conferences, the guest editors and the reviewers for their valuable suggestions. We are grateful to Annabel Valentine and Harriet </w:t>
      </w:r>
      <w:proofErr w:type="spellStart"/>
      <w:r>
        <w:rPr>
          <w:rFonts w:cs="Times New Roman"/>
          <w:szCs w:val="24"/>
          <w:lang w:val="en-GB"/>
        </w:rPr>
        <w:t>Costelloe</w:t>
      </w:r>
      <w:proofErr w:type="spellEnd"/>
      <w:r>
        <w:rPr>
          <w:rFonts w:cs="Times New Roman"/>
          <w:szCs w:val="24"/>
          <w:lang w:val="en-GB"/>
        </w:rPr>
        <w:t>, archivists of Royal Holloway Archives and Special Collections, for their help and support during the data collection process.</w:t>
      </w:r>
    </w:p>
    <w:p w14:paraId="1F750A72" w14:textId="77777777" w:rsidR="004C22E7" w:rsidRDefault="004C22E7" w:rsidP="004C22E7"/>
    <w:p w14:paraId="681E723B" w14:textId="77777777" w:rsidR="004C22E7" w:rsidRDefault="004C22E7" w:rsidP="004C22E7">
      <w:pPr>
        <w:jc w:val="center"/>
        <w:rPr>
          <w:b/>
          <w:bCs/>
        </w:rPr>
      </w:pPr>
      <w:r>
        <w:rPr>
          <w:b/>
          <w:bCs/>
        </w:rPr>
        <w:t xml:space="preserve">Accepted for Publication in </w:t>
      </w:r>
      <w:r>
        <w:rPr>
          <w:b/>
          <w:bCs/>
          <w:i/>
          <w:iCs/>
        </w:rPr>
        <w:t>The British Accounting Review</w:t>
      </w:r>
      <w:r>
        <w:rPr>
          <w:b/>
          <w:bCs/>
        </w:rPr>
        <w:t xml:space="preserve"> on 23 August 2020</w:t>
      </w:r>
    </w:p>
    <w:p w14:paraId="731131D3" w14:textId="77777777" w:rsidR="004C22E7" w:rsidRDefault="004C22E7" w:rsidP="004C22E7">
      <w:pPr>
        <w:jc w:val="center"/>
        <w:rPr>
          <w:b/>
          <w:bCs/>
        </w:rPr>
      </w:pPr>
      <w:r>
        <w:rPr>
          <w:b/>
          <w:bCs/>
        </w:rPr>
        <w:t xml:space="preserve">DOI: </w:t>
      </w:r>
      <w:hyperlink r:id="rId10" w:history="1">
        <w:r w:rsidRPr="00657D6D">
          <w:rPr>
            <w:rStyle w:val="Hyperlink"/>
            <w:b/>
            <w:bCs/>
          </w:rPr>
          <w:t>https://doi.org/10.1016/j.bar.2020.100944</w:t>
        </w:r>
      </w:hyperlink>
    </w:p>
    <w:p w14:paraId="407784C3" w14:textId="77777777" w:rsidR="004C22E7" w:rsidRDefault="004C22E7" w:rsidP="004C22E7">
      <w:pPr>
        <w:spacing w:after="0" w:line="240" w:lineRule="auto"/>
        <w:jc w:val="center"/>
        <w:sectPr w:rsidR="004C22E7" w:rsidSect="00091D72">
          <w:footerReference w:type="default" r:id="rId11"/>
          <w:pgSz w:w="11906" w:h="16838"/>
          <w:pgMar w:top="1440" w:right="1440" w:bottom="1440" w:left="1440" w:header="708" w:footer="708" w:gutter="0"/>
          <w:cols w:space="708"/>
          <w:docGrid w:linePitch="360"/>
        </w:sectPr>
      </w:pPr>
      <w:r>
        <w:t>This is the version of the paper accepted for publication. Please refer to and cite the published version of the paper</w:t>
      </w:r>
    </w:p>
    <w:p w14:paraId="714AA153" w14:textId="442CFA2A" w:rsidR="004C22E7" w:rsidRDefault="004C22E7" w:rsidP="004C22E7">
      <w:pPr>
        <w:spacing w:after="0" w:line="240" w:lineRule="auto"/>
        <w:jc w:val="center"/>
        <w:rPr>
          <w:lang w:val="en-GB"/>
        </w:rPr>
      </w:pPr>
    </w:p>
    <w:p w14:paraId="4CF5C36E" w14:textId="77777777" w:rsidR="008D371E" w:rsidRPr="008D371E" w:rsidRDefault="008D371E" w:rsidP="008D371E">
      <w:pPr>
        <w:ind w:firstLine="0"/>
        <w:rPr>
          <w:lang w:val="en-GB"/>
        </w:rPr>
      </w:pPr>
    </w:p>
    <w:p w14:paraId="571BE70F" w14:textId="6D2BB56B" w:rsidR="00411F1B" w:rsidRPr="00D814C3" w:rsidRDefault="00E426BF" w:rsidP="005E7A2D">
      <w:pPr>
        <w:pStyle w:val="Title"/>
        <w:spacing w:line="360" w:lineRule="auto"/>
        <w:rPr>
          <w:rFonts w:cs="Times New Roman"/>
          <w:szCs w:val="36"/>
          <w:lang w:val="en-GB"/>
        </w:rPr>
      </w:pPr>
      <w:r>
        <w:rPr>
          <w:rFonts w:cs="Times New Roman"/>
          <w:szCs w:val="36"/>
          <w:lang w:val="en-GB"/>
        </w:rPr>
        <w:t>Accounting for Heritage Assets:</w:t>
      </w:r>
      <w:r w:rsidR="009E46DA">
        <w:rPr>
          <w:rFonts w:cs="Times New Roman"/>
          <w:szCs w:val="36"/>
          <w:lang w:val="en-GB"/>
        </w:rPr>
        <w:t xml:space="preserve"> Thomas Holloway’s Picture Collection, 1881-201</w:t>
      </w:r>
      <w:r w:rsidR="004204E0">
        <w:rPr>
          <w:rFonts w:cs="Times New Roman"/>
          <w:szCs w:val="36"/>
          <w:lang w:val="en-GB"/>
        </w:rPr>
        <w:t>9</w:t>
      </w:r>
    </w:p>
    <w:p w14:paraId="647C18AB" w14:textId="77777777" w:rsidR="002A6F45" w:rsidRDefault="002A6F45" w:rsidP="00BB1BF8">
      <w:pPr>
        <w:pStyle w:val="Title"/>
        <w:spacing w:line="360" w:lineRule="auto"/>
        <w:rPr>
          <w:lang w:val="en-GB"/>
        </w:rPr>
      </w:pPr>
    </w:p>
    <w:p w14:paraId="07CB3962" w14:textId="77777777" w:rsidR="00411F1B" w:rsidRPr="00D814C3" w:rsidRDefault="00411F1B" w:rsidP="00BB1BF8">
      <w:pPr>
        <w:pStyle w:val="Title"/>
        <w:spacing w:line="360" w:lineRule="auto"/>
        <w:rPr>
          <w:lang w:val="en-GB"/>
        </w:rPr>
      </w:pPr>
      <w:r w:rsidRPr="001136E2">
        <w:rPr>
          <w:lang w:val="en-GB"/>
        </w:rPr>
        <w:t>Abstract</w:t>
      </w:r>
      <w:r w:rsidR="008B3574">
        <w:rPr>
          <w:lang w:val="en-GB"/>
        </w:rPr>
        <w:t xml:space="preserve"> </w:t>
      </w:r>
    </w:p>
    <w:p w14:paraId="1A650F3D" w14:textId="201A3256" w:rsidR="00BA2A1D" w:rsidRPr="000A5598" w:rsidRDefault="00E426BF" w:rsidP="00BA2A1D">
      <w:pPr>
        <w:pStyle w:val="Caption"/>
        <w:spacing w:line="360" w:lineRule="auto"/>
        <w:jc w:val="both"/>
        <w:rPr>
          <w:lang w:val="en-GB"/>
        </w:rPr>
      </w:pPr>
      <w:r>
        <w:rPr>
          <w:lang w:val="en-GB"/>
        </w:rPr>
        <w:t xml:space="preserve">In recent years, there has been a debate about whether the owners of </w:t>
      </w:r>
      <w:r w:rsidR="002269EE">
        <w:rPr>
          <w:lang w:val="en-GB"/>
        </w:rPr>
        <w:t>“</w:t>
      </w:r>
      <w:r>
        <w:rPr>
          <w:lang w:val="en-GB"/>
        </w:rPr>
        <w:t>heritage assets</w:t>
      </w:r>
      <w:r w:rsidR="002269EE">
        <w:rPr>
          <w:lang w:val="en-GB"/>
        </w:rPr>
        <w:t>”</w:t>
      </w:r>
      <w:r>
        <w:rPr>
          <w:lang w:val="en-GB"/>
        </w:rPr>
        <w:t xml:space="preserve"> should include them </w:t>
      </w:r>
      <w:r w:rsidR="001136E2">
        <w:rPr>
          <w:lang w:val="en-GB"/>
        </w:rPr>
        <w:t>o</w:t>
      </w:r>
      <w:r>
        <w:rPr>
          <w:lang w:val="en-GB"/>
        </w:rPr>
        <w:t xml:space="preserve">n their </w:t>
      </w:r>
      <w:r w:rsidR="006F4326">
        <w:rPr>
          <w:lang w:val="en-GB"/>
        </w:rPr>
        <w:t>balance sheets</w:t>
      </w:r>
      <w:r w:rsidR="003425D7">
        <w:rPr>
          <w:lang w:val="en-GB"/>
        </w:rPr>
        <w:t>.</w:t>
      </w:r>
      <w:r>
        <w:rPr>
          <w:lang w:val="en-GB"/>
        </w:rPr>
        <w:t xml:space="preserve"> </w:t>
      </w:r>
      <w:r w:rsidR="001136E2">
        <w:rPr>
          <w:lang w:val="en-GB"/>
        </w:rPr>
        <w:t>We</w:t>
      </w:r>
      <w:r>
        <w:rPr>
          <w:lang w:val="en-GB"/>
        </w:rPr>
        <w:t xml:space="preserve"> </w:t>
      </w:r>
      <w:r w:rsidR="001136E2">
        <w:rPr>
          <w:lang w:val="en-GB"/>
        </w:rPr>
        <w:t>present</w:t>
      </w:r>
      <w:r>
        <w:rPr>
          <w:lang w:val="en-GB"/>
        </w:rPr>
        <w:t xml:space="preserve"> a longitudinal study of </w:t>
      </w:r>
      <w:r w:rsidR="002A6F45">
        <w:rPr>
          <w:lang w:val="en-GB"/>
        </w:rPr>
        <w:t>the</w:t>
      </w:r>
      <w:r>
        <w:rPr>
          <w:lang w:val="en-GB"/>
        </w:rPr>
        <w:t xml:space="preserve"> collection </w:t>
      </w:r>
      <w:r w:rsidR="002A6F45">
        <w:rPr>
          <w:lang w:val="en-GB"/>
        </w:rPr>
        <w:t xml:space="preserve">of 77 pictures donated by Thomas Holloway to </w:t>
      </w:r>
      <w:r w:rsidR="000A5598">
        <w:rPr>
          <w:lang w:val="en-GB"/>
        </w:rPr>
        <w:t>Royal Holloway College</w:t>
      </w:r>
      <w:r w:rsidR="003425D7">
        <w:rPr>
          <w:lang w:val="en-GB"/>
        </w:rPr>
        <w:t xml:space="preserve"> between 1881 and 1883</w:t>
      </w:r>
      <w:r w:rsidR="000A5598">
        <w:rPr>
          <w:lang w:val="en-GB"/>
        </w:rPr>
        <w:t xml:space="preserve">. </w:t>
      </w:r>
      <w:r w:rsidR="003425D7">
        <w:rPr>
          <w:lang w:val="en-GB"/>
        </w:rPr>
        <w:t>We</w:t>
      </w:r>
      <w:r w:rsidR="00335F50">
        <w:rPr>
          <w:lang w:val="en-GB"/>
        </w:rPr>
        <w:t xml:space="preserve"> draw</w:t>
      </w:r>
      <w:r w:rsidR="003425D7">
        <w:rPr>
          <w:lang w:val="en-GB"/>
        </w:rPr>
        <w:t xml:space="preserve"> </w:t>
      </w:r>
      <w:r w:rsidR="00335F50">
        <w:rPr>
          <w:lang w:val="en-GB"/>
        </w:rPr>
        <w:t xml:space="preserve">on </w:t>
      </w:r>
      <w:r w:rsidR="000A3538">
        <w:rPr>
          <w:lang w:val="en-GB"/>
        </w:rPr>
        <w:t>archival material to analyse accounting practices for Holloway’s picture collection</w:t>
      </w:r>
      <w:r w:rsidR="00335F50">
        <w:rPr>
          <w:lang w:val="en-GB"/>
        </w:rPr>
        <w:t xml:space="preserve">, </w:t>
      </w:r>
      <w:r w:rsidR="0087650E">
        <w:rPr>
          <w:lang w:val="en-GB"/>
        </w:rPr>
        <w:t>finding</w:t>
      </w:r>
      <w:r w:rsidR="00335F50">
        <w:rPr>
          <w:lang w:val="en-GB"/>
        </w:rPr>
        <w:t xml:space="preserve"> that </w:t>
      </w:r>
      <w:r w:rsidR="001136E2">
        <w:rPr>
          <w:lang w:val="en-GB"/>
        </w:rPr>
        <w:t xml:space="preserve">the collection remained </w:t>
      </w:r>
      <w:r w:rsidR="00335F50">
        <w:rPr>
          <w:lang w:val="en-GB"/>
        </w:rPr>
        <w:t xml:space="preserve">effectively invisible as an accounting object until </w:t>
      </w:r>
      <w:r w:rsidR="00423607">
        <w:rPr>
          <w:lang w:val="en-GB"/>
        </w:rPr>
        <w:t>1999</w:t>
      </w:r>
      <w:r>
        <w:rPr>
          <w:lang w:val="en-GB"/>
        </w:rPr>
        <w:t xml:space="preserve">, when accounting </w:t>
      </w:r>
      <w:r w:rsidR="002A6F45">
        <w:rPr>
          <w:lang w:val="en-GB"/>
        </w:rPr>
        <w:t xml:space="preserve">requirements for heritage assets were </w:t>
      </w:r>
      <w:r w:rsidR="00423607">
        <w:rPr>
          <w:lang w:val="en-GB"/>
        </w:rPr>
        <w:t>first applied</w:t>
      </w:r>
      <w:r w:rsidR="00335F50">
        <w:rPr>
          <w:lang w:val="en-GB"/>
        </w:rPr>
        <w:t xml:space="preserve">. </w:t>
      </w:r>
      <w:r w:rsidR="003425D7">
        <w:rPr>
          <w:lang w:val="en-GB"/>
        </w:rPr>
        <w:t>We</w:t>
      </w:r>
      <w:r w:rsidR="00335F50">
        <w:rPr>
          <w:lang w:val="en-GB"/>
        </w:rPr>
        <w:t xml:space="preserve"> use</w:t>
      </w:r>
      <w:r w:rsidR="00626650">
        <w:rPr>
          <w:lang w:val="en-GB"/>
        </w:rPr>
        <w:t xml:space="preserve"> Jean</w:t>
      </w:r>
      <w:r w:rsidR="00335F50">
        <w:rPr>
          <w:lang w:val="en-GB"/>
        </w:rPr>
        <w:t xml:space="preserve"> Baudrillard’s “orders of simulacra”</w:t>
      </w:r>
      <w:r w:rsidR="001136E2">
        <w:rPr>
          <w:lang w:val="en-GB"/>
        </w:rPr>
        <w:t xml:space="preserve"> to study the relationship between accounting signs and their referents, and we draw on Bruno Latour’s notion of “matter</w:t>
      </w:r>
      <w:r w:rsidR="003425D7">
        <w:rPr>
          <w:lang w:val="en-GB"/>
        </w:rPr>
        <w:t>s</w:t>
      </w:r>
      <w:r w:rsidR="001136E2">
        <w:rPr>
          <w:lang w:val="en-GB"/>
        </w:rPr>
        <w:t xml:space="preserve"> of concern” to investigate how </w:t>
      </w:r>
      <w:r w:rsidR="003425D7">
        <w:rPr>
          <w:lang w:val="en-GB"/>
        </w:rPr>
        <w:t xml:space="preserve">changes in </w:t>
      </w:r>
      <w:r w:rsidR="001136E2">
        <w:rPr>
          <w:lang w:val="en-GB"/>
        </w:rPr>
        <w:t>the accounting sign render the referent a complicating, agitating and provoking “matter”</w:t>
      </w:r>
      <w:r w:rsidR="003425D7">
        <w:rPr>
          <w:lang w:val="en-GB"/>
        </w:rPr>
        <w:t xml:space="preserve"> in different ways.</w:t>
      </w:r>
      <w:r w:rsidR="001136E2">
        <w:rPr>
          <w:lang w:val="en-GB"/>
        </w:rPr>
        <w:t xml:space="preserve"> </w:t>
      </w:r>
      <w:r w:rsidR="003425D7">
        <w:rPr>
          <w:lang w:val="en-GB"/>
        </w:rPr>
        <w:t>T</w:t>
      </w:r>
      <w:r w:rsidR="00195507">
        <w:rPr>
          <w:lang w:val="en-GB"/>
        </w:rPr>
        <w:t>he Royal Holloway financial statements</w:t>
      </w:r>
      <w:r w:rsidR="001136E2">
        <w:rPr>
          <w:lang w:val="en-GB"/>
        </w:rPr>
        <w:t xml:space="preserve"> currently present </w:t>
      </w:r>
      <w:r w:rsidR="003425D7">
        <w:rPr>
          <w:lang w:val="en-GB"/>
        </w:rPr>
        <w:t xml:space="preserve">the picture collection </w:t>
      </w:r>
      <w:r w:rsidR="001136E2">
        <w:rPr>
          <w:lang w:val="en-GB"/>
        </w:rPr>
        <w:t>by an accounting sign that</w:t>
      </w:r>
      <w:r w:rsidR="00335F50">
        <w:rPr>
          <w:lang w:val="en-GB"/>
        </w:rPr>
        <w:t xml:space="preserve"> we suggest is a “counterfeit” (</w:t>
      </w:r>
      <w:r w:rsidR="002A6F45">
        <w:rPr>
          <w:lang w:val="en-GB"/>
        </w:rPr>
        <w:t>signifying</w:t>
      </w:r>
      <w:r w:rsidR="00335F50">
        <w:rPr>
          <w:lang w:val="en-GB"/>
        </w:rPr>
        <w:t xml:space="preserve"> the money that could, counterfactually, be made from selling the paintings) but not a “simulation” </w:t>
      </w:r>
      <w:r w:rsidR="002269EE">
        <w:rPr>
          <w:lang w:val="en-GB"/>
        </w:rPr>
        <w:t xml:space="preserve">(creating a hyperreality detached </w:t>
      </w:r>
      <w:r w:rsidR="00423607">
        <w:rPr>
          <w:lang w:val="en-GB"/>
        </w:rPr>
        <w:t>from</w:t>
      </w:r>
      <w:r w:rsidR="002269EE">
        <w:rPr>
          <w:lang w:val="en-GB"/>
        </w:rPr>
        <w:t xml:space="preserve"> the referent)</w:t>
      </w:r>
      <w:r w:rsidR="0062537E">
        <w:rPr>
          <w:lang w:val="en-GB"/>
        </w:rPr>
        <w:t xml:space="preserve">. </w:t>
      </w:r>
      <w:r w:rsidR="002269EE">
        <w:rPr>
          <w:lang w:val="en-GB"/>
        </w:rPr>
        <w:t>This relationship</w:t>
      </w:r>
      <w:r w:rsidR="0062537E">
        <w:rPr>
          <w:lang w:val="en-GB"/>
        </w:rPr>
        <w:t xml:space="preserve"> between the sign and the referent</w:t>
      </w:r>
      <w:r w:rsidR="002269EE">
        <w:rPr>
          <w:lang w:val="en-GB"/>
        </w:rPr>
        <w:t xml:space="preserve"> makes up the ontological status of </w:t>
      </w:r>
      <w:r w:rsidR="001136E2">
        <w:rPr>
          <w:lang w:val="en-GB"/>
        </w:rPr>
        <w:t>“</w:t>
      </w:r>
      <w:r w:rsidR="002269EE">
        <w:rPr>
          <w:lang w:val="en-GB"/>
        </w:rPr>
        <w:t>assets</w:t>
      </w:r>
      <w:r w:rsidR="001136E2">
        <w:rPr>
          <w:lang w:val="en-GB"/>
        </w:rPr>
        <w:t>”</w:t>
      </w:r>
      <w:r w:rsidR="002269EE">
        <w:rPr>
          <w:lang w:val="en-GB"/>
        </w:rPr>
        <w:t xml:space="preserve"> in accounting reports, </w:t>
      </w:r>
      <w:r w:rsidR="0062537E">
        <w:rPr>
          <w:lang w:val="en-GB"/>
        </w:rPr>
        <w:t>rendering assets</w:t>
      </w:r>
      <w:r w:rsidR="002269EE">
        <w:rPr>
          <w:lang w:val="en-GB"/>
        </w:rPr>
        <w:t xml:space="preserve"> capable of triggering actual (rather than hyperreal) </w:t>
      </w:r>
      <w:r w:rsidR="002269EE" w:rsidRPr="002269EE">
        <w:rPr>
          <w:i/>
          <w:lang w:val="en-GB"/>
        </w:rPr>
        <w:t>material</w:t>
      </w:r>
      <w:r w:rsidR="002269EE">
        <w:rPr>
          <w:lang w:val="en-GB"/>
        </w:rPr>
        <w:t xml:space="preserve"> effects.</w:t>
      </w:r>
    </w:p>
    <w:p w14:paraId="32065833" w14:textId="77777777" w:rsidR="00737038" w:rsidRDefault="00411F1B" w:rsidP="00737038">
      <w:pPr>
        <w:pStyle w:val="Caption"/>
        <w:spacing w:line="360" w:lineRule="auto"/>
        <w:ind w:firstLine="0"/>
        <w:jc w:val="both"/>
        <w:rPr>
          <w:rFonts w:cs="Times New Roman"/>
          <w:szCs w:val="24"/>
          <w:lang w:val="en-GB"/>
        </w:rPr>
      </w:pPr>
      <w:r w:rsidRPr="00D814C3">
        <w:rPr>
          <w:rFonts w:cs="Times New Roman"/>
          <w:b/>
          <w:szCs w:val="24"/>
          <w:lang w:val="en-GB"/>
        </w:rPr>
        <w:t>Keywords:</w:t>
      </w:r>
      <w:r w:rsidRPr="00D814C3">
        <w:rPr>
          <w:rFonts w:cs="Times New Roman"/>
          <w:szCs w:val="24"/>
          <w:lang w:val="en-GB"/>
        </w:rPr>
        <w:t xml:space="preserve"> </w:t>
      </w:r>
      <w:r w:rsidR="00E426BF">
        <w:rPr>
          <w:rFonts w:cs="Times New Roman"/>
          <w:szCs w:val="24"/>
          <w:lang w:val="en-GB"/>
        </w:rPr>
        <w:t xml:space="preserve">Heritage assets, </w:t>
      </w:r>
      <w:r w:rsidR="00335F50" w:rsidRPr="00335F50">
        <w:rPr>
          <w:rFonts w:cs="Times New Roman"/>
          <w:szCs w:val="24"/>
          <w:lang w:val="en-GB"/>
        </w:rPr>
        <w:t>Thomas</w:t>
      </w:r>
      <w:r w:rsidR="00335F50">
        <w:rPr>
          <w:rFonts w:cs="Times New Roman"/>
          <w:szCs w:val="24"/>
          <w:lang w:val="en-GB"/>
        </w:rPr>
        <w:t xml:space="preserve"> Holloway, Victorian painting, Royal Holloway College, counterfeit, simulacrum, financial reporting, university accounts</w:t>
      </w:r>
    </w:p>
    <w:p w14:paraId="3872697B" w14:textId="77777777" w:rsidR="00411F1B" w:rsidRPr="00335F50" w:rsidRDefault="00335F50" w:rsidP="00737038">
      <w:pPr>
        <w:pStyle w:val="Caption"/>
        <w:spacing w:line="360" w:lineRule="auto"/>
        <w:ind w:firstLine="0"/>
        <w:jc w:val="both"/>
        <w:rPr>
          <w:rFonts w:cs="Times New Roman"/>
          <w:szCs w:val="24"/>
          <w:lang w:val="en-GB"/>
        </w:rPr>
        <w:sectPr w:rsidR="00411F1B" w:rsidRPr="00335F50" w:rsidSect="004C22E7">
          <w:footerReference w:type="default" r:id="rId12"/>
          <w:pgSz w:w="11906" w:h="16838"/>
          <w:pgMar w:top="1440" w:right="1440" w:bottom="1440" w:left="1440" w:header="708" w:footer="708" w:gutter="0"/>
          <w:pgNumType w:start="1"/>
          <w:cols w:space="708"/>
          <w:docGrid w:linePitch="360"/>
        </w:sectPr>
      </w:pPr>
      <w:r w:rsidRPr="00335F50">
        <w:rPr>
          <w:rFonts w:cs="Times New Roman"/>
          <w:szCs w:val="24"/>
          <w:lang w:val="en-GB"/>
        </w:rPr>
        <w:t xml:space="preserve"> </w:t>
      </w:r>
    </w:p>
    <w:p w14:paraId="18455C11" w14:textId="47325746" w:rsidR="00411F1B" w:rsidRPr="00D814C3" w:rsidRDefault="009E46DA" w:rsidP="00BB1BF8">
      <w:pPr>
        <w:pStyle w:val="Title"/>
        <w:spacing w:line="360" w:lineRule="auto"/>
        <w:rPr>
          <w:lang w:val="en-GB"/>
        </w:rPr>
      </w:pPr>
      <w:r>
        <w:rPr>
          <w:lang w:val="en-GB"/>
        </w:rPr>
        <w:lastRenderedPageBreak/>
        <w:t xml:space="preserve">Accounting for </w:t>
      </w:r>
      <w:r w:rsidR="002A6F45">
        <w:rPr>
          <w:lang w:val="en-GB"/>
        </w:rPr>
        <w:t xml:space="preserve">Heritage Assets: </w:t>
      </w:r>
      <w:r>
        <w:rPr>
          <w:lang w:val="en-GB"/>
        </w:rPr>
        <w:t>Thomas Holloway’s Picture Collection, 1881-201</w:t>
      </w:r>
      <w:r w:rsidR="004204E0">
        <w:rPr>
          <w:lang w:val="en-GB"/>
        </w:rPr>
        <w:t>9</w:t>
      </w:r>
    </w:p>
    <w:p w14:paraId="37E9BD7C" w14:textId="77777777" w:rsidR="00DF6CBB" w:rsidRDefault="00DF6CBB" w:rsidP="007803CE">
      <w:pPr>
        <w:pStyle w:val="Heading1"/>
      </w:pPr>
      <w:r w:rsidRPr="007803CE">
        <w:t>Introduction</w:t>
      </w:r>
    </w:p>
    <w:p w14:paraId="1A160FFA" w14:textId="4146C0F9" w:rsidR="00165958" w:rsidRDefault="00562A5A" w:rsidP="00A452C0">
      <w:pPr>
        <w:rPr>
          <w:lang w:val="en-GB"/>
        </w:rPr>
      </w:pPr>
      <w:r>
        <w:rPr>
          <w:lang w:val="en-GB"/>
        </w:rPr>
        <w:t>The issue of</w:t>
      </w:r>
      <w:r w:rsidR="00B36F39">
        <w:rPr>
          <w:lang w:val="en-GB"/>
        </w:rPr>
        <w:t xml:space="preserve"> what items should be included i</w:t>
      </w:r>
      <w:r>
        <w:rPr>
          <w:lang w:val="en-GB"/>
        </w:rPr>
        <w:t xml:space="preserve">n the balance sheet as assets and how these items should be measured is by no means a new one. Edwards (2019, p. 66) refers to several debates on this issue in Britain in past centuries, giving examples of enterprises that did not include items such as coal mines and iron works in their accounts. </w:t>
      </w:r>
      <w:r w:rsidR="002D474A">
        <w:rPr>
          <w:lang w:val="en-GB"/>
        </w:rPr>
        <w:t>Parker (1994, p. 79) discusses how the term “asset” emerged and how it has been represented in different languages. More r</w:t>
      </w:r>
      <w:r w:rsidR="00165958">
        <w:rPr>
          <w:lang w:val="en-GB"/>
        </w:rPr>
        <w:t xml:space="preserve">ecently, the International Accounting Standards Board published its long-awaited </w:t>
      </w:r>
      <w:r w:rsidR="00165958">
        <w:rPr>
          <w:i/>
          <w:lang w:val="en-GB"/>
        </w:rPr>
        <w:t>Conceptual Framework for Financial Reporting</w:t>
      </w:r>
      <w:r w:rsidR="00165958">
        <w:rPr>
          <w:lang w:val="en-GB"/>
        </w:rPr>
        <w:t xml:space="preserve"> (IASB, 2018). This document contains a definition of an asset as “a present economic resource controlled by the entity as a result of past events” (para. 4.3), with “economic resource” being explained as “a right that has the potential to produce economic benefits” (para. 4.4). A physical object is not in itself an asset, but the right to use the object </w:t>
      </w:r>
      <w:r w:rsidR="003D15D4">
        <w:rPr>
          <w:lang w:val="en-GB"/>
        </w:rPr>
        <w:t>may be</w:t>
      </w:r>
      <w:r w:rsidR="00165958">
        <w:rPr>
          <w:lang w:val="en-GB"/>
        </w:rPr>
        <w:t xml:space="preserve"> (para. 4.6 (b) (1)). The potential to produce economic benefits can arise in various wa</w:t>
      </w:r>
      <w:r w:rsidR="006F4326">
        <w:rPr>
          <w:lang w:val="en-GB"/>
        </w:rPr>
        <w:t>y</w:t>
      </w:r>
      <w:r w:rsidR="00165958">
        <w:rPr>
          <w:lang w:val="en-GB"/>
        </w:rPr>
        <w:t>s, such as “using the economic resource . . . to produce goods or provide services” (para. 4.16 (c) (</w:t>
      </w:r>
      <w:proofErr w:type="spellStart"/>
      <w:r w:rsidR="00165958">
        <w:rPr>
          <w:lang w:val="en-GB"/>
        </w:rPr>
        <w:t>i</w:t>
      </w:r>
      <w:proofErr w:type="spellEnd"/>
      <w:r w:rsidR="00165958">
        <w:rPr>
          <w:lang w:val="en-GB"/>
        </w:rPr>
        <w:t>)) or to “receive cash or other economic resources by selling the economic resource” (para. 4.16 (d)).</w:t>
      </w:r>
    </w:p>
    <w:p w14:paraId="6411DCDB" w14:textId="3DAD765F" w:rsidR="00C42F84" w:rsidRDefault="00617DF0" w:rsidP="00A452C0">
      <w:pPr>
        <w:rPr>
          <w:lang w:val="en-GB"/>
        </w:rPr>
      </w:pPr>
      <w:r>
        <w:rPr>
          <w:lang w:val="en-GB"/>
        </w:rPr>
        <w:t>M</w:t>
      </w:r>
      <w:r w:rsidR="00165958">
        <w:rPr>
          <w:lang w:val="en-GB"/>
        </w:rPr>
        <w:t xml:space="preserve">any organisations, particularly </w:t>
      </w:r>
      <w:r w:rsidR="00C42F84">
        <w:rPr>
          <w:lang w:val="en-GB"/>
        </w:rPr>
        <w:t xml:space="preserve">outside the private sector, own items that are central to the organisations’ fundamental purposes, but are not used “to produce goods or provide services” in any way analogous to the private sector, and are not intended to be sold or otherwise disposed of. Examples of such items include the holdings of museums and art galleries, the collections of universities and colleges, and historical buildings and locations. Are such items “assets” within the definition of the </w:t>
      </w:r>
      <w:r w:rsidR="00C42F84">
        <w:rPr>
          <w:i/>
          <w:lang w:val="en-GB"/>
        </w:rPr>
        <w:t>Conceptual Framework for Financial Reporting</w:t>
      </w:r>
      <w:r w:rsidR="00C42F84">
        <w:rPr>
          <w:lang w:val="en-GB"/>
        </w:rPr>
        <w:t xml:space="preserve">? In some cases, they may be the source of revenues (for example, admission fees to a museum or stately home). But if they do not fit the definition exactly, can the definition be stretched to make them at least potentially eligible for inclusion </w:t>
      </w:r>
      <w:r w:rsidR="00B36F39">
        <w:rPr>
          <w:lang w:val="en-GB"/>
        </w:rPr>
        <w:t>i</w:t>
      </w:r>
      <w:r w:rsidR="00C42F84">
        <w:rPr>
          <w:lang w:val="en-GB"/>
        </w:rPr>
        <w:t xml:space="preserve">n the </w:t>
      </w:r>
      <w:r w:rsidR="006F4326">
        <w:rPr>
          <w:lang w:val="en-GB"/>
        </w:rPr>
        <w:t>balance sheet</w:t>
      </w:r>
      <w:r w:rsidR="00C42F84">
        <w:rPr>
          <w:lang w:val="en-GB"/>
        </w:rPr>
        <w:t>?</w:t>
      </w:r>
    </w:p>
    <w:p w14:paraId="1C52B658" w14:textId="77777777" w:rsidR="00FF1D53" w:rsidRDefault="00C42F84" w:rsidP="00FA7429">
      <w:pPr>
        <w:rPr>
          <w:lang w:val="en-GB"/>
        </w:rPr>
      </w:pPr>
      <w:r>
        <w:rPr>
          <w:lang w:val="en-GB"/>
        </w:rPr>
        <w:t xml:space="preserve">The Accounting Standards Board attempted to address this issue for British and Irish entities in Financial Reporting Standard 30 (FRS 30) </w:t>
      </w:r>
      <w:r>
        <w:rPr>
          <w:i/>
          <w:lang w:val="en-GB"/>
        </w:rPr>
        <w:t>Heritage Assets</w:t>
      </w:r>
      <w:r>
        <w:rPr>
          <w:lang w:val="en-GB"/>
        </w:rPr>
        <w:t xml:space="preserve"> (ASB, 2009)</w:t>
      </w:r>
      <w:r w:rsidR="00A445A3">
        <w:rPr>
          <w:lang w:val="en-GB"/>
        </w:rPr>
        <w:t xml:space="preserve">. This clarified and extended the earlier Financial Reporting Standard 15 (FRS 15) </w:t>
      </w:r>
      <w:r w:rsidR="00A445A3">
        <w:rPr>
          <w:i/>
          <w:lang w:val="en-GB"/>
        </w:rPr>
        <w:t>Tangible Fixed Assets</w:t>
      </w:r>
      <w:r w:rsidR="00A445A3">
        <w:rPr>
          <w:lang w:val="en-GB"/>
        </w:rPr>
        <w:t xml:space="preserve"> (ASB, </w:t>
      </w:r>
      <w:r w:rsidR="00A445A3">
        <w:rPr>
          <w:lang w:val="en-GB"/>
        </w:rPr>
        <w:lastRenderedPageBreak/>
        <w:t>1999)</w:t>
      </w:r>
      <w:r w:rsidR="002D474A">
        <w:rPr>
          <w:lang w:val="en-GB"/>
        </w:rPr>
        <w:t>, which came into effect from 2001</w:t>
      </w:r>
      <w:r w:rsidR="00A445A3">
        <w:rPr>
          <w:lang w:val="en-GB"/>
        </w:rPr>
        <w:t xml:space="preserve">. FRS 30 defines a “heritage asset” as: </w:t>
      </w:r>
      <w:r w:rsidR="00A445A3" w:rsidRPr="00204DDB">
        <w:rPr>
          <w:lang w:val="en-GB"/>
        </w:rPr>
        <w:t>“A tangible asset with historical, artistic, scientific, technological, geophysical or environmental qualities that is held and maintained principally for its contribution to knowledge and culture” (ASB, 2009, para. 2</w:t>
      </w:r>
      <w:r w:rsidR="006A78F5" w:rsidRPr="00204DDB">
        <w:rPr>
          <w:lang w:val="en-GB"/>
        </w:rPr>
        <w:t xml:space="preserve"> – the definition has subsequently been extended to cover intangible assets as well</w:t>
      </w:r>
      <w:r w:rsidR="00A445A3" w:rsidRPr="00204DDB">
        <w:rPr>
          <w:lang w:val="en-GB"/>
        </w:rPr>
        <w:t>).</w:t>
      </w:r>
      <w:r w:rsidR="00A87C29" w:rsidRPr="00204DDB">
        <w:rPr>
          <w:lang w:val="en-GB"/>
        </w:rPr>
        <w:t xml:space="preserve"> The standard requires heritage assets to be included in the </w:t>
      </w:r>
      <w:r w:rsidR="006F4326" w:rsidRPr="00204DDB">
        <w:rPr>
          <w:lang w:val="en-GB"/>
        </w:rPr>
        <w:t>balance sheet</w:t>
      </w:r>
      <w:r w:rsidR="00A87C29" w:rsidRPr="00204DDB">
        <w:rPr>
          <w:lang w:val="en-GB"/>
        </w:rPr>
        <w:t xml:space="preserve">, so long as information on their cost or value </w:t>
      </w:r>
      <w:r w:rsidR="006F4326" w:rsidRPr="00204DDB">
        <w:rPr>
          <w:lang w:val="en-GB"/>
        </w:rPr>
        <w:t>is</w:t>
      </w:r>
      <w:r w:rsidR="00A87C29" w:rsidRPr="00204DDB">
        <w:rPr>
          <w:lang w:val="en-GB"/>
        </w:rPr>
        <w:t xml:space="preserve"> available. If cost or value information is not available, or cannot be obtained at a reasonable cost, then heritage assets are not recognised in the </w:t>
      </w:r>
      <w:r w:rsidR="006F4326" w:rsidRPr="00204DDB">
        <w:rPr>
          <w:lang w:val="en-GB"/>
        </w:rPr>
        <w:t>balance sheet</w:t>
      </w:r>
      <w:r w:rsidR="00A87C29" w:rsidRPr="00204DDB">
        <w:rPr>
          <w:lang w:val="en-GB"/>
        </w:rPr>
        <w:t xml:space="preserve">. </w:t>
      </w:r>
    </w:p>
    <w:p w14:paraId="2C2A2051" w14:textId="0E29FD0F" w:rsidR="00617DF0" w:rsidRDefault="00B36F39" w:rsidP="00F77CFD">
      <w:pPr>
        <w:rPr>
          <w:lang w:val="en-GB"/>
        </w:rPr>
      </w:pPr>
      <w:r>
        <w:rPr>
          <w:lang w:val="en-GB"/>
        </w:rPr>
        <w:t>F</w:t>
      </w:r>
      <w:r w:rsidR="002D474A">
        <w:rPr>
          <w:lang w:val="en-GB"/>
        </w:rPr>
        <w:t xml:space="preserve">ollowing the requirements of FRS 30 </w:t>
      </w:r>
      <w:r>
        <w:rPr>
          <w:lang w:val="en-GB"/>
        </w:rPr>
        <w:t>may</w:t>
      </w:r>
      <w:r w:rsidR="002D474A">
        <w:rPr>
          <w:lang w:val="en-GB"/>
        </w:rPr>
        <w:t xml:space="preserve"> affect how</w:t>
      </w:r>
      <w:r w:rsidR="00FF1D53">
        <w:rPr>
          <w:lang w:val="en-GB"/>
        </w:rPr>
        <w:t xml:space="preserve"> organi</w:t>
      </w:r>
      <w:r w:rsidR="002D474A">
        <w:rPr>
          <w:lang w:val="en-GB"/>
        </w:rPr>
        <w:t>s</w:t>
      </w:r>
      <w:r w:rsidR="00FF1D53">
        <w:rPr>
          <w:lang w:val="en-GB"/>
        </w:rPr>
        <w:t xml:space="preserve">ations regard </w:t>
      </w:r>
      <w:r w:rsidR="00327096">
        <w:rPr>
          <w:lang w:val="en-GB"/>
        </w:rPr>
        <w:t>heritage</w:t>
      </w:r>
      <w:r w:rsidR="00FF1D53">
        <w:rPr>
          <w:lang w:val="en-GB"/>
        </w:rPr>
        <w:t xml:space="preserve"> </w:t>
      </w:r>
      <w:r w:rsidR="00327096">
        <w:rPr>
          <w:lang w:val="en-GB"/>
        </w:rPr>
        <w:t>objects</w:t>
      </w:r>
      <w:r w:rsidR="00875EE6">
        <w:rPr>
          <w:lang w:val="en-GB"/>
        </w:rPr>
        <w:t xml:space="preserve"> (we use this term here to avoid presuming that heritage objects are “assets” in an accounting sense)</w:t>
      </w:r>
      <w:r w:rsidR="00F77CFD">
        <w:rPr>
          <w:lang w:val="en-GB"/>
        </w:rPr>
        <w:t xml:space="preserve">. </w:t>
      </w:r>
      <w:r w:rsidR="002D474A">
        <w:rPr>
          <w:lang w:val="en-GB"/>
        </w:rPr>
        <w:t>I</w:t>
      </w:r>
      <w:r w:rsidR="00F77CFD">
        <w:rPr>
          <w:lang w:val="en-GB"/>
        </w:rPr>
        <w:t>nclud</w:t>
      </w:r>
      <w:r w:rsidR="002D474A">
        <w:rPr>
          <w:lang w:val="en-GB"/>
        </w:rPr>
        <w:t>ing</w:t>
      </w:r>
      <w:r w:rsidR="00F77CFD">
        <w:rPr>
          <w:lang w:val="en-GB"/>
        </w:rPr>
        <w:t xml:space="preserve"> </w:t>
      </w:r>
      <w:r w:rsidR="00327096">
        <w:rPr>
          <w:lang w:val="en-GB"/>
        </w:rPr>
        <w:t xml:space="preserve">a </w:t>
      </w:r>
      <w:r w:rsidR="00F77CFD">
        <w:rPr>
          <w:lang w:val="en-GB"/>
        </w:rPr>
        <w:t xml:space="preserve">heritage </w:t>
      </w:r>
      <w:r w:rsidR="009C722C">
        <w:rPr>
          <w:lang w:val="en-GB"/>
        </w:rPr>
        <w:t xml:space="preserve">object </w:t>
      </w:r>
      <w:r w:rsidR="00F77CFD">
        <w:rPr>
          <w:lang w:val="en-GB"/>
        </w:rPr>
        <w:t xml:space="preserve">in the balance sheet </w:t>
      </w:r>
      <w:r w:rsidR="009C722C">
        <w:rPr>
          <w:lang w:val="en-GB"/>
        </w:rPr>
        <w:t xml:space="preserve">as </w:t>
      </w:r>
      <w:r w:rsidR="00327096">
        <w:rPr>
          <w:lang w:val="en-GB"/>
        </w:rPr>
        <w:t xml:space="preserve">a </w:t>
      </w:r>
      <w:r w:rsidR="009C722C">
        <w:rPr>
          <w:lang w:val="en-GB"/>
        </w:rPr>
        <w:t xml:space="preserve">heritage asset </w:t>
      </w:r>
      <w:r w:rsidR="00F77CFD">
        <w:rPr>
          <w:lang w:val="en-GB"/>
        </w:rPr>
        <w:t xml:space="preserve">may </w:t>
      </w:r>
      <w:r w:rsidR="009C722C">
        <w:rPr>
          <w:lang w:val="en-GB"/>
        </w:rPr>
        <w:t>shift the perceived role of the object for the organi</w:t>
      </w:r>
      <w:r w:rsidR="00327096">
        <w:rPr>
          <w:lang w:val="en-GB"/>
        </w:rPr>
        <w:t>s</w:t>
      </w:r>
      <w:r w:rsidR="009C722C">
        <w:rPr>
          <w:lang w:val="en-GB"/>
        </w:rPr>
        <w:t xml:space="preserve">ation: from an object with primarily </w:t>
      </w:r>
      <w:r w:rsidRPr="00B36F39">
        <w:rPr>
          <w:i/>
          <w:lang w:val="en-GB"/>
        </w:rPr>
        <w:t>cultural</w:t>
      </w:r>
      <w:r w:rsidR="009E7B8F">
        <w:rPr>
          <w:lang w:val="en-GB"/>
        </w:rPr>
        <w:t xml:space="preserve"> value</w:t>
      </w:r>
      <w:r w:rsidR="009C722C">
        <w:rPr>
          <w:lang w:val="en-GB"/>
        </w:rPr>
        <w:t xml:space="preserve">, and therefore generating primarily cultural benefits, to an object that may also generate economic benefits. </w:t>
      </w:r>
      <w:r w:rsidR="007630A7">
        <w:rPr>
          <w:lang w:val="en-GB"/>
        </w:rPr>
        <w:t xml:space="preserve">Such change is likely to affect the way in which heritage </w:t>
      </w:r>
      <w:r w:rsidR="00327096">
        <w:rPr>
          <w:lang w:val="en-GB"/>
        </w:rPr>
        <w:t>objects</w:t>
      </w:r>
      <w:r w:rsidR="007630A7">
        <w:rPr>
          <w:lang w:val="en-GB"/>
        </w:rPr>
        <w:t xml:space="preserve"> </w:t>
      </w:r>
      <w:r>
        <w:rPr>
          <w:lang w:val="en-GB"/>
        </w:rPr>
        <w:t>“</w:t>
      </w:r>
      <w:r w:rsidR="007630A7">
        <w:rPr>
          <w:lang w:val="en-GB"/>
        </w:rPr>
        <w:t>matter</w:t>
      </w:r>
      <w:r>
        <w:rPr>
          <w:lang w:val="en-GB"/>
        </w:rPr>
        <w:t>”</w:t>
      </w:r>
      <w:r w:rsidR="007630A7">
        <w:rPr>
          <w:lang w:val="en-GB"/>
        </w:rPr>
        <w:t xml:space="preserve"> to the organi</w:t>
      </w:r>
      <w:r w:rsidR="002D474A">
        <w:rPr>
          <w:lang w:val="en-GB"/>
        </w:rPr>
        <w:t>s</w:t>
      </w:r>
      <w:r w:rsidR="007630A7">
        <w:rPr>
          <w:lang w:val="en-GB"/>
        </w:rPr>
        <w:t>ation</w:t>
      </w:r>
      <w:r w:rsidR="006F67F6">
        <w:rPr>
          <w:lang w:val="en-GB"/>
        </w:rPr>
        <w:t xml:space="preserve">, as it introduces a range of further possibilities </w:t>
      </w:r>
      <w:r w:rsidR="009E7B8F">
        <w:rPr>
          <w:lang w:val="en-GB"/>
        </w:rPr>
        <w:t>for</w:t>
      </w:r>
      <w:r w:rsidR="006F67F6">
        <w:rPr>
          <w:lang w:val="en-GB"/>
        </w:rPr>
        <w:t xml:space="preserve"> </w:t>
      </w:r>
      <w:r w:rsidR="009E7B8F">
        <w:rPr>
          <w:lang w:val="en-GB"/>
        </w:rPr>
        <w:t>managing</w:t>
      </w:r>
      <w:r w:rsidR="006F67F6">
        <w:rPr>
          <w:lang w:val="en-GB"/>
        </w:rPr>
        <w:t xml:space="preserve"> </w:t>
      </w:r>
      <w:r w:rsidR="00327096">
        <w:rPr>
          <w:lang w:val="en-GB"/>
        </w:rPr>
        <w:t>such objects</w:t>
      </w:r>
      <w:r w:rsidR="009F5DC0">
        <w:rPr>
          <w:lang w:val="en-GB"/>
        </w:rPr>
        <w:t>, for example</w:t>
      </w:r>
      <w:r w:rsidR="009E7B8F">
        <w:rPr>
          <w:lang w:val="en-GB"/>
        </w:rPr>
        <w:t>,</w:t>
      </w:r>
      <w:r w:rsidR="009F5DC0">
        <w:rPr>
          <w:lang w:val="en-GB"/>
        </w:rPr>
        <w:t xml:space="preserve"> selling rather than preserving the</w:t>
      </w:r>
      <w:r w:rsidR="009E7B8F">
        <w:rPr>
          <w:lang w:val="en-GB"/>
        </w:rPr>
        <w:t>m</w:t>
      </w:r>
      <w:r w:rsidR="006F67F6">
        <w:rPr>
          <w:lang w:val="en-GB"/>
        </w:rPr>
        <w:t>.</w:t>
      </w:r>
    </w:p>
    <w:p w14:paraId="67268ECD" w14:textId="2EDB5865" w:rsidR="00BA07DA" w:rsidRPr="00204DDB" w:rsidRDefault="00F77CFD" w:rsidP="00BA07DA">
      <w:pPr>
        <w:rPr>
          <w:lang w:val="en-GB"/>
        </w:rPr>
      </w:pPr>
      <w:r>
        <w:rPr>
          <w:lang w:val="en-GB"/>
        </w:rPr>
        <w:t>We aim to contribute to th</w:t>
      </w:r>
      <w:r w:rsidR="00B36F39">
        <w:rPr>
          <w:lang w:val="en-GB"/>
        </w:rPr>
        <w:t>e heritage assets</w:t>
      </w:r>
      <w:r>
        <w:rPr>
          <w:lang w:val="en-GB"/>
        </w:rPr>
        <w:t xml:space="preserve"> debate by</w:t>
      </w:r>
      <w:r w:rsidR="00E61FD7">
        <w:rPr>
          <w:lang w:val="en-GB"/>
        </w:rPr>
        <w:t xml:space="preserve"> examin</w:t>
      </w:r>
      <w:r>
        <w:rPr>
          <w:lang w:val="en-GB"/>
        </w:rPr>
        <w:t>ing</w:t>
      </w:r>
      <w:r w:rsidR="00E61FD7">
        <w:rPr>
          <w:lang w:val="en-GB"/>
        </w:rPr>
        <w:t xml:space="preserve"> </w:t>
      </w:r>
      <w:r w:rsidR="001C4BB5">
        <w:rPr>
          <w:lang w:val="en-GB"/>
        </w:rPr>
        <w:t>how</w:t>
      </w:r>
      <w:r w:rsidR="00E61FD7">
        <w:rPr>
          <w:lang w:val="en-GB"/>
        </w:rPr>
        <w:t xml:space="preserve"> accounting for a collection of what would now be considered heritage assets</w:t>
      </w:r>
      <w:r w:rsidR="001C4BB5">
        <w:rPr>
          <w:lang w:val="en-GB"/>
        </w:rPr>
        <w:t xml:space="preserve"> has </w:t>
      </w:r>
      <w:r w:rsidR="00387F7C">
        <w:rPr>
          <w:lang w:val="en-GB"/>
        </w:rPr>
        <w:t xml:space="preserve">changed </w:t>
      </w:r>
      <w:r w:rsidR="00204DDB">
        <w:rPr>
          <w:lang w:val="en-GB"/>
        </w:rPr>
        <w:t>in practice</w:t>
      </w:r>
      <w:r w:rsidR="00E61FD7">
        <w:rPr>
          <w:lang w:val="en-GB"/>
        </w:rPr>
        <w:t xml:space="preserve"> over a considerable period. </w:t>
      </w:r>
      <w:r w:rsidR="00D7711F">
        <w:rPr>
          <w:lang w:val="en-GB"/>
        </w:rPr>
        <w:t>We</w:t>
      </w:r>
      <w:r w:rsidR="005C6F5A">
        <w:rPr>
          <w:lang w:val="en-GB"/>
        </w:rPr>
        <w:t xml:space="preserve"> </w:t>
      </w:r>
      <w:r w:rsidR="001C4BB5">
        <w:rPr>
          <w:lang w:val="en-GB"/>
        </w:rPr>
        <w:t>investigate accounting for</w:t>
      </w:r>
      <w:r w:rsidR="005C6F5A">
        <w:rPr>
          <w:lang w:val="en-GB"/>
        </w:rPr>
        <w:t xml:space="preserve"> the collec</w:t>
      </w:r>
      <w:r w:rsidR="0059608F">
        <w:rPr>
          <w:lang w:val="en-GB"/>
        </w:rPr>
        <w:t xml:space="preserve">tion of </w:t>
      </w:r>
      <w:r w:rsidR="005C6F5A">
        <w:rPr>
          <w:lang w:val="en-GB"/>
        </w:rPr>
        <w:t xml:space="preserve">paintings </w:t>
      </w:r>
      <w:r w:rsidR="001C4BB5">
        <w:rPr>
          <w:lang w:val="en-GB"/>
        </w:rPr>
        <w:t>assembled</w:t>
      </w:r>
      <w:r w:rsidR="005C6F5A">
        <w:rPr>
          <w:lang w:val="en-GB"/>
        </w:rPr>
        <w:t xml:space="preserve"> by </w:t>
      </w:r>
      <w:r w:rsidR="005C6F5A" w:rsidRPr="00380A30">
        <w:rPr>
          <w:lang w:val="en-GB"/>
        </w:rPr>
        <w:t xml:space="preserve">Thomas Holloway, </w:t>
      </w:r>
      <w:r w:rsidR="0059608F" w:rsidRPr="00380A30">
        <w:rPr>
          <w:lang w:val="en-GB"/>
        </w:rPr>
        <w:t>a Victorian entrepreneur and philanthropist, between May 1881 and June</w:t>
      </w:r>
      <w:r w:rsidR="0059608F">
        <w:rPr>
          <w:lang w:val="en-GB"/>
        </w:rPr>
        <w:t xml:space="preserve"> 1883. The 77 paintings, mainly by British artists of the nineteenth century, were </w:t>
      </w:r>
      <w:r w:rsidR="005C6F5A" w:rsidRPr="00204DDB">
        <w:rPr>
          <w:lang w:val="en-GB"/>
        </w:rPr>
        <w:t>donate</w:t>
      </w:r>
      <w:r w:rsidR="0059608F" w:rsidRPr="00204DDB">
        <w:rPr>
          <w:lang w:val="en-GB"/>
        </w:rPr>
        <w:t>d</w:t>
      </w:r>
      <w:r w:rsidR="005C6F5A" w:rsidRPr="00204DDB">
        <w:rPr>
          <w:lang w:val="en-GB"/>
        </w:rPr>
        <w:t xml:space="preserve"> </w:t>
      </w:r>
      <w:r w:rsidR="0059608F" w:rsidRPr="00204DDB">
        <w:rPr>
          <w:lang w:val="en-GB"/>
        </w:rPr>
        <w:t>to Royal</w:t>
      </w:r>
      <w:r w:rsidR="005C6F5A" w:rsidRPr="00204DDB">
        <w:rPr>
          <w:lang w:val="en-GB"/>
        </w:rPr>
        <w:t xml:space="preserve"> </w:t>
      </w:r>
      <w:r w:rsidR="004830DE" w:rsidRPr="00204DDB">
        <w:rPr>
          <w:lang w:val="en-GB"/>
        </w:rPr>
        <w:t>Holloway College, a univ</w:t>
      </w:r>
      <w:r w:rsidR="00195507" w:rsidRPr="00204DDB">
        <w:rPr>
          <w:lang w:val="en-GB"/>
        </w:rPr>
        <w:t>ersity-level establishment for w</w:t>
      </w:r>
      <w:r w:rsidR="004830DE" w:rsidRPr="00204DDB">
        <w:rPr>
          <w:lang w:val="en-GB"/>
        </w:rPr>
        <w:t xml:space="preserve">omen </w:t>
      </w:r>
      <w:r w:rsidR="001C4BB5" w:rsidRPr="00204DDB">
        <w:rPr>
          <w:lang w:val="en-GB"/>
        </w:rPr>
        <w:t xml:space="preserve">located in the magnificent Founder’s Building in Egham, Surrey, </w:t>
      </w:r>
      <w:r w:rsidR="004830DE" w:rsidRPr="00204DDB">
        <w:rPr>
          <w:lang w:val="en-GB"/>
        </w:rPr>
        <w:t>some 20 miles outside London</w:t>
      </w:r>
      <w:r w:rsidR="001C4BB5" w:rsidRPr="00204DDB">
        <w:rPr>
          <w:lang w:val="en-GB"/>
        </w:rPr>
        <w:t>, which Holloway had endowed</w:t>
      </w:r>
      <w:r w:rsidR="004830DE" w:rsidRPr="00204DDB">
        <w:rPr>
          <w:lang w:val="en-GB"/>
        </w:rPr>
        <w:t xml:space="preserve"> (</w:t>
      </w:r>
      <w:proofErr w:type="spellStart"/>
      <w:r w:rsidR="004830DE" w:rsidRPr="00204DDB">
        <w:rPr>
          <w:lang w:val="en-GB"/>
        </w:rPr>
        <w:t>Giovannoni</w:t>
      </w:r>
      <w:proofErr w:type="spellEnd"/>
      <w:r w:rsidR="004830DE" w:rsidRPr="00204DDB">
        <w:rPr>
          <w:lang w:val="en-GB"/>
        </w:rPr>
        <w:t xml:space="preserve"> &amp; Napier, 2016)</w:t>
      </w:r>
      <w:r w:rsidR="00195507" w:rsidRPr="00204DDB">
        <w:rPr>
          <w:lang w:val="en-GB"/>
        </w:rPr>
        <w:t>.</w:t>
      </w:r>
      <w:r w:rsidR="004830DE" w:rsidRPr="00204DDB">
        <w:rPr>
          <w:lang w:val="en-GB"/>
        </w:rPr>
        <w:t xml:space="preserve"> </w:t>
      </w:r>
      <w:r w:rsidR="000C46E1">
        <w:rPr>
          <w:lang w:val="en-GB"/>
        </w:rPr>
        <w:t xml:space="preserve">Holloway’s picture collection has been described as “unique” (Maas, 1982, p. 7) in two ways: first, in the way that Holloway set out to assemble </w:t>
      </w:r>
      <w:r w:rsidR="00C77154">
        <w:rPr>
          <w:lang w:val="en-GB"/>
        </w:rPr>
        <w:t>pictures not individually but as a collection to be donated to the College as a single unit</w:t>
      </w:r>
      <w:r w:rsidR="000C46E1">
        <w:rPr>
          <w:lang w:val="en-GB"/>
        </w:rPr>
        <w:t>, and secondly, in the way in which it presents a microcosm of mid-Victorian art</w:t>
      </w:r>
      <w:r w:rsidR="002A2DA8">
        <w:rPr>
          <w:lang w:val="en-GB"/>
        </w:rPr>
        <w:t>.</w:t>
      </w:r>
      <w:r w:rsidR="000C46E1">
        <w:rPr>
          <w:lang w:val="en-GB"/>
        </w:rPr>
        <w:t xml:space="preserve"> </w:t>
      </w:r>
      <w:r w:rsidR="00A97426">
        <w:rPr>
          <w:lang w:val="en-GB"/>
        </w:rPr>
        <w:t xml:space="preserve">Our research questions are (a) how has the picture collection been accounted for from the time it was assembled to the present, and (b) </w:t>
      </w:r>
      <w:r w:rsidR="00301E22">
        <w:rPr>
          <w:lang w:val="en-GB"/>
        </w:rPr>
        <w:t xml:space="preserve">how does accounting for </w:t>
      </w:r>
      <w:r w:rsidR="00BA07DA">
        <w:rPr>
          <w:lang w:val="en-GB"/>
        </w:rPr>
        <w:t xml:space="preserve">heritage </w:t>
      </w:r>
      <w:r w:rsidR="00632190">
        <w:rPr>
          <w:lang w:val="en-GB"/>
        </w:rPr>
        <w:t>objects</w:t>
      </w:r>
      <w:r w:rsidR="00301E22">
        <w:rPr>
          <w:lang w:val="en-GB"/>
        </w:rPr>
        <w:t xml:space="preserve"> change </w:t>
      </w:r>
      <w:r w:rsidR="00BA07DA">
        <w:rPr>
          <w:lang w:val="en-GB"/>
        </w:rPr>
        <w:t xml:space="preserve">the way in which </w:t>
      </w:r>
      <w:r w:rsidR="00632190">
        <w:rPr>
          <w:lang w:val="en-GB"/>
        </w:rPr>
        <w:t>these</w:t>
      </w:r>
      <w:r w:rsidR="00BA07DA">
        <w:rPr>
          <w:lang w:val="en-GB"/>
        </w:rPr>
        <w:t xml:space="preserve"> objects </w:t>
      </w:r>
      <w:r w:rsidR="00BA07DA" w:rsidRPr="00BA07DA">
        <w:rPr>
          <w:i/>
          <w:lang w:val="en-GB"/>
        </w:rPr>
        <w:t>matter</w:t>
      </w:r>
      <w:r w:rsidR="00BA07DA">
        <w:rPr>
          <w:lang w:val="en-GB"/>
        </w:rPr>
        <w:t xml:space="preserve"> to the organi</w:t>
      </w:r>
      <w:r w:rsidR="00327096">
        <w:rPr>
          <w:lang w:val="en-GB"/>
        </w:rPr>
        <w:t>s</w:t>
      </w:r>
      <w:r w:rsidR="00BA07DA">
        <w:rPr>
          <w:lang w:val="en-GB"/>
        </w:rPr>
        <w:t>ation</w:t>
      </w:r>
      <w:r w:rsidR="00632190">
        <w:rPr>
          <w:lang w:val="en-GB"/>
        </w:rPr>
        <w:t>?</w:t>
      </w:r>
      <w:r w:rsidR="00301E22">
        <w:rPr>
          <w:lang w:val="en-GB"/>
        </w:rPr>
        <w:t xml:space="preserve"> </w:t>
      </w:r>
    </w:p>
    <w:p w14:paraId="4D414456" w14:textId="4243FD5D" w:rsidR="00485193" w:rsidRDefault="0098721A" w:rsidP="001540D5">
      <w:pPr>
        <w:rPr>
          <w:sz w:val="26"/>
          <w:lang w:val="en-GB"/>
        </w:rPr>
      </w:pPr>
      <w:r w:rsidRPr="00204DDB">
        <w:rPr>
          <w:lang w:val="en-GB"/>
        </w:rPr>
        <w:t xml:space="preserve">To answer </w:t>
      </w:r>
      <w:r w:rsidR="00A97426">
        <w:rPr>
          <w:lang w:val="en-GB"/>
        </w:rPr>
        <w:t>these</w:t>
      </w:r>
      <w:r w:rsidRPr="00204DDB">
        <w:rPr>
          <w:lang w:val="en-GB"/>
        </w:rPr>
        <w:t xml:space="preserve"> question</w:t>
      </w:r>
      <w:r w:rsidR="00A97426">
        <w:rPr>
          <w:lang w:val="en-GB"/>
        </w:rPr>
        <w:t>s</w:t>
      </w:r>
      <w:r w:rsidR="00BC2722" w:rsidRPr="00204DDB">
        <w:rPr>
          <w:lang w:val="en-GB"/>
        </w:rPr>
        <w:t xml:space="preserve">, we have obtained </w:t>
      </w:r>
      <w:r w:rsidRPr="00204DDB">
        <w:rPr>
          <w:lang w:val="en-GB"/>
        </w:rPr>
        <w:t>ev</w:t>
      </w:r>
      <w:r w:rsidR="00195507" w:rsidRPr="00204DDB">
        <w:rPr>
          <w:lang w:val="en-GB"/>
        </w:rPr>
        <w:t>idence from the Royal Holloway a</w:t>
      </w:r>
      <w:r w:rsidRPr="00204DDB">
        <w:rPr>
          <w:lang w:val="en-GB"/>
        </w:rPr>
        <w:t xml:space="preserve">rchives covering the period </w:t>
      </w:r>
      <w:r w:rsidR="00697AB6" w:rsidRPr="00204DDB">
        <w:rPr>
          <w:lang w:val="en-GB"/>
        </w:rPr>
        <w:t>1881 to 201</w:t>
      </w:r>
      <w:r w:rsidR="005C6F5A" w:rsidRPr="00204DDB">
        <w:rPr>
          <w:lang w:val="en-GB"/>
        </w:rPr>
        <w:t>8</w:t>
      </w:r>
      <w:r w:rsidR="00697AB6" w:rsidRPr="00204DDB">
        <w:rPr>
          <w:lang w:val="en-GB"/>
        </w:rPr>
        <w:t xml:space="preserve">, as well as reviewing the </w:t>
      </w:r>
      <w:r w:rsidR="00BC2722" w:rsidRPr="00204DDB">
        <w:rPr>
          <w:lang w:val="en-GB"/>
        </w:rPr>
        <w:t xml:space="preserve">secondary literature. </w:t>
      </w:r>
      <w:r w:rsidR="00CE3365">
        <w:rPr>
          <w:lang w:val="en-GB"/>
        </w:rPr>
        <w:t>We</w:t>
      </w:r>
      <w:r w:rsidR="00697AB6" w:rsidRPr="00204DDB">
        <w:rPr>
          <w:lang w:val="en-GB"/>
        </w:rPr>
        <w:t xml:space="preserve"> have drawn on ideas of the French cultural theorist Jean Baudrillard (1983, 1994), particular</w:t>
      </w:r>
      <w:r w:rsidR="002A2DA8">
        <w:rPr>
          <w:lang w:val="en-GB"/>
        </w:rPr>
        <w:t>ly</w:t>
      </w:r>
      <w:r w:rsidR="00697AB6" w:rsidRPr="00204DDB">
        <w:rPr>
          <w:lang w:val="en-GB"/>
        </w:rPr>
        <w:t xml:space="preserve"> his notion of </w:t>
      </w:r>
      <w:r w:rsidR="00697AB6" w:rsidRPr="00204DDB">
        <w:rPr>
          <w:lang w:val="en-GB"/>
        </w:rPr>
        <w:lastRenderedPageBreak/>
        <w:t>“orders of simulacra”. This notion helps us to understand the changing relationship between the</w:t>
      </w:r>
      <w:r w:rsidR="000B679E">
        <w:rPr>
          <w:lang w:val="en-GB"/>
        </w:rPr>
        <w:t xml:space="preserve"> </w:t>
      </w:r>
      <w:r w:rsidR="000D7056">
        <w:rPr>
          <w:lang w:val="en-GB"/>
        </w:rPr>
        <w:t xml:space="preserve">accounting </w:t>
      </w:r>
      <w:r w:rsidR="00697AB6" w:rsidRPr="00D35F8D">
        <w:rPr>
          <w:i/>
          <w:lang w:val="en-GB"/>
        </w:rPr>
        <w:t>sign</w:t>
      </w:r>
      <w:r w:rsidR="00697AB6" w:rsidRPr="00204DDB">
        <w:rPr>
          <w:lang w:val="en-GB"/>
        </w:rPr>
        <w:t xml:space="preserve"> (accounting statements about the picture collection)</w:t>
      </w:r>
      <w:r w:rsidR="000B679E">
        <w:rPr>
          <w:rStyle w:val="FootnoteReference"/>
          <w:lang w:val="en-GB"/>
        </w:rPr>
        <w:footnoteReference w:id="2"/>
      </w:r>
      <w:r w:rsidR="00697AB6" w:rsidRPr="00204DDB">
        <w:rPr>
          <w:lang w:val="en-GB"/>
        </w:rPr>
        <w:t xml:space="preserve"> and the </w:t>
      </w:r>
      <w:r w:rsidR="00697AB6" w:rsidRPr="00D35F8D">
        <w:rPr>
          <w:i/>
          <w:lang w:val="en-GB"/>
        </w:rPr>
        <w:t>referent</w:t>
      </w:r>
      <w:r w:rsidR="00697AB6" w:rsidRPr="00204DDB">
        <w:rPr>
          <w:lang w:val="en-GB"/>
        </w:rPr>
        <w:t xml:space="preserve"> </w:t>
      </w:r>
      <w:r w:rsidR="00195507" w:rsidRPr="00204DDB">
        <w:rPr>
          <w:lang w:val="en-GB"/>
        </w:rPr>
        <w:t>(the picture collection itself)</w:t>
      </w:r>
      <w:r w:rsidR="00380A30">
        <w:rPr>
          <w:lang w:val="en-GB"/>
        </w:rPr>
        <w:t xml:space="preserve">. Changes in the relationship between the </w:t>
      </w:r>
      <w:r w:rsidR="00D35F8D">
        <w:rPr>
          <w:lang w:val="en-GB"/>
        </w:rPr>
        <w:t xml:space="preserve">sign and the </w:t>
      </w:r>
      <w:r w:rsidR="00380A30">
        <w:rPr>
          <w:lang w:val="en-GB"/>
        </w:rPr>
        <w:t xml:space="preserve">referent affect how the assets “matter”, and this </w:t>
      </w:r>
      <w:r w:rsidR="009F5DC0">
        <w:rPr>
          <w:lang w:val="en-GB"/>
        </w:rPr>
        <w:t>provide</w:t>
      </w:r>
      <w:r w:rsidR="00380A30">
        <w:rPr>
          <w:lang w:val="en-GB"/>
        </w:rPr>
        <w:t>s</w:t>
      </w:r>
      <w:r w:rsidR="009F5DC0">
        <w:rPr>
          <w:lang w:val="en-GB"/>
        </w:rPr>
        <w:t xml:space="preserve"> for an </w:t>
      </w:r>
      <w:r w:rsidR="00D35F8D">
        <w:rPr>
          <w:lang w:val="en-GB"/>
        </w:rPr>
        <w:t>“</w:t>
      </w:r>
      <w:r w:rsidR="009F5DC0">
        <w:rPr>
          <w:lang w:val="en-GB"/>
        </w:rPr>
        <w:t>ontological difference</w:t>
      </w:r>
      <w:r w:rsidR="00D35F8D">
        <w:rPr>
          <w:lang w:val="en-GB"/>
        </w:rPr>
        <w:t>”</w:t>
      </w:r>
      <w:r w:rsidR="009F5DC0">
        <w:rPr>
          <w:lang w:val="en-GB"/>
        </w:rPr>
        <w:t xml:space="preserve"> (Law, 2004) on what constitute the realities of an </w:t>
      </w:r>
      <w:r w:rsidR="00D35F8D">
        <w:rPr>
          <w:lang w:val="en-GB"/>
        </w:rPr>
        <w:t>“</w:t>
      </w:r>
      <w:r w:rsidR="009F5DC0">
        <w:rPr>
          <w:lang w:val="en-GB"/>
        </w:rPr>
        <w:t>asset</w:t>
      </w:r>
      <w:r w:rsidR="00D35F8D">
        <w:rPr>
          <w:lang w:val="en-GB"/>
        </w:rPr>
        <w:t>”</w:t>
      </w:r>
      <w:r w:rsidR="009F5DC0">
        <w:rPr>
          <w:lang w:val="en-GB"/>
        </w:rPr>
        <w:t>.</w:t>
      </w:r>
      <w:r w:rsidR="00D7711F" w:rsidRPr="00D7711F">
        <w:rPr>
          <w:lang w:val="en-GB"/>
        </w:rPr>
        <w:t xml:space="preserve"> </w:t>
      </w:r>
      <w:r w:rsidR="00D7711F">
        <w:rPr>
          <w:lang w:val="en-GB"/>
        </w:rPr>
        <w:t>As Law (2004)</w:t>
      </w:r>
      <w:r w:rsidR="002A2DA8">
        <w:rPr>
          <w:lang w:val="en-GB"/>
        </w:rPr>
        <w:t xml:space="preserve"> emphasises</w:t>
      </w:r>
      <w:r w:rsidR="00D7711F">
        <w:rPr>
          <w:lang w:val="en-GB"/>
        </w:rPr>
        <w:t xml:space="preserve">, the way in which objects </w:t>
      </w:r>
      <w:r w:rsidR="00D7711F" w:rsidRPr="00D35F8D">
        <w:rPr>
          <w:i/>
          <w:lang w:val="en-GB"/>
        </w:rPr>
        <w:t>matter</w:t>
      </w:r>
      <w:r w:rsidR="00D7711F">
        <w:rPr>
          <w:lang w:val="en-GB"/>
        </w:rPr>
        <w:t xml:space="preserve"> evolves continuously</w:t>
      </w:r>
      <w:r w:rsidR="00380A30">
        <w:rPr>
          <w:lang w:val="en-GB"/>
        </w:rPr>
        <w:t xml:space="preserve">, </w:t>
      </w:r>
      <w:r w:rsidR="00D7711F">
        <w:rPr>
          <w:lang w:val="en-GB"/>
        </w:rPr>
        <w:t>providing for different realities of the object</w:t>
      </w:r>
      <w:r w:rsidR="005C00B6">
        <w:rPr>
          <w:lang w:val="en-GB"/>
        </w:rPr>
        <w:t>: “</w:t>
      </w:r>
      <w:r w:rsidR="005C00B6" w:rsidRPr="005C00B6">
        <w:rPr>
          <w:lang w:val="en-GB"/>
        </w:rPr>
        <w:t>What is at stake is ontological, not simply epistemological.</w:t>
      </w:r>
      <w:r w:rsidR="005C00B6">
        <w:rPr>
          <w:lang w:val="en-GB"/>
        </w:rPr>
        <w:t xml:space="preserve"> [...]</w:t>
      </w:r>
      <w:r w:rsidR="005C00B6" w:rsidRPr="005C00B6">
        <w:rPr>
          <w:lang w:val="en-GB"/>
        </w:rPr>
        <w:t>. The argument is that reality is being done in professional (and other) practices (enactment)</w:t>
      </w:r>
      <w:r w:rsidR="005C00B6">
        <w:rPr>
          <w:lang w:val="en-GB"/>
        </w:rPr>
        <w:t xml:space="preserve">. </w:t>
      </w:r>
      <w:r w:rsidR="005C00B6" w:rsidRPr="005C00B6">
        <w:rPr>
          <w:lang w:val="en-GB"/>
        </w:rPr>
        <w:t>Crucially, it is being done in differ</w:t>
      </w:r>
      <w:r w:rsidR="005C00B6">
        <w:rPr>
          <w:lang w:val="en-GB"/>
        </w:rPr>
        <w:t>ent ways in different practices” (Law, 2004, p. 7)</w:t>
      </w:r>
      <w:r w:rsidR="001302B1">
        <w:rPr>
          <w:lang w:val="en-GB"/>
        </w:rPr>
        <w:t xml:space="preserve">. </w:t>
      </w:r>
      <w:r w:rsidR="005C00B6">
        <w:rPr>
          <w:lang w:val="en-GB"/>
        </w:rPr>
        <w:t>It follows that e</w:t>
      </w:r>
      <w:r w:rsidR="00A32995">
        <w:rPr>
          <w:lang w:val="en-GB"/>
        </w:rPr>
        <w:t>volving a</w:t>
      </w:r>
      <w:r w:rsidR="00D7711F">
        <w:rPr>
          <w:lang w:val="en-GB"/>
        </w:rPr>
        <w:t>ccounting requirements</w:t>
      </w:r>
      <w:r w:rsidR="001302B1">
        <w:rPr>
          <w:lang w:val="en-GB"/>
        </w:rPr>
        <w:t xml:space="preserve"> </w:t>
      </w:r>
      <w:r w:rsidR="004D512D">
        <w:rPr>
          <w:lang w:val="en-GB"/>
        </w:rPr>
        <w:t>for</w:t>
      </w:r>
      <w:r w:rsidR="00D7711F">
        <w:rPr>
          <w:lang w:val="en-GB"/>
        </w:rPr>
        <w:t xml:space="preserve"> heritage assets </w:t>
      </w:r>
      <w:r w:rsidR="005C00B6">
        <w:rPr>
          <w:lang w:val="en-GB"/>
        </w:rPr>
        <w:t xml:space="preserve">can </w:t>
      </w:r>
      <w:r w:rsidR="005D7C70">
        <w:rPr>
          <w:lang w:val="en-GB"/>
        </w:rPr>
        <w:t xml:space="preserve">change how a heritage object </w:t>
      </w:r>
      <w:r w:rsidR="007967CE">
        <w:rPr>
          <w:lang w:val="en-GB"/>
        </w:rPr>
        <w:t>matter</w:t>
      </w:r>
      <w:r w:rsidR="005D7C70">
        <w:rPr>
          <w:lang w:val="en-GB"/>
        </w:rPr>
        <w:t>s</w:t>
      </w:r>
      <w:r w:rsidR="007967CE">
        <w:rPr>
          <w:lang w:val="en-GB"/>
        </w:rPr>
        <w:t xml:space="preserve"> to the organi</w:t>
      </w:r>
      <w:r w:rsidR="004D512D">
        <w:rPr>
          <w:lang w:val="en-GB"/>
        </w:rPr>
        <w:t>s</w:t>
      </w:r>
      <w:r w:rsidR="007967CE">
        <w:rPr>
          <w:lang w:val="en-GB"/>
        </w:rPr>
        <w:t>ation</w:t>
      </w:r>
      <w:r w:rsidR="005D7C70">
        <w:rPr>
          <w:lang w:val="en-GB"/>
        </w:rPr>
        <w:t>, enacting the reality of the object differently</w:t>
      </w:r>
      <w:r w:rsidR="00A32995">
        <w:rPr>
          <w:lang w:val="en-GB"/>
        </w:rPr>
        <w:t xml:space="preserve"> (for example as an object that can be sold rather than an object that </w:t>
      </w:r>
      <w:r w:rsidR="00233758">
        <w:rPr>
          <w:lang w:val="en-GB"/>
        </w:rPr>
        <w:t>must</w:t>
      </w:r>
      <w:r w:rsidR="00A32995">
        <w:rPr>
          <w:lang w:val="en-GB"/>
        </w:rPr>
        <w:t xml:space="preserve"> be preserved).</w:t>
      </w:r>
      <w:r w:rsidR="00EA6162">
        <w:rPr>
          <w:lang w:val="en-GB"/>
        </w:rPr>
        <w:t xml:space="preserve"> </w:t>
      </w:r>
      <w:r w:rsidR="00D35F8D">
        <w:rPr>
          <w:lang w:val="en-GB"/>
        </w:rPr>
        <w:t xml:space="preserve">It is not just the </w:t>
      </w:r>
      <w:r w:rsidR="00380A30">
        <w:rPr>
          <w:lang w:val="en-GB"/>
        </w:rPr>
        <w:t xml:space="preserve">sign that changes </w:t>
      </w:r>
      <w:r w:rsidR="002A2DA8">
        <w:rPr>
          <w:lang w:val="en-GB"/>
        </w:rPr>
        <w:t>because</w:t>
      </w:r>
      <w:r w:rsidR="00380A30">
        <w:rPr>
          <w:lang w:val="en-GB"/>
        </w:rPr>
        <w:t xml:space="preserve"> of new</w:t>
      </w:r>
      <w:r w:rsidR="00D35F8D">
        <w:rPr>
          <w:lang w:val="en-GB"/>
        </w:rPr>
        <w:t xml:space="preserve"> accounting standards, but the </w:t>
      </w:r>
      <w:r w:rsidR="00380A30">
        <w:rPr>
          <w:lang w:val="en-GB"/>
        </w:rPr>
        <w:t>referent itself.</w:t>
      </w:r>
      <w:r w:rsidR="00A32995" w:rsidRPr="005C00B6">
        <w:rPr>
          <w:sz w:val="26"/>
          <w:lang w:val="en-GB"/>
        </w:rPr>
        <w:t xml:space="preserve"> </w:t>
      </w:r>
    </w:p>
    <w:p w14:paraId="5BE7665D" w14:textId="4A41271C" w:rsidR="006A4705" w:rsidRDefault="00617873" w:rsidP="001540D5">
      <w:pPr>
        <w:rPr>
          <w:lang w:val="en-GB"/>
        </w:rPr>
      </w:pPr>
      <w:r>
        <w:rPr>
          <w:lang w:val="en-GB"/>
        </w:rPr>
        <w:t xml:space="preserve">Our paper makes a twofold contribution. First, we contribute to </w:t>
      </w:r>
      <w:r w:rsidR="0090129A">
        <w:rPr>
          <w:lang w:val="en-GB"/>
        </w:rPr>
        <w:t xml:space="preserve">the long-standing </w:t>
      </w:r>
      <w:r>
        <w:rPr>
          <w:lang w:val="en-GB"/>
        </w:rPr>
        <w:t xml:space="preserve">accounting debate about </w:t>
      </w:r>
      <w:r w:rsidR="00ED428A">
        <w:rPr>
          <w:lang w:val="en-GB"/>
        </w:rPr>
        <w:t xml:space="preserve">the nature of </w:t>
      </w:r>
      <w:r w:rsidR="00D35F8D">
        <w:rPr>
          <w:lang w:val="en-GB"/>
        </w:rPr>
        <w:t>“</w:t>
      </w:r>
      <w:r w:rsidR="00A16FA7">
        <w:rPr>
          <w:lang w:val="en-GB"/>
        </w:rPr>
        <w:t xml:space="preserve">heritage </w:t>
      </w:r>
      <w:r w:rsidR="00ED428A">
        <w:rPr>
          <w:lang w:val="en-GB"/>
        </w:rPr>
        <w:t>asset</w:t>
      </w:r>
      <w:r w:rsidR="000A3538">
        <w:rPr>
          <w:lang w:val="en-GB"/>
        </w:rPr>
        <w:t>s</w:t>
      </w:r>
      <w:r w:rsidR="00D35F8D">
        <w:rPr>
          <w:lang w:val="en-GB"/>
        </w:rPr>
        <w:t>”</w:t>
      </w:r>
      <w:r>
        <w:rPr>
          <w:lang w:val="en-GB"/>
        </w:rPr>
        <w:t xml:space="preserve">, by showing that the ontological status of </w:t>
      </w:r>
      <w:r w:rsidR="0090129A">
        <w:rPr>
          <w:lang w:val="en-GB"/>
        </w:rPr>
        <w:t>what accounting reports refer to</w:t>
      </w:r>
      <w:r>
        <w:rPr>
          <w:lang w:val="en-GB"/>
        </w:rPr>
        <w:t xml:space="preserve"> depends on the evo</w:t>
      </w:r>
      <w:r w:rsidR="009A2402">
        <w:rPr>
          <w:lang w:val="en-GB"/>
        </w:rPr>
        <w:t xml:space="preserve">lving relationship between accounting </w:t>
      </w:r>
      <w:r>
        <w:rPr>
          <w:lang w:val="en-GB"/>
        </w:rPr>
        <w:t>sign</w:t>
      </w:r>
      <w:r w:rsidR="009A2402">
        <w:rPr>
          <w:lang w:val="en-GB"/>
        </w:rPr>
        <w:t>s</w:t>
      </w:r>
      <w:r>
        <w:rPr>
          <w:lang w:val="en-GB"/>
        </w:rPr>
        <w:t xml:space="preserve"> and </w:t>
      </w:r>
      <w:r w:rsidR="009A2402">
        <w:rPr>
          <w:lang w:val="en-GB"/>
        </w:rPr>
        <w:t>their referents</w:t>
      </w:r>
      <w:r>
        <w:rPr>
          <w:lang w:val="en-GB"/>
        </w:rPr>
        <w:t xml:space="preserve">. </w:t>
      </w:r>
      <w:r w:rsidR="0090129A">
        <w:rPr>
          <w:lang w:val="en-GB"/>
        </w:rPr>
        <w:t>We show that</w:t>
      </w:r>
      <w:r>
        <w:rPr>
          <w:lang w:val="en-GB"/>
        </w:rPr>
        <w:t xml:space="preserve"> </w:t>
      </w:r>
      <w:r w:rsidR="000A3538">
        <w:rPr>
          <w:lang w:val="en-GB"/>
        </w:rPr>
        <w:t xml:space="preserve">an </w:t>
      </w:r>
      <w:r w:rsidR="001302B1">
        <w:rPr>
          <w:lang w:val="en-GB"/>
        </w:rPr>
        <w:t>object</w:t>
      </w:r>
      <w:r w:rsidR="000A3538">
        <w:rPr>
          <w:lang w:val="en-GB"/>
        </w:rPr>
        <w:t xml:space="preserve"> becomes an asset </w:t>
      </w:r>
      <w:r w:rsidR="00C036F4">
        <w:rPr>
          <w:lang w:val="en-GB"/>
        </w:rPr>
        <w:t xml:space="preserve">in an ontological sense </w:t>
      </w:r>
      <w:r w:rsidR="000A3538">
        <w:rPr>
          <w:lang w:val="en-GB"/>
        </w:rPr>
        <w:t xml:space="preserve">insofar as the </w:t>
      </w:r>
      <w:r w:rsidR="0090129A">
        <w:rPr>
          <w:lang w:val="en-GB"/>
        </w:rPr>
        <w:t xml:space="preserve">ensuing </w:t>
      </w:r>
      <w:r w:rsidR="00C036F4">
        <w:rPr>
          <w:lang w:val="en-GB"/>
        </w:rPr>
        <w:t xml:space="preserve">accounting </w:t>
      </w:r>
      <w:r w:rsidR="0090129A">
        <w:rPr>
          <w:lang w:val="en-GB"/>
        </w:rPr>
        <w:t>sign</w:t>
      </w:r>
      <w:r w:rsidR="000A3538">
        <w:rPr>
          <w:lang w:val="en-GB"/>
        </w:rPr>
        <w:t xml:space="preserve"> </w:t>
      </w:r>
      <w:r w:rsidR="0090129A">
        <w:rPr>
          <w:lang w:val="en-GB"/>
        </w:rPr>
        <w:t xml:space="preserve">changes how the </w:t>
      </w:r>
      <w:r w:rsidR="000A3538">
        <w:rPr>
          <w:lang w:val="en-GB"/>
        </w:rPr>
        <w:t>referent</w:t>
      </w:r>
      <w:r w:rsidR="0090129A">
        <w:rPr>
          <w:lang w:val="en-GB"/>
        </w:rPr>
        <w:t xml:space="preserve"> </w:t>
      </w:r>
      <w:r w:rsidR="000A3538">
        <w:rPr>
          <w:lang w:val="en-GB"/>
        </w:rPr>
        <w:t>(</w:t>
      </w:r>
      <w:r w:rsidR="0090129A">
        <w:rPr>
          <w:lang w:val="en-GB"/>
        </w:rPr>
        <w:t xml:space="preserve">in this paper, </w:t>
      </w:r>
      <w:r w:rsidR="000A3538">
        <w:rPr>
          <w:lang w:val="en-GB"/>
        </w:rPr>
        <w:t xml:space="preserve">the </w:t>
      </w:r>
      <w:r w:rsidR="00C036F4">
        <w:rPr>
          <w:lang w:val="en-GB"/>
        </w:rPr>
        <w:t xml:space="preserve">picture </w:t>
      </w:r>
      <w:r w:rsidR="000A3538">
        <w:rPr>
          <w:lang w:val="en-GB"/>
        </w:rPr>
        <w:t xml:space="preserve">collection) </w:t>
      </w:r>
      <w:r w:rsidR="000D7056">
        <w:rPr>
          <w:lang w:val="en-GB"/>
        </w:rPr>
        <w:t xml:space="preserve">signified by the sign </w:t>
      </w:r>
      <w:r w:rsidR="006A4705" w:rsidRPr="006A4705">
        <w:rPr>
          <w:i/>
          <w:lang w:val="en-GB"/>
        </w:rPr>
        <w:t>matter</w:t>
      </w:r>
      <w:r w:rsidR="0090129A">
        <w:rPr>
          <w:i/>
          <w:lang w:val="en-GB"/>
        </w:rPr>
        <w:t>s</w:t>
      </w:r>
      <w:r w:rsidR="000A3538">
        <w:rPr>
          <w:lang w:val="en-GB"/>
        </w:rPr>
        <w:t xml:space="preserve"> for the people involved</w:t>
      </w:r>
      <w:r w:rsidR="0090129A">
        <w:rPr>
          <w:lang w:val="en-GB"/>
        </w:rPr>
        <w:t>.</w:t>
      </w:r>
      <w:r w:rsidR="000A3538">
        <w:rPr>
          <w:lang w:val="en-GB"/>
        </w:rPr>
        <w:t xml:space="preserve"> </w:t>
      </w:r>
      <w:r w:rsidR="00485193">
        <w:rPr>
          <w:lang w:val="en-GB"/>
        </w:rPr>
        <w:t xml:space="preserve">Therefore, a heritage object is a heritage asset not merely because of the nature of </w:t>
      </w:r>
      <w:r w:rsidR="001302B1">
        <w:rPr>
          <w:lang w:val="en-GB"/>
        </w:rPr>
        <w:t xml:space="preserve">the </w:t>
      </w:r>
      <w:r w:rsidR="00485193">
        <w:rPr>
          <w:lang w:val="en-GB"/>
        </w:rPr>
        <w:t>object or because of the accounting sign about the object, but because of the relationship between the sign and the object and the matter-</w:t>
      </w:r>
      <w:proofErr w:type="spellStart"/>
      <w:r w:rsidR="00485193">
        <w:rPr>
          <w:lang w:val="en-GB"/>
        </w:rPr>
        <w:t>ing</w:t>
      </w:r>
      <w:proofErr w:type="spellEnd"/>
      <w:r w:rsidR="00485193">
        <w:rPr>
          <w:lang w:val="en-GB"/>
        </w:rPr>
        <w:t xml:space="preserve"> that this relationship enables. In so doing, by relying upon the notion of </w:t>
      </w:r>
      <w:r w:rsidR="00233758">
        <w:rPr>
          <w:lang w:val="en-GB"/>
        </w:rPr>
        <w:t>“</w:t>
      </w:r>
      <w:r w:rsidR="00485193">
        <w:rPr>
          <w:lang w:val="en-GB"/>
        </w:rPr>
        <w:t>matter</w:t>
      </w:r>
      <w:r w:rsidR="009C1919">
        <w:rPr>
          <w:lang w:val="en-GB"/>
        </w:rPr>
        <w:t>s</w:t>
      </w:r>
      <w:r w:rsidR="00485193">
        <w:rPr>
          <w:lang w:val="en-GB"/>
        </w:rPr>
        <w:t xml:space="preserve"> of concern</w:t>
      </w:r>
      <w:r w:rsidR="00233758">
        <w:rPr>
          <w:lang w:val="en-GB"/>
        </w:rPr>
        <w:t>”</w:t>
      </w:r>
      <w:r w:rsidR="00485193">
        <w:rPr>
          <w:lang w:val="en-GB"/>
        </w:rPr>
        <w:t xml:space="preserve"> (Latour, 2004), we also extend prior accounting studies that have relied upon the work of Baudrillard (1983) to explore the sign-referent relationship.</w:t>
      </w:r>
    </w:p>
    <w:p w14:paraId="574EF6CB" w14:textId="5179737F" w:rsidR="00617873" w:rsidRPr="00204DDB" w:rsidRDefault="00ED428A" w:rsidP="001540D5">
      <w:pPr>
        <w:rPr>
          <w:lang w:val="en-GB"/>
        </w:rPr>
      </w:pPr>
      <w:r>
        <w:rPr>
          <w:lang w:val="en-GB"/>
        </w:rPr>
        <w:t xml:space="preserve">Secondly, we contribute to </w:t>
      </w:r>
      <w:r w:rsidR="0090129A">
        <w:rPr>
          <w:lang w:val="en-GB"/>
        </w:rPr>
        <w:t xml:space="preserve">the historical study of </w:t>
      </w:r>
      <w:r>
        <w:rPr>
          <w:lang w:val="en-GB"/>
        </w:rPr>
        <w:t xml:space="preserve">accounting by demonstrating the importance of exploring </w:t>
      </w:r>
      <w:r w:rsidR="00C036F4">
        <w:rPr>
          <w:lang w:val="en-GB"/>
        </w:rPr>
        <w:t xml:space="preserve">how the </w:t>
      </w:r>
      <w:r w:rsidR="009A2402">
        <w:rPr>
          <w:lang w:val="en-GB"/>
        </w:rPr>
        <w:t>history</w:t>
      </w:r>
      <w:r>
        <w:rPr>
          <w:lang w:val="en-GB"/>
        </w:rPr>
        <w:t xml:space="preserve"> of material objects, like </w:t>
      </w:r>
      <w:r w:rsidR="00D35F8D">
        <w:rPr>
          <w:lang w:val="en-GB"/>
        </w:rPr>
        <w:t xml:space="preserve">a collection of </w:t>
      </w:r>
      <w:r>
        <w:rPr>
          <w:lang w:val="en-GB"/>
        </w:rPr>
        <w:t>artworks belonging to an organi</w:t>
      </w:r>
      <w:r w:rsidR="00A97426">
        <w:rPr>
          <w:lang w:val="en-GB"/>
        </w:rPr>
        <w:t>s</w:t>
      </w:r>
      <w:r>
        <w:rPr>
          <w:lang w:val="en-GB"/>
        </w:rPr>
        <w:t>ation, is intertwined with accounting</w:t>
      </w:r>
      <w:r w:rsidR="009A2402">
        <w:rPr>
          <w:lang w:val="en-GB"/>
        </w:rPr>
        <w:t xml:space="preserve"> history</w:t>
      </w:r>
      <w:r w:rsidR="006B2290">
        <w:rPr>
          <w:lang w:val="en-GB"/>
        </w:rPr>
        <w:t>. This history must be set out</w:t>
      </w:r>
      <w:r>
        <w:rPr>
          <w:lang w:val="en-GB"/>
        </w:rPr>
        <w:t xml:space="preserve"> </w:t>
      </w:r>
      <w:r w:rsidR="0090129A">
        <w:rPr>
          <w:lang w:val="en-GB"/>
        </w:rPr>
        <w:t>in the context</w:t>
      </w:r>
      <w:r>
        <w:rPr>
          <w:lang w:val="en-GB"/>
        </w:rPr>
        <w:t xml:space="preserve"> of </w:t>
      </w:r>
      <w:r w:rsidR="009A2402">
        <w:rPr>
          <w:lang w:val="en-GB"/>
        </w:rPr>
        <w:t xml:space="preserve">changing </w:t>
      </w:r>
      <w:r>
        <w:rPr>
          <w:lang w:val="en-GB"/>
        </w:rPr>
        <w:t>accounting</w:t>
      </w:r>
      <w:r w:rsidR="00C036F4">
        <w:rPr>
          <w:lang w:val="en-GB"/>
        </w:rPr>
        <w:t xml:space="preserve"> principles, </w:t>
      </w:r>
      <w:r>
        <w:rPr>
          <w:lang w:val="en-GB"/>
        </w:rPr>
        <w:t>regulations</w:t>
      </w:r>
      <w:r w:rsidR="00617DF0">
        <w:rPr>
          <w:lang w:val="en-GB"/>
        </w:rPr>
        <w:t xml:space="preserve"> </w:t>
      </w:r>
      <w:r>
        <w:rPr>
          <w:lang w:val="en-GB"/>
        </w:rPr>
        <w:t>and practices over time</w:t>
      </w:r>
      <w:r w:rsidR="009A2402">
        <w:rPr>
          <w:lang w:val="en-GB"/>
        </w:rPr>
        <w:t xml:space="preserve">. </w:t>
      </w:r>
    </w:p>
    <w:p w14:paraId="0B5EB100" w14:textId="0A2F92F6" w:rsidR="00E836D2" w:rsidRDefault="00E836D2" w:rsidP="00A452C0">
      <w:pPr>
        <w:rPr>
          <w:lang w:val="en-GB"/>
        </w:rPr>
      </w:pPr>
      <w:r w:rsidRPr="00204DDB">
        <w:rPr>
          <w:lang w:val="en-GB"/>
        </w:rPr>
        <w:lastRenderedPageBreak/>
        <w:t xml:space="preserve">In Section </w:t>
      </w:r>
      <w:r w:rsidR="006A1BB9">
        <w:rPr>
          <w:lang w:val="en-GB"/>
        </w:rPr>
        <w:t>2</w:t>
      </w:r>
      <w:r w:rsidR="00617DF0">
        <w:rPr>
          <w:lang w:val="en-GB"/>
        </w:rPr>
        <w:t>, we</w:t>
      </w:r>
      <w:r w:rsidRPr="00204DDB">
        <w:rPr>
          <w:lang w:val="en-GB"/>
        </w:rPr>
        <w:t xml:space="preserve"> </w:t>
      </w:r>
      <w:r w:rsidR="00E22BB8">
        <w:rPr>
          <w:lang w:val="en-GB"/>
        </w:rPr>
        <w:t>review the accounting literature on heritage asset</w:t>
      </w:r>
      <w:r w:rsidR="0070738C">
        <w:rPr>
          <w:lang w:val="en-GB"/>
        </w:rPr>
        <w:t>s</w:t>
      </w:r>
      <w:r w:rsidR="00E22BB8">
        <w:rPr>
          <w:lang w:val="en-GB"/>
        </w:rPr>
        <w:t xml:space="preserve">, </w:t>
      </w:r>
      <w:r w:rsidR="003D23A0">
        <w:rPr>
          <w:lang w:val="en-GB"/>
        </w:rPr>
        <w:t>demonstrating</w:t>
      </w:r>
      <w:r w:rsidR="00E22BB8">
        <w:rPr>
          <w:lang w:val="en-GB"/>
        </w:rPr>
        <w:t xml:space="preserve"> the effects of evolving accounting regulations on </w:t>
      </w:r>
      <w:r w:rsidR="0070738C">
        <w:rPr>
          <w:lang w:val="en-GB"/>
        </w:rPr>
        <w:t xml:space="preserve">how heritage objects may </w:t>
      </w:r>
      <w:r w:rsidR="0070738C">
        <w:rPr>
          <w:i/>
          <w:lang w:val="en-GB"/>
        </w:rPr>
        <w:t>matter</w:t>
      </w:r>
      <w:r w:rsidR="0070738C">
        <w:rPr>
          <w:lang w:val="en-GB"/>
        </w:rPr>
        <w:t xml:space="preserve"> within organisations</w:t>
      </w:r>
      <w:r w:rsidR="00E22BB8">
        <w:rPr>
          <w:lang w:val="en-GB"/>
        </w:rPr>
        <w:t xml:space="preserve">. </w:t>
      </w:r>
      <w:r w:rsidR="0070738C">
        <w:rPr>
          <w:lang w:val="en-GB"/>
        </w:rPr>
        <w:t xml:space="preserve">In </w:t>
      </w:r>
      <w:r w:rsidR="00E22BB8">
        <w:rPr>
          <w:lang w:val="en-GB"/>
        </w:rPr>
        <w:t xml:space="preserve">Section </w:t>
      </w:r>
      <w:r w:rsidR="006A1BB9">
        <w:rPr>
          <w:lang w:val="en-GB"/>
        </w:rPr>
        <w:t>3</w:t>
      </w:r>
      <w:r w:rsidR="0070738C">
        <w:rPr>
          <w:lang w:val="en-GB"/>
        </w:rPr>
        <w:t>, we</w:t>
      </w:r>
      <w:r w:rsidR="00E22BB8">
        <w:rPr>
          <w:lang w:val="en-GB"/>
        </w:rPr>
        <w:t xml:space="preserve"> draw on </w:t>
      </w:r>
      <w:r w:rsidR="0070738C">
        <w:rPr>
          <w:lang w:val="en-GB"/>
        </w:rPr>
        <w:t xml:space="preserve">the ideas of </w:t>
      </w:r>
      <w:r w:rsidR="00E22BB8">
        <w:rPr>
          <w:lang w:val="en-GB"/>
        </w:rPr>
        <w:t>Baudrillard</w:t>
      </w:r>
      <w:r w:rsidR="0070738C">
        <w:rPr>
          <w:lang w:val="en-GB"/>
        </w:rPr>
        <w:t xml:space="preserve"> </w:t>
      </w:r>
      <w:r w:rsidR="00E22BB8">
        <w:rPr>
          <w:lang w:val="en-GB"/>
        </w:rPr>
        <w:t xml:space="preserve">to illuminate </w:t>
      </w:r>
      <w:r w:rsidR="00063C94">
        <w:rPr>
          <w:lang w:val="en-GB"/>
        </w:rPr>
        <w:t>the sign-referent relationship</w:t>
      </w:r>
      <w:r w:rsidR="0070738C">
        <w:rPr>
          <w:lang w:val="en-GB"/>
        </w:rPr>
        <w:t>,</w:t>
      </w:r>
      <w:r w:rsidR="00063C94">
        <w:rPr>
          <w:lang w:val="en-GB"/>
        </w:rPr>
        <w:t xml:space="preserve"> </w:t>
      </w:r>
      <w:r w:rsidR="00E22BB8">
        <w:rPr>
          <w:lang w:val="en-GB"/>
        </w:rPr>
        <w:t>and w</w:t>
      </w:r>
      <w:r w:rsidR="00063C94">
        <w:rPr>
          <w:lang w:val="en-GB"/>
        </w:rPr>
        <w:t xml:space="preserve">e suggest </w:t>
      </w:r>
      <w:r w:rsidR="0070738C">
        <w:rPr>
          <w:lang w:val="en-GB"/>
        </w:rPr>
        <w:t xml:space="preserve">that this relationship is related to the ways in which objects </w:t>
      </w:r>
      <w:r w:rsidR="0070738C">
        <w:rPr>
          <w:i/>
          <w:lang w:val="en-GB"/>
        </w:rPr>
        <w:t>matter</w:t>
      </w:r>
      <w:r w:rsidR="009D1020">
        <w:rPr>
          <w:lang w:val="en-GB"/>
        </w:rPr>
        <w:t xml:space="preserve"> (Latour, 2004)</w:t>
      </w:r>
      <w:r w:rsidR="0070738C">
        <w:rPr>
          <w:lang w:val="en-GB"/>
        </w:rPr>
        <w:t xml:space="preserve">. </w:t>
      </w:r>
      <w:r w:rsidR="006A1BB9">
        <w:rPr>
          <w:lang w:val="en-GB"/>
        </w:rPr>
        <w:t>Section 4 explains the research method</w:t>
      </w:r>
      <w:r w:rsidR="00645BB7">
        <w:rPr>
          <w:lang w:val="en-GB"/>
        </w:rPr>
        <w:t xml:space="preserve"> and</w:t>
      </w:r>
      <w:r w:rsidR="00063C94">
        <w:rPr>
          <w:lang w:val="en-GB"/>
        </w:rPr>
        <w:t xml:space="preserve"> </w:t>
      </w:r>
      <w:r w:rsidRPr="00204DDB">
        <w:rPr>
          <w:lang w:val="en-GB"/>
        </w:rPr>
        <w:t>provides some information on Thomas Holloway</w:t>
      </w:r>
      <w:r w:rsidR="00645BB7">
        <w:rPr>
          <w:lang w:val="en-GB"/>
        </w:rPr>
        <w:t xml:space="preserve"> </w:t>
      </w:r>
      <w:r w:rsidRPr="00204DDB">
        <w:rPr>
          <w:lang w:val="en-GB"/>
        </w:rPr>
        <w:t>and how he came to establish the</w:t>
      </w:r>
      <w:r w:rsidR="00195507" w:rsidRPr="00204DDB">
        <w:rPr>
          <w:lang w:val="en-GB"/>
        </w:rPr>
        <w:t xml:space="preserve"> College</w:t>
      </w:r>
      <w:r w:rsidR="002F3D91">
        <w:rPr>
          <w:lang w:val="en-GB"/>
        </w:rPr>
        <w:t>. Section 5 explains</w:t>
      </w:r>
      <w:r w:rsidR="00195507" w:rsidRPr="00204DDB">
        <w:rPr>
          <w:lang w:val="en-GB"/>
        </w:rPr>
        <w:t xml:space="preserve"> </w:t>
      </w:r>
      <w:r w:rsidRPr="00204DDB">
        <w:rPr>
          <w:lang w:val="en-GB"/>
        </w:rPr>
        <w:t>how the picture collection was acquired</w:t>
      </w:r>
      <w:r w:rsidR="002F3D91">
        <w:rPr>
          <w:lang w:val="en-GB"/>
        </w:rPr>
        <w:t xml:space="preserve"> and how the collection evolved</w:t>
      </w:r>
      <w:r w:rsidRPr="00204DDB">
        <w:rPr>
          <w:lang w:val="en-GB"/>
        </w:rPr>
        <w:t xml:space="preserve">. Section </w:t>
      </w:r>
      <w:r w:rsidR="00E22BB8">
        <w:rPr>
          <w:lang w:val="en-GB"/>
        </w:rPr>
        <w:t>6</w:t>
      </w:r>
      <w:r w:rsidRPr="00204DDB">
        <w:rPr>
          <w:lang w:val="en-GB"/>
        </w:rPr>
        <w:t xml:space="preserve"> </w:t>
      </w:r>
      <w:r w:rsidR="0070738C">
        <w:rPr>
          <w:lang w:val="en-GB"/>
        </w:rPr>
        <w:t xml:space="preserve">reviews </w:t>
      </w:r>
      <w:r w:rsidR="00645BB7">
        <w:rPr>
          <w:lang w:val="en-GB"/>
        </w:rPr>
        <w:t xml:space="preserve">how the picture collection was accounted for during </w:t>
      </w:r>
      <w:r w:rsidR="0070738C">
        <w:rPr>
          <w:lang w:val="en-GB"/>
        </w:rPr>
        <w:t>the period</w:t>
      </w:r>
      <w:r w:rsidRPr="00204DDB">
        <w:rPr>
          <w:lang w:val="en-GB"/>
        </w:rPr>
        <w:t xml:space="preserve"> from the opening of the College to today</w:t>
      </w:r>
      <w:r w:rsidR="0070738C">
        <w:rPr>
          <w:lang w:val="en-GB"/>
        </w:rPr>
        <w:t>.</w:t>
      </w:r>
      <w:r w:rsidRPr="00204DDB">
        <w:rPr>
          <w:lang w:val="en-GB"/>
        </w:rPr>
        <w:t xml:space="preserve"> </w:t>
      </w:r>
      <w:r w:rsidR="0070738C">
        <w:rPr>
          <w:lang w:val="en-GB"/>
        </w:rPr>
        <w:t xml:space="preserve">We show that the </w:t>
      </w:r>
      <w:r w:rsidRPr="00204DDB">
        <w:rPr>
          <w:lang w:val="en-GB"/>
        </w:rPr>
        <w:t>sale of three paintings in the early 1990s</w:t>
      </w:r>
      <w:r w:rsidR="0070738C">
        <w:rPr>
          <w:lang w:val="en-GB"/>
        </w:rPr>
        <w:t xml:space="preserve"> had accounting implications that began to change how the picture collection </w:t>
      </w:r>
      <w:r w:rsidR="0070738C">
        <w:rPr>
          <w:i/>
          <w:lang w:val="en-GB"/>
        </w:rPr>
        <w:t>mattered</w:t>
      </w:r>
      <w:r w:rsidR="0070738C" w:rsidRPr="00BA07DA">
        <w:rPr>
          <w:lang w:val="en-GB"/>
        </w:rPr>
        <w:t xml:space="preserve"> to the College.</w:t>
      </w:r>
      <w:r w:rsidR="0070738C">
        <w:rPr>
          <w:i/>
          <w:lang w:val="en-GB"/>
        </w:rPr>
        <w:t xml:space="preserve"> </w:t>
      </w:r>
      <w:r w:rsidR="00063C94">
        <w:rPr>
          <w:lang w:val="en-GB"/>
        </w:rPr>
        <w:t xml:space="preserve">In </w:t>
      </w:r>
      <w:r w:rsidRPr="00063C94">
        <w:rPr>
          <w:lang w:val="en-GB"/>
        </w:rPr>
        <w:t xml:space="preserve">Section </w:t>
      </w:r>
      <w:r w:rsidR="00E22BB8">
        <w:rPr>
          <w:lang w:val="en-GB"/>
        </w:rPr>
        <w:t>7</w:t>
      </w:r>
      <w:r w:rsidRPr="00063C94">
        <w:rPr>
          <w:lang w:val="en-GB"/>
        </w:rPr>
        <w:t xml:space="preserve"> </w:t>
      </w:r>
      <w:r w:rsidR="00063C94" w:rsidRPr="00063C94">
        <w:rPr>
          <w:lang w:val="en-GB"/>
        </w:rPr>
        <w:t xml:space="preserve">we discuss the key insights </w:t>
      </w:r>
      <w:r w:rsidR="00063C94">
        <w:rPr>
          <w:lang w:val="en-GB"/>
        </w:rPr>
        <w:t>derived from our analysis</w:t>
      </w:r>
      <w:r w:rsidR="0070738C">
        <w:rPr>
          <w:lang w:val="en-GB"/>
        </w:rPr>
        <w:t>, and</w:t>
      </w:r>
      <w:r w:rsidR="00063C94">
        <w:rPr>
          <w:lang w:val="en-GB"/>
        </w:rPr>
        <w:t xml:space="preserve"> in section </w:t>
      </w:r>
      <w:r w:rsidR="00E22BB8">
        <w:rPr>
          <w:lang w:val="en-GB"/>
        </w:rPr>
        <w:t>8</w:t>
      </w:r>
      <w:r w:rsidR="00063C94">
        <w:rPr>
          <w:lang w:val="en-GB"/>
        </w:rPr>
        <w:t xml:space="preserve"> we </w:t>
      </w:r>
      <w:r w:rsidRPr="00063C94">
        <w:rPr>
          <w:lang w:val="en-GB"/>
        </w:rPr>
        <w:t>draw overall conclusions.</w:t>
      </w:r>
    </w:p>
    <w:p w14:paraId="4AB90C04" w14:textId="77777777" w:rsidR="00FA7429" w:rsidRDefault="00FA7429" w:rsidP="00FA7429">
      <w:pPr>
        <w:pStyle w:val="Heading1"/>
        <w:rPr>
          <w:lang w:val="en-GB"/>
        </w:rPr>
      </w:pPr>
      <w:r>
        <w:rPr>
          <w:lang w:val="en-GB"/>
        </w:rPr>
        <w:t>Accounting for heritage assets</w:t>
      </w:r>
    </w:p>
    <w:p w14:paraId="380EC614" w14:textId="20D9ABB6" w:rsidR="009D1020" w:rsidRDefault="006A1BB9" w:rsidP="002B7A8A">
      <w:pPr>
        <w:rPr>
          <w:lang w:val="en-GB"/>
        </w:rPr>
      </w:pPr>
      <w:r w:rsidRPr="0087721C">
        <w:rPr>
          <w:lang w:val="en-GB"/>
        </w:rPr>
        <w:t>Following th</w:t>
      </w:r>
      <w:r w:rsidR="00116A81" w:rsidRPr="0087721C">
        <w:rPr>
          <w:lang w:val="en-GB"/>
        </w:rPr>
        <w:t xml:space="preserve">e IASB </w:t>
      </w:r>
      <w:r w:rsidR="00116A81" w:rsidRPr="0087721C">
        <w:rPr>
          <w:i/>
          <w:lang w:val="en-GB"/>
        </w:rPr>
        <w:t>Conceptual</w:t>
      </w:r>
      <w:r w:rsidRPr="0087721C">
        <w:rPr>
          <w:i/>
          <w:lang w:val="en-GB"/>
        </w:rPr>
        <w:t xml:space="preserve"> </w:t>
      </w:r>
      <w:r w:rsidR="00116A81" w:rsidRPr="0087721C">
        <w:rPr>
          <w:i/>
          <w:lang w:val="en-GB"/>
        </w:rPr>
        <w:t>F</w:t>
      </w:r>
      <w:r w:rsidRPr="0087721C">
        <w:rPr>
          <w:i/>
          <w:lang w:val="en-GB"/>
        </w:rPr>
        <w:t>ramework</w:t>
      </w:r>
      <w:r w:rsidR="00116A81" w:rsidRPr="0087721C">
        <w:rPr>
          <w:i/>
          <w:lang w:val="en-GB"/>
        </w:rPr>
        <w:t xml:space="preserve"> for Financial Reporting</w:t>
      </w:r>
      <w:r w:rsidR="00116A81" w:rsidRPr="0087721C">
        <w:rPr>
          <w:lang w:val="en-GB"/>
        </w:rPr>
        <w:t xml:space="preserve"> (IASB, 2018)</w:t>
      </w:r>
      <w:r w:rsidRPr="0087721C">
        <w:rPr>
          <w:lang w:val="en-GB"/>
        </w:rPr>
        <w:t xml:space="preserve">, pressures to include </w:t>
      </w:r>
      <w:r w:rsidRPr="0087721C">
        <w:rPr>
          <w:i/>
          <w:lang w:val="en-GB"/>
        </w:rPr>
        <w:t>all</w:t>
      </w:r>
      <w:r w:rsidRPr="0087721C">
        <w:rPr>
          <w:lang w:val="en-GB"/>
        </w:rPr>
        <w:t xml:space="preserve"> items that constitute accounting assets or liabilities in the financial statements of entities ha</w:t>
      </w:r>
      <w:r w:rsidR="00091D72">
        <w:rPr>
          <w:lang w:val="en-GB"/>
        </w:rPr>
        <w:t>ve</w:t>
      </w:r>
      <w:r w:rsidR="003D23A0">
        <w:rPr>
          <w:lang w:val="en-GB"/>
        </w:rPr>
        <w:t xml:space="preserve"> </w:t>
      </w:r>
      <w:r w:rsidRPr="0087721C">
        <w:rPr>
          <w:lang w:val="en-GB"/>
        </w:rPr>
        <w:t>shifted the focus of attention from the physical object to the accounting sign</w:t>
      </w:r>
      <w:r w:rsidR="0087721C">
        <w:rPr>
          <w:lang w:val="en-GB"/>
        </w:rPr>
        <w:t xml:space="preserve">. </w:t>
      </w:r>
      <w:r>
        <w:rPr>
          <w:lang w:val="en-GB"/>
        </w:rPr>
        <w:t>However</w:t>
      </w:r>
      <w:r w:rsidR="003779C3">
        <w:rPr>
          <w:lang w:val="en-GB"/>
        </w:rPr>
        <w:t xml:space="preserve">, </w:t>
      </w:r>
      <w:r w:rsidR="00BE070F">
        <w:rPr>
          <w:lang w:val="en-GB"/>
        </w:rPr>
        <w:t xml:space="preserve">by concentrating on the accounting sign, there is a risk of undermining </w:t>
      </w:r>
      <w:r w:rsidR="00BE070F" w:rsidRPr="00BE070F">
        <w:rPr>
          <w:i/>
          <w:lang w:val="en-GB"/>
        </w:rPr>
        <w:t>other</w:t>
      </w:r>
      <w:r w:rsidR="00BE070F">
        <w:rPr>
          <w:lang w:val="en-GB"/>
        </w:rPr>
        <w:t xml:space="preserve"> aspects</w:t>
      </w:r>
      <w:r w:rsidR="00116A81">
        <w:rPr>
          <w:lang w:val="en-GB"/>
        </w:rPr>
        <w:t xml:space="preserve"> of the</w:t>
      </w:r>
      <w:r w:rsidR="0087721C">
        <w:rPr>
          <w:lang w:val="en-GB"/>
        </w:rPr>
        <w:t xml:space="preserve"> </w:t>
      </w:r>
      <w:r w:rsidR="00116A81">
        <w:rPr>
          <w:lang w:val="en-GB"/>
        </w:rPr>
        <w:t>object</w:t>
      </w:r>
      <w:r w:rsidR="00BE070F">
        <w:rPr>
          <w:lang w:val="en-GB"/>
        </w:rPr>
        <w:t xml:space="preserve"> that may trigger organi</w:t>
      </w:r>
      <w:r w:rsidR="0087721C">
        <w:rPr>
          <w:lang w:val="en-GB"/>
        </w:rPr>
        <w:t>s</w:t>
      </w:r>
      <w:r w:rsidR="00BE070F">
        <w:rPr>
          <w:lang w:val="en-GB"/>
        </w:rPr>
        <w:t>ing effects</w:t>
      </w:r>
      <w:r w:rsidR="0087721C">
        <w:rPr>
          <w:lang w:val="en-GB"/>
        </w:rPr>
        <w:t>.</w:t>
      </w:r>
      <w:r w:rsidR="00BE070F">
        <w:rPr>
          <w:lang w:val="en-GB"/>
        </w:rPr>
        <w:t xml:space="preserve"> This is particularly true for heritage </w:t>
      </w:r>
      <w:r w:rsidR="00A53489">
        <w:rPr>
          <w:lang w:val="en-GB"/>
        </w:rPr>
        <w:t>objects</w:t>
      </w:r>
      <w:r w:rsidR="0087721C">
        <w:rPr>
          <w:lang w:val="en-GB"/>
        </w:rPr>
        <w:t xml:space="preserve">, </w:t>
      </w:r>
      <w:r w:rsidR="00066C7B">
        <w:rPr>
          <w:lang w:val="en-GB"/>
        </w:rPr>
        <w:t>which</w:t>
      </w:r>
      <w:r w:rsidR="0087721C">
        <w:rPr>
          <w:lang w:val="en-GB"/>
        </w:rPr>
        <w:t xml:space="preserve"> are not typically</w:t>
      </w:r>
      <w:r w:rsidR="00BE070F">
        <w:rPr>
          <w:lang w:val="en-GB"/>
        </w:rPr>
        <w:t xml:space="preserve"> used to produce goods or services but are central to </w:t>
      </w:r>
      <w:r w:rsidR="0087721C">
        <w:rPr>
          <w:lang w:val="en-GB"/>
        </w:rPr>
        <w:t xml:space="preserve">an </w:t>
      </w:r>
      <w:r w:rsidR="00BE070F">
        <w:rPr>
          <w:lang w:val="en-GB"/>
        </w:rPr>
        <w:t>organi</w:t>
      </w:r>
      <w:r w:rsidR="0087721C">
        <w:rPr>
          <w:lang w:val="en-GB"/>
        </w:rPr>
        <w:t>s</w:t>
      </w:r>
      <w:r w:rsidR="00BE070F">
        <w:rPr>
          <w:lang w:val="en-GB"/>
        </w:rPr>
        <w:t>ation’</w:t>
      </w:r>
      <w:r w:rsidR="0087721C">
        <w:rPr>
          <w:lang w:val="en-GB"/>
        </w:rPr>
        <w:t>s</w:t>
      </w:r>
      <w:r w:rsidR="00BE070F">
        <w:rPr>
          <w:lang w:val="en-GB"/>
        </w:rPr>
        <w:t xml:space="preserve"> purposes </w:t>
      </w:r>
      <w:r w:rsidR="00A53489">
        <w:rPr>
          <w:lang w:val="en-GB"/>
        </w:rPr>
        <w:t>because of</w:t>
      </w:r>
      <w:r w:rsidR="00BE070F">
        <w:rPr>
          <w:lang w:val="en-GB"/>
        </w:rPr>
        <w:t xml:space="preserve"> their cultural value</w:t>
      </w:r>
      <w:r w:rsidR="00BE070F" w:rsidRPr="00116A81">
        <w:rPr>
          <w:lang w:val="en-GB"/>
        </w:rPr>
        <w:t>.</w:t>
      </w:r>
      <w:r w:rsidR="002B7A8A" w:rsidRPr="00116A81">
        <w:rPr>
          <w:lang w:val="en-GB"/>
        </w:rPr>
        <w:t xml:space="preserve"> </w:t>
      </w:r>
      <w:r w:rsidR="00116A81" w:rsidRPr="00116A81">
        <w:rPr>
          <w:lang w:val="en-GB"/>
        </w:rPr>
        <w:t xml:space="preserve">This </w:t>
      </w:r>
      <w:r w:rsidR="0087721C">
        <w:rPr>
          <w:lang w:val="en-GB"/>
        </w:rPr>
        <w:t xml:space="preserve">cultural </w:t>
      </w:r>
      <w:r w:rsidR="00116A81" w:rsidRPr="00116A81">
        <w:rPr>
          <w:lang w:val="en-GB"/>
        </w:rPr>
        <w:t xml:space="preserve">value may </w:t>
      </w:r>
      <w:r w:rsidR="00A53489">
        <w:rPr>
          <w:lang w:val="en-GB"/>
        </w:rPr>
        <w:t>lose its centrality in</w:t>
      </w:r>
      <w:r w:rsidR="00116A81">
        <w:rPr>
          <w:lang w:val="en-GB"/>
        </w:rPr>
        <w:t xml:space="preserve"> the attempt to include the </w:t>
      </w:r>
      <w:r w:rsidR="00A53489">
        <w:rPr>
          <w:lang w:val="en-GB"/>
        </w:rPr>
        <w:t xml:space="preserve">heritage objects as </w:t>
      </w:r>
      <w:r w:rsidR="00116A81">
        <w:rPr>
          <w:lang w:val="en-GB"/>
        </w:rPr>
        <w:t xml:space="preserve">assets in the balance </w:t>
      </w:r>
      <w:r w:rsidR="00116A81" w:rsidRPr="00A53489">
        <w:rPr>
          <w:lang w:val="en-GB"/>
        </w:rPr>
        <w:t>sheet (Ellwood and Greenwood, 2016).</w:t>
      </w:r>
      <w:r w:rsidR="00861BDE">
        <w:rPr>
          <w:lang w:val="en-GB"/>
        </w:rPr>
        <w:t xml:space="preserve"> </w:t>
      </w:r>
    </w:p>
    <w:p w14:paraId="29D1B1D4" w14:textId="49D0BDAD" w:rsidR="002B7A8A" w:rsidRDefault="009D1020" w:rsidP="002B7A8A">
      <w:pPr>
        <w:rPr>
          <w:lang w:val="en-GB"/>
        </w:rPr>
      </w:pPr>
      <w:r>
        <w:rPr>
          <w:lang w:val="en-GB"/>
        </w:rPr>
        <w:t>M</w:t>
      </w:r>
      <w:r w:rsidR="00A53489">
        <w:rPr>
          <w:lang w:val="en-GB"/>
        </w:rPr>
        <w:t>any early criticisms of</w:t>
      </w:r>
      <w:r w:rsidR="002B7A8A" w:rsidRPr="00A53489">
        <w:rPr>
          <w:lang w:val="en-GB"/>
        </w:rPr>
        <w:t xml:space="preserve"> requiring not-for-profit organisations to record heritage </w:t>
      </w:r>
      <w:r w:rsidR="00A53489" w:rsidRPr="00A53489">
        <w:rPr>
          <w:lang w:val="en-GB"/>
        </w:rPr>
        <w:t>objects</w:t>
      </w:r>
      <w:r w:rsidR="002B7A8A" w:rsidRPr="00A53489">
        <w:rPr>
          <w:lang w:val="en-GB"/>
        </w:rPr>
        <w:t xml:space="preserve"> in their financial statements </w:t>
      </w:r>
      <w:r w:rsidR="00A53489">
        <w:rPr>
          <w:lang w:val="en-GB"/>
        </w:rPr>
        <w:t>suggested that such accounting would</w:t>
      </w:r>
      <w:r w:rsidR="002B7A8A" w:rsidRPr="00A53489">
        <w:rPr>
          <w:lang w:val="en-GB"/>
        </w:rPr>
        <w:t xml:space="preserve"> change how the organisations regard the </w:t>
      </w:r>
      <w:r w:rsidR="00A53489" w:rsidRPr="00A53489">
        <w:rPr>
          <w:lang w:val="en-GB"/>
        </w:rPr>
        <w:t>objects</w:t>
      </w:r>
      <w:r w:rsidR="002B7A8A" w:rsidRPr="00A53489">
        <w:rPr>
          <w:lang w:val="en-GB"/>
        </w:rPr>
        <w:t xml:space="preserve">, </w:t>
      </w:r>
      <w:r w:rsidR="00A53489">
        <w:rPr>
          <w:lang w:val="en-GB"/>
        </w:rPr>
        <w:t>potentially</w:t>
      </w:r>
      <w:r w:rsidR="002B7A8A" w:rsidRPr="00A53489">
        <w:rPr>
          <w:lang w:val="en-GB"/>
        </w:rPr>
        <w:t xml:space="preserve"> lead</w:t>
      </w:r>
      <w:r w:rsidR="00A53489">
        <w:rPr>
          <w:lang w:val="en-GB"/>
        </w:rPr>
        <w:t>ing</w:t>
      </w:r>
      <w:r w:rsidR="002B7A8A" w:rsidRPr="00A53489">
        <w:rPr>
          <w:lang w:val="en-GB"/>
        </w:rPr>
        <w:t xml:space="preserve"> to divestiture or sale rather than preservation (</w:t>
      </w:r>
      <w:proofErr w:type="spellStart"/>
      <w:r w:rsidR="002B7A8A" w:rsidRPr="00A53489">
        <w:rPr>
          <w:lang w:val="en-GB"/>
        </w:rPr>
        <w:t>Mautz</w:t>
      </w:r>
      <w:proofErr w:type="spellEnd"/>
      <w:r w:rsidR="002B7A8A" w:rsidRPr="00A53489">
        <w:rPr>
          <w:lang w:val="en-GB"/>
        </w:rPr>
        <w:t xml:space="preserve">, 1988; Carnegie &amp; </w:t>
      </w:r>
      <w:proofErr w:type="spellStart"/>
      <w:r w:rsidR="002B7A8A" w:rsidRPr="00A53489">
        <w:rPr>
          <w:lang w:val="en-GB"/>
        </w:rPr>
        <w:t>Wolnizer</w:t>
      </w:r>
      <w:proofErr w:type="spellEnd"/>
      <w:r w:rsidR="002B7A8A" w:rsidRPr="00A53489">
        <w:rPr>
          <w:lang w:val="en-GB"/>
        </w:rPr>
        <w:t xml:space="preserve">, 1995; Micallef &amp; </w:t>
      </w:r>
      <w:proofErr w:type="spellStart"/>
      <w:r w:rsidR="002B7A8A" w:rsidRPr="00A53489">
        <w:rPr>
          <w:lang w:val="en-GB"/>
        </w:rPr>
        <w:t>Peirson</w:t>
      </w:r>
      <w:proofErr w:type="spellEnd"/>
      <w:r w:rsidR="002B7A8A" w:rsidRPr="00A53489">
        <w:rPr>
          <w:lang w:val="en-GB"/>
        </w:rPr>
        <w:t xml:space="preserve">, 1997; </w:t>
      </w:r>
      <w:r w:rsidR="00E70DC2">
        <w:rPr>
          <w:lang w:val="en-GB"/>
        </w:rPr>
        <w:t xml:space="preserve">Carnegie &amp; </w:t>
      </w:r>
      <w:proofErr w:type="spellStart"/>
      <w:r w:rsidR="00E70DC2">
        <w:rPr>
          <w:lang w:val="en-GB"/>
        </w:rPr>
        <w:t>Wolnizer</w:t>
      </w:r>
      <w:proofErr w:type="spellEnd"/>
      <w:r w:rsidR="00E70DC2">
        <w:rPr>
          <w:lang w:val="en-GB"/>
        </w:rPr>
        <w:t xml:space="preserve">, 1999; </w:t>
      </w:r>
      <w:r w:rsidR="002B7A8A" w:rsidRPr="00A53489">
        <w:rPr>
          <w:lang w:val="en-GB"/>
        </w:rPr>
        <w:t>Barton, 2000).</w:t>
      </w:r>
      <w:r w:rsidR="00BF5F81">
        <w:rPr>
          <w:lang w:val="en-GB"/>
        </w:rPr>
        <w:t xml:space="preserve"> </w:t>
      </w:r>
      <w:r w:rsidR="00E70DC2">
        <w:rPr>
          <w:lang w:val="en-GB"/>
        </w:rPr>
        <w:t xml:space="preserve">Much of the early debate over accounting for heritage assets took place in Australia, where public sector financial reporting practices required </w:t>
      </w:r>
      <w:r w:rsidR="005664B1">
        <w:rPr>
          <w:lang w:val="en-GB"/>
        </w:rPr>
        <w:t xml:space="preserve">heritage objects to be accounted for as assets from the 1990s (Hopper, </w:t>
      </w:r>
      <w:proofErr w:type="spellStart"/>
      <w:r w:rsidR="005664B1">
        <w:rPr>
          <w:lang w:val="en-GB"/>
        </w:rPr>
        <w:t>Kearins</w:t>
      </w:r>
      <w:proofErr w:type="spellEnd"/>
      <w:r w:rsidR="005664B1">
        <w:rPr>
          <w:lang w:val="en-GB"/>
        </w:rPr>
        <w:t xml:space="preserve"> &amp; Green, 2005; see also Barton, 2005). </w:t>
      </w:r>
      <w:r w:rsidR="00A53489">
        <w:rPr>
          <w:lang w:val="en-GB"/>
        </w:rPr>
        <w:t>Despite these criticisms, accounting standard-setters in recent years have generally supported recognising heritage objects as accounting assets. As already noted, accounting standards applicable in the UK and Ireland require the recognition of heritage objects, so long as a cost or value is known or can be determined at reasonable cost.</w:t>
      </w:r>
      <w:r w:rsidR="007E4688">
        <w:rPr>
          <w:lang w:val="en-GB"/>
        </w:rPr>
        <w:t xml:space="preserve"> The International Public Sector </w:t>
      </w:r>
      <w:r w:rsidR="007E4688">
        <w:rPr>
          <w:lang w:val="en-GB"/>
        </w:rPr>
        <w:lastRenderedPageBreak/>
        <w:t xml:space="preserve">Accounting Standards Board (IPSASB, 2017) has proposed that heritage objects should be recognised as assets if it is possible to measure them in ways </w:t>
      </w:r>
      <w:proofErr w:type="gramStart"/>
      <w:r w:rsidR="007E4688">
        <w:rPr>
          <w:lang w:val="en-GB"/>
        </w:rPr>
        <w:t>similar to</w:t>
      </w:r>
      <w:proofErr w:type="gramEnd"/>
      <w:r w:rsidR="007E4688">
        <w:rPr>
          <w:lang w:val="en-GB"/>
        </w:rPr>
        <w:t xml:space="preserve"> other non-current assets</w:t>
      </w:r>
      <w:r w:rsidR="00A53489">
        <w:rPr>
          <w:lang w:val="en-GB"/>
        </w:rPr>
        <w:t>.</w:t>
      </w:r>
    </w:p>
    <w:p w14:paraId="6C9FCD35" w14:textId="4DD3A7FD" w:rsidR="00BF5F81" w:rsidRPr="00A53489" w:rsidRDefault="00BF5F81" w:rsidP="00BF5F81">
      <w:pPr>
        <w:rPr>
          <w:lang w:val="en-GB"/>
        </w:rPr>
      </w:pPr>
      <w:r w:rsidRPr="00A53489">
        <w:rPr>
          <w:lang w:val="en-GB"/>
        </w:rPr>
        <w:t xml:space="preserve">UK national museums and art galleries are required to follow UK financial reporting standards in preparing </w:t>
      </w:r>
      <w:r w:rsidR="00A53489" w:rsidRPr="00A53489">
        <w:rPr>
          <w:lang w:val="en-GB"/>
        </w:rPr>
        <w:t>their</w:t>
      </w:r>
      <w:r w:rsidRPr="00A53489">
        <w:rPr>
          <w:lang w:val="en-GB"/>
        </w:rPr>
        <w:t xml:space="preserve"> financial statements (Abdullah, </w:t>
      </w:r>
      <w:proofErr w:type="spellStart"/>
      <w:r w:rsidRPr="00A53489">
        <w:rPr>
          <w:lang w:val="en-GB"/>
        </w:rPr>
        <w:t>Khadaroo</w:t>
      </w:r>
      <w:proofErr w:type="spellEnd"/>
      <w:r w:rsidRPr="00A53489">
        <w:rPr>
          <w:lang w:val="en-GB"/>
        </w:rPr>
        <w:t xml:space="preserve"> &amp; Napier, 2018). Similar accounting requirements apply to other types of entity, such as charities, which must comply with Statements of Recommended Practice (SORPs). SORPs are documents produced for entities in </w:t>
      </w:r>
      <w:r w:rsidR="00066C7B">
        <w:rPr>
          <w:lang w:val="en-GB"/>
        </w:rPr>
        <w:t>specific</w:t>
      </w:r>
      <w:r w:rsidRPr="00A53489">
        <w:rPr>
          <w:lang w:val="en-GB"/>
        </w:rPr>
        <w:t xml:space="preserve"> sectors, usually by sector</w:t>
      </w:r>
      <w:r w:rsidR="00066C7B">
        <w:rPr>
          <w:lang w:val="en-GB"/>
        </w:rPr>
        <w:t>al</w:t>
      </w:r>
      <w:r w:rsidRPr="00A53489">
        <w:rPr>
          <w:lang w:val="en-GB"/>
        </w:rPr>
        <w:t xml:space="preserve"> bodies. They incorporate Financial Reporting Standards and provide guidance on how </w:t>
      </w:r>
      <w:r w:rsidR="00066C7B">
        <w:rPr>
          <w:lang w:val="en-GB"/>
        </w:rPr>
        <w:t xml:space="preserve">sector-specific </w:t>
      </w:r>
      <w:r w:rsidRPr="00A53489">
        <w:rPr>
          <w:lang w:val="en-GB"/>
        </w:rPr>
        <w:t xml:space="preserve">transactions are to be accounted for. State agencies such as government departments and regulators may mandate compliance with relevant SORPs by entities to which they apply. The first SORP applying to British universities, </w:t>
      </w:r>
      <w:r w:rsidRPr="00A53489">
        <w:rPr>
          <w:i/>
          <w:lang w:val="en-GB"/>
        </w:rPr>
        <w:t>Accounting in UK Universities</w:t>
      </w:r>
      <w:r w:rsidRPr="00A53489">
        <w:rPr>
          <w:lang w:val="en-GB"/>
        </w:rPr>
        <w:t>,</w:t>
      </w:r>
      <w:r w:rsidRPr="00A53489">
        <w:rPr>
          <w:i/>
          <w:lang w:val="en-GB"/>
        </w:rPr>
        <w:t xml:space="preserve"> </w:t>
      </w:r>
      <w:r w:rsidRPr="00A53489">
        <w:rPr>
          <w:lang w:val="en-GB"/>
        </w:rPr>
        <w:t>was published by the Committee of Vice-Chancellors and Principals (CVCP</w:t>
      </w:r>
      <w:r w:rsidR="00296EEE">
        <w:rPr>
          <w:lang w:val="en-GB"/>
        </w:rPr>
        <w:t xml:space="preserve"> – an advocacy organisation for universities in the United Kingdom</w:t>
      </w:r>
      <w:r w:rsidRPr="00A53489">
        <w:rPr>
          <w:lang w:val="en-GB"/>
        </w:rPr>
        <w:t xml:space="preserve">) in 1989. Several revisions (usually with slightly different names) have culminated in the current SORP </w:t>
      </w:r>
      <w:r w:rsidRPr="00A53489">
        <w:rPr>
          <w:i/>
          <w:lang w:val="en-GB"/>
        </w:rPr>
        <w:t>Accounting for Further and Higher Education</w:t>
      </w:r>
      <w:r w:rsidRPr="00A53489">
        <w:rPr>
          <w:lang w:val="en-GB"/>
        </w:rPr>
        <w:t>, issued in 2014 by the FE/HE SORP Board under the sponsorship of Universities UK (the successor body to the CVCP).</w:t>
      </w:r>
    </w:p>
    <w:p w14:paraId="49905720" w14:textId="0DE7BE24" w:rsidR="00116A81" w:rsidRDefault="00BF5F81" w:rsidP="00116A81">
      <w:pPr>
        <w:rPr>
          <w:lang w:val="en-GB"/>
        </w:rPr>
      </w:pPr>
      <w:r w:rsidRPr="007E4688">
        <w:rPr>
          <w:lang w:val="en-GB"/>
        </w:rPr>
        <w:t xml:space="preserve">Early editions of the universities SORP did not require the recognition of heritage </w:t>
      </w:r>
      <w:r w:rsidR="00233758">
        <w:rPr>
          <w:lang w:val="en-GB"/>
        </w:rPr>
        <w:t>objects</w:t>
      </w:r>
      <w:r w:rsidRPr="007E4688">
        <w:rPr>
          <w:lang w:val="en-GB"/>
        </w:rPr>
        <w:t xml:space="preserve">, but from 1999 the SORP </w:t>
      </w:r>
      <w:r w:rsidRPr="007E4688">
        <w:rPr>
          <w:i/>
          <w:lang w:val="en-GB"/>
        </w:rPr>
        <w:t>Accounting in Further and Higher Education Institutions</w:t>
      </w:r>
      <w:r w:rsidRPr="007E4688">
        <w:rPr>
          <w:lang w:val="en-GB"/>
        </w:rPr>
        <w:t xml:space="preserve"> required heritage </w:t>
      </w:r>
      <w:r w:rsidR="00233758">
        <w:rPr>
          <w:lang w:val="en-GB"/>
        </w:rPr>
        <w:t>objects</w:t>
      </w:r>
      <w:r w:rsidRPr="007E4688">
        <w:rPr>
          <w:lang w:val="en-GB"/>
        </w:rPr>
        <w:t xml:space="preserve"> to be accounted for</w:t>
      </w:r>
      <w:r w:rsidR="00233758">
        <w:rPr>
          <w:lang w:val="en-GB"/>
        </w:rPr>
        <w:t xml:space="preserve"> as assets</w:t>
      </w:r>
      <w:r w:rsidR="00296EEE">
        <w:rPr>
          <w:lang w:val="en-GB"/>
        </w:rPr>
        <w:t>. This followed</w:t>
      </w:r>
      <w:r w:rsidRPr="007E4688">
        <w:rPr>
          <w:lang w:val="en-GB"/>
        </w:rPr>
        <w:t xml:space="preserve"> the introduction of </w:t>
      </w:r>
      <w:r w:rsidR="00296EEE">
        <w:rPr>
          <w:lang w:val="en-GB"/>
        </w:rPr>
        <w:t xml:space="preserve">a similar requirement in </w:t>
      </w:r>
      <w:r w:rsidRPr="007E4688">
        <w:rPr>
          <w:lang w:val="en-GB"/>
        </w:rPr>
        <w:t xml:space="preserve">FRS 15. The current version of the universities SORP follows </w:t>
      </w:r>
      <w:r w:rsidRPr="007E4688">
        <w:rPr>
          <w:i/>
          <w:lang w:val="en-GB"/>
        </w:rPr>
        <w:t>The Financial Reporting Standard Applicable in the UK and Republic of Ireland</w:t>
      </w:r>
      <w:r w:rsidRPr="007E4688">
        <w:rPr>
          <w:lang w:val="en-GB"/>
        </w:rPr>
        <w:t xml:space="preserve"> (FRS102 – FRC, 2018). Heritage </w:t>
      </w:r>
      <w:r w:rsidR="007E4688">
        <w:rPr>
          <w:lang w:val="en-GB"/>
        </w:rPr>
        <w:t>objects</w:t>
      </w:r>
      <w:r w:rsidRPr="007E4688">
        <w:rPr>
          <w:lang w:val="en-GB"/>
        </w:rPr>
        <w:t xml:space="preserve"> must be recognised as assets in accordance with the normal accounting treatment for tangible fixed assets, although, as in FRS 30, there is an exception for heritage </w:t>
      </w:r>
      <w:r w:rsidR="007E4688">
        <w:rPr>
          <w:lang w:val="en-GB"/>
        </w:rPr>
        <w:t>objects</w:t>
      </w:r>
      <w:r w:rsidRPr="007E4688">
        <w:rPr>
          <w:lang w:val="en-GB"/>
        </w:rPr>
        <w:t xml:space="preserve"> for which information about </w:t>
      </w:r>
      <w:r w:rsidR="007E4688">
        <w:rPr>
          <w:lang w:val="en-GB"/>
        </w:rPr>
        <w:t xml:space="preserve">historical </w:t>
      </w:r>
      <w:r w:rsidRPr="007E4688">
        <w:rPr>
          <w:lang w:val="en-GB"/>
        </w:rPr>
        <w:t>cost or value is not available at a reasonable cost.</w:t>
      </w:r>
      <w:r w:rsidR="00116A81" w:rsidRPr="007E4688">
        <w:rPr>
          <w:lang w:val="en-GB"/>
        </w:rPr>
        <w:t xml:space="preserve"> For example, the National Gallery in London shows only four percent of its collection on its balance sheet, representing acquisitions after April 2001, but even this small fraction of its collection is measured at £313 million (The National Gallery, 2018).</w:t>
      </w:r>
    </w:p>
    <w:p w14:paraId="4A27ABD1" w14:textId="00F32C03" w:rsidR="002B7A8A" w:rsidRPr="006C59D2" w:rsidRDefault="00BE070F" w:rsidP="002B7A8A">
      <w:pPr>
        <w:rPr>
          <w:lang w:val="en-GB"/>
        </w:rPr>
      </w:pPr>
      <w:r>
        <w:rPr>
          <w:lang w:val="en-GB"/>
        </w:rPr>
        <w:t xml:space="preserve"> </w:t>
      </w:r>
      <w:r w:rsidR="002B7A8A" w:rsidRPr="007E4688">
        <w:rPr>
          <w:lang w:val="en-GB"/>
        </w:rPr>
        <w:t xml:space="preserve">The impact of the requirement to report heritage </w:t>
      </w:r>
      <w:r w:rsidR="00233758">
        <w:rPr>
          <w:lang w:val="en-GB"/>
        </w:rPr>
        <w:t>objects</w:t>
      </w:r>
      <w:r w:rsidR="002B7A8A" w:rsidRPr="007E4688">
        <w:rPr>
          <w:lang w:val="en-GB"/>
        </w:rPr>
        <w:t xml:space="preserve"> in the balance sheet has been studied by Ellwood and Greenwood (2016), examining both an art gallery and a local authority. They observe that, while the gallery “largely resisted the pressure to place economic values on its collections of portraiture . . . [the local authority] decided to sell its major heritage asset, a Henry Moore sculpture” (Ellwood &amp; Greenwood, 2016, p. 1). </w:t>
      </w:r>
      <w:r w:rsidR="00B35988">
        <w:rPr>
          <w:lang w:val="en-GB"/>
        </w:rPr>
        <w:t xml:space="preserve">Ellwood </w:t>
      </w:r>
      <w:r w:rsidR="00233758">
        <w:rPr>
          <w:lang w:val="en-GB"/>
        </w:rPr>
        <w:t>and</w:t>
      </w:r>
      <w:r w:rsidR="00B35988">
        <w:rPr>
          <w:lang w:val="en-GB"/>
        </w:rPr>
        <w:t xml:space="preserve"> Greenwood (2016, p. </w:t>
      </w:r>
      <w:r w:rsidR="004C0028">
        <w:rPr>
          <w:lang w:val="en-GB"/>
        </w:rPr>
        <w:t>1</w:t>
      </w:r>
      <w:r w:rsidR="00B35988">
        <w:rPr>
          <w:lang w:val="en-GB"/>
        </w:rPr>
        <w:t xml:space="preserve">) </w:t>
      </w:r>
      <w:r w:rsidR="001302B1">
        <w:rPr>
          <w:lang w:val="en-GB"/>
        </w:rPr>
        <w:t>suggest the possibility</w:t>
      </w:r>
      <w:r w:rsidR="00B35988">
        <w:rPr>
          <w:lang w:val="en-GB"/>
        </w:rPr>
        <w:t xml:space="preserve"> that </w:t>
      </w:r>
      <w:r w:rsidR="00531AAE">
        <w:rPr>
          <w:lang w:val="en-GB"/>
        </w:rPr>
        <w:t xml:space="preserve">observing (measuring) the economic value of an item that is </w:t>
      </w:r>
      <w:r w:rsidR="00531AAE">
        <w:rPr>
          <w:lang w:val="en-GB"/>
        </w:rPr>
        <w:lastRenderedPageBreak/>
        <w:t xml:space="preserve">primarily held for its cultural properties may affect the perception </w:t>
      </w:r>
      <w:r w:rsidR="00531AAE" w:rsidRPr="00531AAE">
        <w:rPr>
          <w:lang w:val="en-GB"/>
        </w:rPr>
        <w:t>of the cultural value of the item.</w:t>
      </w:r>
      <w:r w:rsidR="00B35988">
        <w:rPr>
          <w:lang w:val="en-GB"/>
        </w:rPr>
        <w:t xml:space="preserve"> </w:t>
      </w:r>
      <w:r w:rsidR="00667C87">
        <w:rPr>
          <w:lang w:val="en-GB"/>
        </w:rPr>
        <w:t>A common rationale for including heritage objects in financial statements is that this will enhance</w:t>
      </w:r>
      <w:r w:rsidR="00B35988">
        <w:rPr>
          <w:lang w:val="en-GB"/>
        </w:rPr>
        <w:t xml:space="preserve"> </w:t>
      </w:r>
      <w:r w:rsidR="002704AF">
        <w:rPr>
          <w:lang w:val="en-GB"/>
        </w:rPr>
        <w:t>the management of</w:t>
      </w:r>
      <w:r w:rsidR="00B35988">
        <w:rPr>
          <w:lang w:val="en-GB"/>
        </w:rPr>
        <w:t xml:space="preserve"> heritage objects, although </w:t>
      </w:r>
      <w:r w:rsidR="00667C87">
        <w:rPr>
          <w:lang w:val="en-GB"/>
        </w:rPr>
        <w:t xml:space="preserve">this rationale is </w:t>
      </w:r>
      <w:r w:rsidR="00B35988">
        <w:rPr>
          <w:lang w:val="en-GB"/>
        </w:rPr>
        <w:t xml:space="preserve">often rejected by critics (for example, Carnegie &amp; </w:t>
      </w:r>
      <w:proofErr w:type="spellStart"/>
      <w:r w:rsidR="00B35988">
        <w:rPr>
          <w:lang w:val="en-GB"/>
        </w:rPr>
        <w:t>Wolnizer</w:t>
      </w:r>
      <w:proofErr w:type="spellEnd"/>
      <w:r w:rsidR="00B35988">
        <w:rPr>
          <w:lang w:val="en-GB"/>
        </w:rPr>
        <w:t>, 1996</w:t>
      </w:r>
      <w:r w:rsidR="00A64A4F">
        <w:rPr>
          <w:lang w:val="en-GB"/>
        </w:rPr>
        <w:t xml:space="preserve">; Biondi &amp; Lapsley, 2014; </w:t>
      </w:r>
      <w:proofErr w:type="spellStart"/>
      <w:r w:rsidR="00A64A4F">
        <w:rPr>
          <w:lang w:val="en-GB"/>
        </w:rPr>
        <w:t>Woon</w:t>
      </w:r>
      <w:proofErr w:type="spellEnd"/>
      <w:r w:rsidR="00A64A4F">
        <w:rPr>
          <w:lang w:val="en-GB"/>
        </w:rPr>
        <w:t xml:space="preserve"> et al., 2019</w:t>
      </w:r>
      <w:r w:rsidR="00B35988">
        <w:rPr>
          <w:lang w:val="en-GB"/>
        </w:rPr>
        <w:t>).</w:t>
      </w:r>
      <w:r w:rsidR="000B6596">
        <w:rPr>
          <w:lang w:val="en-GB"/>
        </w:rPr>
        <w:t xml:space="preserve"> </w:t>
      </w:r>
      <w:r w:rsidR="00667C87">
        <w:rPr>
          <w:lang w:val="en-GB"/>
        </w:rPr>
        <w:t>To advance the debate, there is a</w:t>
      </w:r>
      <w:r w:rsidR="00A64A4F">
        <w:rPr>
          <w:lang w:val="en-GB"/>
        </w:rPr>
        <w:t xml:space="preserve"> need for further</w:t>
      </w:r>
      <w:r w:rsidR="006C59D2">
        <w:rPr>
          <w:lang w:val="en-GB"/>
        </w:rPr>
        <w:t xml:space="preserve"> understanding </w:t>
      </w:r>
      <w:r w:rsidR="00667C87">
        <w:rPr>
          <w:lang w:val="en-GB"/>
        </w:rPr>
        <w:t xml:space="preserve">of </w:t>
      </w:r>
      <w:r w:rsidR="006C59D2">
        <w:rPr>
          <w:lang w:val="en-GB"/>
        </w:rPr>
        <w:t xml:space="preserve">how an accounting classification may affect the ways in which an object </w:t>
      </w:r>
      <w:r w:rsidR="006C59D2">
        <w:rPr>
          <w:i/>
          <w:lang w:val="en-GB"/>
        </w:rPr>
        <w:t>matters</w:t>
      </w:r>
      <w:r w:rsidR="006C59D2">
        <w:rPr>
          <w:lang w:val="en-GB"/>
        </w:rPr>
        <w:t xml:space="preserve"> for an organisation.</w:t>
      </w:r>
    </w:p>
    <w:p w14:paraId="20638E39" w14:textId="77777777" w:rsidR="009D1020" w:rsidRDefault="001B6E7A" w:rsidP="006E1BA7">
      <w:pPr>
        <w:pStyle w:val="Heading1"/>
        <w:rPr>
          <w:lang w:val="en-GB"/>
        </w:rPr>
      </w:pPr>
      <w:r w:rsidRPr="009D1020">
        <w:rPr>
          <w:lang w:val="en-GB"/>
        </w:rPr>
        <w:t xml:space="preserve"> </w:t>
      </w:r>
      <w:r w:rsidR="003425D7">
        <w:rPr>
          <w:lang w:val="en-GB"/>
        </w:rPr>
        <w:t>Accounting signs</w:t>
      </w:r>
      <w:r w:rsidR="00ED428A" w:rsidRPr="009D1020">
        <w:rPr>
          <w:lang w:val="en-GB"/>
        </w:rPr>
        <w:t xml:space="preserve"> and matters of concern</w:t>
      </w:r>
      <w:r w:rsidR="0087458E" w:rsidRPr="009D1020">
        <w:rPr>
          <w:lang w:val="en-GB"/>
        </w:rPr>
        <w:t xml:space="preserve"> </w:t>
      </w:r>
    </w:p>
    <w:p w14:paraId="2653D8FB" w14:textId="77777777" w:rsidR="002C5923" w:rsidRDefault="002C5923" w:rsidP="002C5923">
      <w:pPr>
        <w:rPr>
          <w:lang w:val="en-GB"/>
        </w:rPr>
      </w:pPr>
      <w:r>
        <w:rPr>
          <w:lang w:val="en-GB"/>
        </w:rPr>
        <w:t>In his seminal work about simulacra and simulation, Baudrillard was concerned about the relationship between signs and what signs refer to, if anything (Baudrillard, 1983</w:t>
      </w:r>
      <w:r w:rsidR="009C266F">
        <w:rPr>
          <w:lang w:val="en-GB"/>
        </w:rPr>
        <w:t>; 1994</w:t>
      </w:r>
      <w:r>
        <w:rPr>
          <w:lang w:val="en-GB"/>
        </w:rPr>
        <w:t xml:space="preserve">). He provided a chronology of “orders of simulacra”, which Macintosh </w:t>
      </w:r>
      <w:r>
        <w:rPr>
          <w:i/>
          <w:lang w:val="en-GB"/>
        </w:rPr>
        <w:t>et al.</w:t>
      </w:r>
      <w:r>
        <w:rPr>
          <w:lang w:val="en-GB"/>
        </w:rPr>
        <w:t xml:space="preserve"> (2000, p. 13) use to conclude that “many accounting signs no longer refer to real objects and events and accounting no longer functions according to the logic of transparent representation, stewardship or information economics. Instead, accounting increasingly models only that which is itself a model.” </w:t>
      </w:r>
    </w:p>
    <w:p w14:paraId="79B7D877" w14:textId="77777777" w:rsidR="005A3D33" w:rsidRDefault="002C5923" w:rsidP="002C5923">
      <w:pPr>
        <w:rPr>
          <w:lang w:val="en-GB"/>
        </w:rPr>
      </w:pPr>
      <w:r>
        <w:rPr>
          <w:lang w:val="en-GB"/>
        </w:rPr>
        <w:t xml:space="preserve">Macintosh </w:t>
      </w:r>
      <w:r>
        <w:rPr>
          <w:i/>
          <w:lang w:val="en-GB"/>
        </w:rPr>
        <w:t>et al.</w:t>
      </w:r>
      <w:r>
        <w:rPr>
          <w:lang w:val="en-GB"/>
        </w:rPr>
        <w:t xml:space="preserve"> (2000) suggest that accounting in the medieval period was transparent in the sense that there was a clear and fixed relationship between accounting signs and the objects to which they referred. However, with the coming of the Renaissance, accounting signs, particularly as mediated by double-entry bookkeeping, became “counterfeits” of their referents. “Nominal” accounts, such as those recording revenues and expenses, may have included “real” transactions, but their balances did not reflect anything that existed in the external world. As Sombart (quoted in Most, 1979) observed, the entrepreneur “may not see shoes or ships, corn or cotton, but only sums of money which grow bigger or smaller”. </w:t>
      </w:r>
      <w:r w:rsidR="00DF2391">
        <w:rPr>
          <w:lang w:val="en-GB"/>
        </w:rPr>
        <w:t>A line on a balance sheet such as “Fixed Assets £150,000” is not referring to an actual sum of £150,000, but rather to physical objects that are classified as fixed assets, and hence the accounting sign no longer refers immediately to the object, but only through the mediation of money.</w:t>
      </w:r>
    </w:p>
    <w:p w14:paraId="1CF851C8" w14:textId="3A49A575" w:rsidR="0095190A" w:rsidRDefault="002C5923" w:rsidP="0095190A">
      <w:pPr>
        <w:rPr>
          <w:lang w:val="en-GB"/>
        </w:rPr>
      </w:pPr>
      <w:r>
        <w:rPr>
          <w:lang w:val="en-GB"/>
        </w:rPr>
        <w:t xml:space="preserve">Following what Baudrillard had named the “order of the counterfeit”, the coming of mass production from the late eighteenth century onward gave rise to the “order of serial production”. Instead of a series of distinctive objects, each reflected in a distinct sign, mass production means that the sign comes to “absorb” the object </w:t>
      </w:r>
      <w:r w:rsidR="009D1020">
        <w:rPr>
          <w:lang w:val="en-GB"/>
        </w:rPr>
        <w:t>(</w:t>
      </w:r>
      <w:r>
        <w:rPr>
          <w:lang w:val="en-GB"/>
        </w:rPr>
        <w:t xml:space="preserve">Macintosh </w:t>
      </w:r>
      <w:r>
        <w:rPr>
          <w:i/>
          <w:lang w:val="en-GB"/>
        </w:rPr>
        <w:t>et al.</w:t>
      </w:r>
      <w:r>
        <w:rPr>
          <w:lang w:val="en-GB"/>
        </w:rPr>
        <w:t xml:space="preserve">, 2000, p. 24). Finally, we have the “order of simulation”, where the sign effectively </w:t>
      </w:r>
      <w:r>
        <w:rPr>
          <w:i/>
          <w:lang w:val="en-GB"/>
        </w:rPr>
        <w:t>becomes</w:t>
      </w:r>
      <w:r>
        <w:rPr>
          <w:lang w:val="en-GB"/>
        </w:rPr>
        <w:t xml:space="preserve"> the object</w:t>
      </w:r>
      <w:r w:rsidR="00517C73">
        <w:rPr>
          <w:lang w:val="en-GB"/>
        </w:rPr>
        <w:t>. In this order</w:t>
      </w:r>
      <w:r w:rsidR="0007105A">
        <w:rPr>
          <w:lang w:val="en-GB"/>
        </w:rPr>
        <w:t>, the difference between the sign and the referent implodes</w:t>
      </w:r>
      <w:r w:rsidR="00517C73">
        <w:rPr>
          <w:lang w:val="en-GB"/>
        </w:rPr>
        <w:t>:</w:t>
      </w:r>
      <w:r w:rsidR="00AB2F31">
        <w:rPr>
          <w:lang w:val="en-GB"/>
        </w:rPr>
        <w:t xml:space="preserve"> “</w:t>
      </w:r>
      <w:r w:rsidR="00517C73">
        <w:rPr>
          <w:lang w:val="en-GB"/>
        </w:rPr>
        <w:t>signs, including accounting signs, no longer refer to any referent, nor do they absorb the object</w:t>
      </w:r>
      <w:r w:rsidR="00AB2F31">
        <w:rPr>
          <w:lang w:val="en-GB"/>
        </w:rPr>
        <w:t xml:space="preserve"> – </w:t>
      </w:r>
      <w:r w:rsidR="00517C73">
        <w:rPr>
          <w:lang w:val="en-GB"/>
        </w:rPr>
        <w:t>they are their own pure simulacrum</w:t>
      </w:r>
      <w:r w:rsidR="00AB2F31">
        <w:rPr>
          <w:lang w:val="en-GB"/>
        </w:rPr>
        <w:t>”</w:t>
      </w:r>
      <w:r w:rsidR="00517C73">
        <w:rPr>
          <w:lang w:val="en-GB"/>
        </w:rPr>
        <w:t xml:space="preserve"> </w:t>
      </w:r>
      <w:r w:rsidR="00517C73">
        <w:rPr>
          <w:lang w:val="en-GB"/>
        </w:rPr>
        <w:lastRenderedPageBreak/>
        <w:t>(</w:t>
      </w:r>
      <w:r w:rsidR="006246C3">
        <w:rPr>
          <w:lang w:val="en-GB"/>
        </w:rPr>
        <w:t>M</w:t>
      </w:r>
      <w:r w:rsidR="00517C73">
        <w:rPr>
          <w:lang w:val="en-GB"/>
        </w:rPr>
        <w:t xml:space="preserve">acintosh et al., 2000, p. 30). </w:t>
      </w:r>
      <w:r w:rsidR="0062537E">
        <w:rPr>
          <w:lang w:val="en-GB"/>
        </w:rPr>
        <w:t xml:space="preserve">This condition implies that accounting circulates independently from its referents within a hyperreality of self-referential models. </w:t>
      </w:r>
      <w:r>
        <w:rPr>
          <w:lang w:val="en-GB"/>
        </w:rPr>
        <w:t>Examples of this would include financial assets and liabilities whose sheer existence depends on their being recorded in accounts</w:t>
      </w:r>
      <w:r w:rsidR="009D1020">
        <w:rPr>
          <w:lang w:val="en-GB"/>
        </w:rPr>
        <w:t xml:space="preserve">. </w:t>
      </w:r>
      <w:r w:rsidR="005A3D33">
        <w:rPr>
          <w:lang w:val="en-GB"/>
        </w:rPr>
        <w:t xml:space="preserve">However, the </w:t>
      </w:r>
      <w:r w:rsidR="00861BDE">
        <w:rPr>
          <w:lang w:val="en-GB"/>
        </w:rPr>
        <w:t>“</w:t>
      </w:r>
      <w:r w:rsidR="00517C73">
        <w:rPr>
          <w:lang w:val="en-GB"/>
        </w:rPr>
        <w:t>implosion</w:t>
      </w:r>
      <w:r w:rsidR="00861BDE">
        <w:rPr>
          <w:lang w:val="en-GB"/>
        </w:rPr>
        <w:t>”</w:t>
      </w:r>
      <w:r w:rsidR="005A3D33">
        <w:rPr>
          <w:lang w:val="en-GB"/>
        </w:rPr>
        <w:t xml:space="preserve"> between the sign and the referent may only apparently </w:t>
      </w:r>
      <w:r w:rsidR="00BB416C">
        <w:rPr>
          <w:lang w:val="en-GB"/>
        </w:rPr>
        <w:t>d</w:t>
      </w:r>
      <w:r w:rsidR="00AB2F31">
        <w:rPr>
          <w:lang w:val="en-GB"/>
        </w:rPr>
        <w:t>etach</w:t>
      </w:r>
      <w:r w:rsidR="00BB416C">
        <w:rPr>
          <w:lang w:val="en-GB"/>
        </w:rPr>
        <w:t xml:space="preserve"> the sign from the </w:t>
      </w:r>
      <w:r w:rsidR="00861BDE">
        <w:rPr>
          <w:lang w:val="en-GB"/>
        </w:rPr>
        <w:t>“</w:t>
      </w:r>
      <w:r w:rsidR="00BB416C">
        <w:rPr>
          <w:lang w:val="en-GB"/>
        </w:rPr>
        <w:t>real wor</w:t>
      </w:r>
      <w:r w:rsidR="009D1020">
        <w:rPr>
          <w:lang w:val="en-GB"/>
        </w:rPr>
        <w:t>l</w:t>
      </w:r>
      <w:r w:rsidR="00BB416C">
        <w:rPr>
          <w:lang w:val="en-GB"/>
        </w:rPr>
        <w:t>d</w:t>
      </w:r>
      <w:r w:rsidR="00861BDE">
        <w:rPr>
          <w:lang w:val="en-GB"/>
        </w:rPr>
        <w:t>”</w:t>
      </w:r>
      <w:r w:rsidR="005A3D33">
        <w:rPr>
          <w:lang w:val="en-GB"/>
        </w:rPr>
        <w:t>.</w:t>
      </w:r>
      <w:r w:rsidR="00D2626A">
        <w:rPr>
          <w:lang w:val="en-GB"/>
        </w:rPr>
        <w:t xml:space="preserve"> </w:t>
      </w:r>
      <w:r w:rsidR="006246C3">
        <w:rPr>
          <w:lang w:val="en-GB"/>
        </w:rPr>
        <w:t>As admitted also by Macintosh et al. (2000), Baudrillard</w:t>
      </w:r>
      <w:r w:rsidR="00AB2F31">
        <w:rPr>
          <w:lang w:val="en-GB"/>
        </w:rPr>
        <w:t>’s</w:t>
      </w:r>
      <w:r w:rsidR="006246C3">
        <w:rPr>
          <w:lang w:val="en-GB"/>
        </w:rPr>
        <w:t xml:space="preserve"> view of the sign-referent relationship overlooks power relationships, and the performative, material and political </w:t>
      </w:r>
      <w:r w:rsidR="00BB416C">
        <w:rPr>
          <w:lang w:val="en-GB"/>
        </w:rPr>
        <w:t>effects</w:t>
      </w:r>
      <w:r w:rsidR="006246C3">
        <w:rPr>
          <w:lang w:val="en-GB"/>
        </w:rPr>
        <w:t xml:space="preserve"> produced by accounting. </w:t>
      </w:r>
    </w:p>
    <w:p w14:paraId="7D662591" w14:textId="0BEC1156" w:rsidR="00A0325F" w:rsidRDefault="009D1020" w:rsidP="0095190A">
      <w:pPr>
        <w:rPr>
          <w:lang w:val="en-GB"/>
        </w:rPr>
      </w:pPr>
      <w:r>
        <w:rPr>
          <w:lang w:val="en-GB"/>
        </w:rPr>
        <w:t>I</w:t>
      </w:r>
      <w:r w:rsidR="0095190A">
        <w:rPr>
          <w:lang w:val="en-GB"/>
        </w:rPr>
        <w:t xml:space="preserve">n this regard, a useful way for overcoming the distance between the sign and the referent is offered by the concept of </w:t>
      </w:r>
      <w:r w:rsidR="00861BDE">
        <w:rPr>
          <w:lang w:val="en-GB"/>
        </w:rPr>
        <w:t>“</w:t>
      </w:r>
      <w:r w:rsidR="0095190A">
        <w:rPr>
          <w:lang w:val="en-GB"/>
        </w:rPr>
        <w:t>matters of concern</w:t>
      </w:r>
      <w:r w:rsidR="00861BDE">
        <w:rPr>
          <w:lang w:val="en-GB"/>
        </w:rPr>
        <w:t>”</w:t>
      </w:r>
      <w:r w:rsidR="0095190A">
        <w:rPr>
          <w:lang w:val="en-GB"/>
        </w:rPr>
        <w:t xml:space="preserve"> from the work of Bruno Latour. Differently from </w:t>
      </w:r>
      <w:r w:rsidR="00861BDE">
        <w:rPr>
          <w:lang w:val="en-GB"/>
        </w:rPr>
        <w:t>“</w:t>
      </w:r>
      <w:r w:rsidR="0095190A">
        <w:rPr>
          <w:lang w:val="en-GB"/>
        </w:rPr>
        <w:t>matters of fact</w:t>
      </w:r>
      <w:r w:rsidR="00861BDE">
        <w:rPr>
          <w:lang w:val="en-GB"/>
        </w:rPr>
        <w:t>”</w:t>
      </w:r>
      <w:r w:rsidR="0095190A">
        <w:rPr>
          <w:lang w:val="en-GB"/>
        </w:rPr>
        <w:t xml:space="preserve">, matters of concern are complicating matters, </w:t>
      </w:r>
      <w:r w:rsidR="00626650">
        <w:rPr>
          <w:lang w:val="en-GB"/>
        </w:rPr>
        <w:t xml:space="preserve">that </w:t>
      </w:r>
      <w:r w:rsidR="00861BDE">
        <w:rPr>
          <w:lang w:val="en-GB"/>
        </w:rPr>
        <w:t>“</w:t>
      </w:r>
      <w:r w:rsidR="00626650">
        <w:rPr>
          <w:lang w:val="en-GB"/>
        </w:rPr>
        <w:t>gather together</w:t>
      </w:r>
      <w:r w:rsidR="00861BDE">
        <w:rPr>
          <w:lang w:val="en-GB"/>
        </w:rPr>
        <w:t>”</w:t>
      </w:r>
      <w:r w:rsidR="0095190A">
        <w:rPr>
          <w:lang w:val="en-GB"/>
        </w:rPr>
        <w:t xml:space="preserve"> humans and non-humans through disputes and debates (Latour, 2004)</w:t>
      </w:r>
      <w:r w:rsidR="00667C87">
        <w:rPr>
          <w:lang w:val="en-GB"/>
        </w:rPr>
        <w:t>.</w:t>
      </w:r>
      <w:r w:rsidR="00AC75BD">
        <w:rPr>
          <w:rStyle w:val="FootnoteReference"/>
          <w:lang w:val="en-GB"/>
        </w:rPr>
        <w:footnoteReference w:id="3"/>
      </w:r>
      <w:r w:rsidR="0095190A">
        <w:rPr>
          <w:lang w:val="en-GB"/>
        </w:rPr>
        <w:t xml:space="preserve"> According to Law (2004), the move from matters of fact</w:t>
      </w:r>
      <w:r w:rsidR="007B705F">
        <w:rPr>
          <w:lang w:val="en-GB"/>
        </w:rPr>
        <w:t xml:space="preserve"> to matters of concern implies a merging between two worlds: the kingdom of facts and the kingdom of values. Whereas matters of fact are </w:t>
      </w:r>
      <w:r w:rsidR="00DF6D17">
        <w:rPr>
          <w:lang w:val="en-GB"/>
        </w:rPr>
        <w:t xml:space="preserve">unquestioned </w:t>
      </w:r>
      <w:r w:rsidR="007B705F">
        <w:rPr>
          <w:lang w:val="en-GB"/>
        </w:rPr>
        <w:t xml:space="preserve">things </w:t>
      </w:r>
      <w:r w:rsidR="00861BDE">
        <w:rPr>
          <w:lang w:val="en-GB"/>
        </w:rPr>
        <w:t>“</w:t>
      </w:r>
      <w:r w:rsidR="007B705F">
        <w:rPr>
          <w:lang w:val="en-GB"/>
        </w:rPr>
        <w:t>out there</w:t>
      </w:r>
      <w:r w:rsidR="00861BDE">
        <w:rPr>
          <w:lang w:val="en-GB"/>
        </w:rPr>
        <w:t>”</w:t>
      </w:r>
      <w:r w:rsidR="007B705F">
        <w:rPr>
          <w:lang w:val="en-GB"/>
        </w:rPr>
        <w:t xml:space="preserve">, </w:t>
      </w:r>
      <w:r w:rsidR="004A27F2">
        <w:rPr>
          <w:lang w:val="en-GB"/>
        </w:rPr>
        <w:t xml:space="preserve">they </w:t>
      </w:r>
      <w:r w:rsidR="00DF6D17">
        <w:rPr>
          <w:lang w:val="en-GB"/>
        </w:rPr>
        <w:t>become</w:t>
      </w:r>
      <w:r w:rsidR="004A27F2">
        <w:rPr>
          <w:lang w:val="en-GB"/>
        </w:rPr>
        <w:t xml:space="preserve"> </w:t>
      </w:r>
      <w:r w:rsidR="00DF6D17" w:rsidRPr="00DF6D17">
        <w:rPr>
          <w:i/>
          <w:lang w:val="en-GB"/>
        </w:rPr>
        <w:t>gathering</w:t>
      </w:r>
      <w:r w:rsidR="00DF6D17">
        <w:rPr>
          <w:lang w:val="en-GB"/>
        </w:rPr>
        <w:t xml:space="preserve"> issues </w:t>
      </w:r>
      <w:r w:rsidR="004A27F2">
        <w:rPr>
          <w:lang w:val="en-GB"/>
        </w:rPr>
        <w:t xml:space="preserve">(and therefore </w:t>
      </w:r>
      <w:r w:rsidR="00861BDE">
        <w:rPr>
          <w:lang w:val="en-GB"/>
        </w:rPr>
        <w:t>“</w:t>
      </w:r>
      <w:r w:rsidR="004A27F2">
        <w:rPr>
          <w:lang w:val="en-GB"/>
        </w:rPr>
        <w:t>matters of concern</w:t>
      </w:r>
      <w:r w:rsidR="00861BDE">
        <w:rPr>
          <w:lang w:val="en-GB"/>
        </w:rPr>
        <w:t>”</w:t>
      </w:r>
      <w:r w:rsidR="004A27F2">
        <w:rPr>
          <w:lang w:val="en-GB"/>
        </w:rPr>
        <w:t xml:space="preserve"> according to Latour, 2004) as they merge with values and insofar </w:t>
      </w:r>
      <w:r w:rsidR="00667C87">
        <w:rPr>
          <w:lang w:val="en-GB"/>
        </w:rPr>
        <w:t xml:space="preserve">as </w:t>
      </w:r>
      <w:r w:rsidR="004A27F2">
        <w:rPr>
          <w:lang w:val="en-GB"/>
        </w:rPr>
        <w:t>this merging provokes debate, confrontation, engagement and questioning</w:t>
      </w:r>
      <w:r w:rsidR="007B705F">
        <w:rPr>
          <w:lang w:val="en-GB"/>
        </w:rPr>
        <w:t>. This merg</w:t>
      </w:r>
      <w:r w:rsidR="00626650">
        <w:rPr>
          <w:lang w:val="en-GB"/>
        </w:rPr>
        <w:t>ing</w:t>
      </w:r>
      <w:r w:rsidR="007B705F">
        <w:rPr>
          <w:lang w:val="en-GB"/>
        </w:rPr>
        <w:t xml:space="preserve"> implies a move away from stability</w:t>
      </w:r>
      <w:r w:rsidR="00626650">
        <w:rPr>
          <w:lang w:val="en-GB"/>
        </w:rPr>
        <w:t xml:space="preserve">. </w:t>
      </w:r>
      <w:r w:rsidR="00A0325F">
        <w:rPr>
          <w:lang w:val="en-GB"/>
        </w:rPr>
        <w:t xml:space="preserve">Rather than </w:t>
      </w:r>
      <w:r w:rsidR="00861BDE">
        <w:rPr>
          <w:lang w:val="en-GB"/>
        </w:rPr>
        <w:t>stay</w:t>
      </w:r>
      <w:r w:rsidR="00626650">
        <w:rPr>
          <w:lang w:val="en-GB"/>
        </w:rPr>
        <w:t xml:space="preserve">ing </w:t>
      </w:r>
      <w:r w:rsidR="00645BB7">
        <w:rPr>
          <w:lang w:val="en-GB"/>
        </w:rPr>
        <w:t>apart</w:t>
      </w:r>
      <w:r w:rsidR="00A0325F">
        <w:rPr>
          <w:lang w:val="en-GB"/>
        </w:rPr>
        <w:t>, values and facts, like the sign and the referent, merge in evolving ways, provid</w:t>
      </w:r>
      <w:r w:rsidR="00626650">
        <w:rPr>
          <w:lang w:val="en-GB"/>
        </w:rPr>
        <w:t>ing</w:t>
      </w:r>
      <w:r w:rsidR="00A0325F">
        <w:rPr>
          <w:lang w:val="en-GB"/>
        </w:rPr>
        <w:t xml:space="preserve"> for an ontological, rather than epistemological, difference of the matter</w:t>
      </w:r>
      <w:r w:rsidR="00626650">
        <w:rPr>
          <w:lang w:val="en-GB"/>
        </w:rPr>
        <w:t xml:space="preserve"> (Law, 2004)</w:t>
      </w:r>
      <w:r w:rsidR="00A0325F">
        <w:rPr>
          <w:lang w:val="en-GB"/>
        </w:rPr>
        <w:t>.</w:t>
      </w:r>
      <w:r w:rsidR="00626650">
        <w:rPr>
          <w:lang w:val="en-GB"/>
        </w:rPr>
        <w:t xml:space="preserve"> </w:t>
      </w:r>
    </w:p>
    <w:p w14:paraId="52BC298E" w14:textId="37A6C72E" w:rsidR="0046526B" w:rsidRDefault="00BB416C" w:rsidP="002C5923">
      <w:pPr>
        <w:rPr>
          <w:lang w:val="en-GB"/>
        </w:rPr>
      </w:pPr>
      <w:r>
        <w:rPr>
          <w:lang w:val="en-GB"/>
        </w:rPr>
        <w:t>For example, i</w:t>
      </w:r>
      <w:r w:rsidR="00D2626A">
        <w:rPr>
          <w:lang w:val="en-GB"/>
        </w:rPr>
        <w:t xml:space="preserve">n their </w:t>
      </w:r>
      <w:r w:rsidR="00981B97">
        <w:rPr>
          <w:lang w:val="en-GB"/>
        </w:rPr>
        <w:t>study of</w:t>
      </w:r>
      <w:r w:rsidR="005A3D33">
        <w:rPr>
          <w:lang w:val="en-GB"/>
        </w:rPr>
        <w:t xml:space="preserve"> value practices in life sciences an</w:t>
      </w:r>
      <w:r w:rsidR="00D2626A">
        <w:rPr>
          <w:lang w:val="en-GB"/>
        </w:rPr>
        <w:t xml:space="preserve">d medicine, </w:t>
      </w:r>
      <w:proofErr w:type="spellStart"/>
      <w:r w:rsidR="00D2626A">
        <w:rPr>
          <w:lang w:val="en-GB"/>
        </w:rPr>
        <w:t>Dussauge</w:t>
      </w:r>
      <w:proofErr w:type="spellEnd"/>
      <w:r w:rsidR="00D2626A">
        <w:rPr>
          <w:lang w:val="en-GB"/>
        </w:rPr>
        <w:t xml:space="preserve">, </w:t>
      </w:r>
      <w:proofErr w:type="spellStart"/>
      <w:r w:rsidR="00D2626A">
        <w:rPr>
          <w:lang w:val="en-GB"/>
        </w:rPr>
        <w:t>Helgesson</w:t>
      </w:r>
      <w:proofErr w:type="spellEnd"/>
      <w:r w:rsidR="00D2626A">
        <w:rPr>
          <w:lang w:val="en-GB"/>
        </w:rPr>
        <w:t xml:space="preserve">, </w:t>
      </w:r>
      <w:r w:rsidR="005A3D33">
        <w:rPr>
          <w:lang w:val="en-GB"/>
        </w:rPr>
        <w:t xml:space="preserve">Lee </w:t>
      </w:r>
      <w:r w:rsidR="00D2626A">
        <w:rPr>
          <w:lang w:val="en-GB"/>
        </w:rPr>
        <w:t xml:space="preserve">and </w:t>
      </w:r>
      <w:proofErr w:type="spellStart"/>
      <w:r w:rsidR="00D2626A">
        <w:rPr>
          <w:lang w:val="en-GB"/>
        </w:rPr>
        <w:t>Woolgar</w:t>
      </w:r>
      <w:proofErr w:type="spellEnd"/>
      <w:r w:rsidR="00D2626A">
        <w:rPr>
          <w:lang w:val="en-GB"/>
        </w:rPr>
        <w:t xml:space="preserve"> (2015) </w:t>
      </w:r>
      <w:r w:rsidR="004B7556">
        <w:rPr>
          <w:lang w:val="en-GB"/>
        </w:rPr>
        <w:t xml:space="preserve">show the importance of </w:t>
      </w:r>
      <w:r w:rsidR="005A3D33">
        <w:rPr>
          <w:lang w:val="en-GB"/>
        </w:rPr>
        <w:t xml:space="preserve">valuation and counting in the </w:t>
      </w:r>
      <w:r w:rsidR="005A3D33" w:rsidRPr="00626650">
        <w:rPr>
          <w:lang w:val="en-GB"/>
        </w:rPr>
        <w:t>making</w:t>
      </w:r>
      <w:r w:rsidR="005A3D33">
        <w:rPr>
          <w:lang w:val="en-GB"/>
        </w:rPr>
        <w:t xml:space="preserve"> of </w:t>
      </w:r>
      <w:r w:rsidR="00861BDE">
        <w:rPr>
          <w:lang w:val="en-GB"/>
        </w:rPr>
        <w:t>“</w:t>
      </w:r>
      <w:r w:rsidR="005A3D33">
        <w:rPr>
          <w:lang w:val="en-GB"/>
        </w:rPr>
        <w:t>matter</w:t>
      </w:r>
      <w:r w:rsidR="00AB2F31">
        <w:rPr>
          <w:lang w:val="en-GB"/>
        </w:rPr>
        <w:t>s</w:t>
      </w:r>
      <w:r w:rsidR="005A3D33">
        <w:rPr>
          <w:lang w:val="en-GB"/>
        </w:rPr>
        <w:t xml:space="preserve"> of concern</w:t>
      </w:r>
      <w:r w:rsidR="00861BDE">
        <w:rPr>
          <w:lang w:val="en-GB"/>
        </w:rPr>
        <w:t>”</w:t>
      </w:r>
      <w:r w:rsidR="0095765A">
        <w:rPr>
          <w:lang w:val="en-GB"/>
        </w:rPr>
        <w:t xml:space="preserve"> (see also </w:t>
      </w:r>
      <w:proofErr w:type="spellStart"/>
      <w:r w:rsidR="0095765A">
        <w:rPr>
          <w:lang w:val="en-GB"/>
        </w:rPr>
        <w:t>Quattrone</w:t>
      </w:r>
      <w:proofErr w:type="spellEnd"/>
      <w:r w:rsidR="0095765A">
        <w:rPr>
          <w:lang w:val="en-GB"/>
        </w:rPr>
        <w:t>, 2016</w:t>
      </w:r>
      <w:r w:rsidR="000B3CE2">
        <w:rPr>
          <w:lang w:val="en-GB"/>
        </w:rPr>
        <w:t xml:space="preserve">; </w:t>
      </w:r>
      <w:proofErr w:type="spellStart"/>
      <w:r w:rsidR="000B3CE2">
        <w:rPr>
          <w:lang w:val="en-GB"/>
        </w:rPr>
        <w:t>Busco</w:t>
      </w:r>
      <w:proofErr w:type="spellEnd"/>
      <w:r w:rsidR="000B3CE2">
        <w:rPr>
          <w:lang w:val="en-GB"/>
        </w:rPr>
        <w:t xml:space="preserve"> &amp; </w:t>
      </w:r>
      <w:proofErr w:type="spellStart"/>
      <w:r w:rsidR="000B3CE2">
        <w:rPr>
          <w:lang w:val="en-GB"/>
        </w:rPr>
        <w:t>Quattrone</w:t>
      </w:r>
      <w:proofErr w:type="spellEnd"/>
      <w:r w:rsidR="000B3CE2">
        <w:rPr>
          <w:lang w:val="en-GB"/>
        </w:rPr>
        <w:t xml:space="preserve">, 2018; </w:t>
      </w:r>
      <w:proofErr w:type="spellStart"/>
      <w:r w:rsidR="000B3CE2">
        <w:rPr>
          <w:lang w:val="en-GB"/>
        </w:rPr>
        <w:t>Mouritsen</w:t>
      </w:r>
      <w:proofErr w:type="spellEnd"/>
      <w:r w:rsidR="000B3CE2">
        <w:rPr>
          <w:lang w:val="en-GB"/>
        </w:rPr>
        <w:t>, 2018</w:t>
      </w:r>
      <w:r w:rsidR="0095765A">
        <w:rPr>
          <w:lang w:val="en-GB"/>
        </w:rPr>
        <w:t>)</w:t>
      </w:r>
      <w:r w:rsidR="0062537E">
        <w:rPr>
          <w:lang w:val="en-GB"/>
        </w:rPr>
        <w:t xml:space="preserve">. </w:t>
      </w:r>
      <w:proofErr w:type="spellStart"/>
      <w:r w:rsidR="0062537E">
        <w:rPr>
          <w:lang w:val="en-GB"/>
        </w:rPr>
        <w:t>Dussauge</w:t>
      </w:r>
      <w:proofErr w:type="spellEnd"/>
      <w:r w:rsidR="00AB2F31">
        <w:rPr>
          <w:lang w:val="en-GB"/>
        </w:rPr>
        <w:t xml:space="preserve"> et al.</w:t>
      </w:r>
      <w:r w:rsidR="0062537E">
        <w:rPr>
          <w:lang w:val="en-GB"/>
        </w:rPr>
        <w:t xml:space="preserve"> (2015</w:t>
      </w:r>
      <w:r w:rsidR="00636B88">
        <w:rPr>
          <w:lang w:val="en-GB"/>
        </w:rPr>
        <w:t>, p. 11</w:t>
      </w:r>
      <w:r w:rsidR="0062537E">
        <w:rPr>
          <w:lang w:val="en-GB"/>
        </w:rPr>
        <w:t>)</w:t>
      </w:r>
      <w:r w:rsidR="00636B88">
        <w:rPr>
          <w:lang w:val="en-GB"/>
        </w:rPr>
        <w:t xml:space="preserve"> use the Chernobyl and Fukushima catastrophes to argue that: “Valuations of life, knowledge, and money become matters of concern. Whose assessments of radioactive fallout are valid? Whose valuation of lives, quality of life, and livestock? Assessments of different values are intertwined.” </w:t>
      </w:r>
      <w:r w:rsidR="0062537E">
        <w:rPr>
          <w:lang w:val="en-GB"/>
        </w:rPr>
        <w:t xml:space="preserve"> </w:t>
      </w:r>
      <w:r w:rsidR="00636B88">
        <w:rPr>
          <w:lang w:val="en-GB"/>
        </w:rPr>
        <w:t xml:space="preserve">They thus </w:t>
      </w:r>
      <w:r w:rsidR="005A3D33">
        <w:rPr>
          <w:lang w:val="en-GB"/>
        </w:rPr>
        <w:t>emphasis</w:t>
      </w:r>
      <w:r w:rsidR="00636B88">
        <w:rPr>
          <w:lang w:val="en-GB"/>
        </w:rPr>
        <w:t>e</w:t>
      </w:r>
      <w:r w:rsidR="005A3D33">
        <w:rPr>
          <w:lang w:val="en-GB"/>
        </w:rPr>
        <w:t xml:space="preserve"> the evolving nature of matter</w:t>
      </w:r>
      <w:r w:rsidR="00AB2F31">
        <w:rPr>
          <w:lang w:val="en-GB"/>
        </w:rPr>
        <w:t>s</w:t>
      </w:r>
      <w:r w:rsidR="005A3D33">
        <w:rPr>
          <w:lang w:val="en-GB"/>
        </w:rPr>
        <w:t xml:space="preserve"> of concern</w:t>
      </w:r>
      <w:r>
        <w:rPr>
          <w:lang w:val="en-GB"/>
        </w:rPr>
        <w:t xml:space="preserve"> </w:t>
      </w:r>
      <w:r w:rsidR="005A3D33">
        <w:rPr>
          <w:lang w:val="en-GB"/>
        </w:rPr>
        <w:t xml:space="preserve">and the role of value practices for </w:t>
      </w:r>
      <w:r w:rsidR="001C5BB4">
        <w:rPr>
          <w:lang w:val="en-GB"/>
        </w:rPr>
        <w:t>making things matter or</w:t>
      </w:r>
      <w:r>
        <w:rPr>
          <w:lang w:val="en-GB"/>
        </w:rPr>
        <w:t xml:space="preserve">, </w:t>
      </w:r>
      <w:r w:rsidR="00626650">
        <w:rPr>
          <w:lang w:val="en-GB"/>
        </w:rPr>
        <w:t>conversely</w:t>
      </w:r>
      <w:r>
        <w:rPr>
          <w:lang w:val="en-GB"/>
        </w:rPr>
        <w:t>,</w:t>
      </w:r>
      <w:r w:rsidR="001C5BB4">
        <w:rPr>
          <w:lang w:val="en-GB"/>
        </w:rPr>
        <w:t xml:space="preserve"> displac</w:t>
      </w:r>
      <w:r w:rsidR="00AB2F31">
        <w:rPr>
          <w:lang w:val="en-GB"/>
        </w:rPr>
        <w:t>ing</w:t>
      </w:r>
      <w:r w:rsidR="001C5BB4">
        <w:rPr>
          <w:lang w:val="en-GB"/>
        </w:rPr>
        <w:t xml:space="preserve"> them. </w:t>
      </w:r>
      <w:r w:rsidR="0046526B">
        <w:rPr>
          <w:lang w:val="en-GB"/>
        </w:rPr>
        <w:t xml:space="preserve">As argued by </w:t>
      </w:r>
      <w:r w:rsidR="00243F67">
        <w:rPr>
          <w:lang w:val="en-GB"/>
        </w:rPr>
        <w:t>Blok and Jensen (2011, p. 86)</w:t>
      </w:r>
      <w:r w:rsidR="00636B88">
        <w:rPr>
          <w:lang w:val="en-GB"/>
        </w:rPr>
        <w:t>:</w:t>
      </w:r>
      <w:r w:rsidR="00243F67">
        <w:rPr>
          <w:lang w:val="en-GB"/>
        </w:rPr>
        <w:t xml:space="preserve"> </w:t>
      </w:r>
    </w:p>
    <w:p w14:paraId="17930C6C" w14:textId="77777777" w:rsidR="00BB416C" w:rsidRPr="00243F67" w:rsidRDefault="0046526B" w:rsidP="00243F67">
      <w:pPr>
        <w:pStyle w:val="Indentquote"/>
        <w:rPr>
          <w:rFonts w:cs="Times New Roman"/>
        </w:rPr>
      </w:pPr>
      <w:r w:rsidRPr="00243F67">
        <w:rPr>
          <w:rStyle w:val="Emphasis"/>
          <w:rFonts w:cs="Times New Roman"/>
          <w:bCs/>
          <w:i w:val="0"/>
          <w:iCs w:val="0"/>
          <w:shd w:val="clear" w:color="auto" w:fill="FFFFFF"/>
        </w:rPr>
        <w:lastRenderedPageBreak/>
        <w:t>Matters of concern</w:t>
      </w:r>
      <w:r w:rsidRPr="00243F67">
        <w:rPr>
          <w:rFonts w:cs="Times New Roman"/>
          <w:shd w:val="clear" w:color="auto" w:fill="FFFFFF"/>
        </w:rPr>
        <w:t xml:space="preserve"> possess </w:t>
      </w:r>
      <w:proofErr w:type="gramStart"/>
      <w:r w:rsidRPr="00243F67">
        <w:rPr>
          <w:rFonts w:cs="Times New Roman"/>
          <w:shd w:val="clear" w:color="auto" w:fill="FFFFFF"/>
        </w:rPr>
        <w:t>all of</w:t>
      </w:r>
      <w:proofErr w:type="gramEnd"/>
      <w:r w:rsidRPr="00243F67">
        <w:rPr>
          <w:rFonts w:cs="Times New Roman"/>
          <w:shd w:val="clear" w:color="auto" w:fill="FFFFFF"/>
        </w:rPr>
        <w:t xml:space="preserve"> the qualities that “naturally given” facts do not: They are rich, complex, uncertain, surprising and artificially constructed. At the same time, this artificial fabrication serves only to make them more real – and, in this sense, more objective</w:t>
      </w:r>
      <w:r w:rsidR="00243F67" w:rsidRPr="00243F67">
        <w:rPr>
          <w:rFonts w:cs="Times New Roman"/>
          <w:shd w:val="clear" w:color="auto" w:fill="FFFFFF"/>
        </w:rPr>
        <w:t>.</w:t>
      </w:r>
      <w:r w:rsidRPr="00243F67">
        <w:rPr>
          <w:rFonts w:cs="Times New Roman"/>
          <w:shd w:val="clear" w:color="auto" w:fill="FFFFFF"/>
        </w:rPr>
        <w:t xml:space="preserve"> </w:t>
      </w:r>
    </w:p>
    <w:p w14:paraId="7F504AEB" w14:textId="2E71EEB8" w:rsidR="002D69A9" w:rsidRDefault="00BB416C" w:rsidP="00636B88">
      <w:pPr>
        <w:ind w:firstLine="0"/>
        <w:rPr>
          <w:lang w:val="en-GB"/>
        </w:rPr>
      </w:pPr>
      <w:r>
        <w:rPr>
          <w:lang w:val="en-GB"/>
        </w:rPr>
        <w:t>It follows that the way in which</w:t>
      </w:r>
      <w:r w:rsidR="00D2626A">
        <w:rPr>
          <w:lang w:val="en-GB"/>
        </w:rPr>
        <w:t xml:space="preserve"> </w:t>
      </w:r>
      <w:r w:rsidR="001C5BB4">
        <w:rPr>
          <w:lang w:val="en-GB"/>
        </w:rPr>
        <w:t>matter</w:t>
      </w:r>
      <w:r w:rsidR="00F22547">
        <w:rPr>
          <w:lang w:val="en-GB"/>
        </w:rPr>
        <w:t>s of concern</w:t>
      </w:r>
      <w:r w:rsidR="00D2626A">
        <w:rPr>
          <w:lang w:val="en-GB"/>
        </w:rPr>
        <w:t xml:space="preserve"> develop</w:t>
      </w:r>
      <w:r w:rsidR="00A0325F">
        <w:rPr>
          <w:lang w:val="en-GB"/>
        </w:rPr>
        <w:t xml:space="preserve"> </w:t>
      </w:r>
      <w:r w:rsidR="00626650">
        <w:rPr>
          <w:lang w:val="en-GB"/>
        </w:rPr>
        <w:t>(</w:t>
      </w:r>
      <w:r w:rsidR="00A0325F">
        <w:rPr>
          <w:lang w:val="en-GB"/>
        </w:rPr>
        <w:t xml:space="preserve">the </w:t>
      </w:r>
      <w:r w:rsidR="00861BDE">
        <w:rPr>
          <w:lang w:val="en-GB"/>
        </w:rPr>
        <w:t>“</w:t>
      </w:r>
      <w:r w:rsidR="00A0325F">
        <w:rPr>
          <w:lang w:val="en-GB"/>
        </w:rPr>
        <w:t>matter-</w:t>
      </w:r>
      <w:proofErr w:type="spellStart"/>
      <w:r w:rsidR="00A0325F">
        <w:rPr>
          <w:lang w:val="en-GB"/>
        </w:rPr>
        <w:t>ing</w:t>
      </w:r>
      <w:proofErr w:type="spellEnd"/>
      <w:r w:rsidR="00861BDE">
        <w:rPr>
          <w:lang w:val="en-GB"/>
        </w:rPr>
        <w:t>”</w:t>
      </w:r>
      <w:r w:rsidR="00A0325F">
        <w:rPr>
          <w:lang w:val="en-GB"/>
        </w:rPr>
        <w:t xml:space="preserve"> according to Law, 2004</w:t>
      </w:r>
      <w:r w:rsidR="00626650">
        <w:rPr>
          <w:lang w:val="en-GB"/>
        </w:rPr>
        <w:t>)</w:t>
      </w:r>
      <w:r w:rsidR="00861BDE">
        <w:rPr>
          <w:lang w:val="en-GB"/>
        </w:rPr>
        <w:t xml:space="preserve"> </w:t>
      </w:r>
      <w:r>
        <w:rPr>
          <w:lang w:val="en-GB"/>
        </w:rPr>
        <w:t>is</w:t>
      </w:r>
      <w:r w:rsidR="001C5BB4">
        <w:rPr>
          <w:lang w:val="en-GB"/>
        </w:rPr>
        <w:t xml:space="preserve"> relevant to understand the evolving nature of </w:t>
      </w:r>
      <w:r w:rsidR="00D2626A">
        <w:rPr>
          <w:lang w:val="en-GB"/>
        </w:rPr>
        <w:t xml:space="preserve">the </w:t>
      </w:r>
      <w:r w:rsidR="001C5BB4">
        <w:rPr>
          <w:lang w:val="en-GB"/>
        </w:rPr>
        <w:t xml:space="preserve">sign-referent relationship, </w:t>
      </w:r>
      <w:r w:rsidR="00D2626A">
        <w:rPr>
          <w:lang w:val="en-GB"/>
        </w:rPr>
        <w:t xml:space="preserve">and </w:t>
      </w:r>
      <w:r w:rsidR="001C5BB4">
        <w:rPr>
          <w:lang w:val="en-GB"/>
        </w:rPr>
        <w:t>how the</w:t>
      </w:r>
      <w:r w:rsidR="00D2626A">
        <w:rPr>
          <w:lang w:val="en-GB"/>
        </w:rPr>
        <w:t xml:space="preserve"> sign and the referent</w:t>
      </w:r>
      <w:r w:rsidR="001C5BB4">
        <w:rPr>
          <w:lang w:val="en-GB"/>
        </w:rPr>
        <w:t xml:space="preserve"> produc</w:t>
      </w:r>
      <w:r w:rsidR="00D2626A">
        <w:rPr>
          <w:lang w:val="en-GB"/>
        </w:rPr>
        <w:t>e</w:t>
      </w:r>
      <w:r w:rsidR="001C5BB4">
        <w:rPr>
          <w:lang w:val="en-GB"/>
        </w:rPr>
        <w:t xml:space="preserve"> complex social responses</w:t>
      </w:r>
      <w:r w:rsidR="0007105A">
        <w:rPr>
          <w:lang w:val="en-GB"/>
        </w:rPr>
        <w:t>, as agitating</w:t>
      </w:r>
      <w:r w:rsidR="00243F67">
        <w:rPr>
          <w:lang w:val="en-GB"/>
        </w:rPr>
        <w:t>,</w:t>
      </w:r>
      <w:r w:rsidR="0007105A">
        <w:rPr>
          <w:lang w:val="en-GB"/>
        </w:rPr>
        <w:t xml:space="preserve"> complicating and provoking matters (</w:t>
      </w:r>
      <w:proofErr w:type="spellStart"/>
      <w:r w:rsidR="0007105A">
        <w:rPr>
          <w:lang w:val="en-GB"/>
        </w:rPr>
        <w:t>Mouritsen</w:t>
      </w:r>
      <w:proofErr w:type="spellEnd"/>
      <w:r w:rsidR="004B7556">
        <w:rPr>
          <w:lang w:val="en-GB"/>
        </w:rPr>
        <w:t>, 2011,</w:t>
      </w:r>
      <w:r w:rsidR="0007105A">
        <w:rPr>
          <w:lang w:val="en-GB"/>
        </w:rPr>
        <w:t xml:space="preserve"> drawing on Latour</w:t>
      </w:r>
      <w:r w:rsidR="004B7556">
        <w:rPr>
          <w:lang w:val="en-GB"/>
        </w:rPr>
        <w:t>, 2004</w:t>
      </w:r>
      <w:r w:rsidR="0007105A">
        <w:rPr>
          <w:lang w:val="en-GB"/>
        </w:rPr>
        <w:t>)</w:t>
      </w:r>
      <w:r>
        <w:rPr>
          <w:lang w:val="en-GB"/>
        </w:rPr>
        <w:t>,</w:t>
      </w:r>
      <w:r w:rsidR="00D2626A">
        <w:rPr>
          <w:lang w:val="en-GB"/>
        </w:rPr>
        <w:t xml:space="preserve"> exactly </w:t>
      </w:r>
      <w:r w:rsidR="00D2626A" w:rsidRPr="00D2626A">
        <w:rPr>
          <w:i/>
          <w:lang w:val="en-GB"/>
        </w:rPr>
        <w:t>because of</w:t>
      </w:r>
      <w:r w:rsidR="00D2626A">
        <w:rPr>
          <w:lang w:val="en-GB"/>
        </w:rPr>
        <w:t xml:space="preserve"> their relationsh</w:t>
      </w:r>
      <w:r w:rsidR="0007105A">
        <w:rPr>
          <w:lang w:val="en-GB"/>
        </w:rPr>
        <w:t>i</w:t>
      </w:r>
      <w:r w:rsidR="00D2626A">
        <w:rPr>
          <w:lang w:val="en-GB"/>
        </w:rPr>
        <w:t>p</w:t>
      </w:r>
      <w:r w:rsidR="001C5BB4">
        <w:rPr>
          <w:lang w:val="en-GB"/>
        </w:rPr>
        <w:t>.</w:t>
      </w:r>
      <w:r>
        <w:rPr>
          <w:lang w:val="en-GB"/>
        </w:rPr>
        <w:t xml:space="preserve"> </w:t>
      </w:r>
    </w:p>
    <w:p w14:paraId="465728B5" w14:textId="67909CF8" w:rsidR="000B6CC4" w:rsidRPr="00BD1F6B" w:rsidRDefault="002D69A9" w:rsidP="00BD1F6B">
      <w:pPr>
        <w:rPr>
          <w:rFonts w:ascii="Georgia" w:hAnsi="Georgia"/>
          <w:color w:val="2E2E2E"/>
          <w:sz w:val="18"/>
          <w:szCs w:val="18"/>
          <w:lang w:val="en-GB"/>
        </w:rPr>
      </w:pPr>
      <w:r>
        <w:rPr>
          <w:lang w:val="en-GB"/>
        </w:rPr>
        <w:t>Prior studies have recogni</w:t>
      </w:r>
      <w:r w:rsidR="00CC3786">
        <w:rPr>
          <w:lang w:val="en-GB"/>
        </w:rPr>
        <w:t>s</w:t>
      </w:r>
      <w:r>
        <w:rPr>
          <w:lang w:val="en-GB"/>
        </w:rPr>
        <w:t xml:space="preserve">ed the pivotal </w:t>
      </w:r>
      <w:r w:rsidR="008959DB">
        <w:rPr>
          <w:lang w:val="en-GB"/>
        </w:rPr>
        <w:t>contribution</w:t>
      </w:r>
      <w:r>
        <w:rPr>
          <w:lang w:val="en-GB"/>
        </w:rPr>
        <w:t xml:space="preserve"> offered by </w:t>
      </w:r>
      <w:r w:rsidR="00E37670">
        <w:rPr>
          <w:lang w:val="en-GB"/>
        </w:rPr>
        <w:t>both</w:t>
      </w:r>
      <w:r>
        <w:rPr>
          <w:lang w:val="en-GB"/>
        </w:rPr>
        <w:t xml:space="preserve"> </w:t>
      </w:r>
      <w:r w:rsidR="00E52AF4">
        <w:rPr>
          <w:lang w:val="en-GB"/>
        </w:rPr>
        <w:t>Baudrillard and Latour</w:t>
      </w:r>
      <w:r w:rsidR="008959DB">
        <w:rPr>
          <w:lang w:val="en-GB"/>
        </w:rPr>
        <w:t xml:space="preserve"> </w:t>
      </w:r>
      <w:r w:rsidR="003C1B63">
        <w:rPr>
          <w:lang w:val="en-GB"/>
        </w:rPr>
        <w:t>(see</w:t>
      </w:r>
      <w:r w:rsidR="00E37670">
        <w:rPr>
          <w:lang w:val="en-GB"/>
        </w:rPr>
        <w:t xml:space="preserve">, </w:t>
      </w:r>
      <w:r w:rsidR="00CC3786">
        <w:rPr>
          <w:lang w:val="en-GB"/>
        </w:rPr>
        <w:t>for example</w:t>
      </w:r>
      <w:r w:rsidR="00E37670">
        <w:rPr>
          <w:lang w:val="en-GB"/>
        </w:rPr>
        <w:t>,</w:t>
      </w:r>
      <w:r w:rsidR="003C1B63">
        <w:rPr>
          <w:lang w:val="en-GB"/>
        </w:rPr>
        <w:t xml:space="preserve"> Ward, 1994)</w:t>
      </w:r>
      <w:r w:rsidR="008959DB">
        <w:rPr>
          <w:lang w:val="en-GB"/>
        </w:rPr>
        <w:t xml:space="preserve">. </w:t>
      </w:r>
      <w:proofErr w:type="spellStart"/>
      <w:r w:rsidR="00BD1F6B">
        <w:rPr>
          <w:lang w:val="en-GB"/>
        </w:rPr>
        <w:t>Chiapello</w:t>
      </w:r>
      <w:proofErr w:type="spellEnd"/>
      <w:r w:rsidR="00BD1F6B">
        <w:rPr>
          <w:lang w:val="en-GB"/>
        </w:rPr>
        <w:t xml:space="preserve"> and Baker</w:t>
      </w:r>
      <w:r w:rsidR="001B64B2">
        <w:rPr>
          <w:lang w:val="en-GB"/>
        </w:rPr>
        <w:t xml:space="preserve"> </w:t>
      </w:r>
      <w:r w:rsidR="0074023B">
        <w:rPr>
          <w:lang w:val="en-GB"/>
        </w:rPr>
        <w:t xml:space="preserve">(2011) </w:t>
      </w:r>
      <w:r w:rsidR="001B64B2">
        <w:rPr>
          <w:lang w:val="en-GB"/>
        </w:rPr>
        <w:t xml:space="preserve">note that </w:t>
      </w:r>
      <w:r w:rsidR="00FA46E2">
        <w:rPr>
          <w:lang w:val="en-GB"/>
        </w:rPr>
        <w:t>several accounting researchers</w:t>
      </w:r>
      <w:r w:rsidR="00057EB5">
        <w:rPr>
          <w:lang w:val="en-GB"/>
        </w:rPr>
        <w:t xml:space="preserve"> </w:t>
      </w:r>
      <w:r w:rsidR="00FA46E2">
        <w:rPr>
          <w:lang w:val="en-GB"/>
        </w:rPr>
        <w:t xml:space="preserve">draw insights from a combination of theorists. For example, Everett (2004) combined </w:t>
      </w:r>
      <w:r w:rsidR="00E37670">
        <w:rPr>
          <w:lang w:val="en-GB"/>
        </w:rPr>
        <w:t>theoretical</w:t>
      </w:r>
      <w:r w:rsidR="00A16FA7">
        <w:rPr>
          <w:lang w:val="en-GB"/>
        </w:rPr>
        <w:t xml:space="preserve"> </w:t>
      </w:r>
      <w:r w:rsidR="00E37670">
        <w:rPr>
          <w:lang w:val="en-GB"/>
        </w:rPr>
        <w:t xml:space="preserve">elements from the works of </w:t>
      </w:r>
      <w:r w:rsidR="00E37670" w:rsidRPr="00BD1F6B">
        <w:rPr>
          <w:lang w:val="en-GB"/>
        </w:rPr>
        <w:t>Bourdieu and Latour</w:t>
      </w:r>
      <w:r w:rsidR="0074023B">
        <w:rPr>
          <w:lang w:val="en-GB"/>
        </w:rPr>
        <w:t xml:space="preserve">., while Simon and Barker (2002) </w:t>
      </w:r>
      <w:r w:rsidR="00E37670">
        <w:rPr>
          <w:lang w:val="en-GB"/>
        </w:rPr>
        <w:t xml:space="preserve"> </w:t>
      </w:r>
      <w:r w:rsidR="0074023B">
        <w:rPr>
          <w:lang w:val="en-GB"/>
        </w:rPr>
        <w:t xml:space="preserve">used </w:t>
      </w:r>
      <w:r w:rsidR="00A20F88">
        <w:rPr>
          <w:lang w:val="en-GB"/>
        </w:rPr>
        <w:t xml:space="preserve">the </w:t>
      </w:r>
      <w:r w:rsidR="00E37670">
        <w:rPr>
          <w:lang w:val="en-GB"/>
        </w:rPr>
        <w:t>concept</w:t>
      </w:r>
      <w:r w:rsidR="008959DB">
        <w:rPr>
          <w:lang w:val="en-GB"/>
        </w:rPr>
        <w:t xml:space="preserve"> </w:t>
      </w:r>
      <w:r w:rsidR="00A20F88">
        <w:rPr>
          <w:lang w:val="en-GB"/>
        </w:rPr>
        <w:t xml:space="preserve">of hyperreality from Baudrillard and the concept </w:t>
      </w:r>
      <w:r w:rsidR="006846A6">
        <w:rPr>
          <w:lang w:val="en-GB"/>
        </w:rPr>
        <w:t xml:space="preserve">of </w:t>
      </w:r>
      <w:r w:rsidR="00A20F88">
        <w:rPr>
          <w:lang w:val="en-GB"/>
        </w:rPr>
        <w:t xml:space="preserve">materiality from Latour </w:t>
      </w:r>
      <w:r w:rsidR="008959DB">
        <w:rPr>
          <w:lang w:val="en-GB"/>
        </w:rPr>
        <w:t xml:space="preserve">to explore </w:t>
      </w:r>
      <w:r w:rsidR="00E37670">
        <w:rPr>
          <w:lang w:val="en-GB"/>
        </w:rPr>
        <w:t>the relationship</w:t>
      </w:r>
      <w:r w:rsidR="008959DB">
        <w:rPr>
          <w:lang w:val="en-GB"/>
        </w:rPr>
        <w:t xml:space="preserve"> between materials, discourses and practices</w:t>
      </w:r>
      <w:r>
        <w:rPr>
          <w:lang w:val="en-GB"/>
        </w:rPr>
        <w:t>.</w:t>
      </w:r>
      <w:r w:rsidR="000B6CC4">
        <w:rPr>
          <w:lang w:val="en-GB"/>
        </w:rPr>
        <w:t xml:space="preserve"> </w:t>
      </w:r>
      <w:r w:rsidR="009C1919">
        <w:rPr>
          <w:lang w:val="en-GB"/>
        </w:rPr>
        <w:t>These studies noted that, a</w:t>
      </w:r>
      <w:r w:rsidR="00A16FA7">
        <w:rPr>
          <w:lang w:val="en-GB"/>
        </w:rPr>
        <w:t>ccording to</w:t>
      </w:r>
      <w:r w:rsidR="009C1919">
        <w:rPr>
          <w:lang w:val="en-GB"/>
        </w:rPr>
        <w:t xml:space="preserve"> Baudrillard, “</w:t>
      </w:r>
      <w:r w:rsidR="000B6CC4">
        <w:rPr>
          <w:lang w:val="en-GB"/>
        </w:rPr>
        <w:t>objects disappear in the</w:t>
      </w:r>
      <w:r w:rsidR="009C1919">
        <w:rPr>
          <w:lang w:val="en-GB"/>
        </w:rPr>
        <w:t xml:space="preserve"> play of simulacra”</w:t>
      </w:r>
      <w:r w:rsidR="000B6CC4">
        <w:rPr>
          <w:lang w:val="en-GB"/>
        </w:rPr>
        <w:t xml:space="preserve">, whereas </w:t>
      </w:r>
      <w:r w:rsidR="00A16FA7">
        <w:rPr>
          <w:lang w:val="en-GB"/>
        </w:rPr>
        <w:t>according to</w:t>
      </w:r>
      <w:r w:rsidR="000B6CC4">
        <w:rPr>
          <w:lang w:val="en-GB"/>
        </w:rPr>
        <w:t xml:space="preserve"> Latour, </w:t>
      </w:r>
      <w:r w:rsidR="00A16FA7">
        <w:rPr>
          <w:lang w:val="en-GB"/>
        </w:rPr>
        <w:t>“</w:t>
      </w:r>
      <w:r w:rsidR="000B6CC4" w:rsidRPr="000B6CC4">
        <w:rPr>
          <w:lang w:val="en-GB"/>
        </w:rPr>
        <w:t>the world is becoming more materially real</w:t>
      </w:r>
      <w:r w:rsidR="000B6CC4">
        <w:rPr>
          <w:lang w:val="en-GB"/>
        </w:rPr>
        <w:t xml:space="preserve">. </w:t>
      </w:r>
      <w:r w:rsidR="000B6CC4" w:rsidRPr="000B6CC4">
        <w:rPr>
          <w:lang w:val="en-GB"/>
        </w:rPr>
        <w:t>The referent is not being erased or replaced but becoming ever more pronounced in the making and unmaking of forms of sociality</w:t>
      </w:r>
      <w:r w:rsidR="00A16FA7">
        <w:rPr>
          <w:lang w:val="en-GB"/>
        </w:rPr>
        <w:t>”</w:t>
      </w:r>
      <w:r w:rsidR="000B6CC4">
        <w:rPr>
          <w:lang w:val="en-GB"/>
        </w:rPr>
        <w:t xml:space="preserve"> (</w:t>
      </w:r>
      <w:r w:rsidR="00A20F88">
        <w:rPr>
          <w:lang w:val="en-GB"/>
        </w:rPr>
        <w:t xml:space="preserve">Simon </w:t>
      </w:r>
      <w:r w:rsidR="00861BDE">
        <w:rPr>
          <w:lang w:val="en-GB"/>
        </w:rPr>
        <w:t>&amp;</w:t>
      </w:r>
      <w:r w:rsidR="00A20F88">
        <w:rPr>
          <w:lang w:val="en-GB"/>
        </w:rPr>
        <w:t xml:space="preserve"> Barker, 2002, </w:t>
      </w:r>
      <w:r w:rsidR="000B6CC4">
        <w:rPr>
          <w:lang w:val="en-GB"/>
        </w:rPr>
        <w:t>p</w:t>
      </w:r>
      <w:r w:rsidR="006846A6">
        <w:rPr>
          <w:lang w:val="en-GB"/>
        </w:rPr>
        <w:t>p</w:t>
      </w:r>
      <w:r w:rsidR="000B6CC4">
        <w:rPr>
          <w:lang w:val="en-GB"/>
        </w:rPr>
        <w:t xml:space="preserve">. </w:t>
      </w:r>
      <w:r w:rsidR="006846A6">
        <w:rPr>
          <w:lang w:val="en-GB"/>
        </w:rPr>
        <w:t>140-</w:t>
      </w:r>
      <w:r w:rsidR="000B6CC4">
        <w:rPr>
          <w:lang w:val="en-GB"/>
        </w:rPr>
        <w:t xml:space="preserve">141). Rather than </w:t>
      </w:r>
      <w:r w:rsidR="00E37670">
        <w:rPr>
          <w:lang w:val="en-GB"/>
        </w:rPr>
        <w:t>providing for</w:t>
      </w:r>
      <w:r w:rsidR="000B6CC4">
        <w:rPr>
          <w:lang w:val="en-GB"/>
        </w:rPr>
        <w:t xml:space="preserve"> opposite view</w:t>
      </w:r>
      <w:r w:rsidR="00A20F88">
        <w:rPr>
          <w:lang w:val="en-GB"/>
        </w:rPr>
        <w:t>s</w:t>
      </w:r>
      <w:r w:rsidR="000B6CC4">
        <w:rPr>
          <w:lang w:val="en-GB"/>
        </w:rPr>
        <w:t xml:space="preserve"> of reality,</w:t>
      </w:r>
      <w:r w:rsidR="00A20F88">
        <w:rPr>
          <w:lang w:val="en-GB"/>
        </w:rPr>
        <w:t xml:space="preserve"> </w:t>
      </w:r>
      <w:r w:rsidR="00E37670">
        <w:rPr>
          <w:lang w:val="en-GB"/>
        </w:rPr>
        <w:t>the concepts of hyperreality and materiality</w:t>
      </w:r>
      <w:r w:rsidR="00A20F88">
        <w:rPr>
          <w:lang w:val="en-GB"/>
        </w:rPr>
        <w:t xml:space="preserve"> </w:t>
      </w:r>
      <w:r w:rsidR="006846A6">
        <w:rPr>
          <w:lang w:val="en-GB"/>
        </w:rPr>
        <w:t xml:space="preserve">co-exist and </w:t>
      </w:r>
      <w:r w:rsidR="00A20F88">
        <w:rPr>
          <w:lang w:val="en-GB"/>
        </w:rPr>
        <w:t xml:space="preserve">are both necessary to understand </w:t>
      </w:r>
      <w:r w:rsidR="00B71222">
        <w:rPr>
          <w:lang w:val="en-GB"/>
        </w:rPr>
        <w:t>the world:</w:t>
      </w:r>
      <w:r w:rsidR="008A48C3">
        <w:rPr>
          <w:lang w:val="en-GB"/>
        </w:rPr>
        <w:t xml:space="preserve"> these opposite views alternate their effects and alert us </w:t>
      </w:r>
      <w:r w:rsidR="00FA46E2">
        <w:rPr>
          <w:lang w:val="en-GB"/>
        </w:rPr>
        <w:t>to</w:t>
      </w:r>
      <w:r w:rsidR="008A48C3">
        <w:rPr>
          <w:lang w:val="en-GB"/>
        </w:rPr>
        <w:t xml:space="preserve"> </w:t>
      </w:r>
      <w:r w:rsidR="00FA46E2">
        <w:rPr>
          <w:lang w:val="en-GB"/>
        </w:rPr>
        <w:t>“</w:t>
      </w:r>
      <w:r w:rsidR="008A48C3" w:rsidRPr="008A48C3">
        <w:rPr>
          <w:lang w:val="en-GB"/>
        </w:rPr>
        <w:t xml:space="preserve">the </w:t>
      </w:r>
      <w:proofErr w:type="spellStart"/>
      <w:r w:rsidR="008A48C3" w:rsidRPr="008A48C3">
        <w:rPr>
          <w:lang w:val="en-GB"/>
        </w:rPr>
        <w:t>materialities</w:t>
      </w:r>
      <w:proofErr w:type="spellEnd"/>
      <w:r w:rsidR="008A48C3" w:rsidRPr="008A48C3">
        <w:rPr>
          <w:lang w:val="en-GB"/>
        </w:rPr>
        <w:t xml:space="preserve"> of hyperreality as much as the hyperrealities of materiality</w:t>
      </w:r>
      <w:r w:rsidR="00FA46E2">
        <w:rPr>
          <w:lang w:val="en-GB"/>
        </w:rPr>
        <w:t>”</w:t>
      </w:r>
      <w:r w:rsidR="008A48C3">
        <w:rPr>
          <w:lang w:val="en-GB"/>
        </w:rPr>
        <w:t xml:space="preserve"> (</w:t>
      </w:r>
      <w:r w:rsidR="009C1919">
        <w:rPr>
          <w:lang w:val="en-GB"/>
        </w:rPr>
        <w:t xml:space="preserve">Simon </w:t>
      </w:r>
      <w:r w:rsidR="00FA46E2">
        <w:rPr>
          <w:lang w:val="en-GB"/>
        </w:rPr>
        <w:t>&amp;</w:t>
      </w:r>
      <w:r w:rsidR="009C1919">
        <w:rPr>
          <w:lang w:val="en-GB"/>
        </w:rPr>
        <w:t xml:space="preserve"> Barker, 2002, </w:t>
      </w:r>
      <w:r w:rsidR="008A48C3">
        <w:rPr>
          <w:lang w:val="en-GB"/>
        </w:rPr>
        <w:t>p. 152).</w:t>
      </w:r>
    </w:p>
    <w:p w14:paraId="18C19407" w14:textId="5E0B661E" w:rsidR="002D69A9" w:rsidRDefault="003C1B63" w:rsidP="000B6CC4">
      <w:pPr>
        <w:rPr>
          <w:lang w:val="en-GB"/>
        </w:rPr>
      </w:pPr>
      <w:r>
        <w:rPr>
          <w:lang w:val="en-GB"/>
        </w:rPr>
        <w:t>Ward (1994)</w:t>
      </w:r>
      <w:r w:rsidR="00FA46E2">
        <w:rPr>
          <w:lang w:val="en-GB"/>
        </w:rPr>
        <w:t xml:space="preserve"> argues that</w:t>
      </w:r>
      <w:r>
        <w:rPr>
          <w:lang w:val="en-GB"/>
        </w:rPr>
        <w:t xml:space="preserve">, </w:t>
      </w:r>
      <w:r w:rsidR="000B6CC4">
        <w:rPr>
          <w:lang w:val="en-GB"/>
        </w:rPr>
        <w:t xml:space="preserve">on the one hand, </w:t>
      </w:r>
      <w:r w:rsidR="002D69A9">
        <w:rPr>
          <w:lang w:val="en-GB"/>
        </w:rPr>
        <w:t>Baudrillard’s view of signs and referents may lead to the extreme position that “i</w:t>
      </w:r>
      <w:r w:rsidR="002D69A9" w:rsidRPr="00563F3D">
        <w:rPr>
          <w:lang w:val="en-GB"/>
        </w:rPr>
        <w:t xml:space="preserve">f word and world no longer correspond, then theory can only become poetically excessive or nihilistic (or perhaps silent). Theorists can only watch on the </w:t>
      </w:r>
      <w:proofErr w:type="spellStart"/>
      <w:r w:rsidR="002D69A9" w:rsidRPr="00563F3D">
        <w:rPr>
          <w:lang w:val="en-GB"/>
        </w:rPr>
        <w:t>sidelines</w:t>
      </w:r>
      <w:proofErr w:type="spellEnd"/>
      <w:r w:rsidR="002D69A9" w:rsidRPr="00563F3D">
        <w:rPr>
          <w:lang w:val="en-GB"/>
        </w:rPr>
        <w:t xml:space="preserve"> as the fata</w:t>
      </w:r>
      <w:r w:rsidR="002D69A9">
        <w:rPr>
          <w:lang w:val="en-GB"/>
        </w:rPr>
        <w:t>l destiny of the object unfolds” (</w:t>
      </w:r>
      <w:r>
        <w:rPr>
          <w:lang w:val="en-GB"/>
        </w:rPr>
        <w:t>p. 88</w:t>
      </w:r>
      <w:r w:rsidR="002D69A9">
        <w:rPr>
          <w:lang w:val="en-GB"/>
        </w:rPr>
        <w:t xml:space="preserve">). </w:t>
      </w:r>
      <w:r w:rsidR="000B6CC4">
        <w:rPr>
          <w:lang w:val="en-GB"/>
        </w:rPr>
        <w:t>On the other hand</w:t>
      </w:r>
      <w:r w:rsidR="002D69A9">
        <w:rPr>
          <w:lang w:val="en-GB"/>
        </w:rPr>
        <w:t xml:space="preserve">, according to </w:t>
      </w:r>
      <w:r w:rsidR="00FA46E2">
        <w:rPr>
          <w:lang w:val="en-GB"/>
        </w:rPr>
        <w:t>Ward’s understanding of Latour,</w:t>
      </w:r>
      <w:r w:rsidR="002D69A9">
        <w:rPr>
          <w:lang w:val="en-GB"/>
        </w:rPr>
        <w:t xml:space="preserve"> knowledge and society are co-produced and </w:t>
      </w:r>
      <w:r w:rsidR="00861BDE">
        <w:rPr>
          <w:lang w:val="en-GB"/>
        </w:rPr>
        <w:t>“</w:t>
      </w:r>
      <w:r w:rsidR="002D69A9">
        <w:rPr>
          <w:lang w:val="en-GB"/>
        </w:rPr>
        <w:t>sociologically</w:t>
      </w:r>
      <w:r w:rsidR="00861BDE">
        <w:rPr>
          <w:lang w:val="en-GB"/>
        </w:rPr>
        <w:t>”</w:t>
      </w:r>
      <w:r w:rsidR="002D69A9">
        <w:rPr>
          <w:lang w:val="en-GB"/>
        </w:rPr>
        <w:t xml:space="preserve"> maintained through networks of social activities. </w:t>
      </w:r>
      <w:r w:rsidR="00FA46E2">
        <w:rPr>
          <w:lang w:val="en-GB"/>
        </w:rPr>
        <w:t>We suggest that</w:t>
      </w:r>
      <w:r w:rsidR="000B6CC4">
        <w:rPr>
          <w:lang w:val="en-GB"/>
        </w:rPr>
        <w:t xml:space="preserve"> </w:t>
      </w:r>
      <w:r w:rsidR="009C1919">
        <w:rPr>
          <w:lang w:val="en-GB"/>
        </w:rPr>
        <w:t>Latour’s</w:t>
      </w:r>
      <w:r w:rsidR="002D69A9">
        <w:rPr>
          <w:lang w:val="en-GB"/>
        </w:rPr>
        <w:t xml:space="preserve"> notion of </w:t>
      </w:r>
      <w:r w:rsidR="00861BDE">
        <w:rPr>
          <w:lang w:val="en-GB"/>
        </w:rPr>
        <w:t>“</w:t>
      </w:r>
      <w:r w:rsidR="002D69A9">
        <w:rPr>
          <w:lang w:val="en-GB"/>
        </w:rPr>
        <w:t>matter</w:t>
      </w:r>
      <w:r w:rsidR="009C1919">
        <w:rPr>
          <w:lang w:val="en-GB"/>
        </w:rPr>
        <w:t>s</w:t>
      </w:r>
      <w:r w:rsidR="002D69A9">
        <w:rPr>
          <w:lang w:val="en-GB"/>
        </w:rPr>
        <w:t xml:space="preserve"> of concern</w:t>
      </w:r>
      <w:r w:rsidR="00861BDE">
        <w:rPr>
          <w:lang w:val="en-GB"/>
        </w:rPr>
        <w:t>”</w:t>
      </w:r>
      <w:r w:rsidR="002D69A9">
        <w:rPr>
          <w:lang w:val="en-GB"/>
        </w:rPr>
        <w:t xml:space="preserve"> can </w:t>
      </w:r>
      <w:r w:rsidR="00FA46E2">
        <w:rPr>
          <w:lang w:val="en-GB"/>
        </w:rPr>
        <w:t>augment</w:t>
      </w:r>
      <w:r w:rsidR="002D69A9">
        <w:rPr>
          <w:lang w:val="en-GB"/>
        </w:rPr>
        <w:t xml:space="preserve"> Baudrillard’s view of the sign-referent relationship by going beyond the dualism </w:t>
      </w:r>
      <w:r>
        <w:rPr>
          <w:lang w:val="en-GB"/>
        </w:rPr>
        <w:t xml:space="preserve">between sign and referent and </w:t>
      </w:r>
      <w:r w:rsidR="00FA46E2">
        <w:rPr>
          <w:lang w:val="en-GB"/>
        </w:rPr>
        <w:t xml:space="preserve">by </w:t>
      </w:r>
      <w:r w:rsidR="002D69A9">
        <w:rPr>
          <w:lang w:val="en-GB"/>
        </w:rPr>
        <w:t>emphasising their dynamic relationship.</w:t>
      </w:r>
    </w:p>
    <w:p w14:paraId="55589613" w14:textId="1A640CE0" w:rsidR="0087458E" w:rsidRDefault="006246C3" w:rsidP="0087458E">
      <w:pPr>
        <w:rPr>
          <w:lang w:val="en-GB"/>
        </w:rPr>
      </w:pPr>
      <w:r>
        <w:rPr>
          <w:lang w:val="en-GB"/>
        </w:rPr>
        <w:lastRenderedPageBreak/>
        <w:t xml:space="preserve">Next, we explore the sign-referent relationship, </w:t>
      </w:r>
      <w:r w:rsidR="0046526B">
        <w:rPr>
          <w:lang w:val="en-GB"/>
        </w:rPr>
        <w:t xml:space="preserve">and </w:t>
      </w:r>
      <w:r>
        <w:rPr>
          <w:lang w:val="en-GB"/>
        </w:rPr>
        <w:t xml:space="preserve">how this relationship evolves over time, by analysing accounting practices for the picture collection at Royal Holloway. </w:t>
      </w:r>
      <w:r w:rsidR="0087458E" w:rsidRPr="00006634">
        <w:rPr>
          <w:lang w:val="en-GB"/>
        </w:rPr>
        <w:t>Inclusion of Holloway’s picture collection on the College balance sheet creates an enigma: do the accounting signs simply refer transparently</w:t>
      </w:r>
      <w:r w:rsidR="00296EEE">
        <w:rPr>
          <w:lang w:val="en-GB"/>
        </w:rPr>
        <w:t xml:space="preserve"> (see, for example, Biondi &amp; Lapsley, 2014)</w:t>
      </w:r>
      <w:r w:rsidR="0087458E" w:rsidRPr="00006634">
        <w:rPr>
          <w:lang w:val="en-GB"/>
        </w:rPr>
        <w:t xml:space="preserve"> to the pictures, are they counterfeits in the sense </w:t>
      </w:r>
      <w:r w:rsidR="0087458E" w:rsidRPr="00336028">
        <w:rPr>
          <w:lang w:val="en-GB"/>
        </w:rPr>
        <w:t xml:space="preserve">that they </w:t>
      </w:r>
      <w:r w:rsidR="000B679E" w:rsidRPr="00336028">
        <w:rPr>
          <w:lang w:val="en-GB"/>
        </w:rPr>
        <w:t>absorb</w:t>
      </w:r>
      <w:r w:rsidR="001A0662" w:rsidRPr="00336028">
        <w:rPr>
          <w:lang w:val="en-GB"/>
        </w:rPr>
        <w:t xml:space="preserve"> some aspect of</w:t>
      </w:r>
      <w:r w:rsidR="00861BDE">
        <w:rPr>
          <w:lang w:val="en-GB"/>
        </w:rPr>
        <w:t xml:space="preserve"> </w:t>
      </w:r>
      <w:r w:rsidR="0087458E" w:rsidRPr="00336028">
        <w:rPr>
          <w:lang w:val="en-GB"/>
        </w:rPr>
        <w:t>the physical objects themselves</w:t>
      </w:r>
      <w:r w:rsidR="0087458E" w:rsidRPr="00006634">
        <w:rPr>
          <w:lang w:val="en-GB"/>
        </w:rPr>
        <w:t xml:space="preserve"> (for example, their potential to generate future cash inflows), or are they simulations</w:t>
      </w:r>
      <w:r w:rsidR="00AD0D22">
        <w:rPr>
          <w:lang w:val="en-GB"/>
        </w:rPr>
        <w:t xml:space="preserve"> in the sense that </w:t>
      </w:r>
      <w:r w:rsidR="000B679E">
        <w:rPr>
          <w:lang w:val="en-GB"/>
        </w:rPr>
        <w:t>accounting signs</w:t>
      </w:r>
      <w:r w:rsidR="00AD0D22">
        <w:rPr>
          <w:lang w:val="en-GB"/>
        </w:rPr>
        <w:t xml:space="preserve"> </w:t>
      </w:r>
      <w:r w:rsidR="00C13D43">
        <w:rPr>
          <w:lang w:val="en-GB"/>
        </w:rPr>
        <w:t>act self-referentially as their own simulacra</w:t>
      </w:r>
      <w:r w:rsidR="001A0662">
        <w:rPr>
          <w:lang w:val="en-GB"/>
        </w:rPr>
        <w:t xml:space="preserve"> within </w:t>
      </w:r>
      <w:r w:rsidR="00C13D43">
        <w:rPr>
          <w:lang w:val="en-GB"/>
        </w:rPr>
        <w:t>a reality</w:t>
      </w:r>
      <w:r w:rsidR="00EC4E95">
        <w:rPr>
          <w:lang w:val="en-GB"/>
        </w:rPr>
        <w:t xml:space="preserve"> in which </w:t>
      </w:r>
      <w:r w:rsidR="000B679E">
        <w:rPr>
          <w:lang w:val="en-GB"/>
        </w:rPr>
        <w:t>the</w:t>
      </w:r>
      <w:r w:rsidR="00336028">
        <w:rPr>
          <w:lang w:val="en-GB"/>
        </w:rPr>
        <w:t xml:space="preserve"> accounting signs themselves</w:t>
      </w:r>
      <w:r w:rsidR="00EC4E95">
        <w:rPr>
          <w:lang w:val="en-GB"/>
        </w:rPr>
        <w:t xml:space="preserve"> are the objects</w:t>
      </w:r>
      <w:r w:rsidR="0087458E" w:rsidRPr="00006634">
        <w:rPr>
          <w:lang w:val="en-GB"/>
        </w:rPr>
        <w:t>?</w:t>
      </w:r>
      <w:r w:rsidR="0087458E">
        <w:rPr>
          <w:lang w:val="en-GB"/>
        </w:rPr>
        <w:t xml:space="preserve"> </w:t>
      </w:r>
      <w:r w:rsidR="00006634">
        <w:rPr>
          <w:lang w:val="en-GB"/>
        </w:rPr>
        <w:t>Does the evolving relationship between the sign and the referent affect the ontological status of what constitutes an accounting asset?</w:t>
      </w:r>
    </w:p>
    <w:p w14:paraId="42824652" w14:textId="77777777" w:rsidR="001B6E7A" w:rsidRDefault="001B6E7A" w:rsidP="001B6E7A">
      <w:pPr>
        <w:pStyle w:val="Heading1"/>
        <w:rPr>
          <w:lang w:val="en-GB"/>
        </w:rPr>
      </w:pPr>
      <w:r>
        <w:rPr>
          <w:lang w:val="en-GB"/>
        </w:rPr>
        <w:t>Sources and methods</w:t>
      </w:r>
      <w:r w:rsidR="0050622A">
        <w:rPr>
          <w:lang w:val="en-GB"/>
        </w:rPr>
        <w:t xml:space="preserve"> – the </w:t>
      </w:r>
      <w:r w:rsidR="00C77154">
        <w:rPr>
          <w:lang w:val="en-GB"/>
        </w:rPr>
        <w:t>foundation</w:t>
      </w:r>
      <w:r w:rsidR="0050622A">
        <w:rPr>
          <w:lang w:val="en-GB"/>
        </w:rPr>
        <w:t xml:space="preserve"> of Royal Holloway College</w:t>
      </w:r>
    </w:p>
    <w:p w14:paraId="1AD09574" w14:textId="2E19E1BA" w:rsidR="00006634" w:rsidRDefault="00006634" w:rsidP="00006634">
      <w:pPr>
        <w:rPr>
          <w:lang w:val="en-GB"/>
        </w:rPr>
      </w:pPr>
      <w:r>
        <w:rPr>
          <w:lang w:val="en-GB"/>
        </w:rPr>
        <w:t xml:space="preserve">Thomas Holloway was born in Plymouth on 22 September 1800. He began to manufacture “Holloway’s Ointment” and “Holloway’s Pills” in 1837. These were “patent medicines” (Young, 1960), </w:t>
      </w:r>
      <w:r w:rsidR="0050622A">
        <w:rPr>
          <w:lang w:val="en-GB"/>
        </w:rPr>
        <w:t xml:space="preserve">heavily advertised products that were marketed as remedies for a wide range of ailments. </w:t>
      </w:r>
      <w:r>
        <w:rPr>
          <w:lang w:val="en-GB"/>
        </w:rPr>
        <w:t>In 1840, Holloway married Jane Driver, who was 14 years his junior. As Holloway’s business expanded, he found himself in possession of considerable amounts of cash</w:t>
      </w:r>
      <w:r w:rsidR="0074023B">
        <w:rPr>
          <w:lang w:val="en-GB"/>
        </w:rPr>
        <w:t>. In 1869, Holloway</w:t>
      </w:r>
      <w:r>
        <w:rPr>
          <w:lang w:val="en-GB"/>
        </w:rPr>
        <w:t xml:space="preserve"> purchased </w:t>
      </w:r>
      <w:proofErr w:type="spellStart"/>
      <w:r>
        <w:rPr>
          <w:lang w:val="en-GB"/>
        </w:rPr>
        <w:t>Tittenhurst</w:t>
      </w:r>
      <w:proofErr w:type="spellEnd"/>
      <w:r>
        <w:rPr>
          <w:lang w:val="en-GB"/>
        </w:rPr>
        <w:t xml:space="preserve"> Park, Sunninghill, near Ascot on the Surrey-Berkshire border, where he lived with his wife and Jane’s sister Sarah-Ann and her husband George Martin</w:t>
      </w:r>
      <w:r w:rsidR="0050622A">
        <w:rPr>
          <w:lang w:val="en-GB"/>
        </w:rPr>
        <w:t xml:space="preserve"> (who later became George Martin-Holloway)</w:t>
      </w:r>
      <w:r>
        <w:rPr>
          <w:lang w:val="en-GB"/>
        </w:rPr>
        <w:t xml:space="preserve">, while Jane’s brother, Henry Driver, managed the business. Holloway enjoyed visiting </w:t>
      </w:r>
      <w:r w:rsidR="0074023B">
        <w:rPr>
          <w:lang w:val="en-GB"/>
        </w:rPr>
        <w:t xml:space="preserve">art </w:t>
      </w:r>
      <w:r>
        <w:rPr>
          <w:lang w:val="en-GB"/>
        </w:rPr>
        <w:t>galleries and looking at pictures (Bingham, 1987), but he was not regarded as a serious collector or connoisseur of art.</w:t>
      </w:r>
    </w:p>
    <w:p w14:paraId="4F023890" w14:textId="2E87C5F1" w:rsidR="0050622A" w:rsidRDefault="00006634" w:rsidP="00006634">
      <w:pPr>
        <w:rPr>
          <w:lang w:val="en-GB"/>
        </w:rPr>
      </w:pPr>
      <w:r>
        <w:rPr>
          <w:lang w:val="en-GB"/>
        </w:rPr>
        <w:t xml:space="preserve">By the early 1870s, Holloway had a personal fortune of several million pounds (in today’s terms, he would be a billionaire), but he had no children to inherit his wealth. He and Jane looked for philanthropic projects that could use some of the wealth, and the first major venture was the Holloway Sanatorium in Virginia Water, Surrey (four miles from </w:t>
      </w:r>
      <w:proofErr w:type="spellStart"/>
      <w:r>
        <w:rPr>
          <w:lang w:val="en-GB"/>
        </w:rPr>
        <w:t>Tittenhurst</w:t>
      </w:r>
      <w:proofErr w:type="spellEnd"/>
      <w:r>
        <w:rPr>
          <w:lang w:val="en-GB"/>
        </w:rPr>
        <w:t xml:space="preserve"> Park). Holloway chose the architect William Henry Crossland to design the Sanatorium. </w:t>
      </w:r>
      <w:r w:rsidR="00645BB7">
        <w:rPr>
          <w:lang w:val="en-GB"/>
        </w:rPr>
        <w:t xml:space="preserve">Building began in 1873, but the Sanatorium was not opened until 1885. </w:t>
      </w:r>
      <w:r>
        <w:rPr>
          <w:lang w:val="en-GB"/>
        </w:rPr>
        <w:t>Holloway</w:t>
      </w:r>
      <w:r w:rsidR="00645BB7">
        <w:rPr>
          <w:lang w:val="en-GB"/>
        </w:rPr>
        <w:t xml:space="preserve"> </w:t>
      </w:r>
      <w:r>
        <w:rPr>
          <w:lang w:val="en-GB"/>
        </w:rPr>
        <w:t xml:space="preserve">became interested, possibly through Jane’s influence, in the idea of supporting the higher education of women (Williams, 1985). In August 1874, Holloway bought </w:t>
      </w:r>
      <w:r w:rsidR="00645BB7">
        <w:rPr>
          <w:lang w:val="en-GB"/>
        </w:rPr>
        <w:t>the Mount Lee estate, which consisted of</w:t>
      </w:r>
      <w:r>
        <w:rPr>
          <w:lang w:val="en-GB"/>
        </w:rPr>
        <w:t xml:space="preserve"> about 93 acres (42 hectares) </w:t>
      </w:r>
      <w:r w:rsidR="00645BB7">
        <w:rPr>
          <w:lang w:val="en-GB"/>
        </w:rPr>
        <w:t xml:space="preserve">of agricultural land and woodlands </w:t>
      </w:r>
      <w:r>
        <w:rPr>
          <w:lang w:val="en-GB"/>
        </w:rPr>
        <w:t xml:space="preserve">on the outskirts of Egham, Surrey (also four miles from </w:t>
      </w:r>
      <w:proofErr w:type="spellStart"/>
      <w:r>
        <w:rPr>
          <w:lang w:val="en-GB"/>
        </w:rPr>
        <w:t>Tittenhurst</w:t>
      </w:r>
      <w:proofErr w:type="spellEnd"/>
      <w:r>
        <w:rPr>
          <w:lang w:val="en-GB"/>
        </w:rPr>
        <w:t xml:space="preserve"> Park), for about £25,000</w:t>
      </w:r>
      <w:r w:rsidR="00645BB7">
        <w:rPr>
          <w:lang w:val="en-GB"/>
        </w:rPr>
        <w:t>, as the site of a proposed college for women.</w:t>
      </w:r>
      <w:r>
        <w:rPr>
          <w:lang w:val="en-GB"/>
        </w:rPr>
        <w:t xml:space="preserve"> </w:t>
      </w:r>
    </w:p>
    <w:p w14:paraId="2340D9B6" w14:textId="3AB40A34" w:rsidR="00006634" w:rsidRDefault="00006634" w:rsidP="00006634">
      <w:pPr>
        <w:rPr>
          <w:lang w:val="en-GB"/>
        </w:rPr>
      </w:pPr>
      <w:r>
        <w:rPr>
          <w:lang w:val="en-GB"/>
        </w:rPr>
        <w:lastRenderedPageBreak/>
        <w:t xml:space="preserve">Holloway </w:t>
      </w:r>
      <w:r w:rsidR="0050622A">
        <w:rPr>
          <w:lang w:val="en-GB"/>
        </w:rPr>
        <w:t>modelled his new college to some extent on</w:t>
      </w:r>
      <w:r>
        <w:rPr>
          <w:lang w:val="en-GB"/>
        </w:rPr>
        <w:t xml:space="preserve"> Vassar College in Poughkeepsie, New York</w:t>
      </w:r>
      <w:r w:rsidR="00861BDE">
        <w:rPr>
          <w:lang w:val="en-GB"/>
        </w:rPr>
        <w:t>. Vassar College</w:t>
      </w:r>
      <w:r>
        <w:rPr>
          <w:lang w:val="en-GB"/>
        </w:rPr>
        <w:t xml:space="preserve"> had been founded by Matthew Vassar,</w:t>
      </w:r>
      <w:r w:rsidR="00645BB7">
        <w:rPr>
          <w:lang w:val="en-GB"/>
        </w:rPr>
        <w:t xml:space="preserve"> who was</w:t>
      </w:r>
      <w:r>
        <w:rPr>
          <w:lang w:val="en-GB"/>
        </w:rPr>
        <w:t xml:space="preserve"> “a self-made millionaire, whose marriage was also childless, and who subsequently devoted the bulk of his fortune to the founding of a ladies’ college” (</w:t>
      </w:r>
      <w:proofErr w:type="spellStart"/>
      <w:r>
        <w:rPr>
          <w:lang w:val="en-GB"/>
        </w:rPr>
        <w:t>Vickrey</w:t>
      </w:r>
      <w:proofErr w:type="spellEnd"/>
      <w:r>
        <w:rPr>
          <w:lang w:val="en-GB"/>
        </w:rPr>
        <w:t>, 1999, p. 126). Holloway had learnt about Vassar from David Chadwick, M.P., a company promoter and accountant (he was one of the founders of the Institute of Chartered Accountants in England and Wales – Edwards, Anderson, &amp; Chandler, 2005; see also Cottrell, 2004). Holloway was so interested that he asked his brother-in-law George Martin to visit Vassar during a business trip to New York in 1875 (</w:t>
      </w:r>
      <w:proofErr w:type="spellStart"/>
      <w:r>
        <w:rPr>
          <w:lang w:val="en-GB"/>
        </w:rPr>
        <w:t>Vickrey</w:t>
      </w:r>
      <w:proofErr w:type="spellEnd"/>
      <w:r>
        <w:rPr>
          <w:lang w:val="en-GB"/>
        </w:rPr>
        <w:t>, 1999, p. 126). Martin told Holloway about Vassar’s impressive building, providing student accommodation, teaching rooms, a large library, and a picture gallery housing Matthew Vassar’s collection of contemporary American paintings. Jane Holloway died in 187</w:t>
      </w:r>
      <w:r w:rsidR="000C46E1">
        <w:rPr>
          <w:lang w:val="en-GB"/>
        </w:rPr>
        <w:t>5</w:t>
      </w:r>
      <w:r>
        <w:rPr>
          <w:lang w:val="en-GB"/>
        </w:rPr>
        <w:t>, and Holloway regard</w:t>
      </w:r>
      <w:r w:rsidR="0050622A">
        <w:rPr>
          <w:lang w:val="en-GB"/>
        </w:rPr>
        <w:t>ed</w:t>
      </w:r>
      <w:r>
        <w:rPr>
          <w:lang w:val="en-GB"/>
        </w:rPr>
        <w:t xml:space="preserve"> the </w:t>
      </w:r>
      <w:r w:rsidR="0050622A">
        <w:rPr>
          <w:lang w:val="en-GB"/>
        </w:rPr>
        <w:t>c</w:t>
      </w:r>
      <w:r>
        <w:rPr>
          <w:lang w:val="en-GB"/>
        </w:rPr>
        <w:t xml:space="preserve">ollege </w:t>
      </w:r>
      <w:r w:rsidR="0050622A">
        <w:rPr>
          <w:lang w:val="en-GB"/>
        </w:rPr>
        <w:t xml:space="preserve">that he planned to establish </w:t>
      </w:r>
      <w:r>
        <w:rPr>
          <w:lang w:val="en-GB"/>
        </w:rPr>
        <w:t xml:space="preserve">as </w:t>
      </w:r>
      <w:r w:rsidR="0050622A">
        <w:rPr>
          <w:lang w:val="en-GB"/>
        </w:rPr>
        <w:t>Jane’s</w:t>
      </w:r>
      <w:r>
        <w:rPr>
          <w:lang w:val="en-GB"/>
        </w:rPr>
        <w:t xml:space="preserve"> memorial. Aware of the power of publicity, Holloway determined that his “Ladies’ College” should stand out visually, writing to his architect Crossland: “You are aware I am sure that nowadays, it is necessary to fill the eye” (RHC GB/130/1, p. 187), and later stating that his goal was to “beat Vassar to bits” (RHC GB/130/1, p. 330). </w:t>
      </w:r>
    </w:p>
    <w:p w14:paraId="09ECD617" w14:textId="78A79DA8" w:rsidR="001B6E7A" w:rsidRPr="00204DDB" w:rsidRDefault="001B6E7A" w:rsidP="001B6E7A">
      <w:pPr>
        <w:rPr>
          <w:lang w:val="en-GB"/>
        </w:rPr>
      </w:pPr>
      <w:r>
        <w:rPr>
          <w:lang w:val="en-GB"/>
        </w:rPr>
        <w:t>Royal Holloway College</w:t>
      </w:r>
      <w:r w:rsidR="00D81642">
        <w:rPr>
          <w:lang w:val="en-GB"/>
        </w:rPr>
        <w:t>, as Thomas Holloway arranged things,</w:t>
      </w:r>
      <w:r>
        <w:rPr>
          <w:lang w:val="en-GB"/>
        </w:rPr>
        <w:t xml:space="preserve"> had an unusual legal structure for the first 60 years or so of its existence. The land on which the College was </w:t>
      </w:r>
      <w:proofErr w:type="gramStart"/>
      <w:r>
        <w:rPr>
          <w:lang w:val="en-GB"/>
        </w:rPr>
        <w:t>situated</w:t>
      </w:r>
      <w:proofErr w:type="gramEnd"/>
      <w:r>
        <w:rPr>
          <w:lang w:val="en-GB"/>
        </w:rPr>
        <w:t xml:space="preserve"> and the College buildings were legally owned by trustees, in accordance with trusts set up by Holloway between 1876 and 1883. The trustees were also legal owners of the picture collection. The educational and residential aspects of the College were the responsibility of the governors, who were required, under the Deed of Foundation of 10</w:t>
      </w:r>
      <w:r w:rsidR="00861BDE">
        <w:rPr>
          <w:lang w:val="en-GB"/>
        </w:rPr>
        <w:t> </w:t>
      </w:r>
      <w:r>
        <w:rPr>
          <w:lang w:val="en-GB"/>
        </w:rPr>
        <w:t xml:space="preserve">October 1883, to keep accurate accounts of receipts and expenditure and to prepare a “short abstract” of the accounts every year for public distribution (RHC GB/102/1). This structure changed with the passing of the </w:t>
      </w:r>
      <w:r w:rsidRPr="00C10F70">
        <w:rPr>
          <w:lang w:val="en-GB"/>
        </w:rPr>
        <w:t>Royal Holloway College Act 1949</w:t>
      </w:r>
      <w:r>
        <w:rPr>
          <w:lang w:val="en-GB"/>
        </w:rPr>
        <w:t xml:space="preserve"> (RHC GB/104/1). This established the College as an incorporated body, and among other provisions the act replaced the Board of Governors with a new College Council. </w:t>
      </w:r>
      <w:r w:rsidRPr="00204DDB">
        <w:rPr>
          <w:lang w:val="en-GB"/>
        </w:rPr>
        <w:t xml:space="preserve">The act required the College to keep true accounts of income, expenditure, assets and liabilities, to prepare an annual statement of income and expenditure and balance sheet, and to have them audited by an auditor qualified under the Companies Act 1948. </w:t>
      </w:r>
    </w:p>
    <w:p w14:paraId="5DDDE1F5" w14:textId="1AD19F45" w:rsidR="001B6E7A" w:rsidRPr="00204DDB" w:rsidRDefault="001B6E7A" w:rsidP="001B6E7A">
      <w:pPr>
        <w:rPr>
          <w:lang w:val="en-GB"/>
        </w:rPr>
      </w:pPr>
      <w:r w:rsidRPr="00204DDB">
        <w:rPr>
          <w:lang w:val="en-GB"/>
        </w:rPr>
        <w:t xml:space="preserve">The next significant change was the merger of Royal Holloway with Bedford College in 1985. Like Royal Holloway, Bedford College, which was also part of the University of London, </w:t>
      </w:r>
      <w:r w:rsidRPr="00204DDB">
        <w:rPr>
          <w:lang w:val="en-GB"/>
        </w:rPr>
        <w:lastRenderedPageBreak/>
        <w:t>had originally been established as a women’s college, but became co-educational at the same time as Royal Holloway in 1965. The Royal Holloway and Bedford New College Act 1985 transferred all the property and liabilities of both colleges to a new incorporated body. This was known legally as Royal Holloway and Bedford New College (RHBNC), but the College quickly adopted the operating name “Royal Holloway, University of London” (RHUL). The new act gave the College the power to establish its own governing statutes, and the statute relating to accounts effectively reproduced the requirement of the 1949 act. These statutes have been revised at various times, and the most recent version, in effect since 1</w:t>
      </w:r>
      <w:r w:rsidR="00933654">
        <w:rPr>
          <w:lang w:val="en-GB"/>
        </w:rPr>
        <w:t> </w:t>
      </w:r>
      <w:r w:rsidRPr="00204DDB">
        <w:rPr>
          <w:lang w:val="en-GB"/>
        </w:rPr>
        <w:t>August 2016, refers to accounts only indirectly: the Council is not permitted to delegate responsibility for the approval of the College annual audited accounts, or for the appointment of the college auditors, who must be members of a recognised supervisory body (RHUL, 2016, statute 3:2).</w:t>
      </w:r>
    </w:p>
    <w:p w14:paraId="24325749" w14:textId="77777777" w:rsidR="001B6E7A" w:rsidRDefault="001B6E7A" w:rsidP="001B6E7A">
      <w:pPr>
        <w:rPr>
          <w:lang w:val="en-GB"/>
        </w:rPr>
      </w:pPr>
      <w:r>
        <w:rPr>
          <w:lang w:val="en-GB"/>
        </w:rPr>
        <w:t>The archives at Royal Holloway contain accounting records going back to the period during which the original College building was being constructed (RHC GB/130/2-3) , as well as the minutes of the Board of Governors (to 1949 – RHC GB/110/1-10) and the Council (from 1949 – RHC GB/110/11-43). A full set of ledgers for the early period of the College (RHC AR/400/1-15) and annual accounting statements (RHC GB/117/1-4; RHBNC CM/Pubs/1/1986-2009) are in the archives (more recent financial statements were accessed on the College’s website). Useful material was found in the collection of papers of the first Curator of the picture gallery, Charles W. Carey (RHC AR/500-504).</w:t>
      </w:r>
    </w:p>
    <w:p w14:paraId="3A4B58D9" w14:textId="4B1448E2" w:rsidR="00006634" w:rsidRDefault="00006634" w:rsidP="00006634">
      <w:pPr>
        <w:rPr>
          <w:lang w:val="en-GB"/>
        </w:rPr>
      </w:pPr>
      <w:r>
        <w:rPr>
          <w:lang w:val="en-GB"/>
        </w:rPr>
        <w:t xml:space="preserve">We can follow the building up of Holloway’s picture collection through the ledger “Mount Lee College Accounts” (RHC GB130/2), which recorded Holloway’s expenditure on the new College. This ledger had been opened in 1874, when Holloway bought the Mount Lee estate, and </w:t>
      </w:r>
      <w:r w:rsidR="00AF039E">
        <w:rPr>
          <w:lang w:val="en-GB"/>
        </w:rPr>
        <w:t>entries continued to be made until</w:t>
      </w:r>
      <w:r>
        <w:rPr>
          <w:lang w:val="en-GB"/>
        </w:rPr>
        <w:t xml:space="preserve"> Holloway’s death on 26 December 1883. The ledger was a record of amounts spent under different headings, set out as running accounts rather than in bilateral form. The “Pictures” account runs from folio 38 to folio 41. Each entry records details of the paintings bought (although the details are less extensive for the later purchases) and gives a cross reference to Holloway’s cash book. The ledger is not finally balanced off, with just a pencilled running total showing the overall amount paid for the picture collection.</w:t>
      </w:r>
    </w:p>
    <w:p w14:paraId="779C41B0" w14:textId="52BBFD6E" w:rsidR="00006634" w:rsidRDefault="00006634" w:rsidP="00006634">
      <w:pPr>
        <w:rPr>
          <w:lang w:val="en-GB"/>
        </w:rPr>
      </w:pPr>
      <w:r>
        <w:rPr>
          <w:lang w:val="en-GB"/>
        </w:rPr>
        <w:t xml:space="preserve">We can also follow the collection through a set of annotated auction catalogues, given by Sir George Martin-Holloway to </w:t>
      </w:r>
      <w:r w:rsidR="00B14169">
        <w:rPr>
          <w:lang w:val="en-GB"/>
        </w:rPr>
        <w:t xml:space="preserve">Charles Carey </w:t>
      </w:r>
      <w:r>
        <w:rPr>
          <w:lang w:val="en-GB"/>
        </w:rPr>
        <w:t xml:space="preserve">(RHC AR/502/9). The catalogues were bound together, and at the front there is a list of all the pictures, specifying the name of the artist, the title of the painting, the date of the sale, the name of the seller and the lot number, the price </w:t>
      </w:r>
      <w:r>
        <w:rPr>
          <w:lang w:val="en-GB"/>
        </w:rPr>
        <w:lastRenderedPageBreak/>
        <w:t xml:space="preserve">paid, the total for the sale, and the number of pictures bought at that sale. </w:t>
      </w:r>
      <w:r w:rsidR="00B14169">
        <w:rPr>
          <w:lang w:val="en-GB"/>
        </w:rPr>
        <w:t>F</w:t>
      </w:r>
      <w:r>
        <w:rPr>
          <w:lang w:val="en-GB"/>
        </w:rPr>
        <w:t xml:space="preserve">our pictures purchased privately by Holloway are listed separately. The total paid for the 77 paintings is shown as £83,304 8s. 0d. The ledger total is slightly greater (£83,764 2s. 6d.), the difference being accounted for </w:t>
      </w:r>
      <w:r w:rsidR="00B14169">
        <w:rPr>
          <w:lang w:val="en-GB"/>
        </w:rPr>
        <w:t xml:space="preserve">mainly </w:t>
      </w:r>
      <w:r>
        <w:rPr>
          <w:lang w:val="en-GB"/>
        </w:rPr>
        <w:t>by carriage and cleaning costs.</w:t>
      </w:r>
    </w:p>
    <w:p w14:paraId="4090FA5E" w14:textId="15B87794" w:rsidR="001B6E7A" w:rsidRDefault="00B14169" w:rsidP="001B6E7A">
      <w:pPr>
        <w:rPr>
          <w:lang w:val="en-GB"/>
        </w:rPr>
      </w:pPr>
      <w:r>
        <w:rPr>
          <w:lang w:val="en-GB"/>
        </w:rPr>
        <w:t>S</w:t>
      </w:r>
      <w:r w:rsidR="001B6E7A">
        <w:rPr>
          <w:lang w:val="en-GB"/>
        </w:rPr>
        <w:t>econdary sources</w:t>
      </w:r>
      <w:r w:rsidR="00D81642">
        <w:rPr>
          <w:lang w:val="en-GB"/>
        </w:rPr>
        <w:t xml:space="preserve"> </w:t>
      </w:r>
      <w:r w:rsidR="001B6E7A">
        <w:rPr>
          <w:lang w:val="en-GB"/>
        </w:rPr>
        <w:t xml:space="preserve">include the entry for Thomas Holloway in the </w:t>
      </w:r>
      <w:r w:rsidR="001B6E7A">
        <w:rPr>
          <w:i/>
          <w:lang w:val="en-GB"/>
        </w:rPr>
        <w:t>Oxford Dictionary of National Biography</w:t>
      </w:r>
      <w:r w:rsidR="001B6E7A">
        <w:rPr>
          <w:lang w:val="en-GB"/>
        </w:rPr>
        <w:t xml:space="preserve"> (Corley, 2004), the official history of the College up to the merger with Bedford College (Bingham, 1987), the study by </w:t>
      </w:r>
      <w:proofErr w:type="spellStart"/>
      <w:r w:rsidR="001B6E7A">
        <w:rPr>
          <w:lang w:val="en-GB"/>
        </w:rPr>
        <w:t>Vickrey</w:t>
      </w:r>
      <w:proofErr w:type="spellEnd"/>
      <w:r w:rsidR="001B6E7A">
        <w:rPr>
          <w:lang w:val="en-GB"/>
        </w:rPr>
        <w:t xml:space="preserve"> (1999) of the architecture of the earliest women’s colleges in late Victorian England, and the </w:t>
      </w:r>
      <w:r w:rsidR="001B6E7A">
        <w:rPr>
          <w:i/>
          <w:lang w:val="en-GB"/>
        </w:rPr>
        <w:t>catalogue raisonné</w:t>
      </w:r>
      <w:r w:rsidR="001B6E7A">
        <w:rPr>
          <w:lang w:val="en-GB"/>
        </w:rPr>
        <w:t xml:space="preserve"> of Holloway’s picture collection prepared by Jeannie Chapel (1982). Williams (1985) provides details of the foundation of the College, while Chong (1995, 1996) discusses the sale of three pictures from the collection in the early 1990s.</w:t>
      </w:r>
    </w:p>
    <w:p w14:paraId="143A07BD" w14:textId="2E7B9E4C" w:rsidR="00933654" w:rsidRDefault="000D2ADF" w:rsidP="00933654">
      <w:pPr>
        <w:rPr>
          <w:lang w:val="en-GB"/>
        </w:rPr>
      </w:pPr>
      <w:r w:rsidRPr="00D814C3">
        <w:rPr>
          <w:lang w:val="en-GB"/>
        </w:rPr>
        <w:t xml:space="preserve">In analysing our archival material, </w:t>
      </w:r>
      <w:r>
        <w:rPr>
          <w:lang w:val="en-GB"/>
        </w:rPr>
        <w:t>we</w:t>
      </w:r>
      <w:r w:rsidRPr="00D814C3">
        <w:rPr>
          <w:lang w:val="en-GB"/>
        </w:rPr>
        <w:t xml:space="preserve"> progressively built a plot </w:t>
      </w:r>
      <w:r w:rsidRPr="00C35839">
        <w:rPr>
          <w:lang w:val="en-GB"/>
        </w:rPr>
        <w:t xml:space="preserve">between the initial </w:t>
      </w:r>
      <w:proofErr w:type="gramStart"/>
      <w:r w:rsidRPr="00C35839">
        <w:rPr>
          <w:lang w:val="en-GB"/>
        </w:rPr>
        <w:t>state of affairs</w:t>
      </w:r>
      <w:proofErr w:type="gramEnd"/>
      <w:r w:rsidRPr="00C35839">
        <w:rPr>
          <w:lang w:val="en-GB"/>
        </w:rPr>
        <w:t>, actions and events and their consequence</w:t>
      </w:r>
      <w:r w:rsidR="00336028">
        <w:rPr>
          <w:lang w:val="en-GB"/>
        </w:rPr>
        <w:t>s</w:t>
      </w:r>
      <w:r>
        <w:rPr>
          <w:lang w:val="en-GB"/>
        </w:rPr>
        <w:t xml:space="preserve"> </w:t>
      </w:r>
      <w:r w:rsidRPr="00D814C3">
        <w:rPr>
          <w:lang w:val="en-GB"/>
        </w:rPr>
        <w:t>(</w:t>
      </w:r>
      <w:proofErr w:type="spellStart"/>
      <w:r w:rsidRPr="00D814C3">
        <w:rPr>
          <w:lang w:val="en-GB"/>
        </w:rPr>
        <w:t>Czarniawska</w:t>
      </w:r>
      <w:proofErr w:type="spellEnd"/>
      <w:r w:rsidRPr="00D814C3">
        <w:rPr>
          <w:lang w:val="en-GB"/>
        </w:rPr>
        <w:t>, 1998)</w:t>
      </w:r>
      <w:r w:rsidRPr="00C35839">
        <w:rPr>
          <w:lang w:val="en-GB"/>
        </w:rPr>
        <w:t xml:space="preserve">. Our plot linked the </w:t>
      </w:r>
      <w:r>
        <w:rPr>
          <w:lang w:val="en-GB"/>
        </w:rPr>
        <w:t>changing regulations on heritage assets, the accountings for the picture collection, and the evolving management of the collection,</w:t>
      </w:r>
      <w:r w:rsidRPr="00C35839">
        <w:rPr>
          <w:lang w:val="en-GB"/>
        </w:rPr>
        <w:t xml:space="preserve"> with our </w:t>
      </w:r>
      <w:r>
        <w:rPr>
          <w:lang w:val="en-GB"/>
        </w:rPr>
        <w:t xml:space="preserve">literature review and our </w:t>
      </w:r>
      <w:r w:rsidRPr="00C35839">
        <w:rPr>
          <w:lang w:val="en-GB"/>
        </w:rPr>
        <w:t xml:space="preserve">theoretical constructs about </w:t>
      </w:r>
      <w:r w:rsidR="00836532">
        <w:rPr>
          <w:lang w:val="en-GB"/>
        </w:rPr>
        <w:t xml:space="preserve">the </w:t>
      </w:r>
      <w:r>
        <w:rPr>
          <w:lang w:val="en-GB"/>
        </w:rPr>
        <w:t>sign-referent relation and matters of concern</w:t>
      </w:r>
      <w:r w:rsidRPr="00C35839">
        <w:rPr>
          <w:lang w:val="en-GB"/>
        </w:rPr>
        <w:t>.</w:t>
      </w:r>
      <w:r w:rsidR="00836532">
        <w:rPr>
          <w:lang w:val="en-GB"/>
        </w:rPr>
        <w:t xml:space="preserve"> Here, our primary aim i</w:t>
      </w:r>
      <w:r w:rsidR="00336028">
        <w:rPr>
          <w:lang w:val="en-GB"/>
        </w:rPr>
        <w:t>n</w:t>
      </w:r>
      <w:r w:rsidR="00836532">
        <w:rPr>
          <w:lang w:val="en-GB"/>
        </w:rPr>
        <w:t xml:space="preserve"> </w:t>
      </w:r>
      <w:r w:rsidR="00336028">
        <w:rPr>
          <w:lang w:val="en-GB"/>
        </w:rPr>
        <w:t xml:space="preserve">using </w:t>
      </w:r>
      <w:r w:rsidR="00836532">
        <w:rPr>
          <w:lang w:val="en-GB"/>
        </w:rPr>
        <w:t xml:space="preserve">theory </w:t>
      </w:r>
      <w:r w:rsidR="00336028">
        <w:rPr>
          <w:lang w:val="en-GB"/>
        </w:rPr>
        <w:t xml:space="preserve">is </w:t>
      </w:r>
      <w:r w:rsidR="00836532">
        <w:rPr>
          <w:lang w:val="en-GB"/>
        </w:rPr>
        <w:t xml:space="preserve">to illuminate the relationship between accounting signs and the </w:t>
      </w:r>
      <w:r w:rsidR="00336028">
        <w:rPr>
          <w:lang w:val="en-GB"/>
        </w:rPr>
        <w:t xml:space="preserve">picture </w:t>
      </w:r>
      <w:r w:rsidR="00836532">
        <w:rPr>
          <w:lang w:val="en-GB"/>
        </w:rPr>
        <w:t>collection</w:t>
      </w:r>
      <w:r w:rsidR="00836532" w:rsidRPr="00836532">
        <w:rPr>
          <w:lang w:val="en-GB"/>
        </w:rPr>
        <w:t xml:space="preserve"> </w:t>
      </w:r>
      <w:r w:rsidR="00836532">
        <w:rPr>
          <w:lang w:val="en-GB"/>
        </w:rPr>
        <w:t xml:space="preserve">and </w:t>
      </w:r>
      <w:r w:rsidR="009C1919">
        <w:rPr>
          <w:lang w:val="en-GB"/>
        </w:rPr>
        <w:t xml:space="preserve">to </w:t>
      </w:r>
      <w:r w:rsidR="00336028">
        <w:rPr>
          <w:lang w:val="en-GB"/>
        </w:rPr>
        <w:t xml:space="preserve">help us </w:t>
      </w:r>
      <w:r w:rsidR="009C1919">
        <w:rPr>
          <w:lang w:val="en-GB"/>
        </w:rPr>
        <w:t>speculate about the matter-</w:t>
      </w:r>
      <w:proofErr w:type="spellStart"/>
      <w:r w:rsidR="009C1919">
        <w:rPr>
          <w:lang w:val="en-GB"/>
        </w:rPr>
        <w:t>ing</w:t>
      </w:r>
      <w:proofErr w:type="spellEnd"/>
      <w:r w:rsidR="009C1919">
        <w:rPr>
          <w:lang w:val="en-GB"/>
        </w:rPr>
        <w:t xml:space="preserve"> of </w:t>
      </w:r>
      <w:r w:rsidR="00836532">
        <w:rPr>
          <w:lang w:val="en-GB"/>
        </w:rPr>
        <w:t xml:space="preserve">heritage </w:t>
      </w:r>
      <w:r w:rsidR="009C1919">
        <w:rPr>
          <w:lang w:val="en-GB"/>
        </w:rPr>
        <w:t xml:space="preserve">objects as </w:t>
      </w:r>
      <w:r w:rsidR="00933654">
        <w:rPr>
          <w:lang w:val="en-GB"/>
        </w:rPr>
        <w:t>“</w:t>
      </w:r>
      <w:r w:rsidR="009C1919">
        <w:rPr>
          <w:lang w:val="en-GB"/>
        </w:rPr>
        <w:t>heritage assets</w:t>
      </w:r>
      <w:r w:rsidR="00933654">
        <w:rPr>
          <w:lang w:val="en-GB"/>
        </w:rPr>
        <w:t>”</w:t>
      </w:r>
      <w:r w:rsidR="00836532">
        <w:rPr>
          <w:lang w:val="en-GB"/>
        </w:rPr>
        <w:t>.</w:t>
      </w:r>
      <w:r w:rsidR="00933654">
        <w:rPr>
          <w:lang w:val="en-GB"/>
        </w:rPr>
        <w:t xml:space="preserve"> </w:t>
      </w:r>
    </w:p>
    <w:p w14:paraId="344353ED" w14:textId="501D6F0C" w:rsidR="000B5B92" w:rsidRDefault="00C77154" w:rsidP="00933654">
      <w:pPr>
        <w:pStyle w:val="Heading1"/>
        <w:rPr>
          <w:lang w:val="en-GB"/>
        </w:rPr>
      </w:pPr>
      <w:r>
        <w:rPr>
          <w:lang w:val="en-GB"/>
        </w:rPr>
        <w:t>T</w:t>
      </w:r>
      <w:r w:rsidR="000B5B92" w:rsidRPr="00F22547">
        <w:rPr>
          <w:lang w:val="en-GB"/>
        </w:rPr>
        <w:t xml:space="preserve">he </w:t>
      </w:r>
      <w:r w:rsidR="002F3D91">
        <w:rPr>
          <w:lang w:val="en-GB"/>
        </w:rPr>
        <w:t>evolution</w:t>
      </w:r>
      <w:r w:rsidR="002F3D91" w:rsidRPr="00F22547">
        <w:rPr>
          <w:lang w:val="en-GB"/>
        </w:rPr>
        <w:t xml:space="preserve"> </w:t>
      </w:r>
      <w:r w:rsidR="000B5B92" w:rsidRPr="00F22547">
        <w:rPr>
          <w:lang w:val="en-GB"/>
        </w:rPr>
        <w:t>of the picture collection</w:t>
      </w:r>
    </w:p>
    <w:p w14:paraId="15F78996" w14:textId="2C635F8B" w:rsidR="00210CB5" w:rsidRDefault="00210CB5" w:rsidP="00210CB5">
      <w:pPr>
        <w:rPr>
          <w:lang w:val="en-GB"/>
        </w:rPr>
      </w:pPr>
      <w:r>
        <w:rPr>
          <w:lang w:val="en-GB"/>
        </w:rPr>
        <w:t xml:space="preserve">The original plan of the </w:t>
      </w:r>
      <w:r w:rsidR="00832A99">
        <w:rPr>
          <w:lang w:val="en-GB"/>
        </w:rPr>
        <w:t xml:space="preserve">College’s </w:t>
      </w:r>
      <w:r>
        <w:rPr>
          <w:lang w:val="en-GB"/>
        </w:rPr>
        <w:t>building envisaged a large indoor recreation hall</w:t>
      </w:r>
      <w:r w:rsidR="007F2E72">
        <w:rPr>
          <w:lang w:val="en-GB"/>
        </w:rPr>
        <w:t xml:space="preserve"> </w:t>
      </w:r>
      <w:r>
        <w:rPr>
          <w:lang w:val="en-GB"/>
        </w:rPr>
        <w:t xml:space="preserve">on the north side. </w:t>
      </w:r>
      <w:r w:rsidR="007F2E72">
        <w:rPr>
          <w:lang w:val="en-GB"/>
        </w:rPr>
        <w:t>Holloway decided to change the function of this room to a picture gallery</w:t>
      </w:r>
      <w:r w:rsidR="00BA30E4">
        <w:rPr>
          <w:lang w:val="en-GB"/>
        </w:rPr>
        <w:t>, perhaps aiming to</w:t>
      </w:r>
      <w:r w:rsidR="00DA15FE">
        <w:rPr>
          <w:lang w:val="en-GB"/>
        </w:rPr>
        <w:t xml:space="preserve"> surpass the gallery at Vassar College.</w:t>
      </w:r>
      <w:r w:rsidR="007F2E72">
        <w:rPr>
          <w:lang w:val="en-GB"/>
        </w:rPr>
        <w:t xml:space="preserve"> </w:t>
      </w:r>
      <w:r w:rsidR="00BA30E4">
        <w:rPr>
          <w:lang w:val="en-GB"/>
        </w:rPr>
        <w:t>A</w:t>
      </w:r>
      <w:r w:rsidR="007F2E72">
        <w:rPr>
          <w:lang w:val="en-GB"/>
        </w:rPr>
        <w:t xml:space="preserve"> collection of paintings had to be acquired, and between May 1881 and June 1883, Holloway spent over £80,000 </w:t>
      </w:r>
      <w:r w:rsidR="00D81642">
        <w:rPr>
          <w:lang w:val="en-GB"/>
        </w:rPr>
        <w:t xml:space="preserve">(about £10 million in 2019 purchasing power terms) </w:t>
      </w:r>
      <w:r w:rsidR="003D7691">
        <w:rPr>
          <w:lang w:val="en-GB"/>
        </w:rPr>
        <w:t>in buying a total of 77 paintings</w:t>
      </w:r>
      <w:r w:rsidR="009750C4">
        <w:rPr>
          <w:lang w:val="en-GB"/>
        </w:rPr>
        <w:t xml:space="preserve">, all but four being purchased at sales held by the auctioneers Christie, Manson &amp; Woods (Christie’s). </w:t>
      </w:r>
    </w:p>
    <w:p w14:paraId="5465F4D7" w14:textId="55DC435B" w:rsidR="00EC407A" w:rsidRDefault="001B4C45" w:rsidP="00210CB5">
      <w:pPr>
        <w:rPr>
          <w:lang w:val="en-GB"/>
        </w:rPr>
      </w:pPr>
      <w:r>
        <w:rPr>
          <w:lang w:val="en-GB"/>
        </w:rPr>
        <w:t xml:space="preserve">Most of the Christie’s sales at which Holloway made purchases were described as sales of “modern pictures”. Holloway appreciated picturesque landscapes and </w:t>
      </w:r>
      <w:r w:rsidR="00DA15FE">
        <w:rPr>
          <w:lang w:val="en-GB"/>
        </w:rPr>
        <w:t>paintings</w:t>
      </w:r>
      <w:r>
        <w:rPr>
          <w:lang w:val="en-GB"/>
        </w:rPr>
        <w:t xml:space="preserve"> that told stories</w:t>
      </w:r>
      <w:r w:rsidR="002A06D2">
        <w:rPr>
          <w:lang w:val="en-GB"/>
        </w:rPr>
        <w:t xml:space="preserve">, </w:t>
      </w:r>
      <w:r w:rsidR="00F71289">
        <w:rPr>
          <w:lang w:val="en-GB"/>
        </w:rPr>
        <w:t xml:space="preserve">but he </w:t>
      </w:r>
      <w:r w:rsidR="002A06D2">
        <w:rPr>
          <w:lang w:val="en-GB"/>
        </w:rPr>
        <w:t>did not like paintings on religious themes</w:t>
      </w:r>
      <w:r>
        <w:rPr>
          <w:lang w:val="en-GB"/>
        </w:rPr>
        <w:t xml:space="preserve">. </w:t>
      </w:r>
      <w:r w:rsidR="008F34CD">
        <w:rPr>
          <w:lang w:val="en-GB"/>
        </w:rPr>
        <w:t>Christie’s usually held their main sales on Saturdays in the early afternoon, and on Saturday 28 May</w:t>
      </w:r>
      <w:r w:rsidR="00714C95">
        <w:rPr>
          <w:lang w:val="en-GB"/>
        </w:rPr>
        <w:t xml:space="preserve"> 1881</w:t>
      </w:r>
      <w:r w:rsidR="008F34CD">
        <w:rPr>
          <w:lang w:val="en-GB"/>
        </w:rPr>
        <w:t xml:space="preserve"> Holloway spent a total of 17,950 guineas (</w:t>
      </w:r>
      <w:proofErr w:type="spellStart"/>
      <w:r w:rsidR="00384E80">
        <w:rPr>
          <w:lang w:val="en-GB"/>
        </w:rPr>
        <w:t>gns</w:t>
      </w:r>
      <w:proofErr w:type="spellEnd"/>
      <w:r w:rsidR="00384E80">
        <w:rPr>
          <w:lang w:val="en-GB"/>
        </w:rPr>
        <w:t xml:space="preserve"> – </w:t>
      </w:r>
      <w:r w:rsidR="008F34CD">
        <w:rPr>
          <w:lang w:val="en-GB"/>
        </w:rPr>
        <w:t xml:space="preserve">an old </w:t>
      </w:r>
      <w:r w:rsidR="00C07A17">
        <w:rPr>
          <w:lang w:val="en-GB"/>
        </w:rPr>
        <w:t>English</w:t>
      </w:r>
      <w:r w:rsidR="008F34CD">
        <w:rPr>
          <w:lang w:val="en-GB"/>
        </w:rPr>
        <w:t xml:space="preserve"> coin equivalent to £1 1s, or in modern currency £1.05) on five paintings. Two of these are among the most famous pictures in the collection: Landseer’s </w:t>
      </w:r>
      <w:r w:rsidR="008F34CD">
        <w:rPr>
          <w:i/>
          <w:lang w:val="en-GB"/>
        </w:rPr>
        <w:t xml:space="preserve">Man </w:t>
      </w:r>
      <w:r w:rsidR="008F34CD">
        <w:rPr>
          <w:i/>
          <w:lang w:val="en-GB"/>
        </w:rPr>
        <w:lastRenderedPageBreak/>
        <w:t>Proposes, God Disposes</w:t>
      </w:r>
      <w:r w:rsidR="008F34CD">
        <w:rPr>
          <w:lang w:val="en-GB"/>
        </w:rPr>
        <w:t xml:space="preserve">, for which Holloway, bidding as “Mr Thomas”, paid what was then the record amount for that artist of 6,300 </w:t>
      </w:r>
      <w:proofErr w:type="spellStart"/>
      <w:r w:rsidR="00384E80">
        <w:rPr>
          <w:lang w:val="en-GB"/>
        </w:rPr>
        <w:t>gns</w:t>
      </w:r>
      <w:proofErr w:type="spellEnd"/>
      <w:r w:rsidR="008F34CD">
        <w:rPr>
          <w:lang w:val="en-GB"/>
        </w:rPr>
        <w:t xml:space="preserve">, and Millais’s </w:t>
      </w:r>
      <w:r w:rsidR="008F34CD">
        <w:rPr>
          <w:i/>
          <w:lang w:val="en-GB"/>
        </w:rPr>
        <w:t>The Princes in the Tower</w:t>
      </w:r>
      <w:r w:rsidR="00714C95" w:rsidRPr="00714C95">
        <w:rPr>
          <w:lang w:val="en-GB"/>
        </w:rPr>
        <w:t>, bought</w:t>
      </w:r>
      <w:r w:rsidR="008F34CD">
        <w:rPr>
          <w:lang w:val="en-GB"/>
        </w:rPr>
        <w:t xml:space="preserve"> for 3,800 </w:t>
      </w:r>
      <w:proofErr w:type="spellStart"/>
      <w:r w:rsidR="00384E80">
        <w:rPr>
          <w:lang w:val="en-GB"/>
        </w:rPr>
        <w:t>gns</w:t>
      </w:r>
      <w:proofErr w:type="spellEnd"/>
      <w:r w:rsidR="00384E80">
        <w:rPr>
          <w:lang w:val="en-GB"/>
        </w:rPr>
        <w:t>.</w:t>
      </w:r>
      <w:r w:rsidR="008F34CD">
        <w:rPr>
          <w:lang w:val="en-GB"/>
        </w:rPr>
        <w:t xml:space="preserve"> Contemporary press comment (quoted in Chapel, 1982, p. 13) was critical of</w:t>
      </w:r>
      <w:r w:rsidR="00F71289">
        <w:rPr>
          <w:lang w:val="en-GB"/>
        </w:rPr>
        <w:t xml:space="preserve"> the</w:t>
      </w:r>
      <w:r w:rsidR="008F34CD">
        <w:rPr>
          <w:lang w:val="en-GB"/>
        </w:rPr>
        <w:t xml:space="preserve"> “extravagant” prices</w:t>
      </w:r>
      <w:r w:rsidR="00F71289">
        <w:rPr>
          <w:lang w:val="en-GB"/>
        </w:rPr>
        <w:t xml:space="preserve"> paid by Holloway, but these criticisms may have been overstated</w:t>
      </w:r>
      <w:r w:rsidR="00EC407A">
        <w:rPr>
          <w:lang w:val="en-GB"/>
        </w:rPr>
        <w:t>. Although Holloway had paid</w:t>
      </w:r>
      <w:r w:rsidR="00714C95">
        <w:rPr>
          <w:lang w:val="en-GB"/>
        </w:rPr>
        <w:t xml:space="preserve"> </w:t>
      </w:r>
      <w:r w:rsidR="00EC407A">
        <w:rPr>
          <w:lang w:val="en-GB"/>
        </w:rPr>
        <w:t>a record price for the Landseer, three other paintings by this artist in the sale</w:t>
      </w:r>
      <w:r w:rsidR="00F71289">
        <w:rPr>
          <w:lang w:val="en-GB"/>
        </w:rPr>
        <w:t xml:space="preserve"> </w:t>
      </w:r>
      <w:r w:rsidR="00EC407A">
        <w:rPr>
          <w:lang w:val="en-GB"/>
        </w:rPr>
        <w:t xml:space="preserve">all sold for substantial amounts. </w:t>
      </w:r>
    </w:p>
    <w:p w14:paraId="666EC288" w14:textId="52A53D94" w:rsidR="001B4C45" w:rsidRDefault="008F34CD" w:rsidP="00210CB5">
      <w:pPr>
        <w:rPr>
          <w:lang w:val="en-GB"/>
        </w:rPr>
      </w:pPr>
      <w:r>
        <w:rPr>
          <w:lang w:val="en-GB"/>
        </w:rPr>
        <w:t xml:space="preserve"> </w:t>
      </w:r>
      <w:r w:rsidR="00DA15FE">
        <w:rPr>
          <w:lang w:val="en-GB"/>
        </w:rPr>
        <w:t>At Christie’s next sale of “modern p</w:t>
      </w:r>
      <w:r w:rsidR="00EC407A">
        <w:rPr>
          <w:lang w:val="en-GB"/>
        </w:rPr>
        <w:t xml:space="preserve">ictures”, on 9 July 1881, Holloway again attended, this time bidding as “Mr Mason”, and spending nearly 10,000 </w:t>
      </w:r>
      <w:proofErr w:type="spellStart"/>
      <w:r w:rsidR="00384E80">
        <w:rPr>
          <w:lang w:val="en-GB"/>
        </w:rPr>
        <w:t>gns</w:t>
      </w:r>
      <w:proofErr w:type="spellEnd"/>
      <w:r w:rsidR="00EC407A">
        <w:rPr>
          <w:lang w:val="en-GB"/>
        </w:rPr>
        <w:t xml:space="preserve"> for seven paintings, but in the meantime he </w:t>
      </w:r>
      <w:r w:rsidR="00E80885">
        <w:rPr>
          <w:lang w:val="en-GB"/>
        </w:rPr>
        <w:t xml:space="preserve">purchased a companion piece to </w:t>
      </w:r>
      <w:r w:rsidR="00E80885">
        <w:rPr>
          <w:i/>
          <w:lang w:val="en-GB"/>
        </w:rPr>
        <w:t>The Princes in the Tower</w:t>
      </w:r>
      <w:r w:rsidR="00E80885">
        <w:rPr>
          <w:lang w:val="en-GB"/>
        </w:rPr>
        <w:t xml:space="preserve">, Millais’s </w:t>
      </w:r>
      <w:r w:rsidR="00E80885">
        <w:rPr>
          <w:i/>
          <w:lang w:val="en-GB"/>
        </w:rPr>
        <w:t>Princess Elizabeth in Prison at St James’s</w:t>
      </w:r>
      <w:r w:rsidR="00714C95">
        <w:rPr>
          <w:lang w:val="en-GB"/>
        </w:rPr>
        <w:t>,</w:t>
      </w:r>
      <w:r w:rsidR="00E80885">
        <w:rPr>
          <w:lang w:val="en-GB"/>
        </w:rPr>
        <w:t xml:space="preserve"> </w:t>
      </w:r>
      <w:r w:rsidR="00351815">
        <w:rPr>
          <w:lang w:val="en-GB"/>
        </w:rPr>
        <w:t xml:space="preserve">for 3,000 </w:t>
      </w:r>
      <w:proofErr w:type="spellStart"/>
      <w:r w:rsidR="00384E80">
        <w:rPr>
          <w:lang w:val="en-GB"/>
        </w:rPr>
        <w:t>gns</w:t>
      </w:r>
      <w:proofErr w:type="spellEnd"/>
      <w:r w:rsidR="00351815">
        <w:rPr>
          <w:lang w:val="en-GB"/>
        </w:rPr>
        <w:t xml:space="preserve"> from T</w:t>
      </w:r>
      <w:r w:rsidR="00E80885">
        <w:rPr>
          <w:lang w:val="en-GB"/>
        </w:rPr>
        <w:t>he Fine Art Society. This organisation</w:t>
      </w:r>
      <w:r w:rsidR="006E566F">
        <w:rPr>
          <w:lang w:val="en-GB"/>
        </w:rPr>
        <w:t>, which despite its name i</w:t>
      </w:r>
      <w:r w:rsidR="00351815">
        <w:rPr>
          <w:lang w:val="en-GB"/>
        </w:rPr>
        <w:t>s a commercial dealer,</w:t>
      </w:r>
      <w:r w:rsidR="00E80885">
        <w:rPr>
          <w:lang w:val="en-GB"/>
        </w:rPr>
        <w:t xml:space="preserve"> </w:t>
      </w:r>
      <w:r w:rsidR="00351815">
        <w:rPr>
          <w:lang w:val="en-GB"/>
        </w:rPr>
        <w:t>had been established in 1876 to make high-quality reproductions of famous art works and sell these to the general public (The Fine Art Society, 2018). The Society</w:t>
      </w:r>
      <w:r w:rsidR="00E80885">
        <w:rPr>
          <w:lang w:val="en-GB"/>
        </w:rPr>
        <w:t xml:space="preserve"> had paid Millais £1,000 each for the two paintings just after they had been completed</w:t>
      </w:r>
      <w:r w:rsidR="00714C95">
        <w:rPr>
          <w:lang w:val="en-GB"/>
        </w:rPr>
        <w:t xml:space="preserve"> (in 1878 and 1879 respectively)</w:t>
      </w:r>
      <w:r w:rsidR="00E80885">
        <w:rPr>
          <w:lang w:val="en-GB"/>
        </w:rPr>
        <w:t xml:space="preserve">, and the purchase price included the copyright. </w:t>
      </w:r>
      <w:r w:rsidR="00F45F4E">
        <w:rPr>
          <w:lang w:val="en-GB"/>
        </w:rPr>
        <w:t>O</w:t>
      </w:r>
      <w:r w:rsidR="00E80885">
        <w:rPr>
          <w:lang w:val="en-GB"/>
        </w:rPr>
        <w:t xml:space="preserve">wnership of the copyright could be valuable </w:t>
      </w:r>
      <w:r w:rsidR="00F71289">
        <w:rPr>
          <w:lang w:val="en-GB"/>
        </w:rPr>
        <w:t xml:space="preserve">as </w:t>
      </w:r>
      <w:r w:rsidR="00E80885">
        <w:rPr>
          <w:lang w:val="en-GB"/>
        </w:rPr>
        <w:t xml:space="preserve">the owner </w:t>
      </w:r>
      <w:r w:rsidR="00F71289">
        <w:rPr>
          <w:lang w:val="en-GB"/>
        </w:rPr>
        <w:t>could</w:t>
      </w:r>
      <w:r w:rsidR="00E80885">
        <w:rPr>
          <w:lang w:val="en-GB"/>
        </w:rPr>
        <w:t xml:space="preserve"> commission reproductions that could be printed in </w:t>
      </w:r>
      <w:r w:rsidR="00384E80">
        <w:rPr>
          <w:lang w:val="en-GB"/>
        </w:rPr>
        <w:t>quantity</w:t>
      </w:r>
      <w:r w:rsidR="00E80885">
        <w:rPr>
          <w:lang w:val="en-GB"/>
        </w:rPr>
        <w:t xml:space="preserve"> and sold widely. Holloway’s purchase of </w:t>
      </w:r>
      <w:r w:rsidR="00E80885">
        <w:rPr>
          <w:i/>
          <w:lang w:val="en-GB"/>
        </w:rPr>
        <w:t>The Princes in the Tower</w:t>
      </w:r>
      <w:r w:rsidR="00E80885">
        <w:rPr>
          <w:lang w:val="en-GB"/>
        </w:rPr>
        <w:t xml:space="preserve"> </w:t>
      </w:r>
      <w:r w:rsidR="00660BDA">
        <w:rPr>
          <w:lang w:val="en-GB"/>
        </w:rPr>
        <w:t xml:space="preserve">did not </w:t>
      </w:r>
      <w:r w:rsidR="00E80885">
        <w:rPr>
          <w:lang w:val="en-GB"/>
        </w:rPr>
        <w:t>include the copyright,</w:t>
      </w:r>
      <w:r w:rsidR="00351815">
        <w:rPr>
          <w:lang w:val="en-GB"/>
        </w:rPr>
        <w:t xml:space="preserve"> as the </w:t>
      </w:r>
      <w:r w:rsidR="00660BDA">
        <w:rPr>
          <w:lang w:val="en-GB"/>
        </w:rPr>
        <w:t>Society had already commissioned an engraving in 1879,</w:t>
      </w:r>
      <w:r w:rsidR="00E80885">
        <w:rPr>
          <w:lang w:val="en-GB"/>
        </w:rPr>
        <w:t xml:space="preserve"> </w:t>
      </w:r>
      <w:r w:rsidR="00660BDA">
        <w:rPr>
          <w:lang w:val="en-GB"/>
        </w:rPr>
        <w:t>and</w:t>
      </w:r>
      <w:r w:rsidR="00E80885">
        <w:rPr>
          <w:lang w:val="en-GB"/>
        </w:rPr>
        <w:t xml:space="preserve"> i</w:t>
      </w:r>
      <w:r w:rsidR="00351815">
        <w:rPr>
          <w:lang w:val="en-GB"/>
        </w:rPr>
        <w:t xml:space="preserve">n the private sale the </w:t>
      </w:r>
      <w:r w:rsidR="00E80885">
        <w:rPr>
          <w:lang w:val="en-GB"/>
        </w:rPr>
        <w:t xml:space="preserve">Society appears to have retained the copyright (they commissioned an engraving </w:t>
      </w:r>
      <w:r w:rsidR="00660BDA">
        <w:rPr>
          <w:lang w:val="en-GB"/>
        </w:rPr>
        <w:t xml:space="preserve">of </w:t>
      </w:r>
      <w:r w:rsidR="00660BDA">
        <w:rPr>
          <w:i/>
          <w:lang w:val="en-GB"/>
        </w:rPr>
        <w:t xml:space="preserve">Princess Elizabeth </w:t>
      </w:r>
      <w:r w:rsidR="00E80885">
        <w:rPr>
          <w:lang w:val="en-GB"/>
        </w:rPr>
        <w:t>in 1887</w:t>
      </w:r>
      <w:r w:rsidR="00384E80">
        <w:rPr>
          <w:lang w:val="en-GB"/>
        </w:rPr>
        <w:t xml:space="preserve"> – Chapel, 1982, p. 115</w:t>
      </w:r>
      <w:r w:rsidR="00E80885">
        <w:rPr>
          <w:lang w:val="en-GB"/>
        </w:rPr>
        <w:t>).</w:t>
      </w:r>
    </w:p>
    <w:p w14:paraId="4229C0DC" w14:textId="77777777" w:rsidR="00660BDA" w:rsidRDefault="00660BDA" w:rsidP="00210CB5">
      <w:pPr>
        <w:rPr>
          <w:lang w:val="en-GB"/>
        </w:rPr>
      </w:pPr>
      <w:r>
        <w:rPr>
          <w:lang w:val="en-GB"/>
        </w:rPr>
        <w:t xml:space="preserve">In subsequent sales, Holloway did not bid personally, but sent his brother-in-law George Martin, who reportedly wore a disguise so that dealers would not realise that he was bidding on Holloway’s behalf. On 3 May 1882, nine paintings were purchased for a total of 14,105 </w:t>
      </w:r>
      <w:proofErr w:type="spellStart"/>
      <w:r w:rsidR="00384E80">
        <w:rPr>
          <w:lang w:val="en-GB"/>
        </w:rPr>
        <w:t>gns</w:t>
      </w:r>
      <w:proofErr w:type="spellEnd"/>
      <w:r w:rsidR="00624A57">
        <w:rPr>
          <w:lang w:val="en-GB"/>
        </w:rPr>
        <w:t>.</w:t>
      </w:r>
      <w:r>
        <w:rPr>
          <w:lang w:val="en-GB"/>
        </w:rPr>
        <w:t xml:space="preserve"> The highlights were Edwin Long’s </w:t>
      </w:r>
      <w:proofErr w:type="gramStart"/>
      <w:r>
        <w:rPr>
          <w:i/>
          <w:lang w:val="en-GB"/>
        </w:rPr>
        <w:t>The</w:t>
      </w:r>
      <w:proofErr w:type="gramEnd"/>
      <w:r>
        <w:rPr>
          <w:i/>
          <w:lang w:val="en-GB"/>
        </w:rPr>
        <w:t xml:space="preserve"> Babylonian Marriage Market</w:t>
      </w:r>
      <w:r>
        <w:rPr>
          <w:lang w:val="en-GB"/>
        </w:rPr>
        <w:t xml:space="preserve">, bought for 6,300 </w:t>
      </w:r>
      <w:proofErr w:type="spellStart"/>
      <w:r w:rsidR="00384E80">
        <w:rPr>
          <w:lang w:val="en-GB"/>
        </w:rPr>
        <w:t>gns</w:t>
      </w:r>
      <w:proofErr w:type="spellEnd"/>
      <w:r>
        <w:rPr>
          <w:lang w:val="en-GB"/>
        </w:rPr>
        <w:t xml:space="preserve">, the then record price paid for a work by a living artist, and Long’s </w:t>
      </w:r>
      <w:r>
        <w:rPr>
          <w:i/>
          <w:lang w:val="en-GB"/>
        </w:rPr>
        <w:t>The Suppliants. Expulsion of the Gypsies from Spain</w:t>
      </w:r>
      <w:r>
        <w:rPr>
          <w:lang w:val="en-GB"/>
        </w:rPr>
        <w:t xml:space="preserve">, costing 4,100 </w:t>
      </w:r>
      <w:proofErr w:type="spellStart"/>
      <w:r w:rsidR="00384E80">
        <w:rPr>
          <w:lang w:val="en-GB"/>
        </w:rPr>
        <w:t>gns</w:t>
      </w:r>
      <w:proofErr w:type="spellEnd"/>
      <w:r w:rsidR="00384E80">
        <w:rPr>
          <w:lang w:val="en-GB"/>
        </w:rPr>
        <w:t>.</w:t>
      </w:r>
      <w:r>
        <w:rPr>
          <w:lang w:val="en-GB"/>
        </w:rPr>
        <w:t xml:space="preserve"> </w:t>
      </w:r>
      <w:r w:rsidR="006E566F">
        <w:rPr>
          <w:lang w:val="en-GB"/>
        </w:rPr>
        <w:t>The purchase price for both pictures</w:t>
      </w:r>
      <w:r w:rsidR="0074344F">
        <w:rPr>
          <w:lang w:val="en-GB"/>
        </w:rPr>
        <w:t xml:space="preserve"> included the copyright, and the Mount Lee College ledger includes annotations next to these paintings noting that the copyright had been registered on 30 June 1882 (RHC GB/130/2). </w:t>
      </w:r>
    </w:p>
    <w:p w14:paraId="56D88F83" w14:textId="77777777" w:rsidR="00407E70" w:rsidRDefault="00407E70" w:rsidP="00210CB5">
      <w:pPr>
        <w:rPr>
          <w:lang w:val="en-GB"/>
        </w:rPr>
      </w:pPr>
      <w:r>
        <w:rPr>
          <w:lang w:val="en-GB"/>
        </w:rPr>
        <w:t xml:space="preserve">In May 1876, Holloway had transferred the Mount Lee estate to his brothers-in-law Henry Driver and George Martin, together with David Chadwick, as trustees, charged with building “a College to be called ‘Holloway College’ for the education of Women of the Upper Middle Classes” (RHC GB/132/4). On 5 August 1881, he transferred the first 13 paintings that he had bought to the same trustees. At that time, the pictures were being stored at the Holloway </w:t>
      </w:r>
      <w:r>
        <w:rPr>
          <w:lang w:val="en-GB"/>
        </w:rPr>
        <w:lastRenderedPageBreak/>
        <w:t xml:space="preserve">Sanatorium. The </w:t>
      </w:r>
      <w:r w:rsidR="0000514D">
        <w:rPr>
          <w:lang w:val="en-GB"/>
        </w:rPr>
        <w:t xml:space="preserve">declaration of trust </w:t>
      </w:r>
      <w:r>
        <w:rPr>
          <w:lang w:val="en-GB"/>
        </w:rPr>
        <w:t>extended to any further pictures delivered to the trustees by Holloway (RHC GB/132/2). By a final declaration of trust, on 25 August 1883, Holloway gave £300,000 in cash and securities in trust to Henry Driver and George Martin, of which £100,000 was to complete the building and fitting out of the College and the balance was to form an endowment fund. These deeds were all to be consolidated into the Deed of Foundation in October 1883.</w:t>
      </w:r>
    </w:p>
    <w:p w14:paraId="4D067B64" w14:textId="28384A15" w:rsidR="00C96281" w:rsidRDefault="00407E70" w:rsidP="00210CB5">
      <w:pPr>
        <w:rPr>
          <w:lang w:val="en-GB"/>
        </w:rPr>
      </w:pPr>
      <w:r>
        <w:rPr>
          <w:lang w:val="en-GB"/>
        </w:rPr>
        <w:t xml:space="preserve">Meanwhile, the purchases continued. </w:t>
      </w:r>
      <w:r w:rsidR="002A06D2">
        <w:rPr>
          <w:lang w:val="en-GB"/>
        </w:rPr>
        <w:t xml:space="preserve">In April 1883, Holloway bought </w:t>
      </w:r>
      <w:r w:rsidR="00C94543">
        <w:rPr>
          <w:lang w:val="en-GB"/>
        </w:rPr>
        <w:t xml:space="preserve">William Frith’s </w:t>
      </w:r>
      <w:proofErr w:type="gramStart"/>
      <w:r w:rsidR="00C94543">
        <w:rPr>
          <w:i/>
          <w:lang w:val="en-GB"/>
        </w:rPr>
        <w:t>The</w:t>
      </w:r>
      <w:proofErr w:type="gramEnd"/>
      <w:r w:rsidR="00C94543">
        <w:rPr>
          <w:i/>
          <w:lang w:val="en-GB"/>
        </w:rPr>
        <w:t xml:space="preserve"> Railway Station</w:t>
      </w:r>
      <w:r w:rsidR="00C94543">
        <w:rPr>
          <w:lang w:val="en-GB"/>
        </w:rPr>
        <w:t>, a panoramic view of passengers at Paddington Station in London, full of narrative vignettes</w:t>
      </w:r>
      <w:r w:rsidR="003B03BD">
        <w:rPr>
          <w:lang w:val="en-GB"/>
        </w:rPr>
        <w:t>, directly from the London art dealer Henry Graves for £2,000.</w:t>
      </w:r>
      <w:r w:rsidR="00C96281">
        <w:rPr>
          <w:lang w:val="en-GB"/>
        </w:rPr>
        <w:t xml:space="preserve"> George Martin </w:t>
      </w:r>
      <w:r w:rsidR="003B03BD">
        <w:rPr>
          <w:lang w:val="en-GB"/>
        </w:rPr>
        <w:t xml:space="preserve">spent around 30,000 </w:t>
      </w:r>
      <w:proofErr w:type="spellStart"/>
      <w:r w:rsidR="003B03BD">
        <w:rPr>
          <w:lang w:val="en-GB"/>
        </w:rPr>
        <w:t>gns</w:t>
      </w:r>
      <w:proofErr w:type="spellEnd"/>
      <w:r w:rsidR="003B03BD">
        <w:rPr>
          <w:lang w:val="en-GB"/>
        </w:rPr>
        <w:t xml:space="preserve"> on 43 paintings </w:t>
      </w:r>
      <w:r w:rsidR="00C96281">
        <w:rPr>
          <w:lang w:val="en-GB"/>
        </w:rPr>
        <w:t xml:space="preserve">in seven </w:t>
      </w:r>
      <w:r w:rsidR="003B03BD">
        <w:rPr>
          <w:lang w:val="en-GB"/>
        </w:rPr>
        <w:t xml:space="preserve">Christie’s </w:t>
      </w:r>
      <w:r w:rsidR="00C96281">
        <w:rPr>
          <w:lang w:val="en-GB"/>
        </w:rPr>
        <w:t>sa</w:t>
      </w:r>
      <w:r w:rsidR="003B03BD">
        <w:rPr>
          <w:lang w:val="en-GB"/>
        </w:rPr>
        <w:t>les between April and June 1883</w:t>
      </w:r>
      <w:r w:rsidR="00C96281">
        <w:rPr>
          <w:lang w:val="en-GB"/>
        </w:rPr>
        <w:t xml:space="preserve">. </w:t>
      </w:r>
      <w:r w:rsidR="003B03BD">
        <w:rPr>
          <w:lang w:val="en-GB"/>
        </w:rPr>
        <w:t>These i</w:t>
      </w:r>
      <w:r w:rsidR="00C96281">
        <w:rPr>
          <w:lang w:val="en-GB"/>
        </w:rPr>
        <w:t xml:space="preserve">ncluded three pictures by famous English artists of the late eighteenth and early nineteenth centuries, which were subsequently to be </w:t>
      </w:r>
      <w:r w:rsidR="0000514D">
        <w:rPr>
          <w:lang w:val="en-GB"/>
        </w:rPr>
        <w:t>crucial for</w:t>
      </w:r>
      <w:r w:rsidR="00C96281">
        <w:rPr>
          <w:lang w:val="en-GB"/>
        </w:rPr>
        <w:t xml:space="preserve"> the story of Holloway’s picture collection. On 5 May, Martin paid 1,190 </w:t>
      </w:r>
      <w:proofErr w:type="spellStart"/>
      <w:r w:rsidR="00384E80">
        <w:rPr>
          <w:lang w:val="en-GB"/>
        </w:rPr>
        <w:t>gns</w:t>
      </w:r>
      <w:proofErr w:type="spellEnd"/>
      <w:r w:rsidR="00C96281">
        <w:rPr>
          <w:lang w:val="en-GB"/>
        </w:rPr>
        <w:t xml:space="preserve"> for an oil sketch by John Constable</w:t>
      </w:r>
      <w:r w:rsidR="0000514D">
        <w:rPr>
          <w:lang w:val="en-GB"/>
        </w:rPr>
        <w:t xml:space="preserve"> for his painting</w:t>
      </w:r>
      <w:r w:rsidR="00C96281">
        <w:rPr>
          <w:lang w:val="en-GB"/>
        </w:rPr>
        <w:t xml:space="preserve"> </w:t>
      </w:r>
      <w:r w:rsidR="00C96281">
        <w:rPr>
          <w:i/>
          <w:lang w:val="en-GB"/>
        </w:rPr>
        <w:t>View on the Stour, near Dedham</w:t>
      </w:r>
      <w:r w:rsidR="00C96281">
        <w:rPr>
          <w:lang w:val="en-GB"/>
        </w:rPr>
        <w:t>, painted in 1822</w:t>
      </w:r>
      <w:r w:rsidR="0000514D">
        <w:rPr>
          <w:lang w:val="en-GB"/>
        </w:rPr>
        <w:t xml:space="preserve"> (the </w:t>
      </w:r>
      <w:r w:rsidR="00BD6E11">
        <w:rPr>
          <w:lang w:val="en-GB"/>
        </w:rPr>
        <w:t>finished</w:t>
      </w:r>
      <w:r w:rsidR="0000514D">
        <w:rPr>
          <w:lang w:val="en-GB"/>
        </w:rPr>
        <w:t xml:space="preserve"> painting is now in the Huntington Library in California – Harris &amp; Zucker, 2015)</w:t>
      </w:r>
      <w:r w:rsidR="00C96281">
        <w:rPr>
          <w:lang w:val="en-GB"/>
        </w:rPr>
        <w:t xml:space="preserve">. In the same sale, he bid 3,500 </w:t>
      </w:r>
      <w:proofErr w:type="spellStart"/>
      <w:r w:rsidR="00384E80">
        <w:rPr>
          <w:lang w:val="en-GB"/>
        </w:rPr>
        <w:t>gns</w:t>
      </w:r>
      <w:proofErr w:type="spellEnd"/>
      <w:r w:rsidR="00C96281">
        <w:rPr>
          <w:lang w:val="en-GB"/>
        </w:rPr>
        <w:t xml:space="preserve"> for J. M. W. Turner’s</w:t>
      </w:r>
      <w:r w:rsidR="00425AAE">
        <w:rPr>
          <w:lang w:val="en-GB"/>
        </w:rPr>
        <w:t xml:space="preserve"> </w:t>
      </w:r>
      <w:r w:rsidR="00425AAE">
        <w:rPr>
          <w:i/>
          <w:lang w:val="en-GB"/>
        </w:rPr>
        <w:t>Van Tromp Going About to Please His Masters</w:t>
      </w:r>
      <w:r w:rsidR="00425AAE">
        <w:rPr>
          <w:lang w:val="en-GB"/>
        </w:rPr>
        <w:t xml:space="preserve">, painted in 1844. Finally, in the last purchase made for the collection, Martin paid 2,700 </w:t>
      </w:r>
      <w:proofErr w:type="spellStart"/>
      <w:r w:rsidR="00384E80">
        <w:rPr>
          <w:lang w:val="en-GB"/>
        </w:rPr>
        <w:t>gns</w:t>
      </w:r>
      <w:proofErr w:type="spellEnd"/>
      <w:r w:rsidR="00425AAE">
        <w:rPr>
          <w:lang w:val="en-GB"/>
        </w:rPr>
        <w:t xml:space="preserve"> at Christie’s sale on 2 June 1883 for Thomas Gainsborough’s </w:t>
      </w:r>
      <w:r w:rsidR="00425AAE">
        <w:rPr>
          <w:i/>
          <w:lang w:val="en-GB"/>
        </w:rPr>
        <w:t>Peasants Going to Market: Early Morning</w:t>
      </w:r>
      <w:r w:rsidR="00425AAE">
        <w:rPr>
          <w:lang w:val="en-GB"/>
        </w:rPr>
        <w:t xml:space="preserve">, painted around 1770. The other major purchase during this period was </w:t>
      </w:r>
      <w:r w:rsidR="00425AAE">
        <w:rPr>
          <w:i/>
          <w:lang w:val="en-GB"/>
        </w:rPr>
        <w:t>Applicants for Admission to a Casual Ward</w:t>
      </w:r>
      <w:r w:rsidR="00425AAE">
        <w:rPr>
          <w:lang w:val="en-GB"/>
        </w:rPr>
        <w:t xml:space="preserve">, by Luke </w:t>
      </w:r>
      <w:proofErr w:type="spellStart"/>
      <w:r w:rsidR="00425AAE">
        <w:rPr>
          <w:lang w:val="en-GB"/>
        </w:rPr>
        <w:t>Fildes</w:t>
      </w:r>
      <w:proofErr w:type="spellEnd"/>
      <w:r w:rsidR="00425AAE">
        <w:rPr>
          <w:lang w:val="en-GB"/>
        </w:rPr>
        <w:t xml:space="preserve">, bought for 2,000 </w:t>
      </w:r>
      <w:proofErr w:type="spellStart"/>
      <w:r w:rsidR="00384E80">
        <w:rPr>
          <w:lang w:val="en-GB"/>
        </w:rPr>
        <w:t>gns</w:t>
      </w:r>
      <w:proofErr w:type="spellEnd"/>
      <w:r w:rsidR="00425AAE">
        <w:rPr>
          <w:lang w:val="en-GB"/>
        </w:rPr>
        <w:t xml:space="preserve"> including the copyright. </w:t>
      </w:r>
    </w:p>
    <w:p w14:paraId="0CB88D43" w14:textId="77777777" w:rsidR="00425AAE" w:rsidRDefault="00425AAE" w:rsidP="00210CB5">
      <w:pPr>
        <w:rPr>
          <w:lang w:val="en-GB"/>
        </w:rPr>
      </w:pPr>
      <w:r>
        <w:rPr>
          <w:lang w:val="en-GB"/>
        </w:rPr>
        <w:t xml:space="preserve">By August 1883, Holloway’s efforts to sort out the legal and financial position of the College suggest that he may have been concerned about his health, and this may also explain the cessation of the picture buying. </w:t>
      </w:r>
      <w:r w:rsidR="00AF6E99">
        <w:rPr>
          <w:lang w:val="en-GB"/>
        </w:rPr>
        <w:t xml:space="preserve">Holloway was able to pass over to the trustees a collection of 77 paintings with an average purchase price of about £1,100, including some of the finest examples of mid-Victorian art. Thomas Holloway’s picture collection was more than just a set of 77 </w:t>
      </w:r>
      <w:r w:rsidR="00C77154">
        <w:rPr>
          <w:lang w:val="en-GB"/>
        </w:rPr>
        <w:t xml:space="preserve">random </w:t>
      </w:r>
      <w:r w:rsidR="00AF6E99">
        <w:rPr>
          <w:lang w:val="en-GB"/>
        </w:rPr>
        <w:t>paintings: it was an assemblage in its own right.</w:t>
      </w:r>
    </w:p>
    <w:p w14:paraId="1F100654" w14:textId="77777777" w:rsidR="002F3D91" w:rsidRDefault="002F3D91" w:rsidP="002F3D91">
      <w:pPr>
        <w:rPr>
          <w:lang w:val="en-GB"/>
        </w:rPr>
      </w:pPr>
      <w:r>
        <w:rPr>
          <w:lang w:val="en-GB"/>
        </w:rPr>
        <w:t xml:space="preserve">After Holloway’s death in December 1883, the trustees, in particular Holloway’s brother-in-law George Martin-Holloway, working with the architect Crossland, supervised the completion of the building works, and the paintings had been hung in the picture gallery in time for the official opening of the College on 30 June 1886 by Queen Victoria. Many of the artists of works in the collection were invited to the opening and were able to view their paintings. Shortly after the official opening, Charles W. Carey was appointed as Curator of the picture </w:t>
      </w:r>
      <w:r>
        <w:rPr>
          <w:lang w:val="en-GB"/>
        </w:rPr>
        <w:lastRenderedPageBreak/>
        <w:t xml:space="preserve">gallery, remaining in post until his death in 1943. Carey corresponded with some of the artists while preparing a catalogue of the collection. One of these, John Pettie, whose painting </w:t>
      </w:r>
      <w:r>
        <w:rPr>
          <w:i/>
          <w:lang w:val="en-GB"/>
        </w:rPr>
        <w:t>A State Secret</w:t>
      </w:r>
      <w:r>
        <w:rPr>
          <w:lang w:val="en-GB"/>
        </w:rPr>
        <w:t xml:space="preserve"> had been bought in 1882 for 1,000 </w:t>
      </w:r>
      <w:proofErr w:type="spellStart"/>
      <w:r>
        <w:rPr>
          <w:lang w:val="en-GB"/>
        </w:rPr>
        <w:t>gns</w:t>
      </w:r>
      <w:proofErr w:type="spellEnd"/>
      <w:r>
        <w:rPr>
          <w:lang w:val="en-GB"/>
        </w:rPr>
        <w:t xml:space="preserve">, complained to Carey (in a letter dated 10 September 1887: RHC AR/500/7): “I had the pleasure of seeing your splendid College &amp; handsome collection of pictures and noted that my picture as well as others were </w:t>
      </w:r>
      <w:proofErr w:type="spellStart"/>
      <w:r>
        <w:rPr>
          <w:lang w:val="en-GB"/>
        </w:rPr>
        <w:t>sadly</w:t>
      </w:r>
      <w:proofErr w:type="spellEnd"/>
      <w:r>
        <w:rPr>
          <w:lang w:val="en-GB"/>
        </w:rPr>
        <w:t xml:space="preserve"> in need of attention, they were dirty, stank &amp; were much in need of varnishing.” This may have been the outcome of poor storage conditions at the Holloway Sanatorium before the picture gallery was set up.</w:t>
      </w:r>
    </w:p>
    <w:p w14:paraId="44CF86D4" w14:textId="25FEC867" w:rsidR="002F3D91" w:rsidRDefault="002F3D91" w:rsidP="002F3D91">
      <w:pPr>
        <w:rPr>
          <w:lang w:val="en-GB"/>
        </w:rPr>
      </w:pPr>
      <w:r>
        <w:rPr>
          <w:lang w:val="en-GB"/>
        </w:rPr>
        <w:t>The implication was that the picture gallery would become a focus of expenditure. Indeed, in 1889, nearly £100 was spent on varnishing and relining the paintings</w:t>
      </w:r>
      <w:r w:rsidR="00F71289">
        <w:rPr>
          <w:lang w:val="en-GB"/>
        </w:rPr>
        <w:t>. K</w:t>
      </w:r>
      <w:r>
        <w:rPr>
          <w:lang w:val="en-GB"/>
        </w:rPr>
        <w:t>eeping the paintings in good condition would give rise to intermittent outlays. However, between 1888 (the first accounting period in which the governors presented a receipts and expenditure account) and 1949 (the last period before the College became an incorporated body under the Royal Holloway College Act 1949), the average annual expenditure on the picture gallery was £184, of which £150 was Carey’s salary as Curator. Although in the earlier periods the picture gallery costs were around one percent of total expenditure, by 1949 they were negligible, and they remained a separate line item only because the form of the governors’ accounts did not change (except to be printed rather than handwritten) between 1888 and 1949.</w:t>
      </w:r>
    </w:p>
    <w:p w14:paraId="68744356" w14:textId="3A5ACB92" w:rsidR="002F3D91" w:rsidRDefault="002F3D91" w:rsidP="002F3D91">
      <w:pPr>
        <w:rPr>
          <w:lang w:val="en-GB"/>
        </w:rPr>
      </w:pPr>
      <w:r>
        <w:rPr>
          <w:lang w:val="en-GB"/>
        </w:rPr>
        <w:t xml:space="preserve">During this time, some consideration was given to exploiting the collection, but this usually came to nothing. As early as 23 May 1882, a few days after Holloway had purchased Edwin Long’s </w:t>
      </w:r>
      <w:r>
        <w:rPr>
          <w:i/>
          <w:lang w:val="en-GB"/>
        </w:rPr>
        <w:t>The Babylonian Marriage Market</w:t>
      </w:r>
      <w:r>
        <w:rPr>
          <w:lang w:val="en-GB"/>
        </w:rPr>
        <w:t xml:space="preserve"> and </w:t>
      </w:r>
      <w:r>
        <w:rPr>
          <w:i/>
          <w:lang w:val="en-GB"/>
        </w:rPr>
        <w:t>The Suppliants</w:t>
      </w:r>
      <w:r>
        <w:rPr>
          <w:lang w:val="en-GB"/>
        </w:rPr>
        <w:t xml:space="preserve">, Long wrote to Holloway about the possibility of engravings (RHC AR500/1), and on 1 June 1882, Long wrote further on the matter: “The copyright of both pictures undoubtedly belongs to you. I am only anxious that if either picture be engraved it shall be done in a worthy manner, and I am very pleased by your kind assurances on this point” (RHC AR500/2). In fact, during 1889, the copyright in </w:t>
      </w:r>
      <w:r>
        <w:rPr>
          <w:i/>
          <w:lang w:val="en-GB"/>
        </w:rPr>
        <w:t>The Babylonian Marriage Market</w:t>
      </w:r>
      <w:r>
        <w:rPr>
          <w:lang w:val="en-GB"/>
        </w:rPr>
        <w:t xml:space="preserve"> was sold to the Fine Art Society for £1,000 (RHC GB/117/1). Several other artists discussed the copyright position with Carey, including Luke </w:t>
      </w:r>
      <w:proofErr w:type="spellStart"/>
      <w:r>
        <w:rPr>
          <w:lang w:val="en-GB"/>
        </w:rPr>
        <w:t>Fildes</w:t>
      </w:r>
      <w:proofErr w:type="spellEnd"/>
      <w:r>
        <w:rPr>
          <w:lang w:val="en-GB"/>
        </w:rPr>
        <w:t xml:space="preserve">, whose painting </w:t>
      </w:r>
      <w:r>
        <w:rPr>
          <w:i/>
          <w:lang w:val="en-GB"/>
        </w:rPr>
        <w:t>Applicants for Admission to a Casual Ward</w:t>
      </w:r>
      <w:r>
        <w:rPr>
          <w:lang w:val="en-GB"/>
        </w:rPr>
        <w:t xml:space="preserve"> had attracted much public attention. </w:t>
      </w:r>
      <w:proofErr w:type="spellStart"/>
      <w:r>
        <w:rPr>
          <w:lang w:val="en-GB"/>
        </w:rPr>
        <w:t>Fildes</w:t>
      </w:r>
      <w:proofErr w:type="spellEnd"/>
      <w:r>
        <w:rPr>
          <w:lang w:val="en-GB"/>
        </w:rPr>
        <w:t xml:space="preserve"> wrote to J. L. Clifford Smith, the College Secretary, on 3 June 1890: “There [is] a general feeling that the subject would not be ‘popular’ in the trade sense of the term. At all events they consider it ‘risky’ and consequently their ideas of the money value of the copyright are not extravagant” (RHC AR500/32). Except for a few nominal fees for photographing </w:t>
      </w:r>
      <w:r w:rsidR="0036754B">
        <w:rPr>
          <w:lang w:val="en-GB"/>
        </w:rPr>
        <w:t xml:space="preserve">individual </w:t>
      </w:r>
      <w:r>
        <w:rPr>
          <w:lang w:val="en-GB"/>
        </w:rPr>
        <w:lastRenderedPageBreak/>
        <w:t>pictures for book illustrations, the governors did not earn any revenue from the picture collection.</w:t>
      </w:r>
      <w:r w:rsidR="00471F96">
        <w:rPr>
          <w:lang w:val="en-GB"/>
        </w:rPr>
        <w:t xml:space="preserve"> So far as the governors thought about the pictures at all, it was in terms of the costs that were involved in managing the collection.</w:t>
      </w:r>
    </w:p>
    <w:p w14:paraId="4F482FA7" w14:textId="77777777" w:rsidR="00AF6E99" w:rsidRPr="00425AAE" w:rsidRDefault="003976E2" w:rsidP="003976E2">
      <w:pPr>
        <w:pStyle w:val="Heading1"/>
        <w:rPr>
          <w:lang w:val="en-GB"/>
        </w:rPr>
      </w:pPr>
      <w:r>
        <w:rPr>
          <w:lang w:val="en-GB"/>
        </w:rPr>
        <w:t>Accounting for the picture collection</w:t>
      </w:r>
    </w:p>
    <w:p w14:paraId="1F590BB6" w14:textId="3B59C8C3" w:rsidR="001740C2" w:rsidRDefault="00AB141B" w:rsidP="00AB141B">
      <w:pPr>
        <w:rPr>
          <w:lang w:val="en-GB"/>
        </w:rPr>
      </w:pPr>
      <w:r>
        <w:rPr>
          <w:lang w:val="en-GB"/>
        </w:rPr>
        <w:t>As reminded by Macintosh (2003), following Baudrillard: “</w:t>
      </w:r>
      <w:r w:rsidRPr="00AB141B">
        <w:rPr>
          <w:lang w:val="en-GB"/>
        </w:rPr>
        <w:t>accounting signs in the feudal era were transpar</w:t>
      </w:r>
      <w:r w:rsidR="00184054">
        <w:rPr>
          <w:lang w:val="en-GB"/>
        </w:rPr>
        <w:t>ent reflections of real objects</w:t>
      </w:r>
      <w:r>
        <w:rPr>
          <w:lang w:val="en-GB"/>
        </w:rPr>
        <w:t>” (p. 457). Therefore, signs were limited in number and their circulation was restricted (Baudrillard, 1994, p. 50). In accounting for the picture collection at Royal Holloway College, accounting signs were never rigid mirror</w:t>
      </w:r>
      <w:r w:rsidR="00315296">
        <w:rPr>
          <w:lang w:val="en-GB"/>
        </w:rPr>
        <w:t>s</w:t>
      </w:r>
      <w:r>
        <w:rPr>
          <w:lang w:val="en-GB"/>
        </w:rPr>
        <w:t xml:space="preserve"> of reality. Before 1949, accounting for the picture collection was </w:t>
      </w:r>
      <w:r w:rsidR="00833011">
        <w:rPr>
          <w:lang w:val="en-GB"/>
        </w:rPr>
        <w:t>“</w:t>
      </w:r>
      <w:r>
        <w:rPr>
          <w:lang w:val="en-GB"/>
        </w:rPr>
        <w:t>limited</w:t>
      </w:r>
      <w:r w:rsidR="00833011">
        <w:rPr>
          <w:lang w:val="en-GB"/>
        </w:rPr>
        <w:t>”</w:t>
      </w:r>
      <w:r>
        <w:rPr>
          <w:lang w:val="en-GB"/>
        </w:rPr>
        <w:t xml:space="preserve"> </w:t>
      </w:r>
      <w:r w:rsidR="00184054">
        <w:rPr>
          <w:lang w:val="en-GB"/>
        </w:rPr>
        <w:t>as</w:t>
      </w:r>
      <w:r>
        <w:rPr>
          <w:lang w:val="en-GB"/>
        </w:rPr>
        <w:t xml:space="preserve"> the picture collection was not included in the </w:t>
      </w:r>
      <w:r w:rsidR="00315296">
        <w:rPr>
          <w:lang w:val="en-GB"/>
        </w:rPr>
        <w:t xml:space="preserve">College’s </w:t>
      </w:r>
      <w:r>
        <w:rPr>
          <w:lang w:val="en-GB"/>
        </w:rPr>
        <w:t xml:space="preserve">balance sheet. The picture collection certainly mattered to the College as </w:t>
      </w:r>
      <w:r w:rsidR="00184054">
        <w:rPr>
          <w:lang w:val="en-GB"/>
        </w:rPr>
        <w:t>the collection was regarded as a</w:t>
      </w:r>
      <w:r>
        <w:rPr>
          <w:lang w:val="en-GB"/>
        </w:rPr>
        <w:t xml:space="preserve"> </w:t>
      </w:r>
      <w:r w:rsidR="00184054">
        <w:rPr>
          <w:lang w:val="en-GB"/>
        </w:rPr>
        <w:t xml:space="preserve">prestigious </w:t>
      </w:r>
      <w:r>
        <w:rPr>
          <w:lang w:val="en-GB"/>
        </w:rPr>
        <w:t>legacy left by Thomas Holloway</w:t>
      </w:r>
      <w:r w:rsidR="00184054">
        <w:rPr>
          <w:lang w:val="en-GB"/>
        </w:rPr>
        <w:t>. Still, the collection was almost invisible from an accounting point of view and it was kept separate from the ordinary management of the College.</w:t>
      </w:r>
    </w:p>
    <w:p w14:paraId="36230A21" w14:textId="484063B3" w:rsidR="001740C2" w:rsidRDefault="00C5088B" w:rsidP="00210CB5">
      <w:pPr>
        <w:rPr>
          <w:lang w:val="en-GB"/>
        </w:rPr>
      </w:pPr>
      <w:r>
        <w:rPr>
          <w:lang w:val="en-GB"/>
        </w:rPr>
        <w:t xml:space="preserve">When the College was established, there was no general legislation specifying the form and content of university accounts. Legally, the College was a </w:t>
      </w:r>
      <w:r w:rsidR="00C420B4">
        <w:rPr>
          <w:lang w:val="en-GB"/>
        </w:rPr>
        <w:t>private trust, and there i</w:t>
      </w:r>
      <w:r>
        <w:rPr>
          <w:lang w:val="en-GB"/>
        </w:rPr>
        <w:t xml:space="preserve">s no requirement for </w:t>
      </w:r>
      <w:r w:rsidR="00C420B4">
        <w:rPr>
          <w:lang w:val="en-GB"/>
        </w:rPr>
        <w:t xml:space="preserve">such </w:t>
      </w:r>
      <w:r>
        <w:rPr>
          <w:lang w:val="en-GB"/>
        </w:rPr>
        <w:t xml:space="preserve">trusts to publish financial statements. </w:t>
      </w:r>
      <w:r w:rsidR="0036754B">
        <w:rPr>
          <w:lang w:val="en-GB"/>
        </w:rPr>
        <w:t>T</w:t>
      </w:r>
      <w:r>
        <w:rPr>
          <w:lang w:val="en-GB"/>
        </w:rPr>
        <w:t xml:space="preserve">he Deed of Foundation required the governors to publish </w:t>
      </w:r>
      <w:r w:rsidR="008236BC">
        <w:rPr>
          <w:lang w:val="en-GB"/>
        </w:rPr>
        <w:t xml:space="preserve">each year </w:t>
      </w:r>
      <w:r>
        <w:rPr>
          <w:lang w:val="en-GB"/>
        </w:rPr>
        <w:t xml:space="preserve">an </w:t>
      </w:r>
      <w:r w:rsidR="008236BC">
        <w:rPr>
          <w:lang w:val="en-GB"/>
        </w:rPr>
        <w:t>a</w:t>
      </w:r>
      <w:r>
        <w:rPr>
          <w:lang w:val="en-GB"/>
        </w:rPr>
        <w:t>bstract of receipts and expenditure</w:t>
      </w:r>
      <w:r w:rsidR="008236BC">
        <w:rPr>
          <w:lang w:val="en-GB"/>
        </w:rPr>
        <w:t xml:space="preserve"> for the previous year</w:t>
      </w:r>
      <w:r>
        <w:rPr>
          <w:lang w:val="en-GB"/>
        </w:rPr>
        <w:t>, and in the</w:t>
      </w:r>
      <w:r w:rsidR="00C420B4">
        <w:rPr>
          <w:lang w:val="en-GB"/>
        </w:rPr>
        <w:t>se statements the costs of the picture g</w:t>
      </w:r>
      <w:r>
        <w:rPr>
          <w:lang w:val="en-GB"/>
        </w:rPr>
        <w:t>allery were combined with those of the library and chapel. The governors initially did not publish a</w:t>
      </w:r>
      <w:r w:rsidR="008236BC">
        <w:rPr>
          <w:lang w:val="en-GB"/>
        </w:rPr>
        <w:t xml:space="preserve"> statement of financial position (which was not required by the Deed of Foundation)</w:t>
      </w:r>
      <w:r>
        <w:rPr>
          <w:lang w:val="en-GB"/>
        </w:rPr>
        <w:t xml:space="preserve">, and the picture collection remained in the trustees’ ledger at </w:t>
      </w:r>
      <w:r w:rsidR="00BD6E11">
        <w:rPr>
          <w:lang w:val="en-GB"/>
        </w:rPr>
        <w:t>its</w:t>
      </w:r>
      <w:r>
        <w:rPr>
          <w:lang w:val="en-GB"/>
        </w:rPr>
        <w:t xml:space="preserve"> original cost</w:t>
      </w:r>
      <w:r w:rsidR="00A83CAA">
        <w:rPr>
          <w:lang w:val="en-GB"/>
        </w:rPr>
        <w:t xml:space="preserve"> to Holloway</w:t>
      </w:r>
      <w:r w:rsidR="00173C21">
        <w:rPr>
          <w:lang w:val="en-GB"/>
        </w:rPr>
        <w:t xml:space="preserve">. </w:t>
      </w:r>
    </w:p>
    <w:p w14:paraId="794852A0" w14:textId="693DA4B0" w:rsidR="00C5088B" w:rsidRDefault="00173C21" w:rsidP="00210CB5">
      <w:pPr>
        <w:rPr>
          <w:lang w:val="en-GB"/>
        </w:rPr>
      </w:pPr>
      <w:r>
        <w:rPr>
          <w:lang w:val="en-GB"/>
        </w:rPr>
        <w:t>This accounting treatment was consistent with practice in similar institutions. Jones (1992, 1994) discusses how the Oxford and Cambridge Act 1877 led both individual colleges and the overall University of Oxford to adopt new statutes in 1882, which contained accounting provisions. The statutes required the adoption of double-entry bookkeeping and formal audit but allowed the university and colleges to exclude endowment assets from any published balance sheet. Napier (</w:t>
      </w:r>
      <w:r w:rsidR="00EF093F">
        <w:rPr>
          <w:lang w:val="en-GB"/>
        </w:rPr>
        <w:t>1991) has shown that the accounts of British aristocratic estates tended to report just revenue and expenditure, and aristocrats did not reflect their land, properties, investments and art works on a balance sheet.</w:t>
      </w:r>
    </w:p>
    <w:p w14:paraId="6696BEA1" w14:textId="77777777" w:rsidR="00830954" w:rsidRDefault="00EF093F" w:rsidP="00210CB5">
      <w:pPr>
        <w:rPr>
          <w:lang w:val="en-GB"/>
        </w:rPr>
      </w:pPr>
      <w:r>
        <w:rPr>
          <w:lang w:val="en-GB"/>
        </w:rPr>
        <w:t>For the first few years, the College’s financial year end was 30 September, but from 1901 this was changed to 31 July</w:t>
      </w:r>
      <w:r w:rsidR="0087305E">
        <w:rPr>
          <w:lang w:val="en-GB"/>
        </w:rPr>
        <w:t xml:space="preserve">. This was a more convenient date, as it was in the middle of the </w:t>
      </w:r>
      <w:r w:rsidR="0087305E">
        <w:rPr>
          <w:lang w:val="en-GB"/>
        </w:rPr>
        <w:lastRenderedPageBreak/>
        <w:t xml:space="preserve">summer vacation between academic years. At the same time, a change in accounting policy meant that capital expenditure was no longer expensed as incurred but rather was carried forward, and the governors began to include a balance sheet showing such expenditure in the annual financial statements. However, the initial land and building costs, together with the picture collection and the endowment investments, were still not publicly disclosed. This continued until the first financial statements for the newly incorporated College, covering the financial year to 31 July 1950. </w:t>
      </w:r>
    </w:p>
    <w:p w14:paraId="401C2617" w14:textId="4EDDA8FA" w:rsidR="00EF093F" w:rsidRDefault="0087305E" w:rsidP="00210CB5">
      <w:pPr>
        <w:rPr>
          <w:lang w:val="en-GB"/>
        </w:rPr>
      </w:pPr>
      <w:r>
        <w:rPr>
          <w:lang w:val="en-GB"/>
        </w:rPr>
        <w:t>At the first meeting of the Council on 29 October 1949, it was initially agreed that the balance sheet should include a note “to the effect that the fixed assets (College buildings) had not been included in the Bala</w:t>
      </w:r>
      <w:r w:rsidR="00057C23">
        <w:rPr>
          <w:lang w:val="en-GB"/>
        </w:rPr>
        <w:t>nce Sheet” (RHC GB110/11, p. 6). However,</w:t>
      </w:r>
      <w:r w:rsidR="005B0B3A">
        <w:rPr>
          <w:lang w:val="en-GB"/>
        </w:rPr>
        <w:t xml:space="preserve"> the College was subject to the requirements of the University of London, as growing amounts of its resources were coming from the British government via the University Grants Committee, which provided funding to </w:t>
      </w:r>
      <w:r w:rsidR="0036754B">
        <w:rPr>
          <w:lang w:val="en-GB"/>
        </w:rPr>
        <w:t xml:space="preserve">the University that was passed on to </w:t>
      </w:r>
      <w:r w:rsidR="005B0B3A">
        <w:rPr>
          <w:lang w:val="en-GB"/>
        </w:rPr>
        <w:t>the College. The University required its constituent colleges to adopt more transparent accounting statements, with a split in the income and expenditure account between “tuition” and “residence” activities, and a balance sheet showing endowments in more detail. The College’s Finance Committee therefore recommended to Council that “the new form of accounts prepared by the Secretary for submission to the University Grants Committee through the Court Department of the University” should be adopted (RHC GB110/11, p. 78).</w:t>
      </w:r>
      <w:r w:rsidR="00917174">
        <w:rPr>
          <w:lang w:val="en-GB"/>
        </w:rPr>
        <w:t xml:space="preserve"> Another factor affecting the form and content of the College accounts is likely to be the desire of the College’s auditors (</w:t>
      </w:r>
      <w:proofErr w:type="spellStart"/>
      <w:r w:rsidR="00917174">
        <w:rPr>
          <w:lang w:val="en-GB"/>
        </w:rPr>
        <w:t>Turquands</w:t>
      </w:r>
      <w:proofErr w:type="spellEnd"/>
      <w:r w:rsidR="00917174">
        <w:rPr>
          <w:lang w:val="en-GB"/>
        </w:rPr>
        <w:t>, Young &amp; Co., a forerunner firm of EY) to give a “true and fair view” opinion in their audit report.</w:t>
      </w:r>
    </w:p>
    <w:p w14:paraId="12EE2703" w14:textId="5C36AA9F" w:rsidR="00A32D03" w:rsidRDefault="00B275C1" w:rsidP="00210CB5">
      <w:pPr>
        <w:rPr>
          <w:lang w:val="en-GB"/>
        </w:rPr>
      </w:pPr>
      <w:r>
        <w:rPr>
          <w:lang w:val="en-GB"/>
        </w:rPr>
        <w:t>Th</w:t>
      </w:r>
      <w:r w:rsidR="00057C23">
        <w:rPr>
          <w:lang w:val="en-GB"/>
        </w:rPr>
        <w:t>e new</w:t>
      </w:r>
      <w:r>
        <w:rPr>
          <w:lang w:val="en-GB"/>
        </w:rPr>
        <w:t xml:space="preserve"> form of accounts included a balance sheet that reflected the College’s land and buildings, and its furniture and equipment. A note to the balance sheet stated: “Fixed Assets appear in this Balance Sheet at figures representing the Council’s valuation thereof </w:t>
      </w:r>
      <w:r w:rsidR="009D283A">
        <w:rPr>
          <w:lang w:val="en-GB"/>
        </w:rPr>
        <w:t xml:space="preserve">as </w:t>
      </w:r>
      <w:r>
        <w:rPr>
          <w:lang w:val="en-GB"/>
        </w:rPr>
        <w:t>at 31</w:t>
      </w:r>
      <w:r w:rsidRPr="00B275C1">
        <w:rPr>
          <w:vertAlign w:val="superscript"/>
          <w:lang w:val="en-GB"/>
        </w:rPr>
        <w:t>st</w:t>
      </w:r>
      <w:r>
        <w:rPr>
          <w:lang w:val="en-GB"/>
        </w:rPr>
        <w:t xml:space="preserve"> July 1949, plus additions since that date at cost.” The amounts attributed to fixed assets were derived from a valuation for fire insurance purposes carried out </w:t>
      </w:r>
      <w:r w:rsidR="009D283A">
        <w:rPr>
          <w:lang w:val="en-GB"/>
        </w:rPr>
        <w:t xml:space="preserve">in January 1950. The Founder’s </w:t>
      </w:r>
      <w:r w:rsidR="00833011">
        <w:rPr>
          <w:lang w:val="en-GB"/>
        </w:rPr>
        <w:t>B</w:t>
      </w:r>
      <w:r w:rsidR="009D283A">
        <w:rPr>
          <w:lang w:val="en-GB"/>
        </w:rPr>
        <w:t>uilding, which had been insured for £250,000 before this valuation, was now insured for £1 million (the building</w:t>
      </w:r>
      <w:r w:rsidR="00057C23">
        <w:rPr>
          <w:lang w:val="en-GB"/>
        </w:rPr>
        <w:t>’s</w:t>
      </w:r>
      <w:r w:rsidR="009D283A">
        <w:rPr>
          <w:lang w:val="en-GB"/>
        </w:rPr>
        <w:t xml:space="preserve"> original</w:t>
      </w:r>
      <w:r w:rsidR="00057C23">
        <w:rPr>
          <w:lang w:val="en-GB"/>
        </w:rPr>
        <w:t xml:space="preserve"> </w:t>
      </w:r>
      <w:r w:rsidR="009D283A">
        <w:rPr>
          <w:lang w:val="en-GB"/>
        </w:rPr>
        <w:t xml:space="preserve">cost </w:t>
      </w:r>
      <w:r w:rsidR="00057C23">
        <w:rPr>
          <w:lang w:val="en-GB"/>
        </w:rPr>
        <w:t xml:space="preserve">of </w:t>
      </w:r>
      <w:r w:rsidR="009D283A">
        <w:rPr>
          <w:lang w:val="en-GB"/>
        </w:rPr>
        <w:t>just over £400,000 would have been equivalent</w:t>
      </w:r>
      <w:r w:rsidR="00057C23">
        <w:rPr>
          <w:lang w:val="en-GB"/>
        </w:rPr>
        <w:t>, allowing for general inflation,</w:t>
      </w:r>
      <w:r w:rsidR="009D283A">
        <w:rPr>
          <w:lang w:val="en-GB"/>
        </w:rPr>
        <w:t xml:space="preserve"> to £1.5 million in 1949 – Bank of England, 2018). The remaining buildings were valued at £157,700. The insurance valuation of furniture and equipment came to £346,604 10s., includ</w:t>
      </w:r>
      <w:r w:rsidR="00A83CAA">
        <w:rPr>
          <w:lang w:val="en-GB"/>
        </w:rPr>
        <w:t>ing</w:t>
      </w:r>
      <w:r w:rsidR="009D283A">
        <w:rPr>
          <w:lang w:val="en-GB"/>
        </w:rPr>
        <w:t xml:space="preserve"> £92,804 10s</w:t>
      </w:r>
      <w:r w:rsidR="00057C23">
        <w:rPr>
          <w:lang w:val="en-GB"/>
        </w:rPr>
        <w:t>.</w:t>
      </w:r>
      <w:r w:rsidR="009D283A">
        <w:rPr>
          <w:lang w:val="en-GB"/>
        </w:rPr>
        <w:t xml:space="preserve"> for “Pictures”. This is almost exactly £9,500 above </w:t>
      </w:r>
      <w:r w:rsidR="009D283A">
        <w:rPr>
          <w:lang w:val="en-GB"/>
        </w:rPr>
        <w:lastRenderedPageBreak/>
        <w:t>the cost of the 77 paintings in Holloway’s picture collection</w:t>
      </w:r>
      <w:r w:rsidR="0036754B">
        <w:rPr>
          <w:lang w:val="en-GB"/>
        </w:rPr>
        <w:t xml:space="preserve">, probably reflecting an estimate of the cost of </w:t>
      </w:r>
      <w:r w:rsidR="009D283A">
        <w:rPr>
          <w:lang w:val="en-GB"/>
        </w:rPr>
        <w:t>additional paintings</w:t>
      </w:r>
      <w:r w:rsidR="0036754B">
        <w:rPr>
          <w:lang w:val="en-GB"/>
        </w:rPr>
        <w:t xml:space="preserve"> acquired by the College </w:t>
      </w:r>
      <w:r w:rsidR="009D283A">
        <w:rPr>
          <w:lang w:val="en-GB"/>
        </w:rPr>
        <w:t>through gifts or by commissioning portraits of Principals and long-serving academics.</w:t>
      </w:r>
      <w:r w:rsidR="00A32D03">
        <w:rPr>
          <w:lang w:val="en-GB"/>
        </w:rPr>
        <w:t xml:space="preserve"> On the published balance sheet for the College for financial periods from 31</w:t>
      </w:r>
      <w:r w:rsidR="00833011">
        <w:rPr>
          <w:lang w:val="en-GB"/>
        </w:rPr>
        <w:t> </w:t>
      </w:r>
      <w:r w:rsidR="00A32D03">
        <w:rPr>
          <w:lang w:val="en-GB"/>
        </w:rPr>
        <w:t xml:space="preserve">July 1950 onwards, therefore, the picture collection was included as an asset, but as part of an omnibus “furniture and equipment” figure. </w:t>
      </w:r>
    </w:p>
    <w:p w14:paraId="555B4BB8" w14:textId="0F252485" w:rsidR="004620E4" w:rsidRDefault="004620E4" w:rsidP="00210CB5">
      <w:pPr>
        <w:rPr>
          <w:lang w:val="en-GB"/>
        </w:rPr>
      </w:pPr>
      <w:r>
        <w:rPr>
          <w:lang w:val="en-GB"/>
        </w:rPr>
        <w:t xml:space="preserve">Rather than hiding the picture collection, and excluding it from the management of the College, the inclusion of the picture collection </w:t>
      </w:r>
      <w:r w:rsidR="00A20D08">
        <w:rPr>
          <w:lang w:val="en-GB"/>
        </w:rPr>
        <w:t>as</w:t>
      </w:r>
      <w:r>
        <w:rPr>
          <w:lang w:val="en-GB"/>
        </w:rPr>
        <w:t xml:space="preserve"> </w:t>
      </w:r>
      <w:r w:rsidR="00833011">
        <w:rPr>
          <w:lang w:val="en-GB"/>
        </w:rPr>
        <w:t>“</w:t>
      </w:r>
      <w:r>
        <w:rPr>
          <w:lang w:val="en-GB"/>
        </w:rPr>
        <w:t>furniture and equipment</w:t>
      </w:r>
      <w:r w:rsidR="00833011">
        <w:rPr>
          <w:lang w:val="en-GB"/>
        </w:rPr>
        <w:t>”</w:t>
      </w:r>
      <w:r>
        <w:rPr>
          <w:lang w:val="en-GB"/>
        </w:rPr>
        <w:t xml:space="preserve"> in the balance sheet was already a counterfeit (Baudrillard, 1983). </w:t>
      </w:r>
      <w:r w:rsidR="00A20D08">
        <w:rPr>
          <w:lang w:val="en-GB"/>
        </w:rPr>
        <w:t xml:space="preserve">Accounting signs did not mirror the collection’s physicality: the picture collection </w:t>
      </w:r>
      <w:r w:rsidR="00CF5A27">
        <w:rPr>
          <w:lang w:val="en-GB"/>
        </w:rPr>
        <w:t xml:space="preserve">was </w:t>
      </w:r>
      <w:r w:rsidR="00833011">
        <w:rPr>
          <w:lang w:val="en-GB"/>
        </w:rPr>
        <w:t>“</w:t>
      </w:r>
      <w:r w:rsidR="00CF5A27">
        <w:rPr>
          <w:lang w:val="en-GB"/>
        </w:rPr>
        <w:t>absorbed</w:t>
      </w:r>
      <w:r w:rsidR="00833011">
        <w:rPr>
          <w:lang w:val="en-GB"/>
        </w:rPr>
        <w:t>”</w:t>
      </w:r>
      <w:r w:rsidR="00CF5A27">
        <w:rPr>
          <w:lang w:val="en-GB"/>
        </w:rPr>
        <w:t xml:space="preserve"> (Macintosh et al., 2000) by the signs as the collection became </w:t>
      </w:r>
      <w:r w:rsidR="00A20D08">
        <w:rPr>
          <w:lang w:val="en-GB"/>
        </w:rPr>
        <w:t xml:space="preserve">an indistinct part of </w:t>
      </w:r>
      <w:r w:rsidR="00833011">
        <w:rPr>
          <w:lang w:val="en-GB"/>
        </w:rPr>
        <w:t>“</w:t>
      </w:r>
      <w:r w:rsidR="00A20D08">
        <w:rPr>
          <w:lang w:val="en-GB"/>
        </w:rPr>
        <w:t>furniture and equipment</w:t>
      </w:r>
      <w:r w:rsidR="00833011">
        <w:rPr>
          <w:lang w:val="en-GB"/>
        </w:rPr>
        <w:t>”</w:t>
      </w:r>
      <w:r w:rsidR="00A20D08">
        <w:rPr>
          <w:lang w:val="en-GB"/>
        </w:rPr>
        <w:t>. At the same time, a</w:t>
      </w:r>
      <w:r>
        <w:rPr>
          <w:lang w:val="en-GB"/>
        </w:rPr>
        <w:t xml:space="preserve">ccounting signs did not </w:t>
      </w:r>
      <w:r w:rsidR="003D16F6">
        <w:rPr>
          <w:lang w:val="en-GB"/>
        </w:rPr>
        <w:t>abandon the physical object they referred to</w:t>
      </w:r>
      <w:r w:rsidR="00A20D08">
        <w:rPr>
          <w:lang w:val="en-GB"/>
        </w:rPr>
        <w:t>: these signs meant that the picture collection, as a physical object, had to be maintained and preserved.</w:t>
      </w:r>
      <w:r w:rsidR="003D16F6">
        <w:rPr>
          <w:lang w:val="en-GB"/>
        </w:rPr>
        <w:t xml:space="preserve"> </w:t>
      </w:r>
    </w:p>
    <w:p w14:paraId="2A74C370" w14:textId="063E02D2" w:rsidR="005B0B3A" w:rsidRDefault="00A32D03" w:rsidP="00210CB5">
      <w:pPr>
        <w:rPr>
          <w:lang w:val="en-GB"/>
        </w:rPr>
      </w:pPr>
      <w:r>
        <w:rPr>
          <w:lang w:val="en-GB"/>
        </w:rPr>
        <w:t>Between 1950 and 1979, the form of the College accounts</w:t>
      </w:r>
      <w:r w:rsidR="009D283A">
        <w:rPr>
          <w:lang w:val="en-GB"/>
        </w:rPr>
        <w:t xml:space="preserve"> </w:t>
      </w:r>
      <w:r>
        <w:rPr>
          <w:lang w:val="en-GB"/>
        </w:rPr>
        <w:t xml:space="preserve">remained largely unchanged, although there was increasing aggregation of amounts into a smaller number of line items. The last year in which a specific expense for the picture gallery was included was 1973, </w:t>
      </w:r>
      <w:r w:rsidR="0036754B">
        <w:rPr>
          <w:lang w:val="en-GB"/>
        </w:rPr>
        <w:t xml:space="preserve">representing </w:t>
      </w:r>
      <w:r>
        <w:rPr>
          <w:lang w:val="en-GB"/>
        </w:rPr>
        <w:t>£2,485 out of total expenditure of about £1.7 million. Fixed assets continued to be shown at valuation as at 31 July 1949 plus subsequent additions at cost, but from 1979 the insurance value of the College buildings was disclosed – in this year, the balance sheet states: “The freehold buildings owned by the College are insured for an amount of £73.5m based on replacement cost in 1979” (RHC GB/117/</w:t>
      </w:r>
      <w:r w:rsidR="00917174">
        <w:rPr>
          <w:lang w:val="en-GB"/>
        </w:rPr>
        <w:t>4). There is no separate disclosure of the insurance value of furniture and equipment, within which the picture collection is still absorbed.</w:t>
      </w:r>
      <w:r w:rsidR="00B67507">
        <w:rPr>
          <w:lang w:val="en-GB"/>
        </w:rPr>
        <w:t xml:space="preserve"> This reporting approach continues until the merger with Bedford College</w:t>
      </w:r>
      <w:r w:rsidR="00697CD6">
        <w:rPr>
          <w:lang w:val="en-GB"/>
        </w:rPr>
        <w:t>.</w:t>
      </w:r>
    </w:p>
    <w:p w14:paraId="5C7A6140" w14:textId="367C0DF6" w:rsidR="00F20396" w:rsidRDefault="00B67507" w:rsidP="00210CB5">
      <w:pPr>
        <w:rPr>
          <w:lang w:val="en-GB"/>
        </w:rPr>
      </w:pPr>
      <w:r>
        <w:rPr>
          <w:lang w:val="en-GB"/>
        </w:rPr>
        <w:t xml:space="preserve">In the first financial statements of the combined RHBNC (for the year ended 31 July 1986), the accounting policy note states that “Fixed assets are at values taken over from the former colleges” (RHC GB/117/4). The presentation of the financial statements of RHBNC is basically the same as that for the old Royal Holloway College. In the 1989 balance sheet, the book value of land and buildings is £28.7m (still based on the 1949 valuation with subsequent additions at cost), while the insurance value is £150m. There is no separate mention of the picture collection, even though the merger had </w:t>
      </w:r>
      <w:r w:rsidR="0067611D">
        <w:rPr>
          <w:lang w:val="en-GB"/>
        </w:rPr>
        <w:t>included</w:t>
      </w:r>
      <w:r>
        <w:rPr>
          <w:lang w:val="en-GB"/>
        </w:rPr>
        <w:t xml:space="preserve"> Bedford College’s a</w:t>
      </w:r>
      <w:r w:rsidR="005A08FD">
        <w:rPr>
          <w:lang w:val="en-GB"/>
        </w:rPr>
        <w:t>rt works, including</w:t>
      </w:r>
      <w:r w:rsidR="00057C23">
        <w:rPr>
          <w:lang w:val="en-GB"/>
        </w:rPr>
        <w:t xml:space="preserve"> several</w:t>
      </w:r>
      <w:r w:rsidR="005A08FD">
        <w:rPr>
          <w:lang w:val="en-GB"/>
        </w:rPr>
        <w:t xml:space="preserve"> paintings by Christiana </w:t>
      </w:r>
      <w:proofErr w:type="spellStart"/>
      <w:r w:rsidR="005A08FD">
        <w:rPr>
          <w:lang w:val="en-GB"/>
        </w:rPr>
        <w:t>Herringham</w:t>
      </w:r>
      <w:proofErr w:type="spellEnd"/>
      <w:r w:rsidR="005A08FD">
        <w:rPr>
          <w:lang w:val="en-GB"/>
        </w:rPr>
        <w:t xml:space="preserve"> (1852-1929) in the style of the Italian Renaissance (Lago, 1996).</w:t>
      </w:r>
      <w:r>
        <w:rPr>
          <w:lang w:val="en-GB"/>
        </w:rPr>
        <w:t xml:space="preserve"> </w:t>
      </w:r>
    </w:p>
    <w:p w14:paraId="5DF1AB9D" w14:textId="77777777" w:rsidR="00F20396" w:rsidRDefault="00B67507" w:rsidP="00210CB5">
      <w:pPr>
        <w:rPr>
          <w:lang w:val="en-GB"/>
        </w:rPr>
      </w:pPr>
      <w:r>
        <w:rPr>
          <w:lang w:val="en-GB"/>
        </w:rPr>
        <w:lastRenderedPageBreak/>
        <w:t>The Annual Reports for 1990 and 1991 (RHBNC CM/Pubs/1/1990-1991) show deficits of £295,000 and £218,000 respectively on the General Revenue Account, but these amounts represent only around one percent of total income. There is no mention of financial difficulties, but behind the scenes</w:t>
      </w:r>
      <w:r w:rsidR="005A08FD">
        <w:rPr>
          <w:lang w:val="en-GB"/>
        </w:rPr>
        <w:t xml:space="preserve"> the Council </w:t>
      </w:r>
      <w:r w:rsidR="00403B3D">
        <w:rPr>
          <w:lang w:val="en-GB"/>
        </w:rPr>
        <w:t>became</w:t>
      </w:r>
      <w:r w:rsidR="005A08FD">
        <w:rPr>
          <w:lang w:val="en-GB"/>
        </w:rPr>
        <w:t xml:space="preserve"> concerned about the future viability of the College (Chong, 1996, p. 172). An independent financial report (RHBNC CP/2/1/2/1990) suggested that the College was grossly under-endowed, given the burden presented by the now </w:t>
      </w:r>
      <w:r w:rsidR="00705FFD">
        <w:rPr>
          <w:lang w:val="en-GB"/>
        </w:rPr>
        <w:t>100</w:t>
      </w:r>
      <w:r w:rsidR="003B03BD">
        <w:rPr>
          <w:lang w:val="en-GB"/>
        </w:rPr>
        <w:t xml:space="preserve">-year </w:t>
      </w:r>
      <w:r w:rsidR="005A08FD">
        <w:rPr>
          <w:lang w:val="en-GB"/>
        </w:rPr>
        <w:t>old Founder’s Building</w:t>
      </w:r>
      <w:r w:rsidR="00705FFD">
        <w:rPr>
          <w:lang w:val="en-GB"/>
        </w:rPr>
        <w:t xml:space="preserve">. The report concluded that “the original Thomas Holloway bequest has ensured that the College has assets part of which could be realised in order to provide an endowment fund. This would need to be of the order of £15,000,000 to £20,000,000” (quoted in Chong, 1996, p. 173). </w:t>
      </w:r>
    </w:p>
    <w:p w14:paraId="1B519E4C" w14:textId="679EDB12" w:rsidR="00705FFD" w:rsidRDefault="00705FFD" w:rsidP="00210CB5">
      <w:pPr>
        <w:rPr>
          <w:lang w:val="en-GB"/>
        </w:rPr>
      </w:pPr>
      <w:r>
        <w:rPr>
          <w:lang w:val="en-GB"/>
        </w:rPr>
        <w:t xml:space="preserve">However, selling some or all of the picture collection seemed to contradict Holloway’s intention in buying the pictures and </w:t>
      </w:r>
      <w:r w:rsidR="00315296">
        <w:rPr>
          <w:lang w:val="en-GB"/>
        </w:rPr>
        <w:t xml:space="preserve">gifting </w:t>
      </w:r>
      <w:r>
        <w:rPr>
          <w:lang w:val="en-GB"/>
        </w:rPr>
        <w:t>them to the College: they were clearly intended to be kept as a collection rather than being considered investments that could be sold if necessary to raise cash. It was therefore not surprising that, when the intention to sell paintings became public, the College came under substantial pressure in the press, and e</w:t>
      </w:r>
      <w:r w:rsidR="00403B3D">
        <w:rPr>
          <w:lang w:val="en-GB"/>
        </w:rPr>
        <w:t>ven in a House of Lords debate on 21 January 1993</w:t>
      </w:r>
      <w:r>
        <w:rPr>
          <w:lang w:val="en-GB"/>
        </w:rPr>
        <w:t>, as well as from the College’s own academic staff, to change its mind.</w:t>
      </w:r>
    </w:p>
    <w:p w14:paraId="2532918B" w14:textId="4084E1D5" w:rsidR="00F20396" w:rsidRPr="005B7EA6" w:rsidRDefault="00F20396" w:rsidP="00210CB5">
      <w:pPr>
        <w:rPr>
          <w:lang w:val="en-GB"/>
        </w:rPr>
      </w:pPr>
      <w:r>
        <w:rPr>
          <w:lang w:val="en-GB"/>
        </w:rPr>
        <w:t xml:space="preserve">According to Baudrillard, the </w:t>
      </w:r>
      <w:r w:rsidR="00833011">
        <w:rPr>
          <w:lang w:val="en-GB"/>
        </w:rPr>
        <w:t>“</w:t>
      </w:r>
      <w:r>
        <w:rPr>
          <w:lang w:val="en-GB"/>
        </w:rPr>
        <w:t>counterfeit era</w:t>
      </w:r>
      <w:r w:rsidR="00833011">
        <w:rPr>
          <w:lang w:val="en-GB"/>
        </w:rPr>
        <w:t>”</w:t>
      </w:r>
      <w:r>
        <w:rPr>
          <w:lang w:val="en-GB"/>
        </w:rPr>
        <w:t xml:space="preserve"> is associated with the birth of competitive democracies</w:t>
      </w:r>
      <w:r w:rsidR="005B7EA6">
        <w:rPr>
          <w:lang w:val="en-GB"/>
        </w:rPr>
        <w:t>: “</w:t>
      </w:r>
      <w:r w:rsidR="005B7EA6" w:rsidRPr="005B7EA6">
        <w:rPr>
          <w:lang w:val="en-GB"/>
        </w:rPr>
        <w:t>Signs were no longer dominated by an unbreakable, hierarchized, and reciprocal social order. Labour and capital were now free to circulate to where they could get the best deal.</w:t>
      </w:r>
      <w:r w:rsidR="005B7EA6">
        <w:rPr>
          <w:lang w:val="en-GB"/>
        </w:rPr>
        <w:t xml:space="preserve"> [...]</w:t>
      </w:r>
      <w:r w:rsidR="005B7EA6" w:rsidRPr="005B7EA6">
        <w:rPr>
          <w:lang w:val="en-GB"/>
        </w:rPr>
        <w:t xml:space="preserve"> The sign’s clarity, no longer restricted, could now signify in sundry directions</w:t>
      </w:r>
      <w:r w:rsidR="005B7EA6">
        <w:rPr>
          <w:lang w:val="en-GB"/>
        </w:rPr>
        <w:t xml:space="preserve">” (Macintosh, 2003, p. 458). For the picture collection, the </w:t>
      </w:r>
      <w:r w:rsidR="00CF5A27">
        <w:rPr>
          <w:lang w:val="en-GB"/>
        </w:rPr>
        <w:t>changing accounting signs</w:t>
      </w:r>
      <w:r w:rsidR="005B7EA6">
        <w:rPr>
          <w:lang w:val="en-GB"/>
        </w:rPr>
        <w:t xml:space="preserve"> meant that the pictures could be managed to achieve the </w:t>
      </w:r>
      <w:r w:rsidR="00833011">
        <w:rPr>
          <w:lang w:val="en-GB"/>
        </w:rPr>
        <w:t>“</w:t>
      </w:r>
      <w:r w:rsidR="005B7EA6">
        <w:rPr>
          <w:lang w:val="en-GB"/>
        </w:rPr>
        <w:t>best deal</w:t>
      </w:r>
      <w:r w:rsidR="00833011">
        <w:rPr>
          <w:lang w:val="en-GB"/>
        </w:rPr>
        <w:t>”</w:t>
      </w:r>
      <w:r w:rsidR="005B7EA6">
        <w:rPr>
          <w:lang w:val="en-GB"/>
        </w:rPr>
        <w:t xml:space="preserve">. </w:t>
      </w:r>
      <w:r w:rsidR="00CF5A27">
        <w:rPr>
          <w:lang w:val="en-GB"/>
        </w:rPr>
        <w:t>The sign-referent relation evolved as a</w:t>
      </w:r>
      <w:r w:rsidR="005B7EA6">
        <w:rPr>
          <w:lang w:val="en-GB"/>
        </w:rPr>
        <w:t xml:space="preserve">ccounting signs for the picture collection could signify something </w:t>
      </w:r>
      <w:r w:rsidR="00315296">
        <w:rPr>
          <w:lang w:val="en-GB"/>
        </w:rPr>
        <w:t>other</w:t>
      </w:r>
      <w:r w:rsidR="005B7EA6">
        <w:rPr>
          <w:lang w:val="en-GB"/>
        </w:rPr>
        <w:t xml:space="preserve"> than the physical object</w:t>
      </w:r>
      <w:r w:rsidR="008376E6">
        <w:rPr>
          <w:lang w:val="en-GB"/>
        </w:rPr>
        <w:t xml:space="preserve"> they referred to</w:t>
      </w:r>
      <w:r w:rsidR="005B7EA6">
        <w:rPr>
          <w:lang w:val="en-GB"/>
        </w:rPr>
        <w:t xml:space="preserve">, for example the cash flows coming from the </w:t>
      </w:r>
      <w:r w:rsidR="00C74D30">
        <w:rPr>
          <w:lang w:val="en-GB"/>
        </w:rPr>
        <w:t xml:space="preserve">eventual </w:t>
      </w:r>
      <w:r w:rsidR="005B7EA6">
        <w:rPr>
          <w:lang w:val="en-GB"/>
        </w:rPr>
        <w:t>sales of the pictures</w:t>
      </w:r>
      <w:r w:rsidR="008376E6">
        <w:rPr>
          <w:lang w:val="en-GB"/>
        </w:rPr>
        <w:t xml:space="preserve">, rather than the pictures themselves. This shift </w:t>
      </w:r>
      <w:r w:rsidR="009C1919">
        <w:rPr>
          <w:lang w:val="en-GB"/>
        </w:rPr>
        <w:t>triggered</w:t>
      </w:r>
      <w:r w:rsidR="008376E6">
        <w:rPr>
          <w:lang w:val="en-GB"/>
        </w:rPr>
        <w:t xml:space="preserve"> the interest of actors</w:t>
      </w:r>
      <w:r w:rsidR="00C74D30">
        <w:rPr>
          <w:lang w:val="en-GB"/>
        </w:rPr>
        <w:t xml:space="preserve"> such as the College,</w:t>
      </w:r>
      <w:r w:rsidR="0067611D">
        <w:rPr>
          <w:lang w:val="en-GB"/>
        </w:rPr>
        <w:t xml:space="preserve"> the</w:t>
      </w:r>
      <w:r w:rsidR="00C74D30">
        <w:rPr>
          <w:lang w:val="en-GB"/>
        </w:rPr>
        <w:t xml:space="preserve"> House of Lords, </w:t>
      </w:r>
      <w:r w:rsidR="00315296">
        <w:rPr>
          <w:lang w:val="en-GB"/>
        </w:rPr>
        <w:t>and</w:t>
      </w:r>
      <w:r w:rsidR="00C74D30">
        <w:rPr>
          <w:lang w:val="en-GB"/>
        </w:rPr>
        <w:t xml:space="preserve"> the press</w:t>
      </w:r>
      <w:r w:rsidR="008376E6">
        <w:rPr>
          <w:lang w:val="en-GB"/>
        </w:rPr>
        <w:t xml:space="preserve">, </w:t>
      </w:r>
      <w:r w:rsidR="00315296">
        <w:rPr>
          <w:lang w:val="en-GB"/>
        </w:rPr>
        <w:t xml:space="preserve">who were </w:t>
      </w:r>
      <w:r w:rsidR="008376E6">
        <w:rPr>
          <w:lang w:val="en-GB"/>
        </w:rPr>
        <w:t>attracted (or concerned) by the deal</w:t>
      </w:r>
      <w:r w:rsidR="00C74D30">
        <w:rPr>
          <w:lang w:val="en-GB"/>
        </w:rPr>
        <w:t xml:space="preserve"> </w:t>
      </w:r>
      <w:r w:rsidR="008376E6">
        <w:rPr>
          <w:lang w:val="en-GB"/>
        </w:rPr>
        <w:t xml:space="preserve">that the changing sign-referent relation enabled. </w:t>
      </w:r>
      <w:r w:rsidR="0067611D">
        <w:rPr>
          <w:lang w:val="en-GB"/>
        </w:rPr>
        <w:t xml:space="preserve">Hence, the picture collection </w:t>
      </w:r>
      <w:r w:rsidR="009C1919">
        <w:rPr>
          <w:lang w:val="en-GB"/>
        </w:rPr>
        <w:t xml:space="preserve">was a </w:t>
      </w:r>
      <w:r w:rsidR="00833011">
        <w:rPr>
          <w:lang w:val="en-GB"/>
        </w:rPr>
        <w:t>“</w:t>
      </w:r>
      <w:r w:rsidR="009C1919">
        <w:rPr>
          <w:lang w:val="en-GB"/>
        </w:rPr>
        <w:t>matter of concern</w:t>
      </w:r>
      <w:r w:rsidR="00833011">
        <w:rPr>
          <w:lang w:val="en-GB"/>
        </w:rPr>
        <w:t>”</w:t>
      </w:r>
      <w:r w:rsidR="009C1919">
        <w:rPr>
          <w:lang w:val="en-GB"/>
        </w:rPr>
        <w:t xml:space="preserve"> (Latour, 2004) for the</w:t>
      </w:r>
      <w:r w:rsidR="008376E6">
        <w:rPr>
          <w:lang w:val="en-GB"/>
        </w:rPr>
        <w:t xml:space="preserve"> College and press</w:t>
      </w:r>
      <w:r w:rsidR="008376E6" w:rsidRPr="008376E6">
        <w:rPr>
          <w:lang w:val="en-GB"/>
        </w:rPr>
        <w:t xml:space="preserve"> </w:t>
      </w:r>
      <w:r w:rsidR="008376E6">
        <w:rPr>
          <w:lang w:val="en-GB"/>
        </w:rPr>
        <w:t xml:space="preserve">in </w:t>
      </w:r>
      <w:r w:rsidR="00CF6A18">
        <w:rPr>
          <w:lang w:val="en-GB"/>
        </w:rPr>
        <w:t>different</w:t>
      </w:r>
      <w:r w:rsidR="008376E6">
        <w:rPr>
          <w:lang w:val="en-GB"/>
        </w:rPr>
        <w:t xml:space="preserve"> ways.</w:t>
      </w:r>
    </w:p>
    <w:p w14:paraId="2006435C" w14:textId="525BAFF7" w:rsidR="00B67507" w:rsidRDefault="00705FFD" w:rsidP="00210CB5">
      <w:pPr>
        <w:rPr>
          <w:lang w:val="en-GB"/>
        </w:rPr>
      </w:pPr>
      <w:r>
        <w:rPr>
          <w:lang w:val="en-GB"/>
        </w:rPr>
        <w:t xml:space="preserve">In order to be able to sell endowment assets, the College needed the consent of the Charity Commissioners, as the official regulators of charitable organisations. The Commissioners studied the various </w:t>
      </w:r>
      <w:r w:rsidR="00B374CE">
        <w:rPr>
          <w:lang w:val="en-GB"/>
        </w:rPr>
        <w:t xml:space="preserve">trust deeds from the early 1880s and concluded that there was no absolute </w:t>
      </w:r>
      <w:r w:rsidR="00B374CE">
        <w:rPr>
          <w:lang w:val="en-GB"/>
        </w:rPr>
        <w:lastRenderedPageBreak/>
        <w:t xml:space="preserve">prohibition against selling any of the pictures. </w:t>
      </w:r>
      <w:r w:rsidR="00F259EB">
        <w:rPr>
          <w:lang w:val="en-GB"/>
        </w:rPr>
        <w:t xml:space="preserve">They </w:t>
      </w:r>
      <w:r w:rsidR="00A3180C">
        <w:rPr>
          <w:lang w:val="en-GB"/>
        </w:rPr>
        <w:t>relied on the original trust deed of 5</w:t>
      </w:r>
      <w:r w:rsidR="00833011">
        <w:rPr>
          <w:lang w:val="en-GB"/>
        </w:rPr>
        <w:t> </w:t>
      </w:r>
      <w:r w:rsidR="00A3180C">
        <w:rPr>
          <w:lang w:val="en-GB"/>
        </w:rPr>
        <w:t>August 1881, which suggested that the purpose of the picture collection was “the decoration of the College” (Chong, 1996, p. 174)</w:t>
      </w:r>
      <w:r w:rsidR="00697CD6">
        <w:rPr>
          <w:lang w:val="en-GB"/>
        </w:rPr>
        <w:t>.</w:t>
      </w:r>
      <w:r w:rsidR="00A3180C">
        <w:rPr>
          <w:lang w:val="en-GB"/>
        </w:rPr>
        <w:t xml:space="preserve"> </w:t>
      </w:r>
      <w:r w:rsidR="00697CD6">
        <w:rPr>
          <w:lang w:val="en-GB"/>
        </w:rPr>
        <w:t>This</w:t>
      </w:r>
      <w:r w:rsidR="00A3180C">
        <w:rPr>
          <w:lang w:val="en-GB"/>
        </w:rPr>
        <w:t xml:space="preserve"> led critics to accuse the Commissioners of regarding the collection as no more than “glorified wallpaper”.</w:t>
      </w:r>
      <w:r w:rsidR="00F259EB">
        <w:rPr>
          <w:lang w:val="en-GB"/>
        </w:rPr>
        <w:t xml:space="preserve"> </w:t>
      </w:r>
      <w:r w:rsidR="00B374CE">
        <w:rPr>
          <w:lang w:val="en-GB"/>
        </w:rPr>
        <w:t xml:space="preserve">The Commissioners </w:t>
      </w:r>
      <w:r w:rsidR="00057C23">
        <w:rPr>
          <w:lang w:val="en-GB"/>
        </w:rPr>
        <w:t>took the view</w:t>
      </w:r>
      <w:r w:rsidR="00B374CE">
        <w:rPr>
          <w:lang w:val="en-GB"/>
        </w:rPr>
        <w:t xml:space="preserve"> that the need to maintain the Founder’s Building would have been important to Holloway, to such an extent that he would have accepted the sale of some pictures to provide funds for preserving the building (Chong, 1996, p. 174). The first sale, in February 1993, of Turner’s </w:t>
      </w:r>
      <w:r w:rsidR="00B374CE">
        <w:rPr>
          <w:i/>
          <w:lang w:val="en-GB"/>
        </w:rPr>
        <w:t>Van Tromp</w:t>
      </w:r>
      <w:r w:rsidR="00B374CE">
        <w:rPr>
          <w:lang w:val="en-GB"/>
        </w:rPr>
        <w:t>, realised about £11 million</w:t>
      </w:r>
      <w:r w:rsidR="00697CD6">
        <w:rPr>
          <w:lang w:val="en-GB"/>
        </w:rPr>
        <w:t xml:space="preserve">, the purchaser being </w:t>
      </w:r>
      <w:r w:rsidR="00B374CE">
        <w:rPr>
          <w:lang w:val="en-GB"/>
        </w:rPr>
        <w:t>the Getty Museum in California.</w:t>
      </w:r>
    </w:p>
    <w:p w14:paraId="1E25F366" w14:textId="72729A3D" w:rsidR="009240E3" w:rsidRPr="00204DDB" w:rsidRDefault="00B374CE" w:rsidP="0067611D">
      <w:pPr>
        <w:rPr>
          <w:lang w:val="en-GB"/>
        </w:rPr>
      </w:pPr>
      <w:r>
        <w:rPr>
          <w:lang w:val="en-GB"/>
        </w:rPr>
        <w:t>The sale had accounting implications. The Charity Commissioners had stipulated that the sales proceeds would be invested in a portfolio of securities,</w:t>
      </w:r>
      <w:r w:rsidR="00BC2E2A">
        <w:rPr>
          <w:lang w:val="en-GB"/>
        </w:rPr>
        <w:t xml:space="preserve"> managed separately from the College’s other assets,</w:t>
      </w:r>
      <w:r>
        <w:rPr>
          <w:lang w:val="en-GB"/>
        </w:rPr>
        <w:t xml:space="preserve"> and that </w:t>
      </w:r>
      <w:r w:rsidR="00BC2E2A">
        <w:rPr>
          <w:lang w:val="en-GB"/>
        </w:rPr>
        <w:t>the College would create a new restricted capital account called the “Founder’s Endowment Fund” (FEF). The income from the FEF could be applied for three purposes: “(a) maintenance, security and upkeep of the pictures and picture gallery of the College; (b) in the maintenance and improvement of the original buildings and grounds of the College; and (c) in any other way which will further the general charitable purposes of the College for which provision is not made out of Government fund or by other usual University funding sources</w:t>
      </w:r>
      <w:r w:rsidR="009240E3">
        <w:rPr>
          <w:lang w:val="en-GB"/>
        </w:rPr>
        <w:t xml:space="preserve">” (RHUL, 2017, p. 35). </w:t>
      </w:r>
      <w:r w:rsidR="009240E3" w:rsidRPr="00204DDB">
        <w:rPr>
          <w:lang w:val="en-GB"/>
        </w:rPr>
        <w:t xml:space="preserve">In the financial statements themselves, a new item “short-term investments” amounting to £10,878,000 appeared among the assets, while under the item “specific endowments”, the total of restricted funds increased by the same amount. Similar accounting effects happened when two other paintings were sold in the following periods: Gainsborough’s </w:t>
      </w:r>
      <w:r w:rsidR="009240E3" w:rsidRPr="00204DDB">
        <w:rPr>
          <w:i/>
          <w:lang w:val="en-GB"/>
        </w:rPr>
        <w:t>Peasants Going to Market</w:t>
      </w:r>
      <w:r w:rsidR="009240E3" w:rsidRPr="00204DDB">
        <w:rPr>
          <w:lang w:val="en-GB"/>
        </w:rPr>
        <w:t xml:space="preserve"> for £3.5 million to a private British collector in October 1993, and Constable’s </w:t>
      </w:r>
      <w:r w:rsidR="009240E3" w:rsidRPr="00204DDB">
        <w:rPr>
          <w:i/>
          <w:lang w:val="en-GB"/>
        </w:rPr>
        <w:t>Sketch for ‘View on the Stour, near Dedham</w:t>
      </w:r>
      <w:r w:rsidR="009240E3" w:rsidRPr="00204DDB">
        <w:rPr>
          <w:lang w:val="en-GB"/>
        </w:rPr>
        <w:t xml:space="preserve"> for £6.7 million to the same collector in March 1995.</w:t>
      </w:r>
      <w:r w:rsidR="00B53D23" w:rsidRPr="00204DDB">
        <w:rPr>
          <w:lang w:val="en-GB"/>
        </w:rPr>
        <w:t xml:space="preserve"> </w:t>
      </w:r>
      <w:r w:rsidR="00697CD6">
        <w:rPr>
          <w:lang w:val="en-GB"/>
        </w:rPr>
        <w:t>However, the remaining picture collection was still</w:t>
      </w:r>
      <w:r w:rsidR="0067611D">
        <w:rPr>
          <w:lang w:val="en-GB"/>
        </w:rPr>
        <w:t xml:space="preserve"> effectively</w:t>
      </w:r>
      <w:r w:rsidR="00697CD6">
        <w:rPr>
          <w:lang w:val="en-GB"/>
        </w:rPr>
        <w:t xml:space="preserve"> invisible in accounting terms.</w:t>
      </w:r>
    </w:p>
    <w:p w14:paraId="30F743D5" w14:textId="77777777" w:rsidR="001B4C45" w:rsidRDefault="00B53D23" w:rsidP="00210CB5">
      <w:pPr>
        <w:rPr>
          <w:lang w:val="en-GB"/>
        </w:rPr>
      </w:pPr>
      <w:r>
        <w:rPr>
          <w:lang w:val="en-GB"/>
        </w:rPr>
        <w:t xml:space="preserve">By the mid-1990s, a world-wide debate had begun about whether “heritage assets” should be included in the balance sheets of their owners, such as museums, art galleries and public institutions. Carnegie and </w:t>
      </w:r>
      <w:proofErr w:type="spellStart"/>
      <w:r>
        <w:rPr>
          <w:lang w:val="en-GB"/>
        </w:rPr>
        <w:t>Wolnizer</w:t>
      </w:r>
      <w:proofErr w:type="spellEnd"/>
      <w:r>
        <w:rPr>
          <w:lang w:val="en-GB"/>
        </w:rPr>
        <w:t xml:space="preserve"> (1995)</w:t>
      </w:r>
      <w:r w:rsidR="009C4AAF">
        <w:rPr>
          <w:lang w:val="en-GB"/>
        </w:rPr>
        <w:t xml:space="preserve"> discussed the introduction of valuations of cultural, heritage and scientific collections into the balance sheets of public institutions. Their view was that this accounting treatment was conceptually unsound because such collections did not meet the accounting definition of “asset”. Indeed, Barton (2000) </w:t>
      </w:r>
      <w:r w:rsidR="00487C66">
        <w:rPr>
          <w:lang w:val="en-GB"/>
        </w:rPr>
        <w:t>went</w:t>
      </w:r>
      <w:r w:rsidR="009C4AAF">
        <w:rPr>
          <w:lang w:val="en-GB"/>
        </w:rPr>
        <w:t xml:space="preserve"> so far as to argue that </w:t>
      </w:r>
      <w:r w:rsidR="008851B5">
        <w:rPr>
          <w:lang w:val="en-GB"/>
        </w:rPr>
        <w:t xml:space="preserve">collections of </w:t>
      </w:r>
      <w:r w:rsidR="009C4AAF">
        <w:rPr>
          <w:lang w:val="en-GB"/>
        </w:rPr>
        <w:t xml:space="preserve">heritage “assets” were often closer to the definition of “liability”, in that they usually involved the owner in obligations to maintain, conserve and provide access to the </w:t>
      </w:r>
      <w:r w:rsidR="009C4AAF">
        <w:rPr>
          <w:lang w:val="en-GB"/>
        </w:rPr>
        <w:lastRenderedPageBreak/>
        <w:t>collections at a cost substantially greater than any revenues that could be generated from ownership.</w:t>
      </w:r>
    </w:p>
    <w:p w14:paraId="18F20990" w14:textId="260D1ECA" w:rsidR="009C4AAF" w:rsidRDefault="00325D04" w:rsidP="00210CB5">
      <w:pPr>
        <w:rPr>
          <w:lang w:val="en-GB"/>
        </w:rPr>
      </w:pPr>
      <w:r>
        <w:rPr>
          <w:lang w:val="en-GB"/>
        </w:rPr>
        <w:t xml:space="preserve">With the introduction of a SORP for British universities, and more particularly the requirement to </w:t>
      </w:r>
      <w:r w:rsidR="00764843">
        <w:rPr>
          <w:lang w:val="en-GB"/>
        </w:rPr>
        <w:t>recogni</w:t>
      </w:r>
      <w:r>
        <w:rPr>
          <w:lang w:val="en-GB"/>
        </w:rPr>
        <w:t>se</w:t>
      </w:r>
      <w:r w:rsidR="00764843">
        <w:rPr>
          <w:lang w:val="en-GB"/>
        </w:rPr>
        <w:t xml:space="preserve"> heritage assets</w:t>
      </w:r>
      <w:r w:rsidR="00423607">
        <w:rPr>
          <w:lang w:val="en-GB"/>
        </w:rPr>
        <w:t>,</w:t>
      </w:r>
      <w:r w:rsidR="00C328DE">
        <w:rPr>
          <w:lang w:val="en-GB"/>
        </w:rPr>
        <w:t xml:space="preserve"> </w:t>
      </w:r>
      <w:r>
        <w:rPr>
          <w:lang w:val="en-GB"/>
        </w:rPr>
        <w:t>t</w:t>
      </w:r>
      <w:r w:rsidR="00C328DE">
        <w:rPr>
          <w:lang w:val="en-GB"/>
        </w:rPr>
        <w:t xml:space="preserve">he Royal Holloway picture collection </w:t>
      </w:r>
      <w:r>
        <w:rPr>
          <w:lang w:val="en-GB"/>
        </w:rPr>
        <w:t>had to be</w:t>
      </w:r>
      <w:r w:rsidR="00C328DE">
        <w:rPr>
          <w:lang w:val="en-GB"/>
        </w:rPr>
        <w:t xml:space="preserve"> brought onto the balance sheet</w:t>
      </w:r>
      <w:r>
        <w:rPr>
          <w:lang w:val="en-GB"/>
        </w:rPr>
        <w:t xml:space="preserve">. The insurance value of the collection in </w:t>
      </w:r>
      <w:r w:rsidR="00423607">
        <w:rPr>
          <w:lang w:val="en-GB"/>
        </w:rPr>
        <w:t xml:space="preserve">1999 </w:t>
      </w:r>
      <w:r>
        <w:rPr>
          <w:lang w:val="en-GB"/>
        </w:rPr>
        <w:t xml:space="preserve">was </w:t>
      </w:r>
      <w:r w:rsidR="00C328DE">
        <w:rPr>
          <w:lang w:val="en-GB"/>
        </w:rPr>
        <w:t>about £16 million</w:t>
      </w:r>
      <w:r w:rsidR="00423607">
        <w:rPr>
          <w:lang w:val="en-GB"/>
        </w:rPr>
        <w:t xml:space="preserve"> (RHBNC CM/Pubs/1/1999)</w:t>
      </w:r>
      <w:r w:rsidR="00C328DE">
        <w:rPr>
          <w:lang w:val="en-GB"/>
        </w:rPr>
        <w:t>,</w:t>
      </w:r>
      <w:r>
        <w:rPr>
          <w:lang w:val="en-GB"/>
        </w:rPr>
        <w:t xml:space="preserve"> and the availability of this figure precluded the College from using the exception permitting non-recognition of heritage assets where cost or value information could not be obtained at reasonable cost. The picture collection was</w:t>
      </w:r>
      <w:r w:rsidR="00C328DE">
        <w:rPr>
          <w:lang w:val="en-GB"/>
        </w:rPr>
        <w:t xml:space="preserve"> included under the heading “endowment asset investments”, with a balancing credit to restricted endowment funds. This accounting treatment has continued</w:t>
      </w:r>
      <w:r>
        <w:rPr>
          <w:lang w:val="en-GB"/>
        </w:rPr>
        <w:t xml:space="preserve"> in broad terms</w:t>
      </w:r>
      <w:r w:rsidR="00C328DE">
        <w:rPr>
          <w:lang w:val="en-GB"/>
        </w:rPr>
        <w:t>, although the measurement basis is now described as “open market value”</w:t>
      </w:r>
      <w:r w:rsidR="0060612E">
        <w:rPr>
          <w:lang w:val="en-GB"/>
        </w:rPr>
        <w:t>, which is further interpreted to mean “high auction value”</w:t>
      </w:r>
      <w:r w:rsidR="00C328DE">
        <w:rPr>
          <w:lang w:val="en-GB"/>
        </w:rPr>
        <w:t>.</w:t>
      </w:r>
      <w:r w:rsidR="0060612E">
        <w:rPr>
          <w:lang w:val="en-GB"/>
        </w:rPr>
        <w:t xml:space="preserve"> </w:t>
      </w:r>
      <w:r w:rsidR="00F259EB">
        <w:rPr>
          <w:lang w:val="en-GB"/>
        </w:rPr>
        <w:t>T</w:t>
      </w:r>
      <w:r w:rsidR="0060612E">
        <w:rPr>
          <w:lang w:val="en-GB"/>
        </w:rPr>
        <w:t xml:space="preserve">he valuation, which is carried out every five years, </w:t>
      </w:r>
      <w:r w:rsidR="00F259EB">
        <w:rPr>
          <w:lang w:val="en-GB"/>
        </w:rPr>
        <w:t>with an update in year three, i</w:t>
      </w:r>
      <w:r w:rsidR="0060612E">
        <w:rPr>
          <w:lang w:val="en-GB"/>
        </w:rPr>
        <w:t>s performed by Christie’s</w:t>
      </w:r>
      <w:r w:rsidR="00B01E98">
        <w:rPr>
          <w:lang w:val="en-GB"/>
        </w:rPr>
        <w:t>.</w:t>
      </w:r>
      <w:r w:rsidR="00C328DE">
        <w:rPr>
          <w:lang w:val="en-GB"/>
        </w:rPr>
        <w:t xml:space="preserve"> The most recent financial statements (for the year </w:t>
      </w:r>
      <w:r>
        <w:rPr>
          <w:lang w:val="en-GB"/>
        </w:rPr>
        <w:t>ended 31 July 201</w:t>
      </w:r>
      <w:r w:rsidR="0067611D">
        <w:rPr>
          <w:lang w:val="en-GB"/>
        </w:rPr>
        <w:t>9</w:t>
      </w:r>
      <w:r>
        <w:rPr>
          <w:lang w:val="en-GB"/>
        </w:rPr>
        <w:t xml:space="preserve"> – RHUL, 201</w:t>
      </w:r>
      <w:r w:rsidR="002802B0">
        <w:rPr>
          <w:lang w:val="en-GB"/>
        </w:rPr>
        <w:t>9</w:t>
      </w:r>
      <w:r w:rsidR="0060612E">
        <w:rPr>
          <w:lang w:val="en-GB"/>
        </w:rPr>
        <w:t>) include the picture collection under “fixed assets” at a net book value of £2</w:t>
      </w:r>
      <w:r w:rsidR="002802B0">
        <w:rPr>
          <w:lang w:val="en-GB"/>
        </w:rPr>
        <w:t>8.7</w:t>
      </w:r>
      <w:r w:rsidR="007F3E6E">
        <w:rPr>
          <w:lang w:val="en-GB"/>
        </w:rPr>
        <w:t> </w:t>
      </w:r>
      <w:r w:rsidR="0060612E">
        <w:rPr>
          <w:lang w:val="en-GB"/>
        </w:rPr>
        <w:t>million. Adjusting the cost of the picture collection for the sale of the three paintings in 1993-95, the collection would be worth about £8.6 million if its value had merely kept pace with general inflation since the early 1880s (Bank of England, 2018). A note to the accounts (RHUL, 201</w:t>
      </w:r>
      <w:r w:rsidR="005C150E">
        <w:rPr>
          <w:lang w:val="en-GB"/>
        </w:rPr>
        <w:t>9</w:t>
      </w:r>
      <w:r>
        <w:rPr>
          <w:lang w:val="en-GB"/>
        </w:rPr>
        <w:t xml:space="preserve">, p. </w:t>
      </w:r>
      <w:r w:rsidR="005C150E">
        <w:rPr>
          <w:lang w:val="en-GB"/>
        </w:rPr>
        <w:t>46</w:t>
      </w:r>
      <w:r w:rsidR="0060612E">
        <w:rPr>
          <w:lang w:val="en-GB"/>
        </w:rPr>
        <w:t>) observes rather pathetically that “The College’s Picture Collection which is displayed in the Picture Gallery contributes to the appeal of the venue for functions and tours.”</w:t>
      </w:r>
    </w:p>
    <w:p w14:paraId="1865A238" w14:textId="6062F842" w:rsidR="00CF5A27" w:rsidRDefault="00CF5A27" w:rsidP="00210CB5">
      <w:pPr>
        <w:rPr>
          <w:lang w:val="en-GB"/>
        </w:rPr>
      </w:pPr>
      <w:r>
        <w:rPr>
          <w:lang w:val="en-GB"/>
        </w:rPr>
        <w:t xml:space="preserve">Whereas </w:t>
      </w:r>
      <w:r w:rsidR="00315296">
        <w:rPr>
          <w:lang w:val="en-GB"/>
        </w:rPr>
        <w:t xml:space="preserve">the </w:t>
      </w:r>
      <w:r>
        <w:rPr>
          <w:lang w:val="en-GB"/>
        </w:rPr>
        <w:t xml:space="preserve">accounting signs </w:t>
      </w:r>
      <w:r w:rsidR="00315296">
        <w:rPr>
          <w:lang w:val="en-GB"/>
        </w:rPr>
        <w:t xml:space="preserve">for the picture collection </w:t>
      </w:r>
      <w:r w:rsidR="00C613E8">
        <w:rPr>
          <w:lang w:val="en-GB"/>
        </w:rPr>
        <w:t>have been, in Baudrillard’s terms, counterfeits, the relationship between sign and referent has been dynamic, implying that the accounting signs</w:t>
      </w:r>
      <w:r w:rsidR="0002576B">
        <w:rPr>
          <w:lang w:val="en-GB"/>
        </w:rPr>
        <w:t xml:space="preserve"> signified in </w:t>
      </w:r>
      <w:r w:rsidR="00DB6A9B">
        <w:rPr>
          <w:lang w:val="en-GB"/>
        </w:rPr>
        <w:t>“</w:t>
      </w:r>
      <w:r>
        <w:rPr>
          <w:lang w:val="en-GB"/>
        </w:rPr>
        <w:t>sundry directions</w:t>
      </w:r>
      <w:r w:rsidR="00DB6A9B">
        <w:rPr>
          <w:lang w:val="en-GB"/>
        </w:rPr>
        <w:t>”</w:t>
      </w:r>
      <w:r>
        <w:rPr>
          <w:lang w:val="en-GB"/>
        </w:rPr>
        <w:t xml:space="preserve"> </w:t>
      </w:r>
      <w:r w:rsidR="0002576B">
        <w:rPr>
          <w:lang w:val="en-GB"/>
        </w:rPr>
        <w:t>(Macintosh, 200</w:t>
      </w:r>
      <w:r w:rsidR="00E922BA">
        <w:rPr>
          <w:lang w:val="en-GB"/>
        </w:rPr>
        <w:t>3</w:t>
      </w:r>
      <w:r w:rsidR="0002576B">
        <w:rPr>
          <w:lang w:val="en-GB"/>
        </w:rPr>
        <w:t>)</w:t>
      </w:r>
      <w:r w:rsidR="00C613E8">
        <w:rPr>
          <w:lang w:val="en-GB"/>
        </w:rPr>
        <w:t>. The accounting signs thereby provided for</w:t>
      </w:r>
      <w:r w:rsidR="0002576B">
        <w:rPr>
          <w:lang w:val="en-GB"/>
        </w:rPr>
        <w:t xml:space="preserve"> an evolving matter-</w:t>
      </w:r>
      <w:proofErr w:type="spellStart"/>
      <w:r w:rsidR="0002576B">
        <w:rPr>
          <w:lang w:val="en-GB"/>
        </w:rPr>
        <w:t>ing</w:t>
      </w:r>
      <w:proofErr w:type="spellEnd"/>
      <w:r w:rsidR="0002576B">
        <w:rPr>
          <w:lang w:val="en-GB"/>
        </w:rPr>
        <w:t xml:space="preserve"> (Law, 2004), as we discuss next.</w:t>
      </w:r>
    </w:p>
    <w:p w14:paraId="0E0D0E12" w14:textId="77777777" w:rsidR="0060612E" w:rsidRPr="00264E9C" w:rsidRDefault="00B93640" w:rsidP="0097217C">
      <w:pPr>
        <w:pStyle w:val="Heading1"/>
        <w:rPr>
          <w:lang w:val="en-GB"/>
        </w:rPr>
      </w:pPr>
      <w:r w:rsidRPr="00264E9C">
        <w:rPr>
          <w:lang w:val="en-GB"/>
        </w:rPr>
        <w:t>Discussion</w:t>
      </w:r>
      <w:r w:rsidR="004B7556" w:rsidRPr="00264E9C">
        <w:rPr>
          <w:lang w:val="en-GB"/>
        </w:rPr>
        <w:t xml:space="preserve">: </w:t>
      </w:r>
      <w:r w:rsidR="00F22547" w:rsidRPr="00264E9C">
        <w:rPr>
          <w:lang w:val="en-GB"/>
        </w:rPr>
        <w:t>counterfei</w:t>
      </w:r>
      <w:r w:rsidR="004B7556" w:rsidRPr="00264E9C">
        <w:rPr>
          <w:lang w:val="en-GB"/>
        </w:rPr>
        <w:t>t</w:t>
      </w:r>
      <w:r w:rsidR="00F22547" w:rsidRPr="00264E9C">
        <w:rPr>
          <w:lang w:val="en-GB"/>
        </w:rPr>
        <w:t>s</w:t>
      </w:r>
      <w:r w:rsidR="004B7556" w:rsidRPr="00264E9C">
        <w:rPr>
          <w:lang w:val="en-GB"/>
        </w:rPr>
        <w:t xml:space="preserve"> and matters of concern</w:t>
      </w:r>
    </w:p>
    <w:p w14:paraId="25E18635" w14:textId="7CE09F99" w:rsidR="00433AF4" w:rsidRPr="00433AF4" w:rsidRDefault="00B01E98" w:rsidP="005C0A36">
      <w:pPr>
        <w:rPr>
          <w:lang w:val="en-GB"/>
        </w:rPr>
      </w:pPr>
      <w:r>
        <w:rPr>
          <w:lang w:val="en-GB"/>
        </w:rPr>
        <w:t xml:space="preserve">For most of the period examined in this paper, Thomas Holloway’s picture collection remained effectively invisible in </w:t>
      </w:r>
      <w:r>
        <w:rPr>
          <w:i/>
          <w:lang w:val="en-GB"/>
        </w:rPr>
        <w:t>accounting</w:t>
      </w:r>
      <w:r>
        <w:rPr>
          <w:lang w:val="en-GB"/>
        </w:rPr>
        <w:t xml:space="preserve"> terms, despite its obvious visibility in </w:t>
      </w:r>
      <w:r>
        <w:rPr>
          <w:i/>
          <w:lang w:val="en-GB"/>
        </w:rPr>
        <w:t>physical</w:t>
      </w:r>
      <w:r>
        <w:rPr>
          <w:lang w:val="en-GB"/>
        </w:rPr>
        <w:t xml:space="preserve"> terms. </w:t>
      </w:r>
      <w:r w:rsidR="005C0A36">
        <w:rPr>
          <w:lang w:val="en-GB"/>
        </w:rPr>
        <w:t xml:space="preserve">Up to 1949, the picture collection was completely omitted from the College’s balance sheet. For the governors, the collection was rarely an explicit matter of concern, and when the collection was discussed by the governors, it was in terms of the overhead costs </w:t>
      </w:r>
      <w:r w:rsidR="0080509B">
        <w:rPr>
          <w:lang w:val="en-GB"/>
        </w:rPr>
        <w:t>imposed on the College through</w:t>
      </w:r>
      <w:r w:rsidR="005C0A36">
        <w:rPr>
          <w:lang w:val="en-GB"/>
        </w:rPr>
        <w:t xml:space="preserve"> maintaining </w:t>
      </w:r>
      <w:r w:rsidR="00433AF4">
        <w:rPr>
          <w:lang w:val="en-GB"/>
        </w:rPr>
        <w:t>the collection</w:t>
      </w:r>
      <w:r w:rsidR="005C0A36">
        <w:rPr>
          <w:lang w:val="en-GB"/>
        </w:rPr>
        <w:t xml:space="preserve">. </w:t>
      </w:r>
      <w:r w:rsidR="00433AF4">
        <w:rPr>
          <w:lang w:val="en-GB"/>
        </w:rPr>
        <w:t xml:space="preserve">Despite the successful sale of the copyright relating to </w:t>
      </w:r>
      <w:r w:rsidR="00433AF4">
        <w:rPr>
          <w:i/>
          <w:lang w:val="en-GB"/>
        </w:rPr>
        <w:t>The Babylonian Marriage Market</w:t>
      </w:r>
      <w:r w:rsidR="00433AF4">
        <w:rPr>
          <w:lang w:val="en-GB"/>
        </w:rPr>
        <w:t xml:space="preserve">, the governors seem to have been deterred from exploring </w:t>
      </w:r>
      <w:r w:rsidR="00433AF4">
        <w:rPr>
          <w:lang w:val="en-GB"/>
        </w:rPr>
        <w:lastRenderedPageBreak/>
        <w:t xml:space="preserve">other possibilities of monetising the collection through the sale of reproductions by the negative comments of Luke </w:t>
      </w:r>
      <w:proofErr w:type="spellStart"/>
      <w:r w:rsidR="00433AF4">
        <w:rPr>
          <w:lang w:val="en-GB"/>
        </w:rPr>
        <w:t>Fildes</w:t>
      </w:r>
      <w:proofErr w:type="spellEnd"/>
      <w:r w:rsidR="00433AF4">
        <w:rPr>
          <w:lang w:val="en-GB"/>
        </w:rPr>
        <w:t xml:space="preserve"> that selling the copyright for his painting, </w:t>
      </w:r>
      <w:r w:rsidR="00433AF4">
        <w:rPr>
          <w:i/>
          <w:lang w:val="en-GB"/>
        </w:rPr>
        <w:t>Applicants for Admission to a Casual Ward</w:t>
      </w:r>
      <w:r w:rsidR="00433AF4">
        <w:rPr>
          <w:lang w:val="en-GB"/>
        </w:rPr>
        <w:t>, would be “risky”</w:t>
      </w:r>
      <w:r w:rsidR="002802B0" w:rsidRPr="002802B0">
        <w:rPr>
          <w:lang w:val="en-GB"/>
        </w:rPr>
        <w:t xml:space="preserve"> </w:t>
      </w:r>
      <w:r w:rsidR="002802B0">
        <w:rPr>
          <w:lang w:val="en-GB"/>
        </w:rPr>
        <w:t>(RHC AR500/32)</w:t>
      </w:r>
      <w:r w:rsidR="00433AF4">
        <w:rPr>
          <w:lang w:val="en-GB"/>
        </w:rPr>
        <w:t xml:space="preserve">. </w:t>
      </w:r>
      <w:r w:rsidR="00505ABB">
        <w:rPr>
          <w:lang w:val="en-GB"/>
        </w:rPr>
        <w:t>There is no evidence that</w:t>
      </w:r>
      <w:r w:rsidR="00433AF4">
        <w:rPr>
          <w:lang w:val="en-GB"/>
        </w:rPr>
        <w:t xml:space="preserve"> the economic value of the collection was a matter of concern for the governors during this period.</w:t>
      </w:r>
    </w:p>
    <w:p w14:paraId="57E66589" w14:textId="1B602C8C" w:rsidR="005C0A36" w:rsidRDefault="005C0A36" w:rsidP="005C0A36">
      <w:pPr>
        <w:rPr>
          <w:lang w:val="en-GB"/>
        </w:rPr>
      </w:pPr>
      <w:r>
        <w:rPr>
          <w:lang w:val="en-GB"/>
        </w:rPr>
        <w:t xml:space="preserve">From 1950 to 1992, the picture collection was included on the College’s balance sheet, but as part of a more comprehensive line item </w:t>
      </w:r>
      <w:r w:rsidR="00505ABB">
        <w:rPr>
          <w:lang w:val="en-GB"/>
        </w:rPr>
        <w:t>(</w:t>
      </w:r>
      <w:r>
        <w:rPr>
          <w:lang w:val="en-GB"/>
        </w:rPr>
        <w:t>furniture and equipment</w:t>
      </w:r>
      <w:r w:rsidR="00505ABB">
        <w:rPr>
          <w:lang w:val="en-GB"/>
        </w:rPr>
        <w:t>)</w:t>
      </w:r>
      <w:r>
        <w:rPr>
          <w:lang w:val="en-GB"/>
        </w:rPr>
        <w:t>. In terms of Baudrillard’s “order of simulacra”, the accounting sign refer</w:t>
      </w:r>
      <w:r w:rsidR="00C22410">
        <w:rPr>
          <w:lang w:val="en-GB"/>
        </w:rPr>
        <w:t>s</w:t>
      </w:r>
      <w:r>
        <w:rPr>
          <w:lang w:val="en-GB"/>
        </w:rPr>
        <w:t xml:space="preserve"> to tangible objects</w:t>
      </w:r>
      <w:r w:rsidR="00DF2391">
        <w:rPr>
          <w:lang w:val="en-GB"/>
        </w:rPr>
        <w:t>, but only</w:t>
      </w:r>
      <w:r>
        <w:rPr>
          <w:lang w:val="en-GB"/>
        </w:rPr>
        <w:t xml:space="preserve"> in a very general and opaque way</w:t>
      </w:r>
      <w:r w:rsidR="00DF2391">
        <w:rPr>
          <w:lang w:val="en-GB"/>
        </w:rPr>
        <w:t>.</w:t>
      </w:r>
      <w:r w:rsidR="00C22410">
        <w:rPr>
          <w:lang w:val="en-GB"/>
        </w:rPr>
        <w:t xml:space="preserve"> </w:t>
      </w:r>
      <w:r>
        <w:rPr>
          <w:lang w:val="en-GB"/>
        </w:rPr>
        <w:t xml:space="preserve">The accounting sign is already a counterfeit. </w:t>
      </w:r>
      <w:r w:rsidR="00DF2391">
        <w:rPr>
          <w:lang w:val="en-GB"/>
        </w:rPr>
        <w:t xml:space="preserve">In accounting terms, the picture collection has started to be an asset. </w:t>
      </w:r>
      <w:r>
        <w:rPr>
          <w:lang w:val="en-GB"/>
        </w:rPr>
        <w:t>For the members of Council, including the picture collection within furniture and equipment had the effect of making the collection a matter of concern</w:t>
      </w:r>
      <w:r w:rsidR="00DF2391">
        <w:rPr>
          <w:lang w:val="en-GB"/>
        </w:rPr>
        <w:t xml:space="preserve"> not as a source of economic value but rather</w:t>
      </w:r>
      <w:r>
        <w:rPr>
          <w:lang w:val="en-GB"/>
        </w:rPr>
        <w:t xml:space="preserve"> in terms of maintaining the physical objects </w:t>
      </w:r>
      <w:r w:rsidR="00505ABB">
        <w:rPr>
          <w:lang w:val="en-GB"/>
        </w:rPr>
        <w:t>so as to preserve their cultural value.</w:t>
      </w:r>
    </w:p>
    <w:p w14:paraId="3CD22125" w14:textId="4933F666" w:rsidR="005C0A36" w:rsidRDefault="005C0A36" w:rsidP="005C0A36">
      <w:pPr>
        <w:rPr>
          <w:lang w:val="en-GB"/>
        </w:rPr>
      </w:pPr>
      <w:r>
        <w:rPr>
          <w:lang w:val="en-GB"/>
        </w:rPr>
        <w:t xml:space="preserve">The </w:t>
      </w:r>
      <w:r w:rsidR="00A846DE">
        <w:rPr>
          <w:lang w:val="en-GB"/>
        </w:rPr>
        <w:t>paintings beca</w:t>
      </w:r>
      <w:r w:rsidR="00433AF4">
        <w:rPr>
          <w:lang w:val="en-GB"/>
        </w:rPr>
        <w:t>me a matter of concern i</w:t>
      </w:r>
      <w:r w:rsidR="00A846DE">
        <w:rPr>
          <w:lang w:val="en-GB"/>
        </w:rPr>
        <w:t>n a different way when they bega</w:t>
      </w:r>
      <w:r w:rsidR="00433AF4">
        <w:rPr>
          <w:lang w:val="en-GB"/>
        </w:rPr>
        <w:t xml:space="preserve">n to be considered as possible sources of </w:t>
      </w:r>
      <w:r w:rsidR="00505ABB">
        <w:rPr>
          <w:lang w:val="en-GB"/>
        </w:rPr>
        <w:t xml:space="preserve">money from sales, at a time when the College had insufficient liquid resources to finance the restoration of the Founder’s Building. </w:t>
      </w:r>
      <w:r w:rsidR="00B000BD">
        <w:rPr>
          <w:lang w:val="en-GB"/>
        </w:rPr>
        <w:t xml:space="preserve">Following independent financial advice, the Council began to regard the picture collection in economic </w:t>
      </w:r>
      <w:r w:rsidR="00A846DE">
        <w:rPr>
          <w:lang w:val="en-GB"/>
        </w:rPr>
        <w:t>as well as</w:t>
      </w:r>
      <w:r w:rsidR="00B000BD">
        <w:rPr>
          <w:lang w:val="en-GB"/>
        </w:rPr>
        <w:t xml:space="preserve"> cultural terms</w:t>
      </w:r>
      <w:r w:rsidR="002802B0">
        <w:rPr>
          <w:lang w:val="en-GB"/>
        </w:rPr>
        <w:t xml:space="preserve"> (Chong, 1995)</w:t>
      </w:r>
      <w:r w:rsidR="00B000BD">
        <w:rPr>
          <w:lang w:val="en-GB"/>
        </w:rPr>
        <w:t>, and the concern of the Council was to investigate whether they had the legal right to sell paintings. When this was confirmed and three paintings were sold, a new accounting sign, representing the assets into which the sales proceeds had been invested, em</w:t>
      </w:r>
      <w:r w:rsidR="00A741F2">
        <w:rPr>
          <w:lang w:val="en-GB"/>
        </w:rPr>
        <w:t xml:space="preserve">erged, but this </w:t>
      </w:r>
      <w:r w:rsidR="00B000BD">
        <w:rPr>
          <w:lang w:val="en-GB"/>
        </w:rPr>
        <w:t xml:space="preserve">sign </w:t>
      </w:r>
      <w:r w:rsidR="00A846DE">
        <w:rPr>
          <w:lang w:val="en-GB"/>
        </w:rPr>
        <w:t xml:space="preserve">did not </w:t>
      </w:r>
      <w:r w:rsidR="00B000BD">
        <w:rPr>
          <w:lang w:val="en-GB"/>
        </w:rPr>
        <w:t>refer to the remaining c</w:t>
      </w:r>
      <w:r w:rsidR="00A741F2">
        <w:rPr>
          <w:lang w:val="en-GB"/>
        </w:rPr>
        <w:t>ollection</w:t>
      </w:r>
      <w:r w:rsidR="00A846DE">
        <w:rPr>
          <w:lang w:val="en-GB"/>
        </w:rPr>
        <w:t>, the cost of which was still included in furniture and equipment</w:t>
      </w:r>
      <w:r w:rsidR="00A741F2">
        <w:rPr>
          <w:lang w:val="en-GB"/>
        </w:rPr>
        <w:t>. The cultural value of the collection remained the dominant matter of concern, not its economic value.</w:t>
      </w:r>
    </w:p>
    <w:p w14:paraId="644E6341" w14:textId="59C2DA52" w:rsidR="00595426" w:rsidRDefault="00B01E98" w:rsidP="0097217C">
      <w:pPr>
        <w:rPr>
          <w:lang w:val="en-GB"/>
        </w:rPr>
      </w:pPr>
      <w:r>
        <w:rPr>
          <w:lang w:val="en-GB"/>
        </w:rPr>
        <w:t xml:space="preserve">It is only since </w:t>
      </w:r>
      <w:r w:rsidR="00423607">
        <w:rPr>
          <w:lang w:val="en-GB"/>
        </w:rPr>
        <w:t xml:space="preserve">1999 </w:t>
      </w:r>
      <w:r>
        <w:rPr>
          <w:lang w:val="en-GB"/>
        </w:rPr>
        <w:t xml:space="preserve">that the picture collection has been included as an asset in the Royal Holloway </w:t>
      </w:r>
      <w:r w:rsidR="006F4326">
        <w:rPr>
          <w:lang w:val="en-GB"/>
        </w:rPr>
        <w:t>balance sheets</w:t>
      </w:r>
      <w:r w:rsidR="00F259EB">
        <w:rPr>
          <w:lang w:val="en-GB"/>
        </w:rPr>
        <w:t xml:space="preserve">, and therefore has </w:t>
      </w:r>
      <w:r w:rsidR="002802B0">
        <w:rPr>
          <w:lang w:val="en-GB"/>
        </w:rPr>
        <w:t xml:space="preserve">its own </w:t>
      </w:r>
      <w:r w:rsidR="00F259EB">
        <w:rPr>
          <w:lang w:val="en-GB"/>
        </w:rPr>
        <w:t>accounting sign</w:t>
      </w:r>
      <w:r w:rsidR="009F761E">
        <w:rPr>
          <w:lang w:val="en-GB"/>
        </w:rPr>
        <w:t>, although the precise form of this has changed</w:t>
      </w:r>
      <w:r>
        <w:rPr>
          <w:lang w:val="en-GB"/>
        </w:rPr>
        <w:t>.</w:t>
      </w:r>
      <w:r w:rsidR="009F761E">
        <w:rPr>
          <w:lang w:val="en-GB"/>
        </w:rPr>
        <w:t xml:space="preserve"> For much of the period since 1999, the picture collection was included in endowment assets, alongside marketable investments, implying that pictures could be sold to generate cash. This accounting treatment forced the members of Council to consider the collection’s economic value, but it did not </w:t>
      </w:r>
      <w:r w:rsidR="00940469">
        <w:rPr>
          <w:lang w:val="en-GB"/>
        </w:rPr>
        <w:t>require</w:t>
      </w:r>
      <w:r w:rsidR="009F761E">
        <w:rPr>
          <w:lang w:val="en-GB"/>
        </w:rPr>
        <w:t xml:space="preserve"> the Council to ignore the collection’s cultural value.</w:t>
      </w:r>
      <w:r>
        <w:rPr>
          <w:lang w:val="en-GB"/>
        </w:rPr>
        <w:t xml:space="preserve"> </w:t>
      </w:r>
      <w:r w:rsidR="009F761E">
        <w:rPr>
          <w:lang w:val="en-GB"/>
        </w:rPr>
        <w:t xml:space="preserve">The more recent classification of the picture collection as fixed assets means that the economic value of the collection is presented less explicitly in the financial statements, </w:t>
      </w:r>
      <w:r w:rsidR="002225CB">
        <w:rPr>
          <w:lang w:val="en-GB"/>
        </w:rPr>
        <w:t>while</w:t>
      </w:r>
      <w:r w:rsidR="009F761E">
        <w:rPr>
          <w:lang w:val="en-GB"/>
        </w:rPr>
        <w:t xml:space="preserve"> the cultural value of the collection is presented </w:t>
      </w:r>
      <w:r w:rsidR="005C150E">
        <w:rPr>
          <w:lang w:val="en-GB"/>
        </w:rPr>
        <w:t xml:space="preserve">in the financial statements </w:t>
      </w:r>
      <w:r w:rsidR="009F761E">
        <w:rPr>
          <w:lang w:val="en-GB"/>
        </w:rPr>
        <w:t xml:space="preserve">only in </w:t>
      </w:r>
      <w:r w:rsidR="002802B0">
        <w:rPr>
          <w:lang w:val="en-GB"/>
        </w:rPr>
        <w:t xml:space="preserve">the banal </w:t>
      </w:r>
      <w:r w:rsidR="009F761E">
        <w:rPr>
          <w:lang w:val="en-GB"/>
        </w:rPr>
        <w:t>terms</w:t>
      </w:r>
      <w:r w:rsidR="002802B0">
        <w:rPr>
          <w:lang w:val="en-GB"/>
        </w:rPr>
        <w:t xml:space="preserve"> quoted </w:t>
      </w:r>
      <w:r w:rsidR="005C150E">
        <w:rPr>
          <w:lang w:val="en-GB"/>
        </w:rPr>
        <w:t>at the end of the previous section</w:t>
      </w:r>
      <w:r w:rsidR="002225CB">
        <w:rPr>
          <w:lang w:val="en-GB"/>
        </w:rPr>
        <w:t>.</w:t>
      </w:r>
      <w:r w:rsidR="009F761E">
        <w:rPr>
          <w:lang w:val="en-GB"/>
        </w:rPr>
        <w:t xml:space="preserve"> The collection’s cultural value still manifest</w:t>
      </w:r>
      <w:r w:rsidR="002225CB">
        <w:rPr>
          <w:lang w:val="en-GB"/>
        </w:rPr>
        <w:t xml:space="preserve">s </w:t>
      </w:r>
      <w:r w:rsidR="002225CB">
        <w:rPr>
          <w:lang w:val="en-GB"/>
        </w:rPr>
        <w:lastRenderedPageBreak/>
        <w:t>itself physically, but for the financial statements this comes</w:t>
      </w:r>
      <w:r w:rsidR="009F761E">
        <w:rPr>
          <w:lang w:val="en-GB"/>
        </w:rPr>
        <w:t xml:space="preserve"> </w:t>
      </w:r>
      <w:r w:rsidR="002225CB">
        <w:rPr>
          <w:lang w:val="en-GB"/>
        </w:rPr>
        <w:t>only from offering a setting for functions and tours.</w:t>
      </w:r>
      <w:r>
        <w:rPr>
          <w:lang w:val="en-GB"/>
        </w:rPr>
        <w:t xml:space="preserve"> </w:t>
      </w:r>
      <w:r w:rsidR="002225CB">
        <w:rPr>
          <w:lang w:val="en-GB"/>
        </w:rPr>
        <w:t xml:space="preserve">However, as Napier and Power (1992) noted, physicality is no longer an attribute of accounting assets: what “matters” is their ability to generate benefits, more specifically </w:t>
      </w:r>
      <w:r w:rsidR="002225CB">
        <w:rPr>
          <w:i/>
          <w:lang w:val="en-GB"/>
        </w:rPr>
        <w:t>economic</w:t>
      </w:r>
      <w:r w:rsidR="002225CB">
        <w:rPr>
          <w:lang w:val="en-GB"/>
        </w:rPr>
        <w:t xml:space="preserve"> benefits. An important</w:t>
      </w:r>
      <w:r w:rsidR="00B509FB">
        <w:rPr>
          <w:lang w:val="en-GB"/>
        </w:rPr>
        <w:t xml:space="preserve"> aspect of accounting for heritage </w:t>
      </w:r>
      <w:r w:rsidR="00DB6A9B">
        <w:rPr>
          <w:lang w:val="en-GB"/>
        </w:rPr>
        <w:t>objects</w:t>
      </w:r>
      <w:r w:rsidR="00B509FB">
        <w:rPr>
          <w:lang w:val="en-GB"/>
        </w:rPr>
        <w:t xml:space="preserve"> is their identification as assets within the </w:t>
      </w:r>
      <w:r w:rsidR="007F7148">
        <w:rPr>
          <w:i/>
          <w:lang w:val="en-GB"/>
        </w:rPr>
        <w:t>Conceptual Framework</w:t>
      </w:r>
      <w:r w:rsidR="00B509FB">
        <w:rPr>
          <w:lang w:val="en-GB"/>
        </w:rPr>
        <w:t xml:space="preserve"> definition</w:t>
      </w:r>
      <w:r w:rsidR="002225CB">
        <w:rPr>
          <w:lang w:val="en-GB"/>
        </w:rPr>
        <w:t>, even if this involves some stretching of the definition to include items whose benefits take the form of contributions to knowledge and culture</w:t>
      </w:r>
      <w:r w:rsidR="00940469">
        <w:rPr>
          <w:lang w:val="en-GB"/>
        </w:rPr>
        <w:t xml:space="preserve"> rather than more obvious economic benefits such as cash inflows</w:t>
      </w:r>
      <w:r w:rsidR="002225CB">
        <w:rPr>
          <w:lang w:val="en-GB"/>
        </w:rPr>
        <w:t>.</w:t>
      </w:r>
      <w:r w:rsidR="00940469">
        <w:rPr>
          <w:lang w:val="en-GB"/>
        </w:rPr>
        <w:t xml:space="preserve"> Within this framework, as </w:t>
      </w:r>
      <w:proofErr w:type="spellStart"/>
      <w:r w:rsidR="00940469">
        <w:rPr>
          <w:lang w:val="en-GB"/>
        </w:rPr>
        <w:t>Woon</w:t>
      </w:r>
      <w:proofErr w:type="spellEnd"/>
      <w:r w:rsidR="00940469">
        <w:rPr>
          <w:lang w:val="en-GB"/>
        </w:rPr>
        <w:t xml:space="preserve"> </w:t>
      </w:r>
      <w:r w:rsidR="00940469">
        <w:rPr>
          <w:i/>
          <w:lang w:val="en-GB"/>
        </w:rPr>
        <w:t>et al.</w:t>
      </w:r>
      <w:r w:rsidR="00940469">
        <w:rPr>
          <w:lang w:val="en-GB"/>
        </w:rPr>
        <w:t xml:space="preserve"> (2019) suggest, the definitions imply that the picture collection is at least potentially an accounting asset.</w:t>
      </w:r>
    </w:p>
    <w:p w14:paraId="2E429426" w14:textId="2CA0CE0C" w:rsidR="00131D7D" w:rsidRDefault="002225CB" w:rsidP="0097217C">
      <w:pPr>
        <w:rPr>
          <w:lang w:val="en-GB"/>
        </w:rPr>
      </w:pPr>
      <w:r>
        <w:rPr>
          <w:lang w:val="en-GB"/>
        </w:rPr>
        <w:t xml:space="preserve">However, </w:t>
      </w:r>
      <w:r w:rsidR="00B509FB">
        <w:rPr>
          <w:lang w:val="en-GB"/>
        </w:rPr>
        <w:t>recognition</w:t>
      </w:r>
      <w:r>
        <w:rPr>
          <w:lang w:val="en-GB"/>
        </w:rPr>
        <w:t xml:space="preserve"> – inclusion of an item in the financial statements –</w:t>
      </w:r>
      <w:r w:rsidR="00B509FB">
        <w:rPr>
          <w:lang w:val="en-GB"/>
        </w:rPr>
        <w:t xml:space="preserve"> is possible only if heritage assets can be measured, and the </w:t>
      </w:r>
      <w:r w:rsidR="00B509FB">
        <w:rPr>
          <w:i/>
          <w:lang w:val="en-GB"/>
        </w:rPr>
        <w:t>Conceptual Framework</w:t>
      </w:r>
      <w:r w:rsidR="00B509FB">
        <w:rPr>
          <w:lang w:val="en-GB"/>
        </w:rPr>
        <w:t xml:space="preserve"> discusses several measurement bases</w:t>
      </w:r>
      <w:r w:rsidR="007F7148">
        <w:rPr>
          <w:lang w:val="en-GB"/>
        </w:rPr>
        <w:t xml:space="preserve">. The historical cost of the pictures can easily be determined (for the 74 pictures that remain out of the original 77 purchased by Holloway, this is £75,544.90, though as Holloway gave the pictures to the College trustees, strictly speaking the historical cost </w:t>
      </w:r>
      <w:r w:rsidR="00403B3D">
        <w:rPr>
          <w:lang w:val="en-GB"/>
        </w:rPr>
        <w:t>to</w:t>
      </w:r>
      <w:r w:rsidR="007F7148">
        <w:rPr>
          <w:lang w:val="en-GB"/>
        </w:rPr>
        <w:t xml:space="preserve"> the College is zero). Other measurement bases mentioned in the </w:t>
      </w:r>
      <w:r w:rsidR="007F7148">
        <w:rPr>
          <w:i/>
          <w:lang w:val="en-GB"/>
        </w:rPr>
        <w:t>Conceptual Framework</w:t>
      </w:r>
      <w:r w:rsidR="007F7148">
        <w:rPr>
          <w:lang w:val="en-GB"/>
        </w:rPr>
        <w:t xml:space="preserve"> are fair value, value in use and current cost. </w:t>
      </w:r>
      <w:r w:rsidR="00B509FB">
        <w:rPr>
          <w:lang w:val="en-GB"/>
        </w:rPr>
        <w:t>Using estimates of</w:t>
      </w:r>
      <w:r w:rsidR="007F7148">
        <w:rPr>
          <w:lang w:val="en-GB"/>
        </w:rPr>
        <w:t xml:space="preserve"> what the pictures would achieve if sold at auction under good conditions, the measure</w:t>
      </w:r>
      <w:r w:rsidR="00B16E81">
        <w:rPr>
          <w:lang w:val="en-GB"/>
        </w:rPr>
        <w:t>s</w:t>
      </w:r>
      <w:r w:rsidR="007F7148">
        <w:rPr>
          <w:lang w:val="en-GB"/>
        </w:rPr>
        <w:t xml:space="preserve"> of fair value (“the price that would be received to sell an asset . . . in an orderly transaction between market participants at the measurement date” – IASB, 2018, para. 6.12) and of current cost (“the cost of an equivalent asset at the measurement date” – IASB, 2018, para. 6.21) are, ignoring the impact of transaction costs, the same. Value in use is defined as “the present value of the cash flows, or other economic benefits,</w:t>
      </w:r>
      <w:r w:rsidR="00595426">
        <w:rPr>
          <w:lang w:val="en-GB"/>
        </w:rPr>
        <w:t xml:space="preserve"> </w:t>
      </w:r>
      <w:r w:rsidR="007F7148">
        <w:rPr>
          <w:lang w:val="en-GB"/>
        </w:rPr>
        <w:t xml:space="preserve">that an entity expects to derive from the use of an asset and from its ultimate disposal” (IASB, 2018, para. 6.17). </w:t>
      </w:r>
      <w:r w:rsidR="00B16E81">
        <w:rPr>
          <w:lang w:val="en-GB"/>
        </w:rPr>
        <w:t>Assuming that</w:t>
      </w:r>
      <w:r w:rsidR="007F7148">
        <w:rPr>
          <w:lang w:val="en-GB"/>
        </w:rPr>
        <w:t xml:space="preserve"> any economic benefits that may flow from </w:t>
      </w:r>
      <w:r w:rsidR="00C238EC">
        <w:rPr>
          <w:lang w:val="en-GB"/>
        </w:rPr>
        <w:t xml:space="preserve">“the appeal of the venue for </w:t>
      </w:r>
      <w:r w:rsidR="00B509FB">
        <w:rPr>
          <w:lang w:val="en-GB"/>
        </w:rPr>
        <w:t>functions and tours” (RHUL, 201</w:t>
      </w:r>
      <w:r w:rsidR="005C150E">
        <w:rPr>
          <w:lang w:val="en-GB"/>
        </w:rPr>
        <w:t>9</w:t>
      </w:r>
      <w:r w:rsidR="00B509FB">
        <w:rPr>
          <w:lang w:val="en-GB"/>
        </w:rPr>
        <w:t xml:space="preserve">, p. </w:t>
      </w:r>
      <w:r w:rsidR="005C150E">
        <w:rPr>
          <w:lang w:val="en-GB"/>
        </w:rPr>
        <w:t>46</w:t>
      </w:r>
      <w:r w:rsidR="00C238EC">
        <w:rPr>
          <w:lang w:val="en-GB"/>
        </w:rPr>
        <w:t xml:space="preserve">) are </w:t>
      </w:r>
      <w:r w:rsidR="0059608F">
        <w:rPr>
          <w:lang w:val="en-GB"/>
        </w:rPr>
        <w:t>un</w:t>
      </w:r>
      <w:r w:rsidR="00B16E81">
        <w:rPr>
          <w:lang w:val="en-GB"/>
        </w:rPr>
        <w:t xml:space="preserve">likely to be </w:t>
      </w:r>
      <w:r w:rsidR="0059608F">
        <w:rPr>
          <w:lang w:val="en-GB"/>
        </w:rPr>
        <w:t>significant</w:t>
      </w:r>
      <w:r w:rsidR="00C238EC">
        <w:rPr>
          <w:lang w:val="en-GB"/>
        </w:rPr>
        <w:t>, the value in use will be based on the present value of the ultimate sales proceeds from the pictures, the best estimate of which is the current open market value based on sale at auction.</w:t>
      </w:r>
    </w:p>
    <w:p w14:paraId="4B3A3FFC" w14:textId="300D5BE8" w:rsidR="00F22547" w:rsidRDefault="00C238EC" w:rsidP="00073A49">
      <w:pPr>
        <w:rPr>
          <w:lang w:val="en-GB"/>
        </w:rPr>
      </w:pPr>
      <w:r>
        <w:rPr>
          <w:lang w:val="en-GB"/>
        </w:rPr>
        <w:t xml:space="preserve">This accounting analysis shows that, if the picture collection is to be accounted for at all in the College’s </w:t>
      </w:r>
      <w:r w:rsidR="006F4326">
        <w:rPr>
          <w:lang w:val="en-GB"/>
        </w:rPr>
        <w:t>balance sheet</w:t>
      </w:r>
      <w:r w:rsidR="00FD1293">
        <w:rPr>
          <w:lang w:val="en-GB"/>
        </w:rPr>
        <w:t xml:space="preserve">, </w:t>
      </w:r>
      <w:r>
        <w:rPr>
          <w:lang w:val="en-GB"/>
        </w:rPr>
        <w:t>then all current valuations collapse into what the pictures could be sold for at auction. The accounting sign</w:t>
      </w:r>
      <w:r w:rsidR="00595426">
        <w:rPr>
          <w:lang w:val="en-GB"/>
        </w:rPr>
        <w:t xml:space="preserve"> for the picture collection remains a counterfeit, </w:t>
      </w:r>
      <w:r>
        <w:rPr>
          <w:lang w:val="en-GB"/>
        </w:rPr>
        <w:t xml:space="preserve">using Baudrillard’s terminology, because it refers not directly to the pictures themselves, but rather to the sum of money that could, hypothetically, be received from selling the pictures. Including the picture collection as “endowment asset investments” emphasised the counterfeit, because </w:t>
      </w:r>
      <w:r>
        <w:rPr>
          <w:lang w:val="en-GB"/>
        </w:rPr>
        <w:lastRenderedPageBreak/>
        <w:t xml:space="preserve">the pictures were included alongside stocks and shares that not only provide an income to the College but could be sold to produce cash. </w:t>
      </w:r>
      <w:r w:rsidR="00595426">
        <w:rPr>
          <w:lang w:val="en-GB"/>
        </w:rPr>
        <w:t>However, the sign does not constitute a simulacrum, because the sign does not circulate in a hyperreality without its referent. Accounting does not lose its relationship with the pictures (unlike many financial assets and liabilities).</w:t>
      </w:r>
    </w:p>
    <w:p w14:paraId="14B579A5" w14:textId="04067935" w:rsidR="00595426" w:rsidRDefault="00650D88" w:rsidP="00595426">
      <w:pPr>
        <w:rPr>
          <w:lang w:val="en-GB"/>
        </w:rPr>
      </w:pPr>
      <w:r>
        <w:rPr>
          <w:lang w:val="en-GB"/>
        </w:rPr>
        <w:t xml:space="preserve">As argued by Law (2004), reality is being </w:t>
      </w:r>
      <w:r w:rsidRPr="00650D88">
        <w:rPr>
          <w:i/>
          <w:lang w:val="en-GB"/>
        </w:rPr>
        <w:t>done</w:t>
      </w:r>
      <w:r>
        <w:rPr>
          <w:lang w:val="en-GB"/>
        </w:rPr>
        <w:t xml:space="preserve"> in professional practices that enable the enactment of different realities. These realities are ontologically, and not simply epistemologically, different, as they produce different material effects and imply a different matter-</w:t>
      </w:r>
      <w:proofErr w:type="spellStart"/>
      <w:r>
        <w:rPr>
          <w:lang w:val="en-GB"/>
        </w:rPr>
        <w:t>ing</w:t>
      </w:r>
      <w:proofErr w:type="spellEnd"/>
      <w:r>
        <w:rPr>
          <w:lang w:val="en-GB"/>
        </w:rPr>
        <w:t xml:space="preserve">. </w:t>
      </w:r>
      <w:r w:rsidR="00595426">
        <w:rPr>
          <w:lang w:val="en-GB"/>
        </w:rPr>
        <w:t xml:space="preserve">The accounting sign </w:t>
      </w:r>
      <w:r>
        <w:rPr>
          <w:lang w:val="en-GB"/>
        </w:rPr>
        <w:t xml:space="preserve">for the picture collection </w:t>
      </w:r>
      <w:r w:rsidR="00595426">
        <w:rPr>
          <w:lang w:val="en-GB"/>
        </w:rPr>
        <w:t xml:space="preserve">enabled by evolving accounting regulations and practices rendered the picture collection a </w:t>
      </w:r>
      <w:r w:rsidR="00DB6A9B">
        <w:rPr>
          <w:lang w:val="en-GB"/>
        </w:rPr>
        <w:t>“</w:t>
      </w:r>
      <w:r w:rsidR="00595426">
        <w:rPr>
          <w:lang w:val="en-GB"/>
        </w:rPr>
        <w:t>new</w:t>
      </w:r>
      <w:r w:rsidR="00DB6A9B">
        <w:rPr>
          <w:lang w:val="en-GB"/>
        </w:rPr>
        <w:t>”</w:t>
      </w:r>
      <w:r w:rsidR="00595426">
        <w:rPr>
          <w:lang w:val="en-GB"/>
        </w:rPr>
        <w:t xml:space="preserve"> matter of concern for the administration of the College. It was </w:t>
      </w:r>
      <w:r w:rsidR="00595426">
        <w:rPr>
          <w:i/>
          <w:lang w:val="en-GB"/>
        </w:rPr>
        <w:t>b</w:t>
      </w:r>
      <w:r w:rsidR="00595426" w:rsidRPr="00595426">
        <w:rPr>
          <w:i/>
          <w:lang w:val="en-GB"/>
        </w:rPr>
        <w:t>ecause</w:t>
      </w:r>
      <w:r w:rsidR="00595426" w:rsidRPr="00073A49">
        <w:rPr>
          <w:i/>
          <w:lang w:val="en-GB"/>
        </w:rPr>
        <w:t xml:space="preserve"> of</w:t>
      </w:r>
      <w:r w:rsidR="00595426">
        <w:rPr>
          <w:lang w:val="en-GB"/>
        </w:rPr>
        <w:t xml:space="preserve"> this sign as counterfeit that the collection came to be “constructed” as a complicating, agitating and provoking matter,</w:t>
      </w:r>
      <w:r w:rsidR="00595426" w:rsidRPr="00172BC3">
        <w:rPr>
          <w:lang w:val="en-GB"/>
        </w:rPr>
        <w:t xml:space="preserve"> </w:t>
      </w:r>
      <w:r w:rsidR="00595426">
        <w:rPr>
          <w:lang w:val="en-GB"/>
        </w:rPr>
        <w:t>triggering new opportunities to manage the collection for both cultural and financial benefits</w:t>
      </w:r>
      <w:r w:rsidR="006B2290">
        <w:rPr>
          <w:lang w:val="en-GB"/>
        </w:rPr>
        <w:t>.</w:t>
      </w:r>
      <w:r w:rsidR="00595426">
        <w:rPr>
          <w:lang w:val="en-GB"/>
        </w:rPr>
        <w:t xml:space="preserve"> </w:t>
      </w:r>
      <w:r w:rsidR="005C150E">
        <w:rPr>
          <w:lang w:val="en-GB"/>
        </w:rPr>
        <w:t>T</w:t>
      </w:r>
      <w:r w:rsidR="00595426">
        <w:rPr>
          <w:lang w:val="en-GB"/>
        </w:rPr>
        <w:t xml:space="preserve">he </w:t>
      </w:r>
      <w:r w:rsidR="005C150E">
        <w:rPr>
          <w:lang w:val="en-GB"/>
        </w:rPr>
        <w:t xml:space="preserve">sign </w:t>
      </w:r>
      <w:r w:rsidR="00C83656">
        <w:rPr>
          <w:lang w:val="en-GB"/>
        </w:rPr>
        <w:t xml:space="preserve">participated in the reality of the collection, rendering it </w:t>
      </w:r>
      <w:r w:rsidR="00C613E8">
        <w:rPr>
          <w:lang w:val="en-GB"/>
        </w:rPr>
        <w:t xml:space="preserve">an accounting asset in an </w:t>
      </w:r>
      <w:r w:rsidR="00C613E8" w:rsidRPr="00C613E8">
        <w:rPr>
          <w:i/>
          <w:iCs/>
          <w:lang w:val="en-GB"/>
        </w:rPr>
        <w:t>ontological</w:t>
      </w:r>
      <w:r w:rsidR="00C613E8">
        <w:rPr>
          <w:lang w:val="en-GB"/>
        </w:rPr>
        <w:t xml:space="preserve"> sense, which</w:t>
      </w:r>
      <w:r w:rsidR="005C00B6">
        <w:rPr>
          <w:lang w:val="en-GB"/>
        </w:rPr>
        <w:t xml:space="preserve"> </w:t>
      </w:r>
      <w:r w:rsidR="0055269B">
        <w:rPr>
          <w:lang w:val="en-GB"/>
        </w:rPr>
        <w:t xml:space="preserve">could be enacted in evolving ways, producing </w:t>
      </w:r>
      <w:r w:rsidR="00CF6A18">
        <w:rPr>
          <w:lang w:val="en-GB"/>
        </w:rPr>
        <w:t>different</w:t>
      </w:r>
      <w:r w:rsidR="0055269B">
        <w:rPr>
          <w:lang w:val="en-GB"/>
        </w:rPr>
        <w:t xml:space="preserve"> </w:t>
      </w:r>
      <w:r w:rsidR="00CF6A18">
        <w:rPr>
          <w:lang w:val="en-GB"/>
        </w:rPr>
        <w:t xml:space="preserve">material </w:t>
      </w:r>
      <w:r w:rsidR="0055269B">
        <w:rPr>
          <w:lang w:val="en-GB"/>
        </w:rPr>
        <w:t>effects.</w:t>
      </w:r>
    </w:p>
    <w:p w14:paraId="11087347" w14:textId="58292F2F" w:rsidR="009A34C7" w:rsidRDefault="009A34C7" w:rsidP="00C70E10">
      <w:pPr>
        <w:rPr>
          <w:lang w:val="en-GB"/>
        </w:rPr>
      </w:pPr>
      <w:r>
        <w:rPr>
          <w:lang w:val="en-GB"/>
        </w:rPr>
        <w:t>As Simon and Barker (2002)</w:t>
      </w:r>
      <w:r w:rsidR="00C613E8">
        <w:rPr>
          <w:lang w:val="en-GB"/>
        </w:rPr>
        <w:t xml:space="preserve"> argue</w:t>
      </w:r>
      <w:r>
        <w:rPr>
          <w:lang w:val="en-GB"/>
        </w:rPr>
        <w:t xml:space="preserve">, although Baudrillard’s and Latour’s views of reality are seemingly different, materiality and hyperreality may </w:t>
      </w:r>
      <w:r w:rsidR="00C70E10">
        <w:rPr>
          <w:lang w:val="en-GB"/>
        </w:rPr>
        <w:t xml:space="preserve">come together in a dialogic manner, </w:t>
      </w:r>
      <w:r>
        <w:rPr>
          <w:lang w:val="en-GB"/>
        </w:rPr>
        <w:t xml:space="preserve">as extreme poles that alternate </w:t>
      </w:r>
      <w:r w:rsidR="00C70E10">
        <w:rPr>
          <w:lang w:val="en-GB"/>
        </w:rPr>
        <w:t xml:space="preserve">with each other </w:t>
      </w:r>
      <w:r>
        <w:rPr>
          <w:lang w:val="en-GB"/>
        </w:rPr>
        <w:t>in shaping discourses, materials and practices. In the specific context of the accountings for the picture collection at Royal Holloway, accounting signs as counterf</w:t>
      </w:r>
      <w:r w:rsidR="00C70E10">
        <w:rPr>
          <w:lang w:val="en-GB"/>
        </w:rPr>
        <w:t>e</w:t>
      </w:r>
      <w:r>
        <w:rPr>
          <w:lang w:val="en-GB"/>
        </w:rPr>
        <w:t xml:space="preserve">it </w:t>
      </w:r>
      <w:r w:rsidR="00C70E10">
        <w:rPr>
          <w:lang w:val="en-GB"/>
        </w:rPr>
        <w:t>triggered</w:t>
      </w:r>
      <w:r>
        <w:rPr>
          <w:lang w:val="en-GB"/>
        </w:rPr>
        <w:t xml:space="preserve"> a</w:t>
      </w:r>
      <w:r w:rsidR="00C70E10">
        <w:rPr>
          <w:lang w:val="en-GB"/>
        </w:rPr>
        <w:t xml:space="preserve">n </w:t>
      </w:r>
      <w:r w:rsidR="00CF6A18">
        <w:rPr>
          <w:lang w:val="en-GB"/>
        </w:rPr>
        <w:t>ongoing</w:t>
      </w:r>
      <w:r w:rsidR="00C70E10">
        <w:rPr>
          <w:lang w:val="en-GB"/>
        </w:rPr>
        <w:t xml:space="preserve"> </w:t>
      </w:r>
      <w:r>
        <w:rPr>
          <w:lang w:val="en-GB"/>
        </w:rPr>
        <w:t>matter</w:t>
      </w:r>
      <w:r w:rsidR="00C70E10">
        <w:rPr>
          <w:lang w:val="en-GB"/>
        </w:rPr>
        <w:t>-</w:t>
      </w:r>
      <w:proofErr w:type="spellStart"/>
      <w:r>
        <w:rPr>
          <w:lang w:val="en-GB"/>
        </w:rPr>
        <w:t>ing</w:t>
      </w:r>
      <w:proofErr w:type="spellEnd"/>
      <w:r>
        <w:rPr>
          <w:lang w:val="en-GB"/>
        </w:rPr>
        <w:t xml:space="preserve"> of </w:t>
      </w:r>
      <w:r w:rsidR="00D3272E">
        <w:rPr>
          <w:lang w:val="en-GB"/>
        </w:rPr>
        <w:t xml:space="preserve">the </w:t>
      </w:r>
      <w:r w:rsidR="00C70E10">
        <w:rPr>
          <w:lang w:val="en-GB"/>
        </w:rPr>
        <w:t>heritage</w:t>
      </w:r>
      <w:r>
        <w:rPr>
          <w:lang w:val="en-GB"/>
        </w:rPr>
        <w:t xml:space="preserve"> </w:t>
      </w:r>
      <w:r w:rsidR="00B71222">
        <w:rPr>
          <w:lang w:val="en-GB"/>
        </w:rPr>
        <w:t>object</w:t>
      </w:r>
      <w:r w:rsidR="00B216F5">
        <w:rPr>
          <w:lang w:val="en-GB"/>
        </w:rPr>
        <w:t>, by stimulating evolving ways in which the object mattered to the College</w:t>
      </w:r>
      <w:r>
        <w:rPr>
          <w:lang w:val="en-GB"/>
        </w:rPr>
        <w:t>.</w:t>
      </w:r>
      <w:r w:rsidR="00C70E10">
        <w:rPr>
          <w:lang w:val="en-GB"/>
        </w:rPr>
        <w:t xml:space="preserve"> It was such matter-</w:t>
      </w:r>
      <w:proofErr w:type="spellStart"/>
      <w:r w:rsidR="00C70E10">
        <w:rPr>
          <w:lang w:val="en-GB"/>
        </w:rPr>
        <w:t>ing</w:t>
      </w:r>
      <w:proofErr w:type="spellEnd"/>
      <w:r w:rsidR="00C70E10">
        <w:rPr>
          <w:lang w:val="en-GB"/>
        </w:rPr>
        <w:t xml:space="preserve"> that prevented accounting sign</w:t>
      </w:r>
      <w:r w:rsidR="00D3272E">
        <w:rPr>
          <w:lang w:val="en-GB"/>
        </w:rPr>
        <w:t xml:space="preserve">s </w:t>
      </w:r>
      <w:r w:rsidR="00C613E8">
        <w:rPr>
          <w:lang w:val="en-GB"/>
        </w:rPr>
        <w:t>from</w:t>
      </w:r>
      <w:r w:rsidR="00D3272E">
        <w:rPr>
          <w:lang w:val="en-GB"/>
        </w:rPr>
        <w:t xml:space="preserve"> becom</w:t>
      </w:r>
      <w:r w:rsidR="00C613E8">
        <w:rPr>
          <w:lang w:val="en-GB"/>
        </w:rPr>
        <w:t>ing</w:t>
      </w:r>
      <w:r w:rsidR="00D3272E">
        <w:rPr>
          <w:lang w:val="en-GB"/>
        </w:rPr>
        <w:t xml:space="preserve"> their own simulacra</w:t>
      </w:r>
      <w:r w:rsidR="00B216F5">
        <w:rPr>
          <w:lang w:val="en-GB"/>
        </w:rPr>
        <w:t xml:space="preserve">, as they participated in the way in which their material referent (the collection) produced effects, and therefore mattered, as </w:t>
      </w:r>
      <w:r w:rsidR="00DB6A9B">
        <w:rPr>
          <w:lang w:val="en-GB"/>
        </w:rPr>
        <w:t>“</w:t>
      </w:r>
      <w:r w:rsidR="00B216F5">
        <w:rPr>
          <w:lang w:val="en-GB"/>
        </w:rPr>
        <w:t>asset</w:t>
      </w:r>
      <w:r w:rsidR="00DB6A9B">
        <w:rPr>
          <w:lang w:val="en-GB"/>
        </w:rPr>
        <w:t>”</w:t>
      </w:r>
      <w:r w:rsidR="00B216F5">
        <w:rPr>
          <w:lang w:val="en-GB"/>
        </w:rPr>
        <w:t xml:space="preserve">. </w:t>
      </w:r>
      <w:r w:rsidR="005C150E">
        <w:rPr>
          <w:lang w:val="en-GB"/>
        </w:rPr>
        <w:t>A</w:t>
      </w:r>
      <w:r w:rsidR="00B216F5">
        <w:rPr>
          <w:lang w:val="en-GB"/>
        </w:rPr>
        <w:t>ccounting s</w:t>
      </w:r>
      <w:r w:rsidR="00CF6A18">
        <w:rPr>
          <w:lang w:val="en-GB"/>
        </w:rPr>
        <w:t>igns and their material referent</w:t>
      </w:r>
      <w:r w:rsidR="00B216F5">
        <w:rPr>
          <w:lang w:val="en-GB"/>
        </w:rPr>
        <w:t xml:space="preserve"> engaged dynamically</w:t>
      </w:r>
      <w:r w:rsidR="007E7D16">
        <w:rPr>
          <w:lang w:val="en-GB"/>
        </w:rPr>
        <w:t xml:space="preserve">. </w:t>
      </w:r>
      <w:r w:rsidR="005C150E">
        <w:rPr>
          <w:lang w:val="en-GB"/>
        </w:rPr>
        <w:t>T</w:t>
      </w:r>
      <w:r w:rsidR="007E7D16">
        <w:rPr>
          <w:lang w:val="en-GB"/>
        </w:rPr>
        <w:t xml:space="preserve">he </w:t>
      </w:r>
      <w:r w:rsidR="005C150E">
        <w:rPr>
          <w:lang w:val="en-GB"/>
        </w:rPr>
        <w:t xml:space="preserve">picture </w:t>
      </w:r>
      <w:r w:rsidR="007E7D16">
        <w:rPr>
          <w:lang w:val="en-GB"/>
        </w:rPr>
        <w:t xml:space="preserve">collection was not a heritage asset </w:t>
      </w:r>
      <w:r w:rsidR="00C613E8">
        <w:rPr>
          <w:lang w:val="en-GB"/>
        </w:rPr>
        <w:t>that</w:t>
      </w:r>
      <w:r w:rsidR="00B216F5">
        <w:rPr>
          <w:lang w:val="en-GB"/>
        </w:rPr>
        <w:t xml:space="preserve"> </w:t>
      </w:r>
      <w:r w:rsidR="007E7D16">
        <w:rPr>
          <w:lang w:val="en-GB"/>
        </w:rPr>
        <w:t>simply follow</w:t>
      </w:r>
      <w:r w:rsidR="00C613E8">
        <w:rPr>
          <w:lang w:val="en-GB"/>
        </w:rPr>
        <w:t>ed</w:t>
      </w:r>
      <w:r w:rsidR="007E7D16">
        <w:rPr>
          <w:lang w:val="en-GB"/>
        </w:rPr>
        <w:t xml:space="preserve"> an accounting classification. It was </w:t>
      </w:r>
      <w:r w:rsidR="007E7D16" w:rsidRPr="007E7D16">
        <w:rPr>
          <w:i/>
          <w:lang w:val="en-GB"/>
        </w:rPr>
        <w:t>ontologically</w:t>
      </w:r>
      <w:r w:rsidR="007E7D16">
        <w:rPr>
          <w:lang w:val="en-GB"/>
        </w:rPr>
        <w:t xml:space="preserve"> an asset because of the material effects triggered by the sign-referent relationship.</w:t>
      </w:r>
    </w:p>
    <w:p w14:paraId="56CAE349" w14:textId="77777777" w:rsidR="00B93640" w:rsidRDefault="00077404" w:rsidP="00AA0678">
      <w:pPr>
        <w:pStyle w:val="Heading1"/>
        <w:rPr>
          <w:lang w:val="en-GB"/>
        </w:rPr>
      </w:pPr>
      <w:r>
        <w:rPr>
          <w:lang w:val="en-GB"/>
        </w:rPr>
        <w:t>Conclusion</w:t>
      </w:r>
    </w:p>
    <w:p w14:paraId="407E3D50" w14:textId="10313E69" w:rsidR="009F5DC0" w:rsidRPr="00D35F8D" w:rsidRDefault="00264E9C" w:rsidP="009F5DC0">
      <w:pPr>
        <w:rPr>
          <w:lang w:val="en-GB"/>
        </w:rPr>
      </w:pPr>
      <w:r>
        <w:rPr>
          <w:lang w:val="en-GB"/>
        </w:rPr>
        <w:t>This paper has explored evolving accounting practices for a collection of paintings</w:t>
      </w:r>
      <w:r w:rsidR="006F5A4C">
        <w:rPr>
          <w:rStyle w:val="FootnoteReference"/>
          <w:lang w:val="en-GB"/>
        </w:rPr>
        <w:footnoteReference w:id="4"/>
      </w:r>
      <w:r>
        <w:rPr>
          <w:lang w:val="en-GB"/>
        </w:rPr>
        <w:t xml:space="preserve"> over a long period of time, by delving into the intertwined relationship between the physical collection and its accounting. </w:t>
      </w:r>
      <w:r w:rsidR="00D35F8D">
        <w:rPr>
          <w:lang w:val="en-GB"/>
        </w:rPr>
        <w:t>For</w:t>
      </w:r>
      <w:r w:rsidR="009F5DC0" w:rsidRPr="00D35F8D">
        <w:rPr>
          <w:lang w:val="en-GB"/>
        </w:rPr>
        <w:t xml:space="preserve"> most of the period under review, </w:t>
      </w:r>
      <w:r w:rsidR="00AF52F3">
        <w:rPr>
          <w:lang w:val="en-GB"/>
        </w:rPr>
        <w:t>the</w:t>
      </w:r>
      <w:r w:rsidR="00AF52F3" w:rsidRPr="00D35F8D">
        <w:rPr>
          <w:lang w:val="en-GB"/>
        </w:rPr>
        <w:t xml:space="preserve"> </w:t>
      </w:r>
      <w:r w:rsidR="00AF52F3">
        <w:rPr>
          <w:lang w:val="en-GB"/>
        </w:rPr>
        <w:t>“</w:t>
      </w:r>
      <w:r w:rsidR="00AF52F3" w:rsidRPr="00D35F8D">
        <w:rPr>
          <w:lang w:val="en-GB"/>
        </w:rPr>
        <w:t>material referent</w:t>
      </w:r>
      <w:r w:rsidR="00AF52F3">
        <w:rPr>
          <w:lang w:val="en-GB"/>
        </w:rPr>
        <w:t>”</w:t>
      </w:r>
      <w:r w:rsidR="00AF52F3" w:rsidRPr="00D35F8D">
        <w:rPr>
          <w:lang w:val="en-GB"/>
        </w:rPr>
        <w:t xml:space="preserve"> for accounting </w:t>
      </w:r>
      <w:r w:rsidR="00AF52F3" w:rsidRPr="00D35F8D">
        <w:rPr>
          <w:lang w:val="en-GB"/>
        </w:rPr>
        <w:lastRenderedPageBreak/>
        <w:t>(</w:t>
      </w:r>
      <w:r w:rsidR="00AF52F3">
        <w:rPr>
          <w:lang w:val="en-GB"/>
        </w:rPr>
        <w:t>in our case</w:t>
      </w:r>
      <w:r w:rsidR="00AF52F3" w:rsidRPr="00D35F8D">
        <w:rPr>
          <w:lang w:val="en-GB"/>
        </w:rPr>
        <w:t xml:space="preserve"> the picture collection</w:t>
      </w:r>
      <w:r w:rsidR="00AF52F3">
        <w:rPr>
          <w:lang w:val="en-GB"/>
        </w:rPr>
        <w:t>) existed despite the absence of</w:t>
      </w:r>
      <w:r w:rsidR="00AF52F3" w:rsidRPr="00D35F8D">
        <w:rPr>
          <w:lang w:val="en-GB"/>
        </w:rPr>
        <w:t xml:space="preserve"> accounting signs</w:t>
      </w:r>
      <w:r w:rsidR="00AF52F3">
        <w:rPr>
          <w:lang w:val="en-GB"/>
        </w:rPr>
        <w:t>. T</w:t>
      </w:r>
      <w:r w:rsidR="009F5DC0" w:rsidRPr="00D35F8D">
        <w:rPr>
          <w:lang w:val="en-GB"/>
        </w:rPr>
        <w:t xml:space="preserve">he picture collection was either omitted altogether from the College’s financial statements or buried in a general balance sheet item with no indication that it included the pictures. When three pictures were sold in the early 1990s to generate a substantial endowment fund for major repairs to the Founder’s Building, paradoxically the paintings that were sold had an accounting impact while the remaining collection continued to be invisible in accounting terms. Since 1999, the picture collection has been included in the College’s balance sheets. </w:t>
      </w:r>
      <w:r>
        <w:rPr>
          <w:lang w:val="en-GB"/>
        </w:rPr>
        <w:t xml:space="preserve">As a consequence, </w:t>
      </w:r>
      <w:r w:rsidR="009F5DC0" w:rsidRPr="00D35F8D">
        <w:rPr>
          <w:lang w:val="en-GB"/>
        </w:rPr>
        <w:t>the College faces the tension between accounting for the picture collection as an</w:t>
      </w:r>
      <w:r>
        <w:rPr>
          <w:lang w:val="en-GB"/>
        </w:rPr>
        <w:t xml:space="preserve"> endowment</w:t>
      </w:r>
      <w:r w:rsidR="009F5DC0" w:rsidRPr="00D35F8D">
        <w:rPr>
          <w:lang w:val="en-GB"/>
        </w:rPr>
        <w:t xml:space="preserve"> investment, which implies that individual pictures, or even the whole collection, are resources that could if necessary be “cashed in”, and showing the picture collection as a fixed asset, which implies that the collection provides economic or cultural benefits to the College. </w:t>
      </w:r>
    </w:p>
    <w:p w14:paraId="4602FF14" w14:textId="32134EDD" w:rsidR="004F6420" w:rsidRDefault="00264E9C" w:rsidP="0097217C">
      <w:pPr>
        <w:rPr>
          <w:lang w:val="en-GB"/>
        </w:rPr>
      </w:pPr>
      <w:r>
        <w:rPr>
          <w:lang w:val="en-GB"/>
        </w:rPr>
        <w:t>I</w:t>
      </w:r>
      <w:r w:rsidR="00077404">
        <w:rPr>
          <w:lang w:val="en-GB"/>
        </w:rPr>
        <w:t xml:space="preserve">nvestigating </w:t>
      </w:r>
      <w:r>
        <w:rPr>
          <w:lang w:val="en-GB"/>
        </w:rPr>
        <w:t xml:space="preserve">the </w:t>
      </w:r>
      <w:r w:rsidR="00077404">
        <w:rPr>
          <w:lang w:val="en-GB"/>
        </w:rPr>
        <w:t xml:space="preserve">relationship </w:t>
      </w:r>
      <w:r>
        <w:rPr>
          <w:lang w:val="en-GB"/>
        </w:rPr>
        <w:t xml:space="preserve">between the picture collection and its accounting signs helps us </w:t>
      </w:r>
      <w:r w:rsidR="00077404">
        <w:rPr>
          <w:lang w:val="en-GB"/>
        </w:rPr>
        <w:t>to understand what constitutes an asset. We have shown that</w:t>
      </w:r>
      <w:r>
        <w:rPr>
          <w:lang w:val="en-GB"/>
        </w:rPr>
        <w:t xml:space="preserve"> </w:t>
      </w:r>
      <w:r w:rsidRPr="00BA07DA">
        <w:rPr>
          <w:lang w:val="en-GB"/>
        </w:rPr>
        <w:t xml:space="preserve">the </w:t>
      </w:r>
      <w:r w:rsidR="0024062A" w:rsidRPr="00BA07DA">
        <w:rPr>
          <w:lang w:val="en-GB"/>
        </w:rPr>
        <w:t>accounting sign</w:t>
      </w:r>
      <w:r w:rsidRPr="00BA07DA">
        <w:rPr>
          <w:lang w:val="en-GB"/>
        </w:rPr>
        <w:t xml:space="preserve"> does not operate as a simulacrum of a hyperreality, but instead </w:t>
      </w:r>
      <w:r w:rsidR="0024062A" w:rsidRPr="00BA07DA">
        <w:rPr>
          <w:lang w:val="en-GB"/>
        </w:rPr>
        <w:t xml:space="preserve">renders the referent even more </w:t>
      </w:r>
      <w:r w:rsidRPr="00BA07DA">
        <w:rPr>
          <w:lang w:val="en-GB"/>
        </w:rPr>
        <w:t>real, by which we mean able to produce effects</w:t>
      </w:r>
      <w:r w:rsidR="0024062A" w:rsidRPr="00BA07DA">
        <w:rPr>
          <w:lang w:val="en-GB"/>
        </w:rPr>
        <w:t>.</w:t>
      </w:r>
      <w:r w:rsidR="00077404">
        <w:rPr>
          <w:lang w:val="en-GB"/>
        </w:rPr>
        <w:t xml:space="preserve"> </w:t>
      </w:r>
      <w:r w:rsidR="006F5A4C">
        <w:rPr>
          <w:lang w:val="en-GB"/>
        </w:rPr>
        <w:t>A</w:t>
      </w:r>
      <w:r w:rsidR="00077404">
        <w:rPr>
          <w:lang w:val="en-GB"/>
        </w:rPr>
        <w:t xml:space="preserve">n </w:t>
      </w:r>
      <w:r w:rsidR="0024062A">
        <w:rPr>
          <w:lang w:val="en-GB"/>
        </w:rPr>
        <w:t xml:space="preserve">item </w:t>
      </w:r>
      <w:r w:rsidR="00077404">
        <w:rPr>
          <w:lang w:val="en-GB"/>
        </w:rPr>
        <w:t xml:space="preserve">is </w:t>
      </w:r>
      <w:r w:rsidR="00077404" w:rsidRPr="001D16F4">
        <w:rPr>
          <w:i/>
          <w:lang w:val="en-GB"/>
        </w:rPr>
        <w:t>ontologically</w:t>
      </w:r>
      <w:r w:rsidR="00077404">
        <w:rPr>
          <w:lang w:val="en-GB"/>
        </w:rPr>
        <w:t xml:space="preserve"> an asset because of </w:t>
      </w:r>
      <w:r w:rsidR="00AA0678">
        <w:rPr>
          <w:lang w:val="en-GB"/>
        </w:rPr>
        <w:t xml:space="preserve">the </w:t>
      </w:r>
      <w:r w:rsidR="00077404">
        <w:rPr>
          <w:lang w:val="en-GB"/>
        </w:rPr>
        <w:t xml:space="preserve">relationship </w:t>
      </w:r>
      <w:r w:rsidR="00AA0678">
        <w:rPr>
          <w:lang w:val="en-GB"/>
        </w:rPr>
        <w:t>between the a</w:t>
      </w:r>
      <w:r w:rsidR="0024062A">
        <w:rPr>
          <w:lang w:val="en-GB"/>
        </w:rPr>
        <w:t xml:space="preserve">ccounting </w:t>
      </w:r>
      <w:r w:rsidR="00AA0678">
        <w:rPr>
          <w:lang w:val="en-GB"/>
        </w:rPr>
        <w:t>sign and</w:t>
      </w:r>
      <w:r w:rsidR="00077404">
        <w:rPr>
          <w:lang w:val="en-GB"/>
        </w:rPr>
        <w:t xml:space="preserve"> </w:t>
      </w:r>
      <w:r w:rsidR="00AA0678">
        <w:rPr>
          <w:lang w:val="en-GB"/>
        </w:rPr>
        <w:t>the material effects of the sign’s</w:t>
      </w:r>
      <w:r w:rsidR="00077404">
        <w:rPr>
          <w:lang w:val="en-GB"/>
        </w:rPr>
        <w:t xml:space="preserve"> referent. </w:t>
      </w:r>
      <w:r w:rsidR="006F5A4C">
        <w:rPr>
          <w:lang w:val="en-GB"/>
        </w:rPr>
        <w:t>E</w:t>
      </w:r>
      <w:r w:rsidR="00077404">
        <w:rPr>
          <w:lang w:val="en-GB"/>
        </w:rPr>
        <w:t xml:space="preserve">volving accounting practices rendered </w:t>
      </w:r>
      <w:r w:rsidR="00AA0678">
        <w:rPr>
          <w:lang w:val="en-GB"/>
        </w:rPr>
        <w:t xml:space="preserve">the </w:t>
      </w:r>
      <w:r w:rsidR="006F5A4C">
        <w:rPr>
          <w:lang w:val="en-GB"/>
        </w:rPr>
        <w:t xml:space="preserve">picture </w:t>
      </w:r>
      <w:r w:rsidR="00AA0678">
        <w:rPr>
          <w:lang w:val="en-GB"/>
        </w:rPr>
        <w:t>collection</w:t>
      </w:r>
      <w:r w:rsidR="00077404">
        <w:rPr>
          <w:lang w:val="en-GB"/>
        </w:rPr>
        <w:t xml:space="preserve"> a </w:t>
      </w:r>
      <w:r w:rsidR="00DB6A9B">
        <w:rPr>
          <w:lang w:val="en-GB"/>
        </w:rPr>
        <w:t>“</w:t>
      </w:r>
      <w:r w:rsidR="00077404">
        <w:rPr>
          <w:lang w:val="en-GB"/>
        </w:rPr>
        <w:t>matter of concern</w:t>
      </w:r>
      <w:r w:rsidR="00DB6A9B">
        <w:rPr>
          <w:lang w:val="en-GB"/>
        </w:rPr>
        <w:t>”</w:t>
      </w:r>
      <w:r w:rsidR="00077404">
        <w:rPr>
          <w:lang w:val="en-GB"/>
        </w:rPr>
        <w:t>, and therefore an agitating, co</w:t>
      </w:r>
      <w:r w:rsidR="00172BC3">
        <w:rPr>
          <w:lang w:val="en-GB"/>
        </w:rPr>
        <w:t>mplicating and provoking matter</w:t>
      </w:r>
      <w:r w:rsidR="00077404">
        <w:rPr>
          <w:lang w:val="en-GB"/>
        </w:rPr>
        <w:t xml:space="preserve"> triggering material effects and financial benefits.</w:t>
      </w:r>
    </w:p>
    <w:p w14:paraId="7C007402" w14:textId="75BA3DF9" w:rsidR="0024062A" w:rsidRDefault="00AF52F3" w:rsidP="0097217C">
      <w:pPr>
        <w:rPr>
          <w:lang w:val="en-GB"/>
        </w:rPr>
      </w:pPr>
      <w:r>
        <w:rPr>
          <w:lang w:val="en-GB"/>
        </w:rPr>
        <w:t>W</w:t>
      </w:r>
      <w:r w:rsidR="00077404">
        <w:rPr>
          <w:lang w:val="en-GB"/>
        </w:rPr>
        <w:t xml:space="preserve">e contribute to the current </w:t>
      </w:r>
      <w:r w:rsidR="001D16F4">
        <w:rPr>
          <w:lang w:val="en-GB"/>
        </w:rPr>
        <w:t xml:space="preserve">accounting </w:t>
      </w:r>
      <w:r w:rsidR="00077404">
        <w:rPr>
          <w:lang w:val="en-GB"/>
        </w:rPr>
        <w:t xml:space="preserve">debate on the definition of assets, by suggesting </w:t>
      </w:r>
      <w:r w:rsidR="001D16F4">
        <w:rPr>
          <w:lang w:val="en-GB"/>
        </w:rPr>
        <w:t xml:space="preserve">that </w:t>
      </w:r>
      <w:r w:rsidR="00077404">
        <w:rPr>
          <w:lang w:val="en-GB"/>
        </w:rPr>
        <w:t>a nuanc</w:t>
      </w:r>
      <w:r w:rsidR="006520BE">
        <w:rPr>
          <w:lang w:val="en-GB"/>
        </w:rPr>
        <w:t>ed perspective</w:t>
      </w:r>
      <w:r w:rsidR="00077404">
        <w:rPr>
          <w:lang w:val="en-GB"/>
        </w:rPr>
        <w:t xml:space="preserve"> </w:t>
      </w:r>
      <w:r w:rsidR="006520BE">
        <w:rPr>
          <w:lang w:val="en-GB"/>
        </w:rPr>
        <w:t>on the relationship between accounting signs</w:t>
      </w:r>
      <w:r w:rsidR="001D16F4">
        <w:rPr>
          <w:lang w:val="en-GB"/>
        </w:rPr>
        <w:t xml:space="preserve"> and their referents is needed to investigate </w:t>
      </w:r>
      <w:r w:rsidR="006520BE">
        <w:rPr>
          <w:lang w:val="en-GB"/>
        </w:rPr>
        <w:t>the extent to which the sign participates in the actual</w:t>
      </w:r>
      <w:r w:rsidR="001D16F4">
        <w:rPr>
          <w:lang w:val="en-GB"/>
        </w:rPr>
        <w:t>,</w:t>
      </w:r>
      <w:r w:rsidR="006520BE">
        <w:rPr>
          <w:lang w:val="en-GB"/>
        </w:rPr>
        <w:t xml:space="preserve"> material nature of the </w:t>
      </w:r>
      <w:r w:rsidR="00172BC3">
        <w:rPr>
          <w:lang w:val="en-GB"/>
        </w:rPr>
        <w:t>referent</w:t>
      </w:r>
      <w:r w:rsidR="00946D3F">
        <w:rPr>
          <w:lang w:val="en-GB"/>
        </w:rPr>
        <w:t>.</w:t>
      </w:r>
      <w:r w:rsidR="006520BE">
        <w:rPr>
          <w:lang w:val="en-GB"/>
        </w:rPr>
        <w:t xml:space="preserve"> Our nuanced perspective extends prior studies that have already show</w:t>
      </w:r>
      <w:r w:rsidR="00AA0678">
        <w:rPr>
          <w:lang w:val="en-GB"/>
        </w:rPr>
        <w:t>n</w:t>
      </w:r>
      <w:r w:rsidR="006520BE">
        <w:rPr>
          <w:lang w:val="en-GB"/>
        </w:rPr>
        <w:t xml:space="preserve"> the potential of </w:t>
      </w:r>
      <w:r w:rsidR="001C49F5">
        <w:rPr>
          <w:lang w:val="en-GB"/>
        </w:rPr>
        <w:t>Baudrillard’s work to delve into the sign-referent rel</w:t>
      </w:r>
      <w:r w:rsidR="001D16F4">
        <w:rPr>
          <w:lang w:val="en-GB"/>
        </w:rPr>
        <w:t>ationship enabled by accounting</w:t>
      </w:r>
      <w:r w:rsidR="001C49F5">
        <w:rPr>
          <w:lang w:val="en-GB"/>
        </w:rPr>
        <w:t xml:space="preserve">. We </w:t>
      </w:r>
      <w:r>
        <w:rPr>
          <w:lang w:val="en-GB"/>
        </w:rPr>
        <w:t>show</w:t>
      </w:r>
      <w:r w:rsidR="001C49F5">
        <w:rPr>
          <w:lang w:val="en-GB"/>
        </w:rPr>
        <w:t xml:space="preserve"> the powerful role of counterfeits, rather than </w:t>
      </w:r>
      <w:r w:rsidR="003425D7">
        <w:rPr>
          <w:lang w:val="en-GB"/>
        </w:rPr>
        <w:t>simulations</w:t>
      </w:r>
      <w:r w:rsidR="001C49F5">
        <w:rPr>
          <w:lang w:val="en-GB"/>
        </w:rPr>
        <w:t>, in the making of matter</w:t>
      </w:r>
      <w:r w:rsidR="00AA0678">
        <w:rPr>
          <w:lang w:val="en-GB"/>
        </w:rPr>
        <w:t>s</w:t>
      </w:r>
      <w:r w:rsidR="001C49F5">
        <w:rPr>
          <w:lang w:val="en-GB"/>
        </w:rPr>
        <w:t xml:space="preserve"> of concern, as these counterfeits participate in the </w:t>
      </w:r>
      <w:r w:rsidR="00DB6A9B">
        <w:rPr>
          <w:lang w:val="en-GB"/>
        </w:rPr>
        <w:t>“</w:t>
      </w:r>
      <w:r w:rsidR="001C49F5">
        <w:rPr>
          <w:lang w:val="en-GB"/>
        </w:rPr>
        <w:t>material</w:t>
      </w:r>
      <w:r w:rsidR="00DB6A9B">
        <w:rPr>
          <w:lang w:val="en-GB"/>
        </w:rPr>
        <w:t>”</w:t>
      </w:r>
      <w:r w:rsidR="001C49F5">
        <w:rPr>
          <w:lang w:val="en-GB"/>
        </w:rPr>
        <w:t xml:space="preserve"> nature of objects and </w:t>
      </w:r>
      <w:r w:rsidR="0070678F">
        <w:rPr>
          <w:lang w:val="en-GB"/>
        </w:rPr>
        <w:t>enact the</w:t>
      </w:r>
      <w:r w:rsidR="001C49F5">
        <w:rPr>
          <w:lang w:val="en-GB"/>
        </w:rPr>
        <w:t xml:space="preserve"> ability </w:t>
      </w:r>
      <w:r w:rsidR="0070678F">
        <w:rPr>
          <w:lang w:val="en-GB"/>
        </w:rPr>
        <w:t xml:space="preserve">of these objects </w:t>
      </w:r>
      <w:r w:rsidR="001C49F5">
        <w:rPr>
          <w:lang w:val="en-GB"/>
        </w:rPr>
        <w:t>to provoke real, rather than hyperreal, effects.</w:t>
      </w:r>
      <w:r w:rsidR="00172BC3">
        <w:rPr>
          <w:lang w:val="en-GB"/>
        </w:rPr>
        <w:t xml:space="preserve"> Therefore, an </w:t>
      </w:r>
      <w:r w:rsidR="00946D3F">
        <w:rPr>
          <w:lang w:val="en-GB"/>
        </w:rPr>
        <w:t xml:space="preserve">item </w:t>
      </w:r>
      <w:r w:rsidR="00172BC3">
        <w:rPr>
          <w:lang w:val="en-GB"/>
        </w:rPr>
        <w:t>is ontologically an asset not because of the physicality of its referent</w:t>
      </w:r>
      <w:r>
        <w:rPr>
          <w:lang w:val="en-GB"/>
        </w:rPr>
        <w:t>, nor because of its potential to produce economic benefits,</w:t>
      </w:r>
      <w:r w:rsidR="00172BC3">
        <w:rPr>
          <w:lang w:val="en-GB"/>
        </w:rPr>
        <w:t xml:space="preserve"> but because of the effects that the referent provokes through </w:t>
      </w:r>
      <w:r w:rsidR="001E77E9">
        <w:rPr>
          <w:lang w:val="en-GB"/>
        </w:rPr>
        <w:t xml:space="preserve">the counterfeit of </w:t>
      </w:r>
      <w:r w:rsidR="00172BC3">
        <w:rPr>
          <w:lang w:val="en-GB"/>
        </w:rPr>
        <w:t>accounting.</w:t>
      </w:r>
    </w:p>
    <w:p w14:paraId="386F7773" w14:textId="44815A04" w:rsidR="00162CB2" w:rsidRDefault="004F6420" w:rsidP="0097217C">
      <w:pPr>
        <w:rPr>
          <w:lang w:val="en-GB"/>
        </w:rPr>
      </w:pPr>
      <w:r>
        <w:rPr>
          <w:lang w:val="en-GB"/>
        </w:rPr>
        <w:t xml:space="preserve">This is particularly important for heritage assets. By requiring </w:t>
      </w:r>
      <w:r w:rsidR="009D6AE0">
        <w:rPr>
          <w:lang w:val="en-GB"/>
        </w:rPr>
        <w:t>heritage objects</w:t>
      </w:r>
      <w:r>
        <w:rPr>
          <w:lang w:val="en-GB"/>
        </w:rPr>
        <w:t xml:space="preserve"> to be included </w:t>
      </w:r>
      <w:r w:rsidR="0024062A">
        <w:rPr>
          <w:lang w:val="en-GB"/>
        </w:rPr>
        <w:t>o</w:t>
      </w:r>
      <w:r>
        <w:rPr>
          <w:lang w:val="en-GB"/>
        </w:rPr>
        <w:t xml:space="preserve">n the </w:t>
      </w:r>
      <w:r w:rsidR="0024062A">
        <w:rPr>
          <w:lang w:val="en-GB"/>
        </w:rPr>
        <w:t>balance sheet</w:t>
      </w:r>
      <w:r>
        <w:rPr>
          <w:lang w:val="en-GB"/>
        </w:rPr>
        <w:t xml:space="preserve">, items that are held </w:t>
      </w:r>
      <w:r w:rsidR="0024062A">
        <w:rPr>
          <w:lang w:val="en-GB"/>
        </w:rPr>
        <w:t xml:space="preserve">because of their </w:t>
      </w:r>
      <w:r w:rsidR="0024062A" w:rsidRPr="00946D3F">
        <w:rPr>
          <w:i/>
          <w:lang w:val="en-GB"/>
        </w:rPr>
        <w:t>cultural</w:t>
      </w:r>
      <w:r w:rsidR="0024062A">
        <w:rPr>
          <w:lang w:val="en-GB"/>
        </w:rPr>
        <w:t xml:space="preserve"> value</w:t>
      </w:r>
      <w:r>
        <w:rPr>
          <w:lang w:val="en-GB"/>
        </w:rPr>
        <w:t xml:space="preserve"> </w:t>
      </w:r>
      <w:r w:rsidR="00737038">
        <w:rPr>
          <w:lang w:val="en-GB"/>
        </w:rPr>
        <w:t xml:space="preserve">are forced to </w:t>
      </w:r>
      <w:r w:rsidR="00737038">
        <w:rPr>
          <w:lang w:val="en-GB"/>
        </w:rPr>
        <w:lastRenderedPageBreak/>
        <w:t>fit into</w:t>
      </w:r>
      <w:r>
        <w:rPr>
          <w:lang w:val="en-GB"/>
        </w:rPr>
        <w:t xml:space="preserve"> the conceptual definition of “asset”</w:t>
      </w:r>
      <w:r w:rsidR="00946D3F">
        <w:rPr>
          <w:lang w:val="en-GB"/>
        </w:rPr>
        <w:t xml:space="preserve"> as something of </w:t>
      </w:r>
      <w:r w:rsidR="00946D3F" w:rsidRPr="00946D3F">
        <w:rPr>
          <w:i/>
          <w:lang w:val="en-GB"/>
        </w:rPr>
        <w:t>economic</w:t>
      </w:r>
      <w:r w:rsidR="00946D3F">
        <w:rPr>
          <w:lang w:val="en-GB"/>
        </w:rPr>
        <w:t xml:space="preserve"> value,</w:t>
      </w:r>
      <w:r>
        <w:rPr>
          <w:lang w:val="en-GB"/>
        </w:rPr>
        <w:t xml:space="preserve"> expected to generate either future returns or current sales proceeds. </w:t>
      </w:r>
      <w:r w:rsidR="009D6AE0">
        <w:rPr>
          <w:lang w:val="en-GB"/>
        </w:rPr>
        <w:t>More simply put, the items are no longer thought of as heritage objects but as potential sums of money</w:t>
      </w:r>
      <w:r w:rsidR="0024062A">
        <w:rPr>
          <w:lang w:val="en-GB"/>
        </w:rPr>
        <w:t>, which may, paradoxically, undermine the reasons for preserving such items</w:t>
      </w:r>
      <w:r w:rsidR="009D6AE0">
        <w:rPr>
          <w:lang w:val="en-GB"/>
        </w:rPr>
        <w:t xml:space="preserve">. There is no need to include heritage objects </w:t>
      </w:r>
      <w:r w:rsidR="0024062A">
        <w:rPr>
          <w:lang w:val="en-GB"/>
        </w:rPr>
        <w:t>o</w:t>
      </w:r>
      <w:r w:rsidR="009D6AE0">
        <w:rPr>
          <w:lang w:val="en-GB"/>
        </w:rPr>
        <w:t xml:space="preserve">n the balance sheet to </w:t>
      </w:r>
      <w:r w:rsidR="004C0028">
        <w:rPr>
          <w:lang w:val="en-GB"/>
        </w:rPr>
        <w:t>account for their existence and state</w:t>
      </w:r>
      <w:r w:rsidR="009D6AE0">
        <w:rPr>
          <w:lang w:val="en-GB"/>
        </w:rPr>
        <w:t>: a simple list or inventory can achieve this. For example, the National Gallery (2018, p. 53) refers in its financial statements to the list on its website of all the paintings it owns.</w:t>
      </w:r>
    </w:p>
    <w:p w14:paraId="27464108" w14:textId="6F8BE4A3" w:rsidR="00077404" w:rsidRDefault="00DB6A9B" w:rsidP="00B71222">
      <w:pPr>
        <w:rPr>
          <w:lang w:val="en-GB"/>
        </w:rPr>
      </w:pPr>
      <w:r>
        <w:rPr>
          <w:lang w:val="en-GB"/>
        </w:rPr>
        <w:t>We</w:t>
      </w:r>
      <w:r w:rsidR="00162CB2">
        <w:rPr>
          <w:lang w:val="en-GB"/>
        </w:rPr>
        <w:t xml:space="preserve"> also contribute to prior accounting studies </w:t>
      </w:r>
      <w:r w:rsidR="006F5A4C">
        <w:rPr>
          <w:lang w:val="en-GB"/>
        </w:rPr>
        <w:t>drawing</w:t>
      </w:r>
      <w:r w:rsidR="00162CB2">
        <w:rPr>
          <w:lang w:val="en-GB"/>
        </w:rPr>
        <w:t xml:space="preserve"> on </w:t>
      </w:r>
      <w:r w:rsidR="00364A41">
        <w:rPr>
          <w:lang w:val="en-GB"/>
        </w:rPr>
        <w:t>the theoretical</w:t>
      </w:r>
      <w:r w:rsidR="00162CB2">
        <w:rPr>
          <w:lang w:val="en-GB"/>
        </w:rPr>
        <w:t xml:space="preserve"> insights offered by Baudrillard to explore the sign-referent relationship (</w:t>
      </w:r>
      <w:r w:rsidR="00C613E8">
        <w:rPr>
          <w:lang w:val="en-GB"/>
        </w:rPr>
        <w:t>for example</w:t>
      </w:r>
      <w:r w:rsidR="00162CB2">
        <w:rPr>
          <w:lang w:val="en-GB"/>
        </w:rPr>
        <w:t xml:space="preserve">, Macintosh et al., 2000; Macintosh, 2003). We show how Baudrillard’s view of counterfeit may be enriched by the insights offered by Latour’s concept of </w:t>
      </w:r>
      <w:r>
        <w:rPr>
          <w:lang w:val="en-GB"/>
        </w:rPr>
        <w:t>“</w:t>
      </w:r>
      <w:r w:rsidR="00162CB2">
        <w:rPr>
          <w:lang w:val="en-GB"/>
        </w:rPr>
        <w:t>matter of concern</w:t>
      </w:r>
      <w:r>
        <w:rPr>
          <w:lang w:val="en-GB"/>
        </w:rPr>
        <w:t>”</w:t>
      </w:r>
      <w:r w:rsidR="006F5A4C">
        <w:rPr>
          <w:lang w:val="en-GB"/>
        </w:rPr>
        <w:t xml:space="preserve">, particularly by examining how </w:t>
      </w:r>
      <w:r w:rsidR="007E7D16">
        <w:rPr>
          <w:lang w:val="en-GB"/>
        </w:rPr>
        <w:t>the</w:t>
      </w:r>
      <w:r w:rsidR="00162CB2">
        <w:rPr>
          <w:lang w:val="en-GB"/>
        </w:rPr>
        <w:t xml:space="preserve"> dynamics between sign and referent may provide for evolving matter-</w:t>
      </w:r>
      <w:proofErr w:type="spellStart"/>
      <w:r w:rsidR="00162CB2">
        <w:rPr>
          <w:lang w:val="en-GB"/>
        </w:rPr>
        <w:t>ing</w:t>
      </w:r>
      <w:proofErr w:type="spellEnd"/>
      <w:r w:rsidR="00162CB2">
        <w:rPr>
          <w:lang w:val="en-GB"/>
        </w:rPr>
        <w:t xml:space="preserve"> (Law, 2004) through which objects (heritage objects in this paper) produce material effects as </w:t>
      </w:r>
      <w:r>
        <w:rPr>
          <w:lang w:val="en-GB"/>
        </w:rPr>
        <w:t>“</w:t>
      </w:r>
      <w:r w:rsidR="00162CB2">
        <w:rPr>
          <w:lang w:val="en-GB"/>
        </w:rPr>
        <w:t>assets</w:t>
      </w:r>
      <w:r>
        <w:rPr>
          <w:lang w:val="en-GB"/>
        </w:rPr>
        <w:t>”</w:t>
      </w:r>
      <w:r w:rsidR="00162CB2">
        <w:rPr>
          <w:lang w:val="en-GB"/>
        </w:rPr>
        <w:t xml:space="preserve">. Our findings </w:t>
      </w:r>
      <w:r w:rsidR="00857321">
        <w:rPr>
          <w:lang w:val="en-GB"/>
        </w:rPr>
        <w:t>augment</w:t>
      </w:r>
      <w:r w:rsidR="00162CB2">
        <w:rPr>
          <w:lang w:val="en-GB"/>
        </w:rPr>
        <w:t xml:space="preserve"> prior studies</w:t>
      </w:r>
      <w:r w:rsidR="00D3272E">
        <w:rPr>
          <w:lang w:val="en-GB"/>
        </w:rPr>
        <w:t xml:space="preserve"> that have </w:t>
      </w:r>
      <w:r w:rsidR="00B71222">
        <w:rPr>
          <w:lang w:val="en-GB"/>
        </w:rPr>
        <w:t>combined</w:t>
      </w:r>
      <w:r w:rsidR="00D3272E">
        <w:rPr>
          <w:lang w:val="en-GB"/>
        </w:rPr>
        <w:t xml:space="preserve"> </w:t>
      </w:r>
      <w:r w:rsidR="00162CB2">
        <w:rPr>
          <w:lang w:val="en-GB"/>
        </w:rPr>
        <w:t>Baudrillard’s and Latour</w:t>
      </w:r>
      <w:r w:rsidR="00D3272E">
        <w:rPr>
          <w:lang w:val="en-GB"/>
        </w:rPr>
        <w:t>’s views of reality</w:t>
      </w:r>
      <w:r w:rsidR="00B71222">
        <w:rPr>
          <w:lang w:val="en-GB"/>
        </w:rPr>
        <w:t xml:space="preserve"> (for example, Simon </w:t>
      </w:r>
      <w:r w:rsidR="00857321">
        <w:rPr>
          <w:lang w:val="en-GB"/>
        </w:rPr>
        <w:t>&amp;</w:t>
      </w:r>
      <w:r w:rsidR="00B71222">
        <w:rPr>
          <w:lang w:val="en-GB"/>
        </w:rPr>
        <w:t xml:space="preserve"> Barker, 2002)</w:t>
      </w:r>
      <w:r w:rsidR="00D3272E">
        <w:rPr>
          <w:lang w:val="en-GB"/>
        </w:rPr>
        <w:t xml:space="preserve">. </w:t>
      </w:r>
      <w:r w:rsidR="00E766B8">
        <w:rPr>
          <w:lang w:val="en-GB"/>
        </w:rPr>
        <w:t>In the specific context of the accountings for the picture collection at Royal Holloway, we have shown that accounting signs were not hyperreal simulacra, but they were counterfeit</w:t>
      </w:r>
      <w:r w:rsidR="00857321">
        <w:rPr>
          <w:lang w:val="en-GB"/>
        </w:rPr>
        <w:t>s</w:t>
      </w:r>
      <w:r w:rsidR="00E766B8">
        <w:rPr>
          <w:lang w:val="en-GB"/>
        </w:rPr>
        <w:t xml:space="preserve"> that provided for a dynamic </w:t>
      </w:r>
      <w:r w:rsidR="00E766B8" w:rsidRPr="00B71222">
        <w:rPr>
          <w:i/>
          <w:lang w:val="en-GB"/>
        </w:rPr>
        <w:t>matter</w:t>
      </w:r>
      <w:r w:rsidR="007E7D16">
        <w:rPr>
          <w:i/>
          <w:lang w:val="en-GB"/>
        </w:rPr>
        <w:t>-</w:t>
      </w:r>
      <w:proofErr w:type="spellStart"/>
      <w:r w:rsidR="007E7D16">
        <w:rPr>
          <w:i/>
          <w:lang w:val="en-GB"/>
        </w:rPr>
        <w:t>i</w:t>
      </w:r>
      <w:r w:rsidR="00E766B8" w:rsidRPr="00B71222">
        <w:rPr>
          <w:i/>
          <w:lang w:val="en-GB"/>
        </w:rPr>
        <w:t>ng</w:t>
      </w:r>
      <w:proofErr w:type="spellEnd"/>
      <w:r w:rsidR="00E766B8">
        <w:rPr>
          <w:lang w:val="en-GB"/>
        </w:rPr>
        <w:t xml:space="preserve"> of </w:t>
      </w:r>
      <w:r w:rsidR="00B71222">
        <w:rPr>
          <w:lang w:val="en-GB"/>
        </w:rPr>
        <w:t>heritage</w:t>
      </w:r>
      <w:r w:rsidR="00E766B8">
        <w:rPr>
          <w:lang w:val="en-GB"/>
        </w:rPr>
        <w:t xml:space="preserve"> assets.</w:t>
      </w:r>
      <w:r w:rsidR="00D3272E" w:rsidRPr="00D3272E">
        <w:rPr>
          <w:lang w:val="en-GB"/>
        </w:rPr>
        <w:t xml:space="preserve"> </w:t>
      </w:r>
      <w:r w:rsidR="006F5A4C">
        <w:rPr>
          <w:lang w:val="en-GB"/>
        </w:rPr>
        <w:t>A</w:t>
      </w:r>
      <w:r w:rsidR="00B71222">
        <w:rPr>
          <w:lang w:val="en-GB"/>
        </w:rPr>
        <w:t xml:space="preserve">ccounting signs engaged with the objects in evolving ways. </w:t>
      </w:r>
    </w:p>
    <w:p w14:paraId="4D39A9F8" w14:textId="64CF45FC" w:rsidR="00FE5148" w:rsidRDefault="00DB6A9B" w:rsidP="001C49F5">
      <w:pPr>
        <w:rPr>
          <w:lang w:val="en-GB"/>
        </w:rPr>
      </w:pPr>
      <w:r>
        <w:rPr>
          <w:lang w:val="en-GB"/>
        </w:rPr>
        <w:t>Our</w:t>
      </w:r>
      <w:r w:rsidR="00946D3F">
        <w:rPr>
          <w:lang w:val="en-GB"/>
        </w:rPr>
        <w:t xml:space="preserve"> </w:t>
      </w:r>
      <w:r w:rsidR="001C49F5">
        <w:rPr>
          <w:lang w:val="en-GB"/>
        </w:rPr>
        <w:t>contribut</w:t>
      </w:r>
      <w:r>
        <w:rPr>
          <w:lang w:val="en-GB"/>
        </w:rPr>
        <w:t>ion</w:t>
      </w:r>
      <w:r w:rsidR="001C49F5">
        <w:rPr>
          <w:lang w:val="en-GB"/>
        </w:rPr>
        <w:t xml:space="preserve"> to</w:t>
      </w:r>
      <w:r w:rsidR="00624A57">
        <w:rPr>
          <w:lang w:val="en-GB"/>
        </w:rPr>
        <w:t xml:space="preserve"> the</w:t>
      </w:r>
      <w:r w:rsidR="001C49F5">
        <w:rPr>
          <w:lang w:val="en-GB"/>
        </w:rPr>
        <w:t xml:space="preserve"> accounting history literature </w:t>
      </w:r>
      <w:r>
        <w:rPr>
          <w:lang w:val="en-GB"/>
        </w:rPr>
        <w:t>is a</w:t>
      </w:r>
      <w:r w:rsidR="001C49F5">
        <w:rPr>
          <w:lang w:val="en-GB"/>
        </w:rPr>
        <w:t xml:space="preserve"> demonstrati</w:t>
      </w:r>
      <w:r>
        <w:rPr>
          <w:lang w:val="en-GB"/>
        </w:rPr>
        <w:t>on</w:t>
      </w:r>
      <w:r w:rsidR="001C49F5">
        <w:rPr>
          <w:lang w:val="en-GB"/>
        </w:rPr>
        <w:t xml:space="preserve"> </w:t>
      </w:r>
      <w:r>
        <w:rPr>
          <w:lang w:val="en-GB"/>
        </w:rPr>
        <w:t xml:space="preserve">of </w:t>
      </w:r>
      <w:r w:rsidR="001C49F5">
        <w:rPr>
          <w:lang w:val="en-GB"/>
        </w:rPr>
        <w:t xml:space="preserve">the intertwined relationship between </w:t>
      </w:r>
      <w:r w:rsidR="001D16F4">
        <w:rPr>
          <w:lang w:val="en-GB"/>
        </w:rPr>
        <w:t xml:space="preserve">the history of </w:t>
      </w:r>
      <w:r w:rsidR="001C49F5">
        <w:rPr>
          <w:lang w:val="en-GB"/>
        </w:rPr>
        <w:t xml:space="preserve">accounting and the history of such material objects as heritage artworks </w:t>
      </w:r>
      <w:r w:rsidR="001D16F4">
        <w:rPr>
          <w:lang w:val="en-GB"/>
        </w:rPr>
        <w:t>within</w:t>
      </w:r>
      <w:r w:rsidR="001C49F5">
        <w:rPr>
          <w:lang w:val="en-GB"/>
        </w:rPr>
        <w:t xml:space="preserve"> </w:t>
      </w:r>
      <w:r w:rsidR="001E77E9">
        <w:rPr>
          <w:lang w:val="en-GB"/>
        </w:rPr>
        <w:t xml:space="preserve">not-for-profit </w:t>
      </w:r>
      <w:r w:rsidR="001C49F5">
        <w:rPr>
          <w:lang w:val="en-GB"/>
        </w:rPr>
        <w:t>organi</w:t>
      </w:r>
      <w:r w:rsidR="001E77E9">
        <w:rPr>
          <w:lang w:val="en-GB"/>
        </w:rPr>
        <w:t>s</w:t>
      </w:r>
      <w:r w:rsidR="001C49F5">
        <w:rPr>
          <w:lang w:val="en-GB"/>
        </w:rPr>
        <w:t>ations. Whereas the nature and value of the picture collection at Royal Holloway remained almost unquestioned for many years</w:t>
      </w:r>
      <w:r w:rsidR="00FE5148">
        <w:rPr>
          <w:lang w:val="en-GB"/>
        </w:rPr>
        <w:t xml:space="preserve">, evolving accounting regulations and </w:t>
      </w:r>
      <w:r w:rsidR="00946D3F">
        <w:rPr>
          <w:lang w:val="en-GB"/>
        </w:rPr>
        <w:t xml:space="preserve">accounting signs </w:t>
      </w:r>
      <w:r w:rsidR="001D16F4" w:rsidRPr="001D16F4">
        <w:rPr>
          <w:i/>
          <w:lang w:val="en-GB"/>
        </w:rPr>
        <w:t>did</w:t>
      </w:r>
      <w:r w:rsidR="001D16F4">
        <w:rPr>
          <w:lang w:val="en-GB"/>
        </w:rPr>
        <w:t xml:space="preserve"> </w:t>
      </w:r>
      <w:r w:rsidR="00FE5148">
        <w:rPr>
          <w:lang w:val="en-GB"/>
        </w:rPr>
        <w:t>change the history of the collection and its role in the management of the College.</w:t>
      </w:r>
      <w:r w:rsidR="00861BDE">
        <w:rPr>
          <w:lang w:val="en-GB"/>
        </w:rPr>
        <w:t xml:space="preserve"> </w:t>
      </w:r>
      <w:r w:rsidR="001E77E9">
        <w:rPr>
          <w:lang w:val="en-GB"/>
        </w:rPr>
        <w:t>B</w:t>
      </w:r>
      <w:r w:rsidR="00FE5148">
        <w:rPr>
          <w:lang w:val="en-GB"/>
        </w:rPr>
        <w:t xml:space="preserve">y undertaking a historical analysis of accounting’s past as related to that of the collection, we </w:t>
      </w:r>
      <w:r w:rsidR="00172BC3">
        <w:rPr>
          <w:lang w:val="en-GB"/>
        </w:rPr>
        <w:t>were able to</w:t>
      </w:r>
      <w:r w:rsidR="00FE5148">
        <w:rPr>
          <w:lang w:val="en-GB"/>
        </w:rPr>
        <w:t xml:space="preserve"> </w:t>
      </w:r>
      <w:r w:rsidR="0070678F">
        <w:rPr>
          <w:lang w:val="en-GB"/>
        </w:rPr>
        <w:t xml:space="preserve">show the practical effects of evolving accounting regulations on the management of heritage </w:t>
      </w:r>
      <w:r w:rsidR="00946D3F">
        <w:rPr>
          <w:lang w:val="en-GB"/>
        </w:rPr>
        <w:t>objects</w:t>
      </w:r>
      <w:r w:rsidR="0070678F">
        <w:rPr>
          <w:lang w:val="en-GB"/>
        </w:rPr>
        <w:t>, while also delving into the ontological nature of assets</w:t>
      </w:r>
      <w:r w:rsidR="000D663C">
        <w:rPr>
          <w:lang w:val="en-GB"/>
        </w:rPr>
        <w:t>.</w:t>
      </w:r>
      <w:r w:rsidR="00861BDE">
        <w:rPr>
          <w:lang w:val="en-GB"/>
        </w:rPr>
        <w:t xml:space="preserve"> </w:t>
      </w:r>
    </w:p>
    <w:p w14:paraId="383A75AC" w14:textId="39E3842B" w:rsidR="001C49F5" w:rsidRPr="00204DDB" w:rsidRDefault="00FE5148" w:rsidP="001C49F5">
      <w:pPr>
        <w:rPr>
          <w:lang w:val="en-GB"/>
        </w:rPr>
      </w:pPr>
      <w:r>
        <w:rPr>
          <w:lang w:val="en-GB"/>
        </w:rPr>
        <w:t xml:space="preserve">In this study we </w:t>
      </w:r>
      <w:r w:rsidR="00737038">
        <w:rPr>
          <w:lang w:val="en-GB"/>
        </w:rPr>
        <w:t xml:space="preserve">have </w:t>
      </w:r>
      <w:r>
        <w:rPr>
          <w:lang w:val="en-GB"/>
        </w:rPr>
        <w:t>concentrated on heritage assets, but other assets could be the object of analysis, by exploring for example the evolving relationship between accounting regulation and land, buildings or</w:t>
      </w:r>
      <w:r w:rsidR="001D16F4">
        <w:rPr>
          <w:lang w:val="en-GB"/>
        </w:rPr>
        <w:t xml:space="preserve"> intangible assets</w:t>
      </w:r>
      <w:r>
        <w:rPr>
          <w:lang w:val="en-GB"/>
        </w:rPr>
        <w:t xml:space="preserve"> over time. </w:t>
      </w:r>
      <w:r w:rsidR="006F5A4C">
        <w:rPr>
          <w:lang w:val="en-GB"/>
        </w:rPr>
        <w:t>W</w:t>
      </w:r>
      <w:r>
        <w:rPr>
          <w:lang w:val="en-GB"/>
        </w:rPr>
        <w:t xml:space="preserve">e suggest </w:t>
      </w:r>
      <w:r w:rsidR="001E77E9">
        <w:rPr>
          <w:lang w:val="en-GB"/>
        </w:rPr>
        <w:t xml:space="preserve">further </w:t>
      </w:r>
      <w:r>
        <w:rPr>
          <w:lang w:val="en-GB"/>
        </w:rPr>
        <w:t>investigat</w:t>
      </w:r>
      <w:r w:rsidR="001E77E9">
        <w:rPr>
          <w:lang w:val="en-GB"/>
        </w:rPr>
        <w:t>ions into</w:t>
      </w:r>
      <w:r>
        <w:rPr>
          <w:lang w:val="en-GB"/>
        </w:rPr>
        <w:t xml:space="preserve"> </w:t>
      </w:r>
      <w:r w:rsidR="00E63F90">
        <w:rPr>
          <w:lang w:val="en-GB"/>
        </w:rPr>
        <w:t xml:space="preserve">the sign-referent relationship and particularly how this relationship may affect governance and accountability practices over time, while also influencing the perceived cultural, social or </w:t>
      </w:r>
      <w:r w:rsidR="00E63F90">
        <w:rPr>
          <w:lang w:val="en-GB"/>
        </w:rPr>
        <w:lastRenderedPageBreak/>
        <w:t xml:space="preserve">affective value of </w:t>
      </w:r>
      <w:r w:rsidR="00B356C3">
        <w:rPr>
          <w:lang w:val="en-GB"/>
        </w:rPr>
        <w:t xml:space="preserve">the material </w:t>
      </w:r>
      <w:r w:rsidR="00E63F90">
        <w:rPr>
          <w:lang w:val="en-GB"/>
        </w:rPr>
        <w:t>objects</w:t>
      </w:r>
      <w:r w:rsidR="00B356C3">
        <w:rPr>
          <w:lang w:val="en-GB"/>
        </w:rPr>
        <w:t xml:space="preserve"> </w:t>
      </w:r>
      <w:r w:rsidR="006F5A4C">
        <w:rPr>
          <w:lang w:val="en-GB"/>
        </w:rPr>
        <w:t xml:space="preserve">to which </w:t>
      </w:r>
      <w:r w:rsidR="00B356C3">
        <w:rPr>
          <w:lang w:val="en-GB"/>
        </w:rPr>
        <w:t>accounting signs refer</w:t>
      </w:r>
      <w:r w:rsidR="00E63F90">
        <w:rPr>
          <w:lang w:val="en-GB"/>
        </w:rPr>
        <w:t xml:space="preserve">. </w:t>
      </w:r>
      <w:r w:rsidR="00B356C3">
        <w:rPr>
          <w:lang w:val="en-GB"/>
        </w:rPr>
        <w:t>These aspects deserve further investigation especially in relation to heritage assets, given their cultural and historical value and the inevitable tensions with their accounting evaluation.</w:t>
      </w:r>
      <w:r w:rsidR="00857321" w:rsidRPr="00857321">
        <w:rPr>
          <w:lang w:val="en-GB"/>
        </w:rPr>
        <w:t xml:space="preserve"> </w:t>
      </w:r>
      <w:r w:rsidR="00857321">
        <w:rPr>
          <w:lang w:val="en-GB"/>
        </w:rPr>
        <w:t xml:space="preserve">More practically, our study shows the necessity for accounting regulators to reflect on how accounting changes may alter the ways in which the objects of accounting </w:t>
      </w:r>
      <w:r w:rsidR="00691A43">
        <w:rPr>
          <w:lang w:val="en-GB"/>
        </w:rPr>
        <w:t>“</w:t>
      </w:r>
      <w:r w:rsidR="00857321">
        <w:rPr>
          <w:lang w:val="en-GB"/>
        </w:rPr>
        <w:t>matter</w:t>
      </w:r>
      <w:r w:rsidR="00691A43">
        <w:rPr>
          <w:lang w:val="en-GB"/>
        </w:rPr>
        <w:t>”</w:t>
      </w:r>
      <w:r w:rsidR="00857321">
        <w:rPr>
          <w:lang w:val="en-GB"/>
        </w:rPr>
        <w:t xml:space="preserve"> to stakeholders and managers alike. </w:t>
      </w:r>
    </w:p>
    <w:p w14:paraId="35C11483" w14:textId="77777777" w:rsidR="006520BE" w:rsidRPr="007F7148" w:rsidRDefault="006520BE" w:rsidP="0097217C">
      <w:pPr>
        <w:rPr>
          <w:lang w:val="en-GB"/>
        </w:rPr>
      </w:pPr>
    </w:p>
    <w:p w14:paraId="4B3CB4F0" w14:textId="77777777" w:rsidR="00AF5FB1" w:rsidRPr="00D814C3" w:rsidRDefault="001944CD" w:rsidP="00BB1BF8">
      <w:pPr>
        <w:pStyle w:val="Heading1"/>
        <w:numPr>
          <w:ilvl w:val="0"/>
          <w:numId w:val="0"/>
        </w:numPr>
        <w:spacing w:line="360" w:lineRule="auto"/>
        <w:ind w:left="432" w:hanging="432"/>
        <w:rPr>
          <w:lang w:val="en-GB"/>
        </w:rPr>
      </w:pPr>
      <w:r w:rsidRPr="00D814C3">
        <w:rPr>
          <w:lang w:val="en-GB"/>
        </w:rPr>
        <w:t>References</w:t>
      </w:r>
    </w:p>
    <w:p w14:paraId="72F642BC" w14:textId="77777777" w:rsidR="00A2615A" w:rsidRPr="00204DDB" w:rsidRDefault="00A2615A" w:rsidP="00A2615A">
      <w:pPr>
        <w:pStyle w:val="Heading2"/>
        <w:numPr>
          <w:ilvl w:val="0"/>
          <w:numId w:val="0"/>
        </w:numPr>
        <w:rPr>
          <w:lang w:val="en-GB"/>
        </w:rPr>
      </w:pPr>
      <w:r w:rsidRPr="00204DDB">
        <w:rPr>
          <w:lang w:val="en-GB"/>
        </w:rPr>
        <w:t>Primary sources</w:t>
      </w:r>
    </w:p>
    <w:p w14:paraId="6C6B278C" w14:textId="77777777" w:rsidR="00A2615A" w:rsidRDefault="00A2615A" w:rsidP="00A2615A">
      <w:pPr>
        <w:pStyle w:val="Reference"/>
      </w:pPr>
      <w:r>
        <w:t>Royal Holloway, University of London, Archives, Egham, Surrey</w:t>
      </w:r>
    </w:p>
    <w:p w14:paraId="65D90C6F" w14:textId="77777777" w:rsidR="00A2615A" w:rsidRDefault="00A2615A" w:rsidP="00A2615A">
      <w:pPr>
        <w:pStyle w:val="Reference"/>
      </w:pPr>
      <w:r>
        <w:t>(1)</w:t>
      </w:r>
      <w:r>
        <w:tab/>
        <w:t>Royal Holloway College collection</w:t>
      </w:r>
      <w:r w:rsidR="00F57B10">
        <w:t xml:space="preserve"> (RHC)</w:t>
      </w:r>
      <w:r>
        <w:t>:</w:t>
      </w:r>
    </w:p>
    <w:p w14:paraId="52BEF1CA" w14:textId="77777777" w:rsidR="00F57B10" w:rsidRDefault="00F57B10" w:rsidP="00A2615A">
      <w:pPr>
        <w:pStyle w:val="Reference"/>
      </w:pPr>
      <w:r>
        <w:t>GB/102/1 Deed of Foundation of Royal Holloway College</w:t>
      </w:r>
    </w:p>
    <w:p w14:paraId="024EA8B4" w14:textId="77777777" w:rsidR="00827E96" w:rsidRDefault="00827E96" w:rsidP="00A2615A">
      <w:pPr>
        <w:pStyle w:val="Reference"/>
      </w:pPr>
      <w:r>
        <w:t>GB/104/1 Royal Holloway College Act 1949</w:t>
      </w:r>
    </w:p>
    <w:p w14:paraId="1EAABE76" w14:textId="77777777" w:rsidR="00827E96" w:rsidRDefault="00827E96" w:rsidP="00A2615A">
      <w:pPr>
        <w:pStyle w:val="Reference"/>
      </w:pPr>
      <w:r>
        <w:t>GB/110/1-10 Board of Governors’ Minute Books 1886-1949</w:t>
      </w:r>
    </w:p>
    <w:p w14:paraId="175969C6" w14:textId="77777777" w:rsidR="00827E96" w:rsidRDefault="00827E96" w:rsidP="00A2615A">
      <w:pPr>
        <w:pStyle w:val="Reference"/>
      </w:pPr>
      <w:r>
        <w:t>GB/110/11-43 Council Minute Books 1949-1985</w:t>
      </w:r>
    </w:p>
    <w:p w14:paraId="5C3B7E2F" w14:textId="77777777" w:rsidR="00827E96" w:rsidRDefault="00827E96" w:rsidP="00A2615A">
      <w:pPr>
        <w:pStyle w:val="Reference"/>
      </w:pPr>
      <w:r>
        <w:t>GB/117/1-4 Balance Sheets of the Board of Governors/Council 1887-1989</w:t>
      </w:r>
    </w:p>
    <w:p w14:paraId="7164C62F" w14:textId="77777777" w:rsidR="00827E96" w:rsidRDefault="00827E96" w:rsidP="00A2615A">
      <w:pPr>
        <w:pStyle w:val="Reference"/>
      </w:pPr>
      <w:r>
        <w:t>GB/130/1 Letter Book of Thomas Holloway 1874-1877</w:t>
      </w:r>
    </w:p>
    <w:p w14:paraId="4213F59B" w14:textId="77777777" w:rsidR="00827E96" w:rsidRDefault="00827E96" w:rsidP="00A2615A">
      <w:pPr>
        <w:pStyle w:val="Reference"/>
      </w:pPr>
      <w:r>
        <w:t>GB/130/2 Mount Lee College Accounts</w:t>
      </w:r>
      <w:r w:rsidR="00A452C0">
        <w:t xml:space="preserve"> Ledger</w:t>
      </w:r>
      <w:r>
        <w:t xml:space="preserve"> “No. 1”</w:t>
      </w:r>
    </w:p>
    <w:p w14:paraId="12C210F4" w14:textId="77777777" w:rsidR="00827E96" w:rsidRDefault="00827E96" w:rsidP="00A2615A">
      <w:pPr>
        <w:pStyle w:val="Reference"/>
      </w:pPr>
      <w:r>
        <w:t>GB/130/3 Mount Lee College Accounts</w:t>
      </w:r>
      <w:r w:rsidR="00A452C0">
        <w:t xml:space="preserve"> Ledger</w:t>
      </w:r>
      <w:r>
        <w:t xml:space="preserve"> “No. 2”</w:t>
      </w:r>
    </w:p>
    <w:p w14:paraId="3A112BB8" w14:textId="77777777" w:rsidR="00827E96" w:rsidRDefault="00827E96" w:rsidP="00A2615A">
      <w:pPr>
        <w:pStyle w:val="Reference"/>
      </w:pPr>
      <w:r>
        <w:t>GB/132/2 Printed Copy of Declaration of Trust 1881</w:t>
      </w:r>
    </w:p>
    <w:p w14:paraId="3FC70BD5" w14:textId="77777777" w:rsidR="00827E96" w:rsidRDefault="00827E96" w:rsidP="00A2615A">
      <w:pPr>
        <w:pStyle w:val="Reference"/>
      </w:pPr>
      <w:r>
        <w:t>GB/132/4 Correspondence Concerning Declaration of Trust 1883-1946</w:t>
      </w:r>
    </w:p>
    <w:p w14:paraId="521DC9FD" w14:textId="77777777" w:rsidR="00827E96" w:rsidRDefault="00827E96" w:rsidP="00A2615A">
      <w:pPr>
        <w:pStyle w:val="Reference"/>
      </w:pPr>
      <w:r>
        <w:t>AR/400/1-15 Ledgers 1887-1948</w:t>
      </w:r>
    </w:p>
    <w:p w14:paraId="5BDAC00E" w14:textId="77777777" w:rsidR="00827E96" w:rsidRDefault="00827E96" w:rsidP="00A2615A">
      <w:pPr>
        <w:pStyle w:val="Reference"/>
      </w:pPr>
      <w:r>
        <w:t>AR/500/1-60 Picture Gallery Curator Letters 1882-1937</w:t>
      </w:r>
    </w:p>
    <w:p w14:paraId="7206CE6C" w14:textId="77777777" w:rsidR="00827E96" w:rsidRDefault="00827E96" w:rsidP="00A2615A">
      <w:pPr>
        <w:pStyle w:val="Reference"/>
      </w:pPr>
      <w:r>
        <w:t>AR/502/9 Catalogues 1881-1883</w:t>
      </w:r>
    </w:p>
    <w:p w14:paraId="0A29F04F" w14:textId="77777777" w:rsidR="00827E96" w:rsidRDefault="00827E96" w:rsidP="00A2615A">
      <w:pPr>
        <w:pStyle w:val="Reference"/>
      </w:pPr>
      <w:r>
        <w:t>AR/510/4 Chief Engineer’s Letters, Reports and Memoranda 1888-1896</w:t>
      </w:r>
    </w:p>
    <w:p w14:paraId="05F4CFE8" w14:textId="77777777" w:rsidR="00827E96" w:rsidRDefault="00827E96" w:rsidP="00A2615A">
      <w:pPr>
        <w:pStyle w:val="Reference"/>
      </w:pPr>
      <w:r>
        <w:t>(2) Royal Holloway and Bedford New College collection (RHBNC):</w:t>
      </w:r>
    </w:p>
    <w:p w14:paraId="1BD8BC84" w14:textId="77777777" w:rsidR="00B42841" w:rsidRDefault="00B42841" w:rsidP="00A2615A">
      <w:pPr>
        <w:pStyle w:val="Reference"/>
      </w:pPr>
      <w:r>
        <w:t>CM/Pubs/1/1986-2009 Annual and Financial Reports 1986-2009</w:t>
      </w:r>
    </w:p>
    <w:p w14:paraId="64C4E77F" w14:textId="77777777" w:rsidR="00B42841" w:rsidRDefault="00B42841" w:rsidP="00A2615A">
      <w:pPr>
        <w:pStyle w:val="Reference"/>
      </w:pPr>
      <w:r>
        <w:t>CP/2/1/2/1990 Council Agendas and Papers 1990</w:t>
      </w:r>
    </w:p>
    <w:p w14:paraId="70F1E147" w14:textId="77777777" w:rsidR="00F31A1E" w:rsidRDefault="00F31A1E" w:rsidP="00B16E81">
      <w:pPr>
        <w:pStyle w:val="Reference"/>
        <w:rPr>
          <w:b/>
          <w:i/>
        </w:rPr>
      </w:pPr>
    </w:p>
    <w:p w14:paraId="0A5C6173" w14:textId="77777777" w:rsidR="00A2615A" w:rsidRPr="00455545" w:rsidRDefault="00A2615A" w:rsidP="00B16E81">
      <w:pPr>
        <w:pStyle w:val="Reference"/>
        <w:rPr>
          <w:b/>
          <w:i/>
        </w:rPr>
      </w:pPr>
      <w:r w:rsidRPr="00455545">
        <w:rPr>
          <w:b/>
          <w:i/>
        </w:rPr>
        <w:t>Secondary sources</w:t>
      </w:r>
    </w:p>
    <w:p w14:paraId="1513279C" w14:textId="77777777" w:rsidR="00205439" w:rsidRPr="00896E9D" w:rsidRDefault="00205439" w:rsidP="00356342">
      <w:pPr>
        <w:pStyle w:val="Reference"/>
      </w:pPr>
      <w:r>
        <w:t xml:space="preserve">Abdullah, A., </w:t>
      </w:r>
      <w:proofErr w:type="spellStart"/>
      <w:r>
        <w:t>Khadaroo</w:t>
      </w:r>
      <w:proofErr w:type="spellEnd"/>
      <w:r>
        <w:t xml:space="preserve">, I., &amp; Napier, C. J. (2018). Managing the </w:t>
      </w:r>
      <w:r w:rsidR="00896E9D">
        <w:t xml:space="preserve">performance of arts organisations: Pursuing heterogeneous objectives in an era of austerity. </w:t>
      </w:r>
      <w:r w:rsidR="00896E9D">
        <w:rPr>
          <w:i/>
        </w:rPr>
        <w:t>British Accounting Review</w:t>
      </w:r>
      <w:r w:rsidR="00896E9D">
        <w:t>, 50(2): 174-184.</w:t>
      </w:r>
    </w:p>
    <w:p w14:paraId="1AE3534E" w14:textId="77777777" w:rsidR="00A445A3" w:rsidRPr="00A445A3" w:rsidRDefault="00A445A3" w:rsidP="00356342">
      <w:pPr>
        <w:pStyle w:val="Reference"/>
      </w:pPr>
      <w:r>
        <w:lastRenderedPageBreak/>
        <w:t xml:space="preserve">Accounting Standards Board (1999). </w:t>
      </w:r>
      <w:r>
        <w:rPr>
          <w:i/>
        </w:rPr>
        <w:t>Financial Reporting Standard (FRS) 15: Tangible Fixed Assets</w:t>
      </w:r>
      <w:r>
        <w:t>. London: ASB.</w:t>
      </w:r>
    </w:p>
    <w:p w14:paraId="1DFFA3B1" w14:textId="77777777" w:rsidR="00C42F84" w:rsidRPr="00A445A3" w:rsidRDefault="00C42F84" w:rsidP="00356342">
      <w:pPr>
        <w:pStyle w:val="Reference"/>
      </w:pPr>
      <w:r>
        <w:t xml:space="preserve">Accounting Standards Board (2009). </w:t>
      </w:r>
      <w:r>
        <w:rPr>
          <w:i/>
        </w:rPr>
        <w:t xml:space="preserve">Financial Reporting Standard </w:t>
      </w:r>
      <w:r w:rsidR="00A445A3">
        <w:rPr>
          <w:i/>
        </w:rPr>
        <w:t>(FRS) 30: Heritage Assets</w:t>
      </w:r>
      <w:r w:rsidR="00A445A3">
        <w:t>: London: ASB.</w:t>
      </w:r>
    </w:p>
    <w:p w14:paraId="7337744C" w14:textId="77777777" w:rsidR="009D283A" w:rsidRDefault="009D283A" w:rsidP="00356342">
      <w:pPr>
        <w:pStyle w:val="Reference"/>
      </w:pPr>
      <w:r>
        <w:t xml:space="preserve">Bank of England (2018). </w:t>
      </w:r>
      <w:r>
        <w:rPr>
          <w:i/>
        </w:rPr>
        <w:t>Inflation Calculator</w:t>
      </w:r>
      <w:r>
        <w:t xml:space="preserve">, available online at </w:t>
      </w:r>
      <w:r w:rsidRPr="009D283A">
        <w:t>https://www.bankofengland.co.uk/monetary-policy/inflation/inflation-calculator</w:t>
      </w:r>
      <w:r>
        <w:t xml:space="preserve"> (accessed 24 September 2018)</w:t>
      </w:r>
      <w:r w:rsidR="009C4AAF">
        <w:t>.</w:t>
      </w:r>
    </w:p>
    <w:p w14:paraId="0105750F" w14:textId="12F0899E" w:rsidR="009C4AAF" w:rsidRDefault="009C4AAF" w:rsidP="00356342">
      <w:pPr>
        <w:pStyle w:val="Reference"/>
      </w:pPr>
      <w:r>
        <w:t xml:space="preserve">Barton, A. D. (2000). Accounting for public heritage facilities – assets or liabilities of the government? </w:t>
      </w:r>
      <w:r>
        <w:rPr>
          <w:i/>
        </w:rPr>
        <w:t>Accounting, Auditing &amp; Accountability Journal</w:t>
      </w:r>
      <w:r>
        <w:t>, 13(2)</w:t>
      </w:r>
      <w:r w:rsidR="00CF50FA">
        <w:t>,</w:t>
      </w:r>
      <w:r>
        <w:t xml:space="preserve"> 219-235.</w:t>
      </w:r>
    </w:p>
    <w:p w14:paraId="1BAE5532" w14:textId="4988C529" w:rsidR="00CF50FA" w:rsidRPr="00CF50FA" w:rsidRDefault="00CF50FA" w:rsidP="00356342">
      <w:pPr>
        <w:pStyle w:val="Reference"/>
      </w:pPr>
      <w:r>
        <w:t xml:space="preserve">Barton, A. D. (2005). The conceptual arguments concerning accounting for public heritage assets: A note. </w:t>
      </w:r>
      <w:r>
        <w:rPr>
          <w:i/>
          <w:iCs/>
        </w:rPr>
        <w:t>Accounting, Auditing &amp; Accountability Journal</w:t>
      </w:r>
      <w:r>
        <w:t>, 18(3), 434-439.</w:t>
      </w:r>
    </w:p>
    <w:p w14:paraId="496880E3" w14:textId="77777777" w:rsidR="000817B0" w:rsidRPr="00EF093F" w:rsidRDefault="000817B0" w:rsidP="00356342">
      <w:pPr>
        <w:pStyle w:val="Reference"/>
      </w:pPr>
      <w:r w:rsidRPr="00EF093F">
        <w:t xml:space="preserve">Baudrillard, J. (1983). </w:t>
      </w:r>
      <w:r w:rsidRPr="00EF093F">
        <w:rPr>
          <w:i/>
        </w:rPr>
        <w:t>Simulations</w:t>
      </w:r>
      <w:r w:rsidRPr="00EF093F">
        <w:t xml:space="preserve">. New York: </w:t>
      </w:r>
      <w:proofErr w:type="spellStart"/>
      <w:r w:rsidRPr="00EF093F">
        <w:t>Semiotext</w:t>
      </w:r>
      <w:proofErr w:type="spellEnd"/>
      <w:r w:rsidRPr="00EF093F">
        <w:t xml:space="preserve">(e). </w:t>
      </w:r>
    </w:p>
    <w:p w14:paraId="49256666" w14:textId="77777777" w:rsidR="000817B0" w:rsidRPr="00EF093F" w:rsidRDefault="000817B0" w:rsidP="00356342">
      <w:pPr>
        <w:pStyle w:val="Reference"/>
      </w:pPr>
      <w:r w:rsidRPr="00EF093F">
        <w:t xml:space="preserve">Baudrillard, J. (1994). </w:t>
      </w:r>
      <w:r w:rsidRPr="00EF093F">
        <w:rPr>
          <w:i/>
        </w:rPr>
        <w:t>Simulacra and Simulations</w:t>
      </w:r>
      <w:r w:rsidRPr="00EF093F">
        <w:t>. Ann Arbor, MI: University of Michigan Press.</w:t>
      </w:r>
    </w:p>
    <w:p w14:paraId="3AD62581" w14:textId="77777777" w:rsidR="00F73102" w:rsidRDefault="002B23CF" w:rsidP="00356342">
      <w:pPr>
        <w:pStyle w:val="Reference"/>
      </w:pPr>
      <w:r w:rsidRPr="00EF093F">
        <w:t xml:space="preserve">Bingham, C. (1987). </w:t>
      </w:r>
      <w:r w:rsidR="00DC5C98" w:rsidRPr="00EF093F">
        <w:rPr>
          <w:i/>
        </w:rPr>
        <w:t xml:space="preserve">The </w:t>
      </w:r>
      <w:r w:rsidR="00D4267B" w:rsidRPr="00EF093F">
        <w:rPr>
          <w:i/>
        </w:rPr>
        <w:t>H</w:t>
      </w:r>
      <w:r w:rsidRPr="00EF093F">
        <w:rPr>
          <w:i/>
        </w:rPr>
        <w:t>istory of Royal Holloway College 1886-1986</w:t>
      </w:r>
      <w:r w:rsidRPr="00EF093F">
        <w:t>. London: Constable.</w:t>
      </w:r>
    </w:p>
    <w:p w14:paraId="4469A685" w14:textId="77777777" w:rsidR="000B6596" w:rsidRPr="000B6596" w:rsidRDefault="000B6596" w:rsidP="00356342">
      <w:pPr>
        <w:pStyle w:val="Reference"/>
      </w:pPr>
      <w:r>
        <w:t xml:space="preserve">Biondi, L. &amp; Lapsley, I. (2014). Accounting, transparency and governance: The heritage assets problem. </w:t>
      </w:r>
      <w:r>
        <w:rPr>
          <w:i/>
        </w:rPr>
        <w:t>Qualitative Research in Accounting &amp; Management</w:t>
      </w:r>
      <w:r>
        <w:t>, 11(2), pp. 146-164.</w:t>
      </w:r>
    </w:p>
    <w:p w14:paraId="2426224C" w14:textId="77777777" w:rsidR="00243F67" w:rsidRPr="00243F67" w:rsidRDefault="00243F67" w:rsidP="00356342">
      <w:pPr>
        <w:pStyle w:val="Reference"/>
      </w:pPr>
      <w:r>
        <w:t xml:space="preserve">Blok, A., &amp; Jensen, T. E. (2011). </w:t>
      </w:r>
      <w:r>
        <w:rPr>
          <w:i/>
        </w:rPr>
        <w:t>Bruno Latour: Hybrid Thoughts in a Hybrid World</w:t>
      </w:r>
      <w:r>
        <w:t>. Abingdon: Routledge.</w:t>
      </w:r>
    </w:p>
    <w:p w14:paraId="6E7E7C91" w14:textId="77777777" w:rsidR="00BF2037" w:rsidRDefault="00BF2037" w:rsidP="00356342">
      <w:pPr>
        <w:pStyle w:val="Reference"/>
      </w:pPr>
      <w:proofErr w:type="spellStart"/>
      <w:r w:rsidRPr="00BF2037">
        <w:t>Busco</w:t>
      </w:r>
      <w:proofErr w:type="spellEnd"/>
      <w:r w:rsidRPr="00BF2037">
        <w:t xml:space="preserve">, </w:t>
      </w:r>
      <w:r>
        <w:t xml:space="preserve">C., </w:t>
      </w:r>
      <w:r w:rsidRPr="00BF2037">
        <w:t xml:space="preserve">&amp; </w:t>
      </w:r>
      <w:proofErr w:type="spellStart"/>
      <w:r>
        <w:t>Quattrone</w:t>
      </w:r>
      <w:proofErr w:type="spellEnd"/>
      <w:r>
        <w:t>, P.</w:t>
      </w:r>
      <w:r w:rsidRPr="00BF2037">
        <w:t xml:space="preserve"> (2018). </w:t>
      </w:r>
      <w:r w:rsidR="007F7DE7">
        <w:t>In Search of the ‘Perfect One’</w:t>
      </w:r>
      <w:r w:rsidR="000B3CE2" w:rsidRPr="000B3CE2">
        <w:t>: How accounting as a maieutic machine sustains inventions through generative ‘in-tensions’. </w:t>
      </w:r>
      <w:r w:rsidR="000B3CE2" w:rsidRPr="007F7DE7">
        <w:rPr>
          <w:i/>
        </w:rPr>
        <w:t>Management Accounting Research</w:t>
      </w:r>
      <w:r w:rsidR="000B3CE2" w:rsidRPr="000B3CE2">
        <w:t>,</w:t>
      </w:r>
      <w:r w:rsidR="007F7DE7">
        <w:t xml:space="preserve"> </w:t>
      </w:r>
      <w:r w:rsidR="000B3CE2" w:rsidRPr="000B3CE2">
        <w:t>39, 1-16.</w:t>
      </w:r>
    </w:p>
    <w:p w14:paraId="057DAB3C" w14:textId="77777777" w:rsidR="00B53D23" w:rsidRDefault="00B53D23" w:rsidP="00356342">
      <w:pPr>
        <w:pStyle w:val="Reference"/>
      </w:pPr>
      <w:r>
        <w:t xml:space="preserve">Carnegie, G. D., &amp; </w:t>
      </w:r>
      <w:proofErr w:type="spellStart"/>
      <w:r>
        <w:t>Wolnizer</w:t>
      </w:r>
      <w:proofErr w:type="spellEnd"/>
      <w:r>
        <w:t xml:space="preserve">, P. W. (1995). The financial value of cultural, heritage and scientific collections: an accounting fiction. </w:t>
      </w:r>
      <w:r>
        <w:rPr>
          <w:i/>
        </w:rPr>
        <w:t>Australian Accounting Review</w:t>
      </w:r>
      <w:r>
        <w:t>, 5(9), 31-47.</w:t>
      </w:r>
    </w:p>
    <w:p w14:paraId="411EC748" w14:textId="1F008ED6" w:rsidR="00B35988" w:rsidRDefault="00B35988" w:rsidP="00356342">
      <w:pPr>
        <w:pStyle w:val="Reference"/>
      </w:pPr>
      <w:r>
        <w:t xml:space="preserve">Carnegie, G. D., &amp; </w:t>
      </w:r>
      <w:proofErr w:type="spellStart"/>
      <w:r>
        <w:t>Wolnizer</w:t>
      </w:r>
      <w:proofErr w:type="spellEnd"/>
      <w:r>
        <w:t xml:space="preserve">, P. W. (1996). Enabling accountability in museums. </w:t>
      </w:r>
      <w:r>
        <w:rPr>
          <w:i/>
        </w:rPr>
        <w:t>Museum Management and Curatorship</w:t>
      </w:r>
      <w:r>
        <w:t>, 15(4), 371-386.</w:t>
      </w:r>
    </w:p>
    <w:p w14:paraId="73747285" w14:textId="173669D8" w:rsidR="00CF50FA" w:rsidRPr="00E70DC2" w:rsidRDefault="00CF50FA" w:rsidP="00356342">
      <w:pPr>
        <w:pStyle w:val="Reference"/>
      </w:pPr>
      <w:r>
        <w:t>Carnegie, G. D.</w:t>
      </w:r>
      <w:r w:rsidR="00E70DC2">
        <w:t>,</w:t>
      </w:r>
      <w:r>
        <w:t xml:space="preserve"> &amp; </w:t>
      </w:r>
      <w:proofErr w:type="spellStart"/>
      <w:r>
        <w:t>Wolnizer</w:t>
      </w:r>
      <w:proofErr w:type="spellEnd"/>
      <w:r>
        <w:t>, P. W. (1999). Unravelling the rhetoric about the financial reporting of public collections as assets</w:t>
      </w:r>
      <w:r w:rsidR="00E70DC2">
        <w:t xml:space="preserve">: A response to Micallef and Pierson. </w:t>
      </w:r>
      <w:r w:rsidR="00E70DC2">
        <w:rPr>
          <w:i/>
          <w:iCs/>
        </w:rPr>
        <w:t>Australian Accounting Review</w:t>
      </w:r>
      <w:r w:rsidR="00E70DC2">
        <w:t>, 9(17), 16-21.</w:t>
      </w:r>
    </w:p>
    <w:p w14:paraId="54CFEE9F" w14:textId="77777777" w:rsidR="009B0B3C" w:rsidRDefault="009B0B3C" w:rsidP="00465D82">
      <w:pPr>
        <w:pStyle w:val="Reference"/>
      </w:pPr>
      <w:r w:rsidRPr="00EF093F">
        <w:t xml:space="preserve">Chapel, J. (1982). </w:t>
      </w:r>
      <w:r w:rsidRPr="00EF093F">
        <w:rPr>
          <w:i/>
        </w:rPr>
        <w:t>Victorian Taste: The Complete Catalogue of Paintings at the Royal Holloway College</w:t>
      </w:r>
      <w:r w:rsidRPr="00EF093F">
        <w:t xml:space="preserve">. London: A. </w:t>
      </w:r>
      <w:proofErr w:type="spellStart"/>
      <w:r w:rsidRPr="00EF093F">
        <w:t>Zwemmer</w:t>
      </w:r>
      <w:proofErr w:type="spellEnd"/>
      <w:r w:rsidRPr="00EF093F">
        <w:t>.</w:t>
      </w:r>
    </w:p>
    <w:p w14:paraId="48021EF4" w14:textId="77777777" w:rsidR="00BD1F6B" w:rsidRDefault="00B607F7" w:rsidP="00465D82">
      <w:pPr>
        <w:pStyle w:val="Reference"/>
      </w:pPr>
      <w:proofErr w:type="spellStart"/>
      <w:r w:rsidRPr="009A34C7">
        <w:t>Chiapello</w:t>
      </w:r>
      <w:proofErr w:type="spellEnd"/>
      <w:r w:rsidRPr="009A34C7">
        <w:t>, E., &amp; Baker, C. R.</w:t>
      </w:r>
      <w:r w:rsidR="00BD1F6B" w:rsidRPr="009A34C7">
        <w:t xml:space="preserve"> (2011). </w:t>
      </w:r>
      <w:r w:rsidR="00BD1F6B" w:rsidRPr="00BD1F6B">
        <w:t>The introduction of French theory into English language accounting research. </w:t>
      </w:r>
      <w:r w:rsidR="00BD1F6B" w:rsidRPr="00BD1F6B">
        <w:rPr>
          <w:i/>
        </w:rPr>
        <w:t>Accounting, Auditing &amp; Accountability Journal</w:t>
      </w:r>
      <w:r w:rsidR="00BD1F6B">
        <w:t>, Vol. 24 No. 2, 140-160.</w:t>
      </w:r>
    </w:p>
    <w:p w14:paraId="146A64A3" w14:textId="77777777" w:rsidR="00BD1F6B" w:rsidRPr="00EF093F" w:rsidRDefault="00BD1F6B" w:rsidP="00465D82">
      <w:pPr>
        <w:pStyle w:val="Reference"/>
      </w:pPr>
      <w:r w:rsidRPr="00BD1F6B">
        <w:lastRenderedPageBreak/>
        <w:t>Everett, J. (2004). Exploring (false) dualisms for environmental accounting praxis. </w:t>
      </w:r>
      <w:r w:rsidRPr="00BD1F6B">
        <w:rPr>
          <w:i/>
        </w:rPr>
        <w:t>Critical Perspectives on Accounting</w:t>
      </w:r>
      <w:r w:rsidRPr="00BD1F6B">
        <w:t>, 15(8), 1061-1084.</w:t>
      </w:r>
    </w:p>
    <w:p w14:paraId="50A38D91" w14:textId="77777777" w:rsidR="00766A5A" w:rsidRPr="00EF093F" w:rsidRDefault="00766A5A" w:rsidP="00465D82">
      <w:pPr>
        <w:pStyle w:val="Reference"/>
      </w:pPr>
      <w:r w:rsidRPr="00EF093F">
        <w:t>Chong, D. (1995). The (</w:t>
      </w:r>
      <w:r w:rsidR="000D45B5">
        <w:t>un)making of Thomas Holloway’s picture c</w:t>
      </w:r>
      <w:r w:rsidRPr="00EF093F">
        <w:t xml:space="preserve">ollection. </w:t>
      </w:r>
      <w:r w:rsidRPr="00EF093F">
        <w:rPr>
          <w:i/>
        </w:rPr>
        <w:t>Museum Management and Curatorship</w:t>
      </w:r>
      <w:r w:rsidRPr="00EF093F">
        <w:t>, 14(2), 149-168.</w:t>
      </w:r>
    </w:p>
    <w:p w14:paraId="2D7AD10A" w14:textId="77777777" w:rsidR="00766A5A" w:rsidRDefault="00766A5A" w:rsidP="00465D82">
      <w:pPr>
        <w:pStyle w:val="Reference"/>
      </w:pPr>
      <w:r w:rsidRPr="00EF093F">
        <w:t>Chong, D. (1996). Case notes:</w:t>
      </w:r>
      <w:r w:rsidR="000D45B5">
        <w:t xml:space="preserve"> The case of Thomas Holloway’s picture c</w:t>
      </w:r>
      <w:r w:rsidRPr="00EF093F">
        <w:t xml:space="preserve">ollection. </w:t>
      </w:r>
      <w:r w:rsidRPr="00EF093F">
        <w:rPr>
          <w:i/>
        </w:rPr>
        <w:t>International Journal of Cultural Property</w:t>
      </w:r>
      <w:r w:rsidRPr="00EF093F">
        <w:t>, 5(1), 167-184.</w:t>
      </w:r>
    </w:p>
    <w:p w14:paraId="5D63CE60" w14:textId="77777777" w:rsidR="00D4267B" w:rsidRPr="00EF093F" w:rsidRDefault="00D4267B" w:rsidP="00356342">
      <w:pPr>
        <w:pStyle w:val="Reference"/>
      </w:pPr>
      <w:r w:rsidRPr="00EF093F">
        <w:t xml:space="preserve">Corley, T. A. B (2004). Thomas Holloway. </w:t>
      </w:r>
      <w:r w:rsidRPr="00EF093F">
        <w:rPr>
          <w:i/>
        </w:rPr>
        <w:t>Oxford Dictionary of National Biography</w:t>
      </w:r>
      <w:r w:rsidRPr="00EF093F">
        <w:t>, available online</w:t>
      </w:r>
      <w:r w:rsidR="00A2615A">
        <w:t xml:space="preserve"> at</w:t>
      </w:r>
      <w:r w:rsidRPr="00EF093F">
        <w:rPr>
          <w:rFonts w:ascii="Arial" w:hAnsi="Arial" w:cs="Arial"/>
          <w:color w:val="2A2A2A"/>
          <w:sz w:val="23"/>
          <w:szCs w:val="23"/>
        </w:rPr>
        <w:t xml:space="preserve"> </w:t>
      </w:r>
      <w:r w:rsidRPr="00EF093F">
        <w:t>https://doi.org/10.1093/ref:odnb/13577 (accessed 24 September 2018).</w:t>
      </w:r>
    </w:p>
    <w:p w14:paraId="58F118B5" w14:textId="77777777" w:rsidR="00CD609B" w:rsidRPr="00EF093F" w:rsidRDefault="00CD609B" w:rsidP="00356342">
      <w:pPr>
        <w:pStyle w:val="Reference"/>
        <w:rPr>
          <w:lang w:eastAsia="it-IT"/>
        </w:rPr>
      </w:pPr>
      <w:r w:rsidRPr="00EF093F">
        <w:rPr>
          <w:lang w:eastAsia="it-IT"/>
        </w:rPr>
        <w:t xml:space="preserve">Cottrell, P. L. (2004). David Chadwick. </w:t>
      </w:r>
      <w:r w:rsidRPr="00EF093F">
        <w:rPr>
          <w:i/>
          <w:lang w:eastAsia="it-IT"/>
        </w:rPr>
        <w:t>Oxford Dictionary of National Biography</w:t>
      </w:r>
      <w:r w:rsidRPr="00EF093F">
        <w:rPr>
          <w:lang w:eastAsia="it-IT"/>
        </w:rPr>
        <w:t xml:space="preserve">, available online </w:t>
      </w:r>
      <w:r w:rsidR="00A2615A">
        <w:rPr>
          <w:lang w:eastAsia="it-IT"/>
        </w:rPr>
        <w:t xml:space="preserve">at </w:t>
      </w:r>
      <w:r w:rsidR="00FB4055" w:rsidRPr="00EF093F">
        <w:rPr>
          <w:lang w:eastAsia="it-IT"/>
        </w:rPr>
        <w:t>https://doi.org/10.1093/ref:odnb/46811 (accessed 24 September 2018).</w:t>
      </w:r>
    </w:p>
    <w:p w14:paraId="344DBDCF" w14:textId="77777777" w:rsidR="00116E85" w:rsidRPr="00D814C3" w:rsidRDefault="00116E85" w:rsidP="00116E85">
      <w:pPr>
        <w:pStyle w:val="Reference"/>
        <w:rPr>
          <w:lang w:eastAsia="it-IT"/>
        </w:rPr>
      </w:pPr>
      <w:proofErr w:type="spellStart"/>
      <w:r w:rsidRPr="00D814C3">
        <w:rPr>
          <w:lang w:eastAsia="it-IT"/>
        </w:rPr>
        <w:t>Czarniawska</w:t>
      </w:r>
      <w:proofErr w:type="spellEnd"/>
      <w:r w:rsidRPr="00D814C3">
        <w:rPr>
          <w:lang w:eastAsia="it-IT"/>
        </w:rPr>
        <w:t xml:space="preserve">, B. (1998). </w:t>
      </w:r>
      <w:r w:rsidRPr="00D814C3">
        <w:rPr>
          <w:i/>
          <w:lang w:eastAsia="it-IT"/>
        </w:rPr>
        <w:t xml:space="preserve">A </w:t>
      </w:r>
      <w:r>
        <w:rPr>
          <w:i/>
          <w:lang w:eastAsia="it-IT"/>
        </w:rPr>
        <w:t>n</w:t>
      </w:r>
      <w:r w:rsidRPr="00D814C3">
        <w:rPr>
          <w:i/>
          <w:lang w:eastAsia="it-IT"/>
        </w:rPr>
        <w:t xml:space="preserve">arrative </w:t>
      </w:r>
      <w:r>
        <w:rPr>
          <w:i/>
          <w:lang w:eastAsia="it-IT"/>
        </w:rPr>
        <w:t>a</w:t>
      </w:r>
      <w:r w:rsidRPr="00D814C3">
        <w:rPr>
          <w:i/>
          <w:lang w:eastAsia="it-IT"/>
        </w:rPr>
        <w:t xml:space="preserve">pproach in </w:t>
      </w:r>
      <w:r>
        <w:rPr>
          <w:i/>
          <w:lang w:eastAsia="it-IT"/>
        </w:rPr>
        <w:t>o</w:t>
      </w:r>
      <w:r w:rsidRPr="00D814C3">
        <w:rPr>
          <w:i/>
          <w:lang w:eastAsia="it-IT"/>
        </w:rPr>
        <w:t xml:space="preserve">rganization </w:t>
      </w:r>
      <w:r>
        <w:rPr>
          <w:i/>
          <w:lang w:eastAsia="it-IT"/>
        </w:rPr>
        <w:t>s</w:t>
      </w:r>
      <w:r w:rsidRPr="00D814C3">
        <w:rPr>
          <w:i/>
          <w:lang w:eastAsia="it-IT"/>
        </w:rPr>
        <w:t>tudies</w:t>
      </w:r>
      <w:r w:rsidRPr="00D814C3">
        <w:rPr>
          <w:lang w:eastAsia="it-IT"/>
        </w:rPr>
        <w:t>. Thousand Oaks,</w:t>
      </w:r>
      <w:r>
        <w:rPr>
          <w:lang w:eastAsia="it-IT"/>
        </w:rPr>
        <w:t xml:space="preserve"> CA: Sage</w:t>
      </w:r>
      <w:r w:rsidRPr="00D814C3">
        <w:rPr>
          <w:lang w:eastAsia="it-IT"/>
        </w:rPr>
        <w:t>.</w:t>
      </w:r>
    </w:p>
    <w:p w14:paraId="722FA165" w14:textId="7079F48B" w:rsidR="00F31A1E" w:rsidRDefault="00F31A1E" w:rsidP="00F31A1E">
      <w:pPr>
        <w:pStyle w:val="Reference"/>
      </w:pPr>
      <w:proofErr w:type="spellStart"/>
      <w:r w:rsidRPr="00C7776E">
        <w:t>Dussauge</w:t>
      </w:r>
      <w:proofErr w:type="spellEnd"/>
      <w:r w:rsidRPr="00C7776E">
        <w:t xml:space="preserve">, I., </w:t>
      </w:r>
      <w:proofErr w:type="spellStart"/>
      <w:r w:rsidRPr="00C7776E">
        <w:t>Helgesson</w:t>
      </w:r>
      <w:proofErr w:type="spellEnd"/>
      <w:r w:rsidRPr="00C7776E">
        <w:t xml:space="preserve">, C-F., Lee, F., &amp; </w:t>
      </w:r>
      <w:proofErr w:type="spellStart"/>
      <w:r w:rsidRPr="00C7776E">
        <w:t>Woolgar</w:t>
      </w:r>
      <w:proofErr w:type="spellEnd"/>
      <w:r w:rsidRPr="00C7776E">
        <w:t>, S. (2015). On the omnipresence, diversity, and elusiveness of values in the life sciences and medicine</w:t>
      </w:r>
      <w:r w:rsidR="004204E0">
        <w:t>.</w:t>
      </w:r>
      <w:r w:rsidRPr="00C7776E">
        <w:t xml:space="preserve"> </w:t>
      </w:r>
      <w:r w:rsidR="004204E0">
        <w:t>I</w:t>
      </w:r>
      <w:r w:rsidRPr="00C7776E">
        <w:t xml:space="preserve">n </w:t>
      </w:r>
      <w:proofErr w:type="spellStart"/>
      <w:r w:rsidRPr="00C7776E">
        <w:t>Dussauge</w:t>
      </w:r>
      <w:proofErr w:type="spellEnd"/>
      <w:r w:rsidRPr="00C7776E">
        <w:t xml:space="preserve">, I., </w:t>
      </w:r>
      <w:proofErr w:type="spellStart"/>
      <w:r w:rsidRPr="00C7776E">
        <w:t>Helgesson</w:t>
      </w:r>
      <w:proofErr w:type="spellEnd"/>
      <w:r w:rsidRPr="00C7776E">
        <w:t>, C</w:t>
      </w:r>
      <w:r w:rsidR="00ED1482">
        <w:noBreakHyphen/>
      </w:r>
      <w:r w:rsidRPr="00C7776E">
        <w:t xml:space="preserve">F., &amp; Lee, F. </w:t>
      </w:r>
      <w:r w:rsidR="00ED1482">
        <w:t>(</w:t>
      </w:r>
      <w:r w:rsidRPr="00C7776E">
        <w:t>Eds.</w:t>
      </w:r>
      <w:r w:rsidR="00ED1482">
        <w:t>)</w:t>
      </w:r>
      <w:r w:rsidRPr="00C7776E">
        <w:t xml:space="preserve"> </w:t>
      </w:r>
      <w:r w:rsidRPr="00AB2F31">
        <w:rPr>
          <w:i/>
        </w:rPr>
        <w:t>Value Practices in the Life Sciences and Medicine</w:t>
      </w:r>
      <w:r w:rsidR="00AB2F31">
        <w:t>.</w:t>
      </w:r>
      <w:r w:rsidRPr="00C7776E">
        <w:t xml:space="preserve"> </w:t>
      </w:r>
      <w:r w:rsidR="00AB2F31">
        <w:t xml:space="preserve">Oxford: </w:t>
      </w:r>
      <w:r w:rsidRPr="00C7776E">
        <w:t>Oxfor</w:t>
      </w:r>
      <w:r w:rsidR="00AB2F31">
        <w:t>d</w:t>
      </w:r>
      <w:r w:rsidRPr="00C7776E">
        <w:t xml:space="preserve"> University Press</w:t>
      </w:r>
      <w:r w:rsidR="00AB2F31">
        <w:t xml:space="preserve">, </w:t>
      </w:r>
      <w:r w:rsidRPr="00C7776E">
        <w:t>1-30.</w:t>
      </w:r>
    </w:p>
    <w:p w14:paraId="284F849F" w14:textId="77777777" w:rsidR="00562A5A" w:rsidRPr="00562A5A" w:rsidRDefault="00562A5A" w:rsidP="00F31A1E">
      <w:pPr>
        <w:pStyle w:val="Reference"/>
      </w:pPr>
      <w:r>
        <w:t xml:space="preserve">Edwards, J. R. (2019). </w:t>
      </w:r>
      <w:r>
        <w:rPr>
          <w:i/>
        </w:rPr>
        <w:t>A History of Corporate Financial Reporting in Britain</w:t>
      </w:r>
      <w:r>
        <w:t>. Abingdon: Routledge.</w:t>
      </w:r>
    </w:p>
    <w:p w14:paraId="0D9F9504" w14:textId="77777777" w:rsidR="00CD609B" w:rsidRDefault="00CD609B" w:rsidP="00356342">
      <w:pPr>
        <w:pStyle w:val="Reference"/>
        <w:rPr>
          <w:rFonts w:cstheme="minorBidi"/>
          <w:szCs w:val="22"/>
        </w:rPr>
      </w:pPr>
      <w:r w:rsidRPr="00EF093F">
        <w:rPr>
          <w:rFonts w:cstheme="minorBidi"/>
          <w:szCs w:val="22"/>
        </w:rPr>
        <w:t xml:space="preserve">Edwards, J. R., Anderson, M., &amp; Chandler, R. (2005). How not to mount a professional project: The formation of the ICAEW in 1880. </w:t>
      </w:r>
      <w:r w:rsidRPr="00EF093F">
        <w:rPr>
          <w:rFonts w:cstheme="minorBidi"/>
          <w:i/>
          <w:szCs w:val="22"/>
        </w:rPr>
        <w:t>Accounting and Business Research</w:t>
      </w:r>
      <w:r w:rsidRPr="00EF093F">
        <w:rPr>
          <w:rFonts w:cstheme="minorBidi"/>
          <w:szCs w:val="22"/>
        </w:rPr>
        <w:t>, 35(3), 229-248.</w:t>
      </w:r>
    </w:p>
    <w:p w14:paraId="3E247858" w14:textId="77777777" w:rsidR="006A78F5" w:rsidRPr="006A78F5" w:rsidRDefault="006A78F5" w:rsidP="00356342">
      <w:pPr>
        <w:pStyle w:val="Reference"/>
        <w:rPr>
          <w:rFonts w:cstheme="minorBidi"/>
          <w:szCs w:val="22"/>
        </w:rPr>
      </w:pPr>
      <w:r>
        <w:rPr>
          <w:rFonts w:cstheme="minorBidi"/>
          <w:szCs w:val="22"/>
        </w:rPr>
        <w:t xml:space="preserve">Financial Reporting Council (2018). </w:t>
      </w:r>
      <w:r>
        <w:rPr>
          <w:rFonts w:cstheme="minorBidi"/>
          <w:i/>
          <w:szCs w:val="22"/>
        </w:rPr>
        <w:t>FRS 102: The Financial Reporting Standard Applicable in the UK and Republic of Ireland</w:t>
      </w:r>
      <w:r>
        <w:rPr>
          <w:rFonts w:cstheme="minorBidi"/>
          <w:szCs w:val="22"/>
        </w:rPr>
        <w:t>. London: FRC.</w:t>
      </w:r>
    </w:p>
    <w:p w14:paraId="1829A329" w14:textId="59E05095" w:rsidR="004830DE" w:rsidRDefault="004830DE" w:rsidP="00356342">
      <w:pPr>
        <w:pStyle w:val="Reference"/>
        <w:rPr>
          <w:rFonts w:cstheme="minorBidi"/>
          <w:szCs w:val="22"/>
        </w:rPr>
      </w:pPr>
      <w:proofErr w:type="spellStart"/>
      <w:r>
        <w:rPr>
          <w:rFonts w:cstheme="minorBidi"/>
          <w:szCs w:val="22"/>
        </w:rPr>
        <w:t>Giovannoni</w:t>
      </w:r>
      <w:proofErr w:type="spellEnd"/>
      <w:r>
        <w:rPr>
          <w:rFonts w:cstheme="minorBidi"/>
          <w:szCs w:val="22"/>
        </w:rPr>
        <w:t xml:space="preserve">, E., &amp; Napier, C. (2016). The making of material objects through accounting </w:t>
      </w:r>
      <w:r>
        <w:rPr>
          <w:rFonts w:cstheme="minorBidi"/>
          <w:i/>
          <w:szCs w:val="22"/>
        </w:rPr>
        <w:t>re</w:t>
      </w:r>
      <w:r w:rsidR="00ED1482">
        <w:rPr>
          <w:rFonts w:cstheme="minorBidi"/>
          <w:szCs w:val="22"/>
        </w:rPr>
        <w:noBreakHyphen/>
      </w:r>
      <w:r>
        <w:rPr>
          <w:rFonts w:cstheme="minorBidi"/>
          <w:szCs w:val="22"/>
        </w:rPr>
        <w:t>presentations: The Founder’s Building at Royal Holloway, 1887-1897. Paper presented at the 14</w:t>
      </w:r>
      <w:r w:rsidRPr="004830DE">
        <w:rPr>
          <w:rFonts w:cstheme="minorBidi"/>
          <w:szCs w:val="22"/>
          <w:vertAlign w:val="superscript"/>
        </w:rPr>
        <w:t>th</w:t>
      </w:r>
      <w:r>
        <w:rPr>
          <w:rFonts w:cstheme="minorBidi"/>
          <w:szCs w:val="22"/>
        </w:rPr>
        <w:t xml:space="preserve"> World Congress of Accounting Historians, Pescara, 23-25 June.</w:t>
      </w:r>
    </w:p>
    <w:p w14:paraId="1065118C" w14:textId="4840D13B" w:rsidR="0098721A" w:rsidRDefault="0000514D" w:rsidP="001C4BB5">
      <w:pPr>
        <w:pStyle w:val="Reference"/>
        <w:rPr>
          <w:rFonts w:cstheme="minorBidi"/>
          <w:szCs w:val="22"/>
        </w:rPr>
      </w:pPr>
      <w:r>
        <w:rPr>
          <w:rFonts w:cstheme="minorBidi"/>
          <w:szCs w:val="22"/>
        </w:rPr>
        <w:t xml:space="preserve">Harris, B., &amp; Zucker, S. (2015). John Constable, </w:t>
      </w:r>
      <w:r>
        <w:rPr>
          <w:rFonts w:cstheme="minorBidi"/>
          <w:i/>
          <w:szCs w:val="22"/>
        </w:rPr>
        <w:t>View on the Stour near Dedham</w:t>
      </w:r>
      <w:r>
        <w:rPr>
          <w:rFonts w:cstheme="minorBidi"/>
          <w:szCs w:val="22"/>
        </w:rPr>
        <w:t xml:space="preserve">. </w:t>
      </w:r>
      <w:proofErr w:type="spellStart"/>
      <w:r>
        <w:rPr>
          <w:rFonts w:cstheme="minorBidi"/>
          <w:i/>
          <w:szCs w:val="22"/>
        </w:rPr>
        <w:t>Smarthistory</w:t>
      </w:r>
      <w:proofErr w:type="spellEnd"/>
      <w:r>
        <w:rPr>
          <w:rFonts w:cstheme="minorBidi"/>
          <w:szCs w:val="22"/>
        </w:rPr>
        <w:t xml:space="preserve"> 10 December, available online at </w:t>
      </w:r>
      <w:r w:rsidRPr="0000514D">
        <w:rPr>
          <w:rFonts w:cstheme="minorBidi"/>
          <w:szCs w:val="22"/>
        </w:rPr>
        <w:t>https://smarthistory.org/john-constable-view-on-the-stour-near-dedham/</w:t>
      </w:r>
      <w:r>
        <w:rPr>
          <w:rFonts w:cstheme="minorBidi"/>
          <w:szCs w:val="22"/>
        </w:rPr>
        <w:t xml:space="preserve"> (accessed 24 September 2018).</w:t>
      </w:r>
    </w:p>
    <w:p w14:paraId="79A7A311" w14:textId="3811A010" w:rsidR="00E70DC2" w:rsidRPr="00E70DC2" w:rsidRDefault="00E70DC2" w:rsidP="001C4BB5">
      <w:pPr>
        <w:pStyle w:val="Reference"/>
        <w:rPr>
          <w:rFonts w:cstheme="minorBidi"/>
          <w:szCs w:val="22"/>
        </w:rPr>
      </w:pPr>
      <w:r>
        <w:rPr>
          <w:rFonts w:cstheme="minorBidi"/>
          <w:szCs w:val="22"/>
        </w:rPr>
        <w:t xml:space="preserve">Hopper, K. C., </w:t>
      </w:r>
      <w:proofErr w:type="spellStart"/>
      <w:r>
        <w:rPr>
          <w:rFonts w:cstheme="minorBidi"/>
          <w:szCs w:val="22"/>
        </w:rPr>
        <w:t>Kearins</w:t>
      </w:r>
      <w:proofErr w:type="spellEnd"/>
      <w:r>
        <w:rPr>
          <w:rFonts w:cstheme="minorBidi"/>
          <w:szCs w:val="22"/>
        </w:rPr>
        <w:t xml:space="preserve">, K. N., &amp; Green, R. (2005). Knowing “the price of everything and the value of nothing”: Accounting for heritage assets. </w:t>
      </w:r>
      <w:r>
        <w:rPr>
          <w:rFonts w:cstheme="minorBidi"/>
          <w:i/>
          <w:iCs/>
          <w:szCs w:val="22"/>
        </w:rPr>
        <w:t>Accounting, Auditing &amp; Accountability Journal</w:t>
      </w:r>
      <w:r>
        <w:rPr>
          <w:rFonts w:cstheme="minorBidi"/>
          <w:szCs w:val="22"/>
        </w:rPr>
        <w:t>, 18(3), 401-433.</w:t>
      </w:r>
    </w:p>
    <w:p w14:paraId="105EDD70" w14:textId="77777777" w:rsidR="00B01E98" w:rsidRDefault="00B01E98" w:rsidP="00356342">
      <w:pPr>
        <w:pStyle w:val="Reference"/>
      </w:pPr>
      <w:r>
        <w:t xml:space="preserve">International Accounting Standards Board (2018). </w:t>
      </w:r>
      <w:r>
        <w:rPr>
          <w:i/>
        </w:rPr>
        <w:t>Conceptual Framework for Financial Reporting</w:t>
      </w:r>
      <w:r>
        <w:t>. London: IFRS Foundation.</w:t>
      </w:r>
    </w:p>
    <w:p w14:paraId="2261C04C" w14:textId="77777777" w:rsidR="007E4688" w:rsidRPr="007E4688" w:rsidRDefault="007E4688" w:rsidP="00356342">
      <w:pPr>
        <w:pStyle w:val="Reference"/>
      </w:pPr>
      <w:r>
        <w:lastRenderedPageBreak/>
        <w:t xml:space="preserve">International Public Sector Accounting Standards Board (2017). </w:t>
      </w:r>
      <w:r>
        <w:rPr>
          <w:i/>
        </w:rPr>
        <w:t>Consultation Paper: Financial Reporting for Heritage in the Public Sector</w:t>
      </w:r>
      <w:r>
        <w:t>. New York: International Federation of Accountants.</w:t>
      </w:r>
    </w:p>
    <w:p w14:paraId="1B1AD657" w14:textId="77777777" w:rsidR="00173C21" w:rsidRPr="00EF093F" w:rsidRDefault="00173C21" w:rsidP="00356342">
      <w:pPr>
        <w:pStyle w:val="Reference"/>
      </w:pPr>
      <w:r w:rsidRPr="00EF093F">
        <w:t>Jones, M. J. (1992). Accounting revolution at Oxford in 1882. The case of a governmental ‘</w:t>
      </w:r>
      <w:proofErr w:type="spellStart"/>
      <w:r w:rsidRPr="00EF093F">
        <w:t>deus</w:t>
      </w:r>
      <w:proofErr w:type="spellEnd"/>
      <w:r w:rsidRPr="00EF093F">
        <w:t xml:space="preserve"> ex </w:t>
      </w:r>
      <w:proofErr w:type="spellStart"/>
      <w:r w:rsidRPr="00EF093F">
        <w:t>machina</w:t>
      </w:r>
      <w:proofErr w:type="spellEnd"/>
      <w:r w:rsidRPr="00EF093F">
        <w:t xml:space="preserve">’. </w:t>
      </w:r>
      <w:r w:rsidRPr="00EF093F">
        <w:rPr>
          <w:i/>
        </w:rPr>
        <w:t>Accounting and Business Research</w:t>
      </w:r>
      <w:r w:rsidRPr="00EF093F">
        <w:t>, 22(86), 125-132.</w:t>
      </w:r>
    </w:p>
    <w:p w14:paraId="6F9D79F4" w14:textId="77777777" w:rsidR="00173C21" w:rsidRDefault="00173C21" w:rsidP="00356342">
      <w:pPr>
        <w:pStyle w:val="Reference"/>
      </w:pPr>
      <w:r w:rsidRPr="00EF093F">
        <w:t xml:space="preserve">Jones, M. J. (1994). Accounting change, communitarianism and </w:t>
      </w:r>
      <w:proofErr w:type="spellStart"/>
      <w:r w:rsidRPr="00EF093F">
        <w:t>etatism</w:t>
      </w:r>
      <w:proofErr w:type="spellEnd"/>
      <w:r w:rsidRPr="00EF093F">
        <w:t xml:space="preserve">: The university, and colleges, of Oxford 1800-1923. </w:t>
      </w:r>
      <w:r w:rsidRPr="00EF093F">
        <w:rPr>
          <w:i/>
        </w:rPr>
        <w:t>Critical Perspectives on Accounting</w:t>
      </w:r>
      <w:r w:rsidRPr="00EF093F">
        <w:t>, 5(1), 109-132.</w:t>
      </w:r>
    </w:p>
    <w:p w14:paraId="075C883F" w14:textId="77777777" w:rsidR="005A08FD" w:rsidRPr="005A08FD" w:rsidRDefault="005A08FD" w:rsidP="00356342">
      <w:pPr>
        <w:pStyle w:val="Reference"/>
      </w:pPr>
      <w:r>
        <w:t xml:space="preserve">Lago, M. (1996). </w:t>
      </w:r>
      <w:r>
        <w:rPr>
          <w:i/>
        </w:rPr>
        <w:t xml:space="preserve">Christiana </w:t>
      </w:r>
      <w:proofErr w:type="spellStart"/>
      <w:r>
        <w:rPr>
          <w:i/>
        </w:rPr>
        <w:t>Herringham</w:t>
      </w:r>
      <w:proofErr w:type="spellEnd"/>
      <w:r>
        <w:rPr>
          <w:i/>
        </w:rPr>
        <w:t xml:space="preserve"> and the Edwardian Art Scene</w:t>
      </w:r>
      <w:r>
        <w:t>. Columbia, MO: University of Missouri Press.</w:t>
      </w:r>
    </w:p>
    <w:p w14:paraId="03E37D15" w14:textId="77777777" w:rsidR="00F31A1E" w:rsidRDefault="00F31A1E" w:rsidP="00F31A1E">
      <w:pPr>
        <w:pStyle w:val="Reference"/>
      </w:pPr>
      <w:r>
        <w:t>Latour, B. (2004). W</w:t>
      </w:r>
      <w:r w:rsidRPr="008047A9">
        <w:t>hy has critique run out of steam? From matters of fact to matters of</w:t>
      </w:r>
      <w:r>
        <w:t xml:space="preserve"> concern. </w:t>
      </w:r>
      <w:r w:rsidRPr="008047A9">
        <w:rPr>
          <w:i/>
        </w:rPr>
        <w:t>Critical Inquiry</w:t>
      </w:r>
      <w:r>
        <w:t xml:space="preserve">, 30(2), </w:t>
      </w:r>
      <w:r w:rsidRPr="008047A9">
        <w:t>225–48.</w:t>
      </w:r>
    </w:p>
    <w:p w14:paraId="494237D7" w14:textId="4AF8933C" w:rsidR="00E922BA" w:rsidRDefault="00BB39AA" w:rsidP="00E922BA">
      <w:pPr>
        <w:pStyle w:val="Reference"/>
      </w:pPr>
      <w:r>
        <w:t>Law,</w:t>
      </w:r>
      <w:r w:rsidR="002704AF">
        <w:t xml:space="preserve"> J. (2004).</w:t>
      </w:r>
      <w:r>
        <w:t xml:space="preserve"> Matter‐</w:t>
      </w:r>
      <w:proofErr w:type="spellStart"/>
      <w:r>
        <w:t>ing</w:t>
      </w:r>
      <w:proofErr w:type="spellEnd"/>
      <w:r>
        <w:t xml:space="preserve">: Or </w:t>
      </w:r>
      <w:r w:rsidR="004204E0">
        <w:t>h</w:t>
      </w:r>
      <w:r>
        <w:t xml:space="preserve">ow </w:t>
      </w:r>
      <w:r w:rsidR="004204E0">
        <w:t>m</w:t>
      </w:r>
      <w:r>
        <w:t xml:space="preserve">ight STS </w:t>
      </w:r>
      <w:proofErr w:type="gramStart"/>
      <w:r w:rsidR="004204E0">
        <w:t>c</w:t>
      </w:r>
      <w:r>
        <w:t>ontribute?,</w:t>
      </w:r>
      <w:proofErr w:type="gramEnd"/>
      <w:r>
        <w:t xml:space="preserve"> version of 28 June 2004, available at http://www.heterogeneities.net/publications/Law2004Matter‐ing.pdf (</w:t>
      </w:r>
      <w:r w:rsidR="00ED1482">
        <w:t>accessed</w:t>
      </w:r>
      <w:r>
        <w:t xml:space="preserve"> 4 February 20</w:t>
      </w:r>
      <w:r w:rsidR="00ED1482">
        <w:t>2</w:t>
      </w:r>
      <w:r>
        <w:t>0).</w:t>
      </w:r>
      <w:r w:rsidR="00861BDE">
        <w:t xml:space="preserve"> </w:t>
      </w:r>
    </w:p>
    <w:p w14:paraId="0C650934" w14:textId="77209D4C" w:rsidR="00E922BA" w:rsidRPr="00E922BA" w:rsidRDefault="00E922BA" w:rsidP="00E922BA">
      <w:pPr>
        <w:pStyle w:val="Reference"/>
      </w:pPr>
      <w:r w:rsidRPr="00E922BA">
        <w:t xml:space="preserve">Macintosh, N. B. (2003). From rationality to hyperreality: </w:t>
      </w:r>
      <w:r w:rsidR="008D1925">
        <w:t>P</w:t>
      </w:r>
      <w:r w:rsidRPr="00E922BA">
        <w:t xml:space="preserve">aradigm poker. </w:t>
      </w:r>
      <w:r w:rsidRPr="00E922BA">
        <w:rPr>
          <w:i/>
        </w:rPr>
        <w:t xml:space="preserve">International </w:t>
      </w:r>
      <w:r w:rsidR="008D1925">
        <w:rPr>
          <w:i/>
        </w:rPr>
        <w:t>R</w:t>
      </w:r>
      <w:r w:rsidRPr="00E922BA">
        <w:rPr>
          <w:i/>
        </w:rPr>
        <w:t xml:space="preserve">eview of </w:t>
      </w:r>
      <w:r w:rsidR="008D1925">
        <w:rPr>
          <w:i/>
        </w:rPr>
        <w:t>F</w:t>
      </w:r>
      <w:r w:rsidRPr="00E922BA">
        <w:rPr>
          <w:i/>
        </w:rPr>
        <w:t xml:space="preserve">inancial </w:t>
      </w:r>
      <w:r w:rsidR="008D1925">
        <w:rPr>
          <w:i/>
        </w:rPr>
        <w:t>A</w:t>
      </w:r>
      <w:r w:rsidRPr="00E922BA">
        <w:rPr>
          <w:i/>
        </w:rPr>
        <w:t>nalysis</w:t>
      </w:r>
      <w:r w:rsidRPr="00E922BA">
        <w:t>, 12(4), 453-465.</w:t>
      </w:r>
      <w:r w:rsidR="00861BDE">
        <w:rPr>
          <w:rStyle w:val="title-text"/>
          <w:color w:val="505050"/>
        </w:rPr>
        <w:t xml:space="preserve"> </w:t>
      </w:r>
    </w:p>
    <w:p w14:paraId="1B1EB80E" w14:textId="77777777" w:rsidR="000817B0" w:rsidRPr="00EF093F" w:rsidRDefault="000817B0" w:rsidP="00356342">
      <w:pPr>
        <w:pStyle w:val="Reference"/>
      </w:pPr>
      <w:r w:rsidRPr="00EF093F">
        <w:t xml:space="preserve">Macintosh, N. B. (2002). </w:t>
      </w:r>
      <w:r w:rsidRPr="00EF093F">
        <w:rPr>
          <w:i/>
        </w:rPr>
        <w:t>Accounting, Accountants and Accountability: Poststructuralist Positions</w:t>
      </w:r>
      <w:r w:rsidRPr="00EF093F">
        <w:t xml:space="preserve">. </w:t>
      </w:r>
      <w:r w:rsidR="00A76B51" w:rsidRPr="00EF093F">
        <w:t>Abingdon: Routledge.</w:t>
      </w:r>
    </w:p>
    <w:p w14:paraId="0487B25A" w14:textId="77777777" w:rsidR="000817B0" w:rsidRDefault="000817B0" w:rsidP="00356342">
      <w:pPr>
        <w:pStyle w:val="Reference"/>
      </w:pPr>
      <w:r w:rsidRPr="00EF093F">
        <w:t xml:space="preserve">Macintosh, N. B., Shearer, T., Thornton, D. B., &amp; Welker, M. (2000). Accounting as simulacrum and hyperreality: Perspectives on income and capital. </w:t>
      </w:r>
      <w:r w:rsidRPr="00EF093F">
        <w:rPr>
          <w:i/>
        </w:rPr>
        <w:t>Accounting, Organizations and Society</w:t>
      </w:r>
      <w:r w:rsidRPr="00EF093F">
        <w:t>, 25(1)</w:t>
      </w:r>
      <w:r w:rsidR="00EF093F" w:rsidRPr="00EF093F">
        <w:t>,</w:t>
      </w:r>
      <w:r w:rsidRPr="00EF093F">
        <w:t xml:space="preserve"> 13-50.</w:t>
      </w:r>
    </w:p>
    <w:p w14:paraId="64D1E230" w14:textId="52B6327F" w:rsidR="002118D7" w:rsidRDefault="002118D7" w:rsidP="00356342">
      <w:pPr>
        <w:pStyle w:val="Reference"/>
      </w:pPr>
      <w:r>
        <w:t xml:space="preserve">Maas, J. (1982). Foreword, in J. </w:t>
      </w:r>
      <w:r w:rsidRPr="00EF093F">
        <w:t>Chapel</w:t>
      </w:r>
      <w:r>
        <w:t xml:space="preserve"> </w:t>
      </w:r>
      <w:r w:rsidRPr="00EF093F">
        <w:rPr>
          <w:i/>
        </w:rPr>
        <w:t>Victorian Taste: The Complete Catalogue of Paintings at the Royal Holloway College</w:t>
      </w:r>
      <w:r w:rsidRPr="00EF093F">
        <w:t xml:space="preserve">. London: A. </w:t>
      </w:r>
      <w:proofErr w:type="spellStart"/>
      <w:r w:rsidRPr="00EF093F">
        <w:t>Zwemmer</w:t>
      </w:r>
      <w:proofErr w:type="spellEnd"/>
      <w:r w:rsidRPr="00EF093F">
        <w:t>.</w:t>
      </w:r>
    </w:p>
    <w:p w14:paraId="62DF2DD1" w14:textId="77777777" w:rsidR="00E61FD7" w:rsidRDefault="00E61FD7" w:rsidP="00356342">
      <w:pPr>
        <w:pStyle w:val="Reference"/>
      </w:pPr>
      <w:proofErr w:type="spellStart"/>
      <w:r>
        <w:t>Mautz</w:t>
      </w:r>
      <w:proofErr w:type="spellEnd"/>
      <w:r>
        <w:t xml:space="preserve">, R. K. (1988). Monuments: Mistakes and opportunities. </w:t>
      </w:r>
      <w:r>
        <w:rPr>
          <w:i/>
        </w:rPr>
        <w:t>Accounting Horizons</w:t>
      </w:r>
      <w:r>
        <w:t xml:space="preserve">, </w:t>
      </w:r>
      <w:r>
        <w:rPr>
          <w:i/>
        </w:rPr>
        <w:t>2</w:t>
      </w:r>
      <w:r>
        <w:t>(2), 123-128.</w:t>
      </w:r>
    </w:p>
    <w:p w14:paraId="26ED97B9" w14:textId="77777777" w:rsidR="00E61FD7" w:rsidRPr="00E61FD7" w:rsidRDefault="00E61FD7" w:rsidP="00356342">
      <w:pPr>
        <w:pStyle w:val="Reference"/>
        <w:rPr>
          <w:rFonts w:eastAsia="Times New Roman"/>
        </w:rPr>
      </w:pPr>
      <w:r>
        <w:t xml:space="preserve">Micallef, F., &amp; </w:t>
      </w:r>
      <w:proofErr w:type="spellStart"/>
      <w:r>
        <w:t>Peirson</w:t>
      </w:r>
      <w:proofErr w:type="spellEnd"/>
      <w:r>
        <w:t xml:space="preserve">, G. (1997). Financial reporting of cultural, heritage and scientific collections. </w:t>
      </w:r>
      <w:r>
        <w:rPr>
          <w:i/>
        </w:rPr>
        <w:t>Australian Accounting Review</w:t>
      </w:r>
      <w:r>
        <w:t xml:space="preserve">, </w:t>
      </w:r>
      <w:r>
        <w:rPr>
          <w:i/>
        </w:rPr>
        <w:t>7</w:t>
      </w:r>
      <w:r>
        <w:t>(13), 31-37.</w:t>
      </w:r>
    </w:p>
    <w:p w14:paraId="03E26429" w14:textId="77777777" w:rsidR="003320D2" w:rsidRDefault="003320D2" w:rsidP="00356342">
      <w:pPr>
        <w:pStyle w:val="Reference"/>
      </w:pPr>
      <w:r w:rsidRPr="00EF093F">
        <w:t>Most, K. S. (1979). Sombart on accounting history, Academy of Accounting History working paper No. 35. First published in W. Sombart</w:t>
      </w:r>
      <w:r w:rsidR="005E1C4B" w:rsidRPr="00EF093F">
        <w:t xml:space="preserve"> (1919)</w:t>
      </w:r>
      <w:r w:rsidRPr="00EF093F">
        <w:t xml:space="preserve"> </w:t>
      </w:r>
      <w:r w:rsidRPr="00EF093F">
        <w:rPr>
          <w:i/>
        </w:rPr>
        <w:t xml:space="preserve">Der </w:t>
      </w:r>
      <w:proofErr w:type="spellStart"/>
      <w:r w:rsidRPr="00EF093F">
        <w:rPr>
          <w:i/>
        </w:rPr>
        <w:t>Moderne</w:t>
      </w:r>
      <w:proofErr w:type="spellEnd"/>
      <w:r w:rsidRPr="00EF093F">
        <w:rPr>
          <w:i/>
        </w:rPr>
        <w:t xml:space="preserve"> </w:t>
      </w:r>
      <w:proofErr w:type="spellStart"/>
      <w:r w:rsidRPr="00EF093F">
        <w:rPr>
          <w:i/>
        </w:rPr>
        <w:t>Capitalismus</w:t>
      </w:r>
      <w:proofErr w:type="spellEnd"/>
      <w:r w:rsidRPr="00EF093F">
        <w:t xml:space="preserve">, Vol. II, Munich: </w:t>
      </w:r>
      <w:proofErr w:type="spellStart"/>
      <w:r w:rsidRPr="00EF093F">
        <w:t>Dunkler</w:t>
      </w:r>
      <w:proofErr w:type="spellEnd"/>
      <w:r w:rsidRPr="00EF093F">
        <w:t xml:space="preserve"> &amp; </w:t>
      </w:r>
      <w:proofErr w:type="spellStart"/>
      <w:r w:rsidRPr="00EF093F">
        <w:t>Humblot</w:t>
      </w:r>
      <w:proofErr w:type="spellEnd"/>
      <w:r w:rsidR="005E1C4B" w:rsidRPr="00EF093F">
        <w:t>.</w:t>
      </w:r>
    </w:p>
    <w:p w14:paraId="1F29251B" w14:textId="08F5BD54" w:rsidR="000B3CE2" w:rsidRPr="00EF093F" w:rsidRDefault="000B3CE2" w:rsidP="00356342">
      <w:pPr>
        <w:pStyle w:val="Reference"/>
      </w:pPr>
      <w:proofErr w:type="spellStart"/>
      <w:r>
        <w:t>Mouritsen</w:t>
      </w:r>
      <w:proofErr w:type="spellEnd"/>
      <w:r>
        <w:t xml:space="preserve">, J. (2018). From </w:t>
      </w:r>
      <w:r w:rsidR="004204E0">
        <w:t>n</w:t>
      </w:r>
      <w:r>
        <w:t xml:space="preserve">umbers to </w:t>
      </w:r>
      <w:r w:rsidR="004204E0">
        <w:t>i</w:t>
      </w:r>
      <w:r>
        <w:t xml:space="preserve">nterventions and </w:t>
      </w:r>
      <w:r w:rsidR="004204E0">
        <w:t>b</w:t>
      </w:r>
      <w:r>
        <w:t xml:space="preserve">ack: How </w:t>
      </w:r>
      <w:r w:rsidR="004204E0">
        <w:t>do</w:t>
      </w:r>
      <w:r>
        <w:t xml:space="preserve"> </w:t>
      </w:r>
      <w:r w:rsidR="004204E0">
        <w:t>a</w:t>
      </w:r>
      <w:r>
        <w:t xml:space="preserve">ccounting </w:t>
      </w:r>
      <w:r w:rsidR="004204E0">
        <w:t>f</w:t>
      </w:r>
      <w:r>
        <w:t xml:space="preserve">acts and </w:t>
      </w:r>
      <w:r w:rsidR="004204E0">
        <w:t>ma</w:t>
      </w:r>
      <w:r>
        <w:t xml:space="preserve">nagement </w:t>
      </w:r>
      <w:r w:rsidR="004204E0">
        <w:t>c</w:t>
      </w:r>
      <w:r>
        <w:t xml:space="preserve">oncerns </w:t>
      </w:r>
      <w:r w:rsidR="004204E0">
        <w:t>i</w:t>
      </w:r>
      <w:r>
        <w:t xml:space="preserve">nteract? In L. </w:t>
      </w:r>
      <w:proofErr w:type="spellStart"/>
      <w:r>
        <w:t>Gårseth-Nesbakk</w:t>
      </w:r>
      <w:proofErr w:type="spellEnd"/>
      <w:r>
        <w:t xml:space="preserve"> &amp; F. </w:t>
      </w:r>
      <w:proofErr w:type="spellStart"/>
      <w:r>
        <w:t>Mellemvik</w:t>
      </w:r>
      <w:proofErr w:type="spellEnd"/>
      <w:r>
        <w:t xml:space="preserve"> (Eds.), </w:t>
      </w:r>
      <w:r w:rsidRPr="000B3CE2">
        <w:rPr>
          <w:i/>
        </w:rPr>
        <w:t>Dealing with Expectations and Traditions in Research</w:t>
      </w:r>
      <w:r>
        <w:t xml:space="preserve">. Oslo: </w:t>
      </w:r>
      <w:proofErr w:type="spellStart"/>
      <w:r>
        <w:t>Cappelen</w:t>
      </w:r>
      <w:proofErr w:type="spellEnd"/>
      <w:r>
        <w:t xml:space="preserve"> </w:t>
      </w:r>
      <w:proofErr w:type="spellStart"/>
      <w:r>
        <w:t>Damm</w:t>
      </w:r>
      <w:proofErr w:type="spellEnd"/>
      <w:r>
        <w:t xml:space="preserve"> </w:t>
      </w:r>
      <w:proofErr w:type="spellStart"/>
      <w:r>
        <w:t>Akademisk</w:t>
      </w:r>
      <w:proofErr w:type="spellEnd"/>
      <w:r>
        <w:t>, 129–147.</w:t>
      </w:r>
    </w:p>
    <w:p w14:paraId="088136BB" w14:textId="77777777" w:rsidR="00F31A1E" w:rsidRDefault="00F31A1E" w:rsidP="00F31A1E">
      <w:pPr>
        <w:pStyle w:val="Reference"/>
        <w:rPr>
          <w:rFonts w:eastAsia="Calibri"/>
        </w:rPr>
      </w:pPr>
      <w:proofErr w:type="spellStart"/>
      <w:r w:rsidRPr="00296A6F">
        <w:rPr>
          <w:rFonts w:eastAsia="Calibri"/>
        </w:rPr>
        <w:lastRenderedPageBreak/>
        <w:t>Mouritsen</w:t>
      </w:r>
      <w:proofErr w:type="spellEnd"/>
      <w:r w:rsidRPr="00296A6F">
        <w:rPr>
          <w:rFonts w:eastAsia="Calibri"/>
        </w:rPr>
        <w:t>, J. (</w:t>
      </w:r>
      <w:r>
        <w:rPr>
          <w:rFonts w:eastAsia="Calibri"/>
        </w:rPr>
        <w:t>2011).</w:t>
      </w:r>
      <w:r w:rsidRPr="00296A6F">
        <w:rPr>
          <w:rFonts w:eastAsia="Calibri"/>
        </w:rPr>
        <w:t xml:space="preserve"> </w:t>
      </w:r>
      <w:r w:rsidRPr="00D15192">
        <w:rPr>
          <w:rFonts w:eastAsia="Calibri"/>
        </w:rPr>
        <w:t xml:space="preserve">The operation of representation in accounting: A small addition to </w:t>
      </w:r>
      <w:proofErr w:type="spellStart"/>
      <w:r w:rsidRPr="00D15192">
        <w:rPr>
          <w:rFonts w:eastAsia="Calibri"/>
        </w:rPr>
        <w:t>Dr.</w:t>
      </w:r>
      <w:proofErr w:type="spellEnd"/>
      <w:r w:rsidRPr="00D15192">
        <w:rPr>
          <w:rFonts w:eastAsia="Calibri"/>
        </w:rPr>
        <w:t xml:space="preserve"> Macintosh’s theory of accounting truths</w:t>
      </w:r>
      <w:r>
        <w:rPr>
          <w:rFonts w:eastAsia="Calibri"/>
        </w:rPr>
        <w:t xml:space="preserve">. </w:t>
      </w:r>
      <w:r w:rsidRPr="00D15192">
        <w:rPr>
          <w:rFonts w:eastAsia="Calibri"/>
          <w:i/>
        </w:rPr>
        <w:t>Critical Perspectives on Accounting</w:t>
      </w:r>
      <w:r>
        <w:rPr>
          <w:rFonts w:eastAsia="Calibri"/>
        </w:rPr>
        <w:t>, 22(2</w:t>
      </w:r>
      <w:r w:rsidRPr="00D15192">
        <w:rPr>
          <w:rFonts w:eastAsia="Calibri"/>
        </w:rPr>
        <w:t>)</w:t>
      </w:r>
      <w:r>
        <w:rPr>
          <w:rFonts w:eastAsia="Calibri"/>
        </w:rPr>
        <w:t>,</w:t>
      </w:r>
      <w:r w:rsidRPr="00D15192">
        <w:rPr>
          <w:rFonts w:eastAsia="Calibri"/>
        </w:rPr>
        <w:t xml:space="preserve"> 228–235</w:t>
      </w:r>
      <w:r>
        <w:rPr>
          <w:rFonts w:eastAsia="Calibri"/>
        </w:rPr>
        <w:t>.</w:t>
      </w:r>
    </w:p>
    <w:p w14:paraId="601D6711" w14:textId="2B9358E1" w:rsidR="00EF093F" w:rsidRDefault="00EF093F" w:rsidP="00356342">
      <w:pPr>
        <w:pStyle w:val="Reference"/>
        <w:rPr>
          <w:rFonts w:eastAsia="Calibri"/>
        </w:rPr>
      </w:pPr>
      <w:r w:rsidRPr="00EF093F">
        <w:rPr>
          <w:rFonts w:eastAsia="Calibri"/>
        </w:rPr>
        <w:t xml:space="preserve">Napier, C. J. (1991). Aristocratic accounting: The Bute </w:t>
      </w:r>
      <w:r w:rsidR="004204E0">
        <w:rPr>
          <w:rFonts w:eastAsia="Calibri"/>
        </w:rPr>
        <w:t>e</w:t>
      </w:r>
      <w:r w:rsidRPr="00EF093F">
        <w:rPr>
          <w:rFonts w:eastAsia="Calibri"/>
        </w:rPr>
        <w:t xml:space="preserve">state in Glamorgan 1814-1880. </w:t>
      </w:r>
      <w:r w:rsidRPr="00EF093F">
        <w:rPr>
          <w:rFonts w:eastAsia="Calibri"/>
          <w:i/>
        </w:rPr>
        <w:t>Accounting and Business Research</w:t>
      </w:r>
      <w:r w:rsidRPr="00EF093F">
        <w:rPr>
          <w:rFonts w:eastAsia="Calibri"/>
        </w:rPr>
        <w:t>, 21(82), 163-174.</w:t>
      </w:r>
    </w:p>
    <w:p w14:paraId="423A2677" w14:textId="77777777" w:rsidR="00617DF0" w:rsidRDefault="000B5B92" w:rsidP="00356342">
      <w:pPr>
        <w:pStyle w:val="Reference"/>
        <w:rPr>
          <w:rFonts w:eastAsia="Calibri"/>
        </w:rPr>
      </w:pPr>
      <w:r w:rsidRPr="00EF093F">
        <w:rPr>
          <w:rFonts w:eastAsia="Calibri"/>
        </w:rPr>
        <w:t xml:space="preserve">Napier, C., &amp; Power, M. (1992). Professional research, lobbying and intangibles: A review essay. </w:t>
      </w:r>
      <w:r w:rsidRPr="00EF093F">
        <w:rPr>
          <w:rFonts w:eastAsia="Calibri"/>
          <w:i/>
        </w:rPr>
        <w:t>Accounting and Business Research</w:t>
      </w:r>
      <w:r w:rsidRPr="00EF093F">
        <w:rPr>
          <w:rFonts w:eastAsia="Calibri"/>
        </w:rPr>
        <w:t>, 23(89), 85-95.</w:t>
      </w:r>
    </w:p>
    <w:p w14:paraId="4BE27307" w14:textId="77777777" w:rsidR="000B5B92" w:rsidRDefault="00617DF0" w:rsidP="00356342">
      <w:pPr>
        <w:pStyle w:val="Reference"/>
        <w:rPr>
          <w:rFonts w:eastAsia="Calibri"/>
        </w:rPr>
      </w:pPr>
      <w:r>
        <w:rPr>
          <w:rFonts w:eastAsia="Calibri"/>
        </w:rPr>
        <w:t xml:space="preserve">Parker, R. H. (1994). Finding English words to talk about accounting concepts. </w:t>
      </w:r>
      <w:r>
        <w:rPr>
          <w:rFonts w:eastAsia="Calibri"/>
          <w:i/>
        </w:rPr>
        <w:t>Accounting, Auditing &amp; Accountability Journal</w:t>
      </w:r>
      <w:r>
        <w:rPr>
          <w:rFonts w:eastAsia="Calibri"/>
        </w:rPr>
        <w:t>, 7(2), 70-85.</w:t>
      </w:r>
    </w:p>
    <w:p w14:paraId="4963BE8A" w14:textId="09AF164A" w:rsidR="0095765A" w:rsidRPr="00EF093F" w:rsidRDefault="0095765A" w:rsidP="00356342">
      <w:pPr>
        <w:pStyle w:val="Reference"/>
      </w:pPr>
      <w:proofErr w:type="spellStart"/>
      <w:r>
        <w:t>Quattrone</w:t>
      </w:r>
      <w:proofErr w:type="spellEnd"/>
      <w:r>
        <w:t>, P. (2016). In search of what accounting is not: Speculations on the future of valuing, transparency, and a new aesthetics for gover</w:t>
      </w:r>
      <w:r w:rsidR="00BF2037">
        <w:t>ning capitalism and democracy. I</w:t>
      </w:r>
      <w:r>
        <w:t>n B</w:t>
      </w:r>
      <w:r w:rsidR="004204E0">
        <w:t>.</w:t>
      </w:r>
      <w:r>
        <w:t xml:space="preserve"> </w:t>
      </w:r>
      <w:proofErr w:type="spellStart"/>
      <w:r>
        <w:t>Czarniawska</w:t>
      </w:r>
      <w:proofErr w:type="spellEnd"/>
      <w:r>
        <w:t>, T</w:t>
      </w:r>
      <w:r w:rsidR="00BF2037">
        <w:t>.</w:t>
      </w:r>
      <w:r>
        <w:t xml:space="preserve"> </w:t>
      </w:r>
      <w:proofErr w:type="spellStart"/>
      <w:r>
        <w:t>Söderberg</w:t>
      </w:r>
      <w:proofErr w:type="spellEnd"/>
      <w:r>
        <w:t xml:space="preserve"> &amp; R</w:t>
      </w:r>
      <w:r w:rsidR="00BF2037">
        <w:t>.</w:t>
      </w:r>
      <w:r>
        <w:t xml:space="preserve"> </w:t>
      </w:r>
      <w:proofErr w:type="spellStart"/>
      <w:r w:rsidR="00BF2037">
        <w:t>Söderberg</w:t>
      </w:r>
      <w:proofErr w:type="spellEnd"/>
      <w:r w:rsidR="00BF2037">
        <w:t xml:space="preserve"> (Eds</w:t>
      </w:r>
      <w:r w:rsidR="00ED1482">
        <w:t>.</w:t>
      </w:r>
      <w:r w:rsidR="00BF2037">
        <w:t>)</w:t>
      </w:r>
      <w:r>
        <w:t xml:space="preserve"> </w:t>
      </w:r>
      <w:r w:rsidRPr="00BF2037">
        <w:rPr>
          <w:i/>
        </w:rPr>
        <w:t>A Research Agenda for Management and Organization Studies</w:t>
      </w:r>
      <w:r>
        <w:t xml:space="preserve">. </w:t>
      </w:r>
      <w:r w:rsidR="00BF2037">
        <w:t xml:space="preserve">Cheltenham: </w:t>
      </w:r>
      <w:r>
        <w:t xml:space="preserve">Elgar Research Agendas, </w:t>
      </w:r>
      <w:r w:rsidR="00BF2037">
        <w:t xml:space="preserve">Edward Elgar, </w:t>
      </w:r>
      <w:r>
        <w:t>11-25.</w:t>
      </w:r>
    </w:p>
    <w:p w14:paraId="12919CA9" w14:textId="77777777" w:rsidR="00761753" w:rsidRDefault="00761753" w:rsidP="00356342">
      <w:pPr>
        <w:pStyle w:val="Reference"/>
        <w:rPr>
          <w:bCs/>
        </w:rPr>
      </w:pPr>
      <w:r w:rsidRPr="00EF093F">
        <w:rPr>
          <w:bCs/>
        </w:rPr>
        <w:t xml:space="preserve">Royal Holloway University of London (2016). </w:t>
      </w:r>
      <w:r w:rsidRPr="00EF093F">
        <w:rPr>
          <w:bCs/>
          <w:i/>
        </w:rPr>
        <w:t>College Statutes,</w:t>
      </w:r>
      <w:r w:rsidRPr="00EF093F">
        <w:rPr>
          <w:bCs/>
        </w:rPr>
        <w:t xml:space="preserve"> available online </w:t>
      </w:r>
      <w:r w:rsidR="00A2615A">
        <w:rPr>
          <w:bCs/>
        </w:rPr>
        <w:t xml:space="preserve">at </w:t>
      </w:r>
      <w:r w:rsidRPr="00EF093F">
        <w:rPr>
          <w:bCs/>
        </w:rPr>
        <w:t>https://www.royalholloway.ac.uk/media/1442/college-statutes-1-august-2016.pdf (accessed 24 September 2018).</w:t>
      </w:r>
    </w:p>
    <w:p w14:paraId="7733C1C7" w14:textId="6DBD2F85" w:rsidR="009240E3" w:rsidRDefault="009240E3" w:rsidP="00356342">
      <w:pPr>
        <w:pStyle w:val="Reference"/>
        <w:rPr>
          <w:bCs/>
        </w:rPr>
      </w:pPr>
      <w:r>
        <w:rPr>
          <w:bCs/>
        </w:rPr>
        <w:t>Royal Hol</w:t>
      </w:r>
      <w:r w:rsidR="00325D04">
        <w:rPr>
          <w:bCs/>
        </w:rPr>
        <w:t>loway University of London (201</w:t>
      </w:r>
      <w:r w:rsidR="002802B0">
        <w:rPr>
          <w:bCs/>
        </w:rPr>
        <w:t>9</w:t>
      </w:r>
      <w:r>
        <w:rPr>
          <w:bCs/>
        </w:rPr>
        <w:t xml:space="preserve">). </w:t>
      </w:r>
      <w:r>
        <w:rPr>
          <w:bCs/>
          <w:i/>
        </w:rPr>
        <w:t>Annual Report</w:t>
      </w:r>
      <w:r w:rsidR="00325D04">
        <w:rPr>
          <w:bCs/>
          <w:i/>
        </w:rPr>
        <w:t xml:space="preserve"> for the year ended 31 July 201</w:t>
      </w:r>
      <w:r w:rsidR="002802B0">
        <w:rPr>
          <w:bCs/>
          <w:i/>
        </w:rPr>
        <w:t>9</w:t>
      </w:r>
      <w:r>
        <w:rPr>
          <w:bCs/>
        </w:rPr>
        <w:t xml:space="preserve">, available online </w:t>
      </w:r>
      <w:r w:rsidR="00A2615A">
        <w:rPr>
          <w:bCs/>
        </w:rPr>
        <w:t xml:space="preserve">at </w:t>
      </w:r>
      <w:r w:rsidR="004204E0" w:rsidRPr="004204E0">
        <w:rPr>
          <w:bCs/>
        </w:rPr>
        <w:t>https://www.royalholloway.ac.uk/media/11981/annual%20report%20(financial%20statements%202019)%20final%20web.pdf.pdf</w:t>
      </w:r>
      <w:r w:rsidR="004204E0">
        <w:rPr>
          <w:bCs/>
        </w:rPr>
        <w:t xml:space="preserve"> </w:t>
      </w:r>
      <w:r>
        <w:rPr>
          <w:bCs/>
        </w:rPr>
        <w:t xml:space="preserve">(accessed </w:t>
      </w:r>
      <w:r w:rsidR="002802B0">
        <w:rPr>
          <w:bCs/>
        </w:rPr>
        <w:t>5 August 2020</w:t>
      </w:r>
      <w:r>
        <w:rPr>
          <w:bCs/>
        </w:rPr>
        <w:t>).</w:t>
      </w:r>
    </w:p>
    <w:p w14:paraId="179DECF3" w14:textId="77777777" w:rsidR="006846A6" w:rsidRDefault="006846A6" w:rsidP="00356342">
      <w:pPr>
        <w:pStyle w:val="Reference"/>
        <w:rPr>
          <w:bCs/>
        </w:rPr>
      </w:pPr>
      <w:r w:rsidRPr="006846A6">
        <w:rPr>
          <w:bCs/>
        </w:rPr>
        <w:t>Simon, B., &amp; Barker, J. (2002). Imagining the New Order nation: materiality and hyperreality in Indonesia. </w:t>
      </w:r>
      <w:r w:rsidRPr="006846A6">
        <w:rPr>
          <w:bCs/>
          <w:i/>
        </w:rPr>
        <w:t>Culture, Theory &amp; Critique</w:t>
      </w:r>
      <w:r w:rsidRPr="006846A6">
        <w:rPr>
          <w:bCs/>
        </w:rPr>
        <w:t>, 43(2), 139-153.</w:t>
      </w:r>
    </w:p>
    <w:p w14:paraId="2097F148" w14:textId="77777777" w:rsidR="00351815" w:rsidRDefault="00351815" w:rsidP="00356342">
      <w:pPr>
        <w:pStyle w:val="Reference"/>
        <w:rPr>
          <w:bCs/>
        </w:rPr>
      </w:pPr>
      <w:r>
        <w:rPr>
          <w:bCs/>
        </w:rPr>
        <w:t xml:space="preserve">The Fine Art Society (2018). </w:t>
      </w:r>
      <w:r>
        <w:rPr>
          <w:bCs/>
          <w:i/>
        </w:rPr>
        <w:t>History: ‘The Best Shop in London</w:t>
      </w:r>
      <w:r w:rsidR="00B16E81">
        <w:rPr>
          <w:bCs/>
          <w:i/>
        </w:rPr>
        <w:t>’</w:t>
      </w:r>
      <w:r>
        <w:rPr>
          <w:bCs/>
        </w:rPr>
        <w:t xml:space="preserve">, available online </w:t>
      </w:r>
      <w:r w:rsidR="00A2615A">
        <w:rPr>
          <w:bCs/>
        </w:rPr>
        <w:t xml:space="preserve">at </w:t>
      </w:r>
      <w:r w:rsidRPr="00351815">
        <w:rPr>
          <w:bCs/>
        </w:rPr>
        <w:t>https://thefineartsociety.com/history/</w:t>
      </w:r>
      <w:r>
        <w:rPr>
          <w:bCs/>
        </w:rPr>
        <w:t xml:space="preserve"> (accessed 24 September 2018)</w:t>
      </w:r>
      <w:r w:rsidR="000A5598">
        <w:rPr>
          <w:bCs/>
        </w:rPr>
        <w:t>.</w:t>
      </w:r>
    </w:p>
    <w:p w14:paraId="00102A2E" w14:textId="77777777" w:rsidR="00205439" w:rsidRPr="00205439" w:rsidRDefault="00205439" w:rsidP="00356342">
      <w:pPr>
        <w:pStyle w:val="Reference"/>
        <w:rPr>
          <w:bCs/>
        </w:rPr>
      </w:pPr>
      <w:r>
        <w:rPr>
          <w:bCs/>
        </w:rPr>
        <w:t xml:space="preserve">The National Gallery (2018). </w:t>
      </w:r>
      <w:r>
        <w:rPr>
          <w:bCs/>
          <w:i/>
        </w:rPr>
        <w:t>Annual Report and Accounts for the year ended 31 March 2018</w:t>
      </w:r>
      <w:r>
        <w:rPr>
          <w:bCs/>
        </w:rPr>
        <w:t xml:space="preserve">, available online at </w:t>
      </w:r>
      <w:r w:rsidRPr="00325D04">
        <w:rPr>
          <w:rStyle w:val="Hyperlink"/>
          <w:bCs/>
          <w:color w:val="auto"/>
          <w:u w:val="none"/>
        </w:rPr>
        <w:t>https://www.nationalgallery.org.uk/media/25658/the-national-gallery-annual-report-and-accounts-for-the-year-ended-31-march-2018.pdf</w:t>
      </w:r>
      <w:r w:rsidRPr="00325D04">
        <w:rPr>
          <w:bCs/>
        </w:rPr>
        <w:t xml:space="preserve"> </w:t>
      </w:r>
      <w:r>
        <w:rPr>
          <w:bCs/>
        </w:rPr>
        <w:t>(accessed 2 September 2018).</w:t>
      </w:r>
    </w:p>
    <w:p w14:paraId="072EE415" w14:textId="77777777" w:rsidR="000A5598" w:rsidRPr="000A5598" w:rsidRDefault="000A5598" w:rsidP="00356342">
      <w:pPr>
        <w:pStyle w:val="Reference"/>
        <w:rPr>
          <w:bCs/>
        </w:rPr>
      </w:pPr>
      <w:r>
        <w:rPr>
          <w:bCs/>
        </w:rPr>
        <w:t xml:space="preserve">Universities UK (2014). </w:t>
      </w:r>
      <w:r>
        <w:rPr>
          <w:bCs/>
          <w:i/>
        </w:rPr>
        <w:t>Statement of Recommended Practice (SORP): Accounting for Further and Higher Education</w:t>
      </w:r>
      <w:r>
        <w:rPr>
          <w:bCs/>
        </w:rPr>
        <w:t>. London: Universities UK.</w:t>
      </w:r>
    </w:p>
    <w:p w14:paraId="2CF0A40B" w14:textId="77777777" w:rsidR="002B23CF" w:rsidRDefault="002B23CF" w:rsidP="00356342">
      <w:pPr>
        <w:pStyle w:val="Reference"/>
      </w:pPr>
      <w:r w:rsidRPr="00EF093F">
        <w:t xml:space="preserve">Vickery, M. B. (1999). </w:t>
      </w:r>
      <w:r w:rsidR="00A32874" w:rsidRPr="00EF093F">
        <w:rPr>
          <w:i/>
        </w:rPr>
        <w:t xml:space="preserve">Buildings for </w:t>
      </w:r>
      <w:r w:rsidR="00EF093F">
        <w:rPr>
          <w:i/>
        </w:rPr>
        <w:t>B</w:t>
      </w:r>
      <w:r w:rsidR="00A32874" w:rsidRPr="00EF093F">
        <w:rPr>
          <w:i/>
        </w:rPr>
        <w:t xml:space="preserve">luestockings: The </w:t>
      </w:r>
      <w:r w:rsidR="00EF093F">
        <w:rPr>
          <w:i/>
        </w:rPr>
        <w:t>A</w:t>
      </w:r>
      <w:r w:rsidRPr="00EF093F">
        <w:rPr>
          <w:i/>
        </w:rPr>
        <w:t xml:space="preserve">rchitecture and </w:t>
      </w:r>
      <w:r w:rsidR="00EF093F">
        <w:rPr>
          <w:i/>
        </w:rPr>
        <w:t>S</w:t>
      </w:r>
      <w:r w:rsidR="00110BB2" w:rsidRPr="00EF093F">
        <w:rPr>
          <w:i/>
        </w:rPr>
        <w:t>o</w:t>
      </w:r>
      <w:r w:rsidR="00A32874" w:rsidRPr="00EF093F">
        <w:rPr>
          <w:i/>
        </w:rPr>
        <w:t xml:space="preserve">cial </w:t>
      </w:r>
      <w:r w:rsidR="00EF093F">
        <w:rPr>
          <w:i/>
        </w:rPr>
        <w:t>H</w:t>
      </w:r>
      <w:r w:rsidR="00A32874" w:rsidRPr="00EF093F">
        <w:rPr>
          <w:i/>
        </w:rPr>
        <w:t xml:space="preserve">istory of </w:t>
      </w:r>
      <w:r w:rsidR="00EF093F">
        <w:rPr>
          <w:i/>
        </w:rPr>
        <w:t>W</w:t>
      </w:r>
      <w:r w:rsidR="00A32874" w:rsidRPr="00EF093F">
        <w:rPr>
          <w:i/>
        </w:rPr>
        <w:t xml:space="preserve">omen’s </w:t>
      </w:r>
      <w:r w:rsidR="00EF093F">
        <w:rPr>
          <w:i/>
        </w:rPr>
        <w:t>C</w:t>
      </w:r>
      <w:r w:rsidR="00A32874" w:rsidRPr="00EF093F">
        <w:rPr>
          <w:i/>
        </w:rPr>
        <w:t xml:space="preserve">olleges in </w:t>
      </w:r>
      <w:r w:rsidR="00EF093F">
        <w:rPr>
          <w:i/>
        </w:rPr>
        <w:t>L</w:t>
      </w:r>
      <w:r w:rsidRPr="00EF093F">
        <w:rPr>
          <w:i/>
        </w:rPr>
        <w:t>ate Victorian England</w:t>
      </w:r>
      <w:r w:rsidRPr="00EF093F">
        <w:t>, Cranbury, NJ: Associated University Presses.</w:t>
      </w:r>
    </w:p>
    <w:p w14:paraId="26D1F3C9" w14:textId="77777777" w:rsidR="003C1B63" w:rsidRPr="00EF093F" w:rsidRDefault="003C1B63" w:rsidP="00356342">
      <w:pPr>
        <w:pStyle w:val="Reference"/>
      </w:pPr>
      <w:r w:rsidRPr="003C1B63">
        <w:t>Ward, S. C. (1994). In the shadow of the deconstructed metanarratives: Baudrillard, Latour and the end of realist epistemology. </w:t>
      </w:r>
      <w:r w:rsidRPr="003C1B63">
        <w:rPr>
          <w:i/>
        </w:rPr>
        <w:t>History of the Human Sciences</w:t>
      </w:r>
      <w:r w:rsidRPr="003C1B63">
        <w:t>, 7(4), 73-94.</w:t>
      </w:r>
    </w:p>
    <w:p w14:paraId="5F8239B6" w14:textId="77777777" w:rsidR="002B23CF" w:rsidRDefault="00A32874" w:rsidP="00356342">
      <w:pPr>
        <w:pStyle w:val="Reference"/>
      </w:pPr>
      <w:r w:rsidRPr="00EF093F">
        <w:lastRenderedPageBreak/>
        <w:t>Williams, E. (1985). The f</w:t>
      </w:r>
      <w:r w:rsidR="002B23CF" w:rsidRPr="00EF093F">
        <w:t xml:space="preserve">oundation of Royal Holloway College, Egham, 1874-1885. </w:t>
      </w:r>
      <w:r w:rsidR="002B23CF" w:rsidRPr="00EF093F">
        <w:rPr>
          <w:i/>
        </w:rPr>
        <w:t>London Journal</w:t>
      </w:r>
      <w:r w:rsidR="002B23CF" w:rsidRPr="00EF093F">
        <w:t>, 11(1), 28-38.</w:t>
      </w:r>
    </w:p>
    <w:p w14:paraId="21ECF733" w14:textId="77777777" w:rsidR="00C77876" w:rsidRPr="00C77876" w:rsidRDefault="00C77876" w:rsidP="00356342">
      <w:pPr>
        <w:pStyle w:val="Reference"/>
      </w:pPr>
      <w:proofErr w:type="spellStart"/>
      <w:r>
        <w:t>Woon</w:t>
      </w:r>
      <w:proofErr w:type="spellEnd"/>
      <w:r>
        <w:t xml:space="preserve">, P. P., Chatterjee, B., &amp; </w:t>
      </w:r>
      <w:proofErr w:type="spellStart"/>
      <w:r>
        <w:t>Cordery</w:t>
      </w:r>
      <w:proofErr w:type="spellEnd"/>
      <w:r>
        <w:t xml:space="preserve">, C. J. (2019). Heritage reporting by the Australian public sector: Possibilities from the concepts of new public governance. </w:t>
      </w:r>
      <w:r>
        <w:rPr>
          <w:i/>
        </w:rPr>
        <w:t>Accounting, Auditing &amp; Accountability Journal</w:t>
      </w:r>
      <w:r>
        <w:t>, 32(2), 612-631.</w:t>
      </w:r>
    </w:p>
    <w:p w14:paraId="1AD43194" w14:textId="77777777" w:rsidR="003F4EAA" w:rsidRDefault="003F4EAA" w:rsidP="00356342">
      <w:pPr>
        <w:pStyle w:val="Reference"/>
      </w:pPr>
      <w:r w:rsidRPr="00EF093F">
        <w:t xml:space="preserve">Young, J. H. (1960). Patent medicines: An early example of competitive marketing. </w:t>
      </w:r>
      <w:r w:rsidRPr="00EF093F">
        <w:rPr>
          <w:i/>
        </w:rPr>
        <w:t>Journal of Economic History</w:t>
      </w:r>
      <w:r w:rsidRPr="00EF093F">
        <w:t>, 20(4), 648-656.</w:t>
      </w:r>
    </w:p>
    <w:p w14:paraId="597EAA45" w14:textId="73F49702" w:rsidR="00812CE8" w:rsidRPr="003F4EAA" w:rsidRDefault="00812CE8" w:rsidP="00812CE8">
      <w:pPr>
        <w:pStyle w:val="Reference"/>
      </w:pPr>
    </w:p>
    <w:sectPr w:rsidR="00812CE8" w:rsidRPr="003F4EAA" w:rsidSect="00091D72">
      <w:footerReference w:type="first" r:id="rId1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EFEEF" w14:textId="77777777" w:rsidR="00BE3BC6" w:rsidRDefault="00BE3BC6" w:rsidP="000011E2">
      <w:pPr>
        <w:spacing w:after="0" w:line="240" w:lineRule="auto"/>
      </w:pPr>
      <w:r>
        <w:separator/>
      </w:r>
    </w:p>
  </w:endnote>
  <w:endnote w:type="continuationSeparator" w:id="0">
    <w:p w14:paraId="25367422" w14:textId="77777777" w:rsidR="00BE3BC6" w:rsidRDefault="00BE3BC6" w:rsidP="0000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B17E8" w14:textId="7A5C9924" w:rsidR="00091D72" w:rsidRDefault="00091D72">
    <w:pPr>
      <w:pStyle w:val="Footer"/>
      <w:jc w:val="center"/>
    </w:pPr>
  </w:p>
  <w:p w14:paraId="16026BDC" w14:textId="77777777" w:rsidR="00091D72" w:rsidRDefault="00091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0208614"/>
      <w:docPartObj>
        <w:docPartGallery w:val="Page Numbers (Bottom of Page)"/>
        <w:docPartUnique/>
      </w:docPartObj>
    </w:sdtPr>
    <w:sdtContent>
      <w:p w14:paraId="7CFE46FE" w14:textId="77777777" w:rsidR="004C22E7" w:rsidRDefault="004C22E7">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41F6758F" w14:textId="77777777" w:rsidR="004C22E7" w:rsidRDefault="004C2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4B59" w14:textId="77777777" w:rsidR="00632190" w:rsidRDefault="00632190" w:rsidP="002C2D1B">
    <w:pPr>
      <w:pStyle w:val="Footer"/>
      <w:jc w:val="center"/>
    </w:pPr>
    <w:r>
      <w:t xml:space="preserve">- </w:t>
    </w:r>
    <w:r>
      <w:rPr>
        <w:noProof/>
      </w:rPr>
      <w:t>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47810" w14:textId="77777777" w:rsidR="00BE3BC6" w:rsidRDefault="00BE3BC6" w:rsidP="00FF1B36">
      <w:pPr>
        <w:spacing w:after="0" w:line="240" w:lineRule="auto"/>
        <w:ind w:firstLine="0"/>
      </w:pPr>
      <w:r>
        <w:separator/>
      </w:r>
    </w:p>
  </w:footnote>
  <w:footnote w:type="continuationSeparator" w:id="0">
    <w:p w14:paraId="6E91095D" w14:textId="77777777" w:rsidR="00BE3BC6" w:rsidRDefault="00BE3BC6" w:rsidP="00FF1B36">
      <w:pPr>
        <w:spacing w:after="0" w:line="240" w:lineRule="auto"/>
        <w:ind w:firstLine="0"/>
      </w:pPr>
      <w:r>
        <w:continuationSeparator/>
      </w:r>
    </w:p>
  </w:footnote>
  <w:footnote w:type="continuationNotice" w:id="1">
    <w:p w14:paraId="0A4BD877" w14:textId="77777777" w:rsidR="00BE3BC6" w:rsidRDefault="00BE3BC6">
      <w:pPr>
        <w:spacing w:after="0" w:line="240" w:lineRule="auto"/>
      </w:pPr>
    </w:p>
  </w:footnote>
  <w:footnote w:id="2">
    <w:p w14:paraId="0C4738E2" w14:textId="2334826F" w:rsidR="00632190" w:rsidRPr="000B679E" w:rsidRDefault="00632190">
      <w:pPr>
        <w:pStyle w:val="FootnoteText"/>
        <w:rPr>
          <w:lang w:val="en-GB"/>
        </w:rPr>
      </w:pPr>
      <w:r>
        <w:rPr>
          <w:rStyle w:val="FootnoteReference"/>
        </w:rPr>
        <w:footnoteRef/>
      </w:r>
      <w:r w:rsidRPr="000B679E">
        <w:rPr>
          <w:lang w:val="en-GB"/>
        </w:rPr>
        <w:t xml:space="preserve"> </w:t>
      </w:r>
      <w:r w:rsidR="005D7C70">
        <w:rPr>
          <w:lang w:val="en-GB"/>
        </w:rPr>
        <w:t xml:space="preserve">Although the picture collection, as a referent, </w:t>
      </w:r>
      <w:r>
        <w:rPr>
          <w:lang w:val="en-GB"/>
        </w:rPr>
        <w:t xml:space="preserve">may be related to different types of signs – for example an </w:t>
      </w:r>
      <w:r w:rsidR="004D512D">
        <w:rPr>
          <w:lang w:val="en-GB"/>
        </w:rPr>
        <w:t xml:space="preserve">inscription in an </w:t>
      </w:r>
      <w:r>
        <w:rPr>
          <w:lang w:val="en-GB"/>
        </w:rPr>
        <w:t>inventory</w:t>
      </w:r>
      <w:r w:rsidR="005D7C70">
        <w:rPr>
          <w:lang w:val="en-GB"/>
        </w:rPr>
        <w:t>, a</w:t>
      </w:r>
      <w:r w:rsidR="004D512D">
        <w:rPr>
          <w:lang w:val="en-GB"/>
        </w:rPr>
        <w:t xml:space="preserve"> photograph of the picture gallery,</w:t>
      </w:r>
      <w:r w:rsidR="005D7C70">
        <w:rPr>
          <w:lang w:val="en-GB"/>
        </w:rPr>
        <w:t xml:space="preserve"> or an </w:t>
      </w:r>
      <w:r w:rsidR="004D512D">
        <w:rPr>
          <w:lang w:val="en-GB"/>
        </w:rPr>
        <w:t>entry in an accounting record</w:t>
      </w:r>
      <w:r>
        <w:rPr>
          <w:lang w:val="en-GB"/>
        </w:rPr>
        <w:t xml:space="preserve"> – in this paper we concentrate on accounting signs.</w:t>
      </w:r>
    </w:p>
  </w:footnote>
  <w:footnote w:id="3">
    <w:p w14:paraId="235DF678" w14:textId="7F78DCFA" w:rsidR="00632190" w:rsidRPr="00AC75BD" w:rsidRDefault="00632190" w:rsidP="00AC75BD">
      <w:pPr>
        <w:spacing w:after="0" w:line="240" w:lineRule="auto"/>
        <w:ind w:firstLine="0"/>
        <w:rPr>
          <w:sz w:val="20"/>
          <w:lang w:val="en-GB"/>
        </w:rPr>
      </w:pPr>
      <w:r w:rsidRPr="00AC75BD">
        <w:rPr>
          <w:rStyle w:val="FootnoteReference"/>
          <w:sz w:val="20"/>
        </w:rPr>
        <w:footnoteRef/>
      </w:r>
      <w:r w:rsidR="00861BDE">
        <w:rPr>
          <w:sz w:val="20"/>
          <w:lang w:val="en-GB"/>
        </w:rPr>
        <w:t xml:space="preserve"> </w:t>
      </w:r>
      <w:r w:rsidRPr="00AC75BD">
        <w:rPr>
          <w:sz w:val="20"/>
          <w:lang w:val="en-GB"/>
        </w:rPr>
        <w:t>“Matters of fact are only very partial [...]</w:t>
      </w:r>
      <w:r w:rsidR="00861BDE">
        <w:rPr>
          <w:sz w:val="20"/>
          <w:lang w:val="en-GB"/>
        </w:rPr>
        <w:t xml:space="preserve"> </w:t>
      </w:r>
      <w:r w:rsidRPr="00AC75BD">
        <w:rPr>
          <w:sz w:val="20"/>
          <w:lang w:val="en-GB"/>
        </w:rPr>
        <w:t xml:space="preserve">renderings of matters of concern and only a subset of what could also be called </w:t>
      </w:r>
      <w:r w:rsidRPr="00AC75BD">
        <w:rPr>
          <w:i/>
          <w:sz w:val="20"/>
          <w:lang w:val="en-GB"/>
        </w:rPr>
        <w:t>states of affairs</w:t>
      </w:r>
      <w:r w:rsidRPr="00AC75BD">
        <w:rPr>
          <w:sz w:val="20"/>
          <w:lang w:val="en-GB"/>
        </w:rPr>
        <w:t>” (Latour, 2004, p. 232). According to Latour, matters of fact are powerfu</w:t>
      </w:r>
      <w:r w:rsidR="00A16FA7">
        <w:rPr>
          <w:sz w:val="20"/>
          <w:lang w:val="en-GB"/>
        </w:rPr>
        <w:t xml:space="preserve">l descriptive tools that </w:t>
      </w:r>
      <w:r w:rsidR="00A16FA7" w:rsidRPr="00AC75BD">
        <w:rPr>
          <w:sz w:val="20"/>
          <w:lang w:val="en-GB"/>
        </w:rPr>
        <w:t xml:space="preserve">during the Enlightenment </w:t>
      </w:r>
      <w:r w:rsidR="00A16FA7">
        <w:rPr>
          <w:sz w:val="20"/>
          <w:lang w:val="en-GB"/>
        </w:rPr>
        <w:t>enabled</w:t>
      </w:r>
      <w:r w:rsidRPr="00AC75BD">
        <w:rPr>
          <w:sz w:val="20"/>
          <w:lang w:val="en-GB"/>
        </w:rPr>
        <w:t xml:space="preserve"> “debunking quite a lot of beliefs, powers, and illusions” (p. 232). It follows that matters of fact are, unquestionably, things </w:t>
      </w:r>
      <w:r w:rsidR="00861BDE">
        <w:rPr>
          <w:sz w:val="20"/>
          <w:lang w:val="en-GB"/>
        </w:rPr>
        <w:t>“</w:t>
      </w:r>
      <w:r w:rsidRPr="00AC75BD">
        <w:rPr>
          <w:sz w:val="20"/>
          <w:lang w:val="en-GB"/>
        </w:rPr>
        <w:t>out there</w:t>
      </w:r>
      <w:r w:rsidR="00861BDE">
        <w:rPr>
          <w:sz w:val="20"/>
          <w:lang w:val="en-GB"/>
        </w:rPr>
        <w:t>”</w:t>
      </w:r>
      <w:r w:rsidRPr="00AC75BD">
        <w:rPr>
          <w:sz w:val="20"/>
          <w:lang w:val="en-GB"/>
        </w:rPr>
        <w:t xml:space="preserve">: they lie out of any dispute, out of language. Differently, matters of concern imply issues “very much </w:t>
      </w:r>
      <w:r w:rsidRPr="00AC75BD">
        <w:rPr>
          <w:i/>
          <w:sz w:val="20"/>
          <w:lang w:val="en-GB"/>
        </w:rPr>
        <w:t>in</w:t>
      </w:r>
      <w:r w:rsidRPr="00AC75BD">
        <w:rPr>
          <w:sz w:val="20"/>
          <w:lang w:val="en-GB"/>
        </w:rPr>
        <w:t xml:space="preserve"> there, at any rate, a </w:t>
      </w:r>
      <w:r w:rsidRPr="00AC75BD">
        <w:rPr>
          <w:i/>
          <w:sz w:val="20"/>
          <w:lang w:val="en-GB"/>
        </w:rPr>
        <w:t>gathering</w:t>
      </w:r>
      <w:r w:rsidRPr="00AC75BD">
        <w:rPr>
          <w:sz w:val="20"/>
          <w:lang w:val="en-GB"/>
        </w:rPr>
        <w:t>” (p. 233).</w:t>
      </w:r>
    </w:p>
  </w:footnote>
  <w:footnote w:id="4">
    <w:p w14:paraId="5D8946A8" w14:textId="0A4ABE08" w:rsidR="006F5A4C" w:rsidRPr="006F5A4C" w:rsidRDefault="006F5A4C">
      <w:pPr>
        <w:pStyle w:val="FootnoteText"/>
        <w:rPr>
          <w:lang w:val="en-GB"/>
        </w:rPr>
      </w:pPr>
      <w:r>
        <w:rPr>
          <w:rStyle w:val="FootnoteReference"/>
        </w:rPr>
        <w:footnoteRef/>
      </w:r>
      <w:r>
        <w:t xml:space="preserve"> </w:t>
      </w:r>
      <w:r>
        <w:rPr>
          <w:lang w:val="en-GB"/>
        </w:rPr>
        <w:t>We have not explored the issue of whether the “picture collection” represents an asset in itself that is more (or less) than the aggregation of the individual paintings as heritage assets.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5697E"/>
    <w:multiLevelType w:val="hybridMultilevel"/>
    <w:tmpl w:val="5B24C954"/>
    <w:lvl w:ilvl="0" w:tplc="ECFC32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87389"/>
    <w:multiLevelType w:val="hybridMultilevel"/>
    <w:tmpl w:val="5CD01A98"/>
    <w:lvl w:ilvl="0" w:tplc="183AB334">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8D048E"/>
    <w:multiLevelType w:val="multilevel"/>
    <w:tmpl w:val="B4E896C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E57B84"/>
    <w:multiLevelType w:val="multilevel"/>
    <w:tmpl w:val="9DF8C5E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0A3177D"/>
    <w:multiLevelType w:val="multilevel"/>
    <w:tmpl w:val="B270E7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237FB9"/>
    <w:multiLevelType w:val="multilevel"/>
    <w:tmpl w:val="6D88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1331E"/>
    <w:multiLevelType w:val="hybridMultilevel"/>
    <w:tmpl w:val="D7E4DF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D8E0862"/>
    <w:multiLevelType w:val="hybridMultilevel"/>
    <w:tmpl w:val="AF109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2F587A"/>
    <w:multiLevelType w:val="multilevel"/>
    <w:tmpl w:val="0C8A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6F5D9C"/>
    <w:multiLevelType w:val="multilevel"/>
    <w:tmpl w:val="FF365FB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0E4E74"/>
    <w:multiLevelType w:val="hybridMultilevel"/>
    <w:tmpl w:val="6190256E"/>
    <w:lvl w:ilvl="0" w:tplc="CD9460F0">
      <w:numFmt w:val="bullet"/>
      <w:lvlText w:val=""/>
      <w:lvlJc w:val="left"/>
      <w:pPr>
        <w:ind w:left="420" w:hanging="360"/>
      </w:pPr>
      <w:rPr>
        <w:rFonts w:ascii="Symbol" w:eastAsiaTheme="minorHAnsi" w:hAnsi="Symbol"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0"/>
  </w:num>
  <w:num w:numId="6">
    <w:abstractNumId w:val="10"/>
  </w:num>
  <w:num w:numId="7">
    <w:abstractNumId w:val="7"/>
  </w:num>
  <w:num w:numId="8">
    <w:abstractNumId w:val="3"/>
  </w:num>
  <w:num w:numId="9">
    <w:abstractNumId w:val="3"/>
    <w:lvlOverride w:ilvl="0">
      <w:startOverride w:val="3"/>
    </w:lvlOverride>
  </w:num>
  <w:num w:numId="10">
    <w:abstractNumId w:val="3"/>
    <w:lvlOverride w:ilvl="0">
      <w:startOverride w:val="5"/>
    </w:lvlOverride>
  </w:num>
  <w:num w:numId="11">
    <w:abstractNumId w:val="3"/>
    <w:lvlOverride w:ilvl="0">
      <w:startOverride w:val="4"/>
    </w:lvlOverride>
  </w:num>
  <w:num w:numId="12">
    <w:abstractNumId w:val="3"/>
    <w:lvlOverride w:ilvl="0">
      <w:startOverride w:val="8"/>
    </w:lvlOverride>
  </w:num>
  <w:num w:numId="13">
    <w:abstractNumId w:val="9"/>
  </w:num>
  <w:num w:numId="14">
    <w:abstractNumId w:val="2"/>
  </w:num>
  <w:num w:numId="15">
    <w:abstractNumId w:val="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0" w:nlCheck="1" w:checkStyle="0"/>
  <w:activeWritingStyle w:appName="MSWord" w:lang="en-GB" w:vendorID="64" w:dllVersion="4096" w:nlCheck="1" w:checkStyle="0"/>
  <w:activeWritingStyle w:appName="MSWord" w:lang="it-IT" w:vendorID="64" w:dllVersion="4096" w:nlCheck="1" w:checkStyle="0"/>
  <w:proofState w:spelling="clean" w:grammar="clean"/>
  <w:doNotTrackFormatting/>
  <w:defaultTabStop w:val="708"/>
  <w:hyphenationZone w:val="283"/>
  <w:drawingGridHorizontalSpacing w:val="120"/>
  <w:displayHorizontalDrawingGridEvery w:val="2"/>
  <w:characterSpacingControl w:val="doNotCompress"/>
  <w:hdrShapeDefaults>
    <o:shapedefaults v:ext="edit" spidmax="9625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FB"/>
    <w:rsid w:val="00000B6A"/>
    <w:rsid w:val="000011E2"/>
    <w:rsid w:val="00001D67"/>
    <w:rsid w:val="00002B1E"/>
    <w:rsid w:val="00003E75"/>
    <w:rsid w:val="0000514D"/>
    <w:rsid w:val="0000539A"/>
    <w:rsid w:val="00006634"/>
    <w:rsid w:val="00006788"/>
    <w:rsid w:val="00007461"/>
    <w:rsid w:val="00010A60"/>
    <w:rsid w:val="00010FC7"/>
    <w:rsid w:val="00012193"/>
    <w:rsid w:val="000121EB"/>
    <w:rsid w:val="00014F13"/>
    <w:rsid w:val="00015CDB"/>
    <w:rsid w:val="00020214"/>
    <w:rsid w:val="00023EDD"/>
    <w:rsid w:val="0002408D"/>
    <w:rsid w:val="0002576B"/>
    <w:rsid w:val="00026713"/>
    <w:rsid w:val="00027A1D"/>
    <w:rsid w:val="00027EDD"/>
    <w:rsid w:val="00030180"/>
    <w:rsid w:val="00034238"/>
    <w:rsid w:val="000362A0"/>
    <w:rsid w:val="0003679D"/>
    <w:rsid w:val="0003782B"/>
    <w:rsid w:val="00037F23"/>
    <w:rsid w:val="0004067C"/>
    <w:rsid w:val="00040CB1"/>
    <w:rsid w:val="00042431"/>
    <w:rsid w:val="00042470"/>
    <w:rsid w:val="00042D6E"/>
    <w:rsid w:val="000435B7"/>
    <w:rsid w:val="00043C63"/>
    <w:rsid w:val="00044C8C"/>
    <w:rsid w:val="000452F2"/>
    <w:rsid w:val="0004796E"/>
    <w:rsid w:val="00047AC3"/>
    <w:rsid w:val="000501D9"/>
    <w:rsid w:val="00050E60"/>
    <w:rsid w:val="0005134B"/>
    <w:rsid w:val="000522D9"/>
    <w:rsid w:val="000523C4"/>
    <w:rsid w:val="000526AA"/>
    <w:rsid w:val="00052EBF"/>
    <w:rsid w:val="00052F79"/>
    <w:rsid w:val="000531AB"/>
    <w:rsid w:val="00053F42"/>
    <w:rsid w:val="0005435E"/>
    <w:rsid w:val="00055E2F"/>
    <w:rsid w:val="00056181"/>
    <w:rsid w:val="000564B0"/>
    <w:rsid w:val="00057C23"/>
    <w:rsid w:val="00057EB5"/>
    <w:rsid w:val="00061FE8"/>
    <w:rsid w:val="000625BD"/>
    <w:rsid w:val="00062F74"/>
    <w:rsid w:val="00063C94"/>
    <w:rsid w:val="000651A0"/>
    <w:rsid w:val="000653CE"/>
    <w:rsid w:val="00065552"/>
    <w:rsid w:val="000657B8"/>
    <w:rsid w:val="00066C7B"/>
    <w:rsid w:val="00067F44"/>
    <w:rsid w:val="0007105A"/>
    <w:rsid w:val="00072A90"/>
    <w:rsid w:val="00073A49"/>
    <w:rsid w:val="000759A8"/>
    <w:rsid w:val="00075D28"/>
    <w:rsid w:val="00076072"/>
    <w:rsid w:val="00077404"/>
    <w:rsid w:val="00077F95"/>
    <w:rsid w:val="0008123B"/>
    <w:rsid w:val="000817AD"/>
    <w:rsid w:val="000817B0"/>
    <w:rsid w:val="0008455C"/>
    <w:rsid w:val="00085C21"/>
    <w:rsid w:val="00085E35"/>
    <w:rsid w:val="00086669"/>
    <w:rsid w:val="00087CBE"/>
    <w:rsid w:val="00087DED"/>
    <w:rsid w:val="000910DA"/>
    <w:rsid w:val="0009141B"/>
    <w:rsid w:val="000919AF"/>
    <w:rsid w:val="00091D72"/>
    <w:rsid w:val="00092D6E"/>
    <w:rsid w:val="00094AC4"/>
    <w:rsid w:val="000960CA"/>
    <w:rsid w:val="000966DB"/>
    <w:rsid w:val="0009798A"/>
    <w:rsid w:val="000A08B3"/>
    <w:rsid w:val="000A100E"/>
    <w:rsid w:val="000A1288"/>
    <w:rsid w:val="000A2617"/>
    <w:rsid w:val="000A2B7F"/>
    <w:rsid w:val="000A3205"/>
    <w:rsid w:val="000A3538"/>
    <w:rsid w:val="000A38E4"/>
    <w:rsid w:val="000A463E"/>
    <w:rsid w:val="000A5598"/>
    <w:rsid w:val="000A57C0"/>
    <w:rsid w:val="000B1955"/>
    <w:rsid w:val="000B19D2"/>
    <w:rsid w:val="000B216E"/>
    <w:rsid w:val="000B2952"/>
    <w:rsid w:val="000B3CE2"/>
    <w:rsid w:val="000B3E42"/>
    <w:rsid w:val="000B46E9"/>
    <w:rsid w:val="000B5723"/>
    <w:rsid w:val="000B5B92"/>
    <w:rsid w:val="000B62A5"/>
    <w:rsid w:val="000B6596"/>
    <w:rsid w:val="000B679E"/>
    <w:rsid w:val="000B6CC4"/>
    <w:rsid w:val="000B6E79"/>
    <w:rsid w:val="000C0D7E"/>
    <w:rsid w:val="000C1686"/>
    <w:rsid w:val="000C22CF"/>
    <w:rsid w:val="000C3CEC"/>
    <w:rsid w:val="000C46E1"/>
    <w:rsid w:val="000C5552"/>
    <w:rsid w:val="000C70B0"/>
    <w:rsid w:val="000D2ADF"/>
    <w:rsid w:val="000D3197"/>
    <w:rsid w:val="000D3780"/>
    <w:rsid w:val="000D3AF4"/>
    <w:rsid w:val="000D45B5"/>
    <w:rsid w:val="000D4B9A"/>
    <w:rsid w:val="000D5651"/>
    <w:rsid w:val="000D663C"/>
    <w:rsid w:val="000D7056"/>
    <w:rsid w:val="000D71D4"/>
    <w:rsid w:val="000D74BA"/>
    <w:rsid w:val="000E15E6"/>
    <w:rsid w:val="000E2A81"/>
    <w:rsid w:val="000E330D"/>
    <w:rsid w:val="000E4BFA"/>
    <w:rsid w:val="000E550F"/>
    <w:rsid w:val="000E5729"/>
    <w:rsid w:val="000E5AC3"/>
    <w:rsid w:val="000E608C"/>
    <w:rsid w:val="000F12B4"/>
    <w:rsid w:val="000F184F"/>
    <w:rsid w:val="000F2DF1"/>
    <w:rsid w:val="000F4A5E"/>
    <w:rsid w:val="000F4D59"/>
    <w:rsid w:val="000F667E"/>
    <w:rsid w:val="000F7627"/>
    <w:rsid w:val="000F797A"/>
    <w:rsid w:val="0010008F"/>
    <w:rsid w:val="001006DA"/>
    <w:rsid w:val="001009A9"/>
    <w:rsid w:val="00100B76"/>
    <w:rsid w:val="001021F1"/>
    <w:rsid w:val="0010397F"/>
    <w:rsid w:val="00103B40"/>
    <w:rsid w:val="00103D1C"/>
    <w:rsid w:val="00106A2A"/>
    <w:rsid w:val="00106E91"/>
    <w:rsid w:val="00106FB4"/>
    <w:rsid w:val="00110BB2"/>
    <w:rsid w:val="001113FA"/>
    <w:rsid w:val="0011286D"/>
    <w:rsid w:val="001136E2"/>
    <w:rsid w:val="001139DE"/>
    <w:rsid w:val="00114B44"/>
    <w:rsid w:val="001167B9"/>
    <w:rsid w:val="00116A81"/>
    <w:rsid w:val="00116E85"/>
    <w:rsid w:val="001171D0"/>
    <w:rsid w:val="00117CB6"/>
    <w:rsid w:val="00120C5D"/>
    <w:rsid w:val="00121611"/>
    <w:rsid w:val="00121684"/>
    <w:rsid w:val="00122830"/>
    <w:rsid w:val="0012383F"/>
    <w:rsid w:val="0012613F"/>
    <w:rsid w:val="001263C7"/>
    <w:rsid w:val="00126B23"/>
    <w:rsid w:val="001302B1"/>
    <w:rsid w:val="00131D7D"/>
    <w:rsid w:val="0013210A"/>
    <w:rsid w:val="0013238A"/>
    <w:rsid w:val="00133B03"/>
    <w:rsid w:val="00134978"/>
    <w:rsid w:val="00134E8E"/>
    <w:rsid w:val="00135525"/>
    <w:rsid w:val="00141322"/>
    <w:rsid w:val="00141788"/>
    <w:rsid w:val="00143F34"/>
    <w:rsid w:val="00144079"/>
    <w:rsid w:val="001443CB"/>
    <w:rsid w:val="001457A0"/>
    <w:rsid w:val="001457A6"/>
    <w:rsid w:val="00147E35"/>
    <w:rsid w:val="00147F1F"/>
    <w:rsid w:val="00147FF7"/>
    <w:rsid w:val="00153F93"/>
    <w:rsid w:val="0015404F"/>
    <w:rsid w:val="001540D5"/>
    <w:rsid w:val="0015427C"/>
    <w:rsid w:val="00154C2E"/>
    <w:rsid w:val="0015676E"/>
    <w:rsid w:val="0015678B"/>
    <w:rsid w:val="001567DF"/>
    <w:rsid w:val="0015751C"/>
    <w:rsid w:val="00157944"/>
    <w:rsid w:val="00157BCB"/>
    <w:rsid w:val="00160153"/>
    <w:rsid w:val="00160A7D"/>
    <w:rsid w:val="00160CCA"/>
    <w:rsid w:val="00162B94"/>
    <w:rsid w:val="00162BCC"/>
    <w:rsid w:val="00162CB2"/>
    <w:rsid w:val="001639FF"/>
    <w:rsid w:val="001647F9"/>
    <w:rsid w:val="001658DD"/>
    <w:rsid w:val="00165958"/>
    <w:rsid w:val="00165EAD"/>
    <w:rsid w:val="00166374"/>
    <w:rsid w:val="00166A77"/>
    <w:rsid w:val="00167178"/>
    <w:rsid w:val="00167260"/>
    <w:rsid w:val="0016764D"/>
    <w:rsid w:val="00170F92"/>
    <w:rsid w:val="0017118A"/>
    <w:rsid w:val="001715D3"/>
    <w:rsid w:val="0017258F"/>
    <w:rsid w:val="00172BC3"/>
    <w:rsid w:val="00172CA8"/>
    <w:rsid w:val="001734CF"/>
    <w:rsid w:val="0017365F"/>
    <w:rsid w:val="00173C21"/>
    <w:rsid w:val="00173EBB"/>
    <w:rsid w:val="001740C2"/>
    <w:rsid w:val="00175199"/>
    <w:rsid w:val="0017799D"/>
    <w:rsid w:val="0018000F"/>
    <w:rsid w:val="00180CDE"/>
    <w:rsid w:val="00180F43"/>
    <w:rsid w:val="00180F51"/>
    <w:rsid w:val="001819C8"/>
    <w:rsid w:val="00184054"/>
    <w:rsid w:val="001849D8"/>
    <w:rsid w:val="00186E06"/>
    <w:rsid w:val="001941EC"/>
    <w:rsid w:val="001944CD"/>
    <w:rsid w:val="00195507"/>
    <w:rsid w:val="00195A39"/>
    <w:rsid w:val="001A0662"/>
    <w:rsid w:val="001A0860"/>
    <w:rsid w:val="001A0D0F"/>
    <w:rsid w:val="001A10EC"/>
    <w:rsid w:val="001A39B6"/>
    <w:rsid w:val="001A4E36"/>
    <w:rsid w:val="001A572F"/>
    <w:rsid w:val="001A5DA2"/>
    <w:rsid w:val="001A5DEB"/>
    <w:rsid w:val="001A7E68"/>
    <w:rsid w:val="001A7FB2"/>
    <w:rsid w:val="001B0E75"/>
    <w:rsid w:val="001B1CD8"/>
    <w:rsid w:val="001B3666"/>
    <w:rsid w:val="001B4C45"/>
    <w:rsid w:val="001B4E82"/>
    <w:rsid w:val="001B558C"/>
    <w:rsid w:val="001B5EEE"/>
    <w:rsid w:val="001B620A"/>
    <w:rsid w:val="001B64B2"/>
    <w:rsid w:val="001B6A4D"/>
    <w:rsid w:val="001B6D61"/>
    <w:rsid w:val="001B6E7A"/>
    <w:rsid w:val="001C1B30"/>
    <w:rsid w:val="001C29FC"/>
    <w:rsid w:val="001C49F5"/>
    <w:rsid w:val="001C4BB5"/>
    <w:rsid w:val="001C4FD1"/>
    <w:rsid w:val="001C5667"/>
    <w:rsid w:val="001C5BB4"/>
    <w:rsid w:val="001C5CC1"/>
    <w:rsid w:val="001C681B"/>
    <w:rsid w:val="001C6B11"/>
    <w:rsid w:val="001C6E04"/>
    <w:rsid w:val="001C7730"/>
    <w:rsid w:val="001D08F1"/>
    <w:rsid w:val="001D16F4"/>
    <w:rsid w:val="001D2DFA"/>
    <w:rsid w:val="001D2F82"/>
    <w:rsid w:val="001D2FD6"/>
    <w:rsid w:val="001D31F3"/>
    <w:rsid w:val="001D3708"/>
    <w:rsid w:val="001D3CB3"/>
    <w:rsid w:val="001D4124"/>
    <w:rsid w:val="001D41E4"/>
    <w:rsid w:val="001D44E0"/>
    <w:rsid w:val="001D48F7"/>
    <w:rsid w:val="001D534C"/>
    <w:rsid w:val="001D5560"/>
    <w:rsid w:val="001D6534"/>
    <w:rsid w:val="001D70CF"/>
    <w:rsid w:val="001D764A"/>
    <w:rsid w:val="001D7DF8"/>
    <w:rsid w:val="001E03EE"/>
    <w:rsid w:val="001E041D"/>
    <w:rsid w:val="001E1E9C"/>
    <w:rsid w:val="001E2EA1"/>
    <w:rsid w:val="001E3BE2"/>
    <w:rsid w:val="001E4CA2"/>
    <w:rsid w:val="001E4E31"/>
    <w:rsid w:val="001E5191"/>
    <w:rsid w:val="001E77E9"/>
    <w:rsid w:val="001E78D9"/>
    <w:rsid w:val="001F08C5"/>
    <w:rsid w:val="001F0FC0"/>
    <w:rsid w:val="001F12DE"/>
    <w:rsid w:val="001F1324"/>
    <w:rsid w:val="001F1D47"/>
    <w:rsid w:val="001F22C6"/>
    <w:rsid w:val="001F3305"/>
    <w:rsid w:val="001F3870"/>
    <w:rsid w:val="001F57C9"/>
    <w:rsid w:val="00203F96"/>
    <w:rsid w:val="00204C51"/>
    <w:rsid w:val="00204DDB"/>
    <w:rsid w:val="00205439"/>
    <w:rsid w:val="00205D27"/>
    <w:rsid w:val="00206199"/>
    <w:rsid w:val="002068F8"/>
    <w:rsid w:val="0020790B"/>
    <w:rsid w:val="00210AA5"/>
    <w:rsid w:val="00210CB5"/>
    <w:rsid w:val="002118D7"/>
    <w:rsid w:val="00212236"/>
    <w:rsid w:val="002129B7"/>
    <w:rsid w:val="00212B4A"/>
    <w:rsid w:val="00212D20"/>
    <w:rsid w:val="00213041"/>
    <w:rsid w:val="00213A8A"/>
    <w:rsid w:val="00215AE4"/>
    <w:rsid w:val="00217972"/>
    <w:rsid w:val="00217DEB"/>
    <w:rsid w:val="00220621"/>
    <w:rsid w:val="00221A20"/>
    <w:rsid w:val="002221B0"/>
    <w:rsid w:val="002225CB"/>
    <w:rsid w:val="00222765"/>
    <w:rsid w:val="00223790"/>
    <w:rsid w:val="00223E67"/>
    <w:rsid w:val="00224D8D"/>
    <w:rsid w:val="0022524E"/>
    <w:rsid w:val="002268DC"/>
    <w:rsid w:val="002269EE"/>
    <w:rsid w:val="00226F68"/>
    <w:rsid w:val="002329E4"/>
    <w:rsid w:val="00233758"/>
    <w:rsid w:val="00233AF5"/>
    <w:rsid w:val="00233B9D"/>
    <w:rsid w:val="00234399"/>
    <w:rsid w:val="0024062A"/>
    <w:rsid w:val="00241426"/>
    <w:rsid w:val="00242CB4"/>
    <w:rsid w:val="00243431"/>
    <w:rsid w:val="00243F67"/>
    <w:rsid w:val="00245467"/>
    <w:rsid w:val="00246E9B"/>
    <w:rsid w:val="002507E1"/>
    <w:rsid w:val="002508E8"/>
    <w:rsid w:val="0025273A"/>
    <w:rsid w:val="0025344D"/>
    <w:rsid w:val="00253779"/>
    <w:rsid w:val="002537F2"/>
    <w:rsid w:val="00255730"/>
    <w:rsid w:val="0025651C"/>
    <w:rsid w:val="002567F7"/>
    <w:rsid w:val="00261EF2"/>
    <w:rsid w:val="0026209D"/>
    <w:rsid w:val="002620D4"/>
    <w:rsid w:val="00264731"/>
    <w:rsid w:val="00264D36"/>
    <w:rsid w:val="00264E9C"/>
    <w:rsid w:val="00265703"/>
    <w:rsid w:val="00267482"/>
    <w:rsid w:val="00267A94"/>
    <w:rsid w:val="00267E66"/>
    <w:rsid w:val="002704AF"/>
    <w:rsid w:val="00270E8F"/>
    <w:rsid w:val="002727D0"/>
    <w:rsid w:val="0027373E"/>
    <w:rsid w:val="002737D3"/>
    <w:rsid w:val="002737EB"/>
    <w:rsid w:val="00273B37"/>
    <w:rsid w:val="00274DE3"/>
    <w:rsid w:val="00276147"/>
    <w:rsid w:val="00277390"/>
    <w:rsid w:val="002802B0"/>
    <w:rsid w:val="00281863"/>
    <w:rsid w:val="0028275A"/>
    <w:rsid w:val="00283D5B"/>
    <w:rsid w:val="00284696"/>
    <w:rsid w:val="002864D3"/>
    <w:rsid w:val="00287AD4"/>
    <w:rsid w:val="002902B2"/>
    <w:rsid w:val="0029061B"/>
    <w:rsid w:val="00290855"/>
    <w:rsid w:val="0029100D"/>
    <w:rsid w:val="00292690"/>
    <w:rsid w:val="00292704"/>
    <w:rsid w:val="00292B0B"/>
    <w:rsid w:val="0029322D"/>
    <w:rsid w:val="002932F8"/>
    <w:rsid w:val="00293978"/>
    <w:rsid w:val="00294F19"/>
    <w:rsid w:val="00296A6F"/>
    <w:rsid w:val="00296EEE"/>
    <w:rsid w:val="00296FE7"/>
    <w:rsid w:val="00297096"/>
    <w:rsid w:val="00297C05"/>
    <w:rsid w:val="002A0530"/>
    <w:rsid w:val="002A06D2"/>
    <w:rsid w:val="002A2030"/>
    <w:rsid w:val="002A2DA8"/>
    <w:rsid w:val="002A2E50"/>
    <w:rsid w:val="002A46AC"/>
    <w:rsid w:val="002A50AD"/>
    <w:rsid w:val="002A592E"/>
    <w:rsid w:val="002A5C9A"/>
    <w:rsid w:val="002A66B8"/>
    <w:rsid w:val="002A6B29"/>
    <w:rsid w:val="002A6D14"/>
    <w:rsid w:val="002A6F45"/>
    <w:rsid w:val="002A70A9"/>
    <w:rsid w:val="002A7250"/>
    <w:rsid w:val="002A7C55"/>
    <w:rsid w:val="002B0651"/>
    <w:rsid w:val="002B0A67"/>
    <w:rsid w:val="002B23CF"/>
    <w:rsid w:val="002B3728"/>
    <w:rsid w:val="002B4889"/>
    <w:rsid w:val="002B4D8E"/>
    <w:rsid w:val="002B54E5"/>
    <w:rsid w:val="002B5C5D"/>
    <w:rsid w:val="002B634C"/>
    <w:rsid w:val="002B6459"/>
    <w:rsid w:val="002B6771"/>
    <w:rsid w:val="002B6874"/>
    <w:rsid w:val="002B6A1F"/>
    <w:rsid w:val="002B737F"/>
    <w:rsid w:val="002B7A8A"/>
    <w:rsid w:val="002C2D1B"/>
    <w:rsid w:val="002C41F8"/>
    <w:rsid w:val="002C4463"/>
    <w:rsid w:val="002C47D5"/>
    <w:rsid w:val="002C4886"/>
    <w:rsid w:val="002C5923"/>
    <w:rsid w:val="002C5D61"/>
    <w:rsid w:val="002C6202"/>
    <w:rsid w:val="002C631B"/>
    <w:rsid w:val="002C68BC"/>
    <w:rsid w:val="002C7651"/>
    <w:rsid w:val="002D06C4"/>
    <w:rsid w:val="002D1F8E"/>
    <w:rsid w:val="002D36B1"/>
    <w:rsid w:val="002D474A"/>
    <w:rsid w:val="002D49B8"/>
    <w:rsid w:val="002D4BEE"/>
    <w:rsid w:val="002D5250"/>
    <w:rsid w:val="002D5619"/>
    <w:rsid w:val="002D563A"/>
    <w:rsid w:val="002D5A86"/>
    <w:rsid w:val="002D69A9"/>
    <w:rsid w:val="002E163D"/>
    <w:rsid w:val="002E1D21"/>
    <w:rsid w:val="002E24E2"/>
    <w:rsid w:val="002E3DDE"/>
    <w:rsid w:val="002E44D7"/>
    <w:rsid w:val="002E50AD"/>
    <w:rsid w:val="002E5752"/>
    <w:rsid w:val="002E5864"/>
    <w:rsid w:val="002E5EED"/>
    <w:rsid w:val="002E5F34"/>
    <w:rsid w:val="002E6B7D"/>
    <w:rsid w:val="002E78C4"/>
    <w:rsid w:val="002F0C30"/>
    <w:rsid w:val="002F2FBD"/>
    <w:rsid w:val="002F3D91"/>
    <w:rsid w:val="002F47C8"/>
    <w:rsid w:val="002F53E5"/>
    <w:rsid w:val="002F5743"/>
    <w:rsid w:val="002F6381"/>
    <w:rsid w:val="002F6F58"/>
    <w:rsid w:val="003017A3"/>
    <w:rsid w:val="00301E22"/>
    <w:rsid w:val="0030212A"/>
    <w:rsid w:val="003037AC"/>
    <w:rsid w:val="00304A2F"/>
    <w:rsid w:val="0030579A"/>
    <w:rsid w:val="00305D33"/>
    <w:rsid w:val="00306705"/>
    <w:rsid w:val="00307623"/>
    <w:rsid w:val="00307DC0"/>
    <w:rsid w:val="003110AA"/>
    <w:rsid w:val="0031307E"/>
    <w:rsid w:val="003135F6"/>
    <w:rsid w:val="00313ACD"/>
    <w:rsid w:val="003143E3"/>
    <w:rsid w:val="003144E5"/>
    <w:rsid w:val="00315065"/>
    <w:rsid w:val="00315296"/>
    <w:rsid w:val="00315E17"/>
    <w:rsid w:val="003160E7"/>
    <w:rsid w:val="00317E01"/>
    <w:rsid w:val="00323F5E"/>
    <w:rsid w:val="00324098"/>
    <w:rsid w:val="0032452C"/>
    <w:rsid w:val="0032523D"/>
    <w:rsid w:val="00325D04"/>
    <w:rsid w:val="00325E67"/>
    <w:rsid w:val="00325F59"/>
    <w:rsid w:val="00326746"/>
    <w:rsid w:val="00327096"/>
    <w:rsid w:val="003272B0"/>
    <w:rsid w:val="00330E12"/>
    <w:rsid w:val="00331D51"/>
    <w:rsid w:val="003320D2"/>
    <w:rsid w:val="00332510"/>
    <w:rsid w:val="00332F23"/>
    <w:rsid w:val="0033337A"/>
    <w:rsid w:val="003339A7"/>
    <w:rsid w:val="00333AEE"/>
    <w:rsid w:val="0033498F"/>
    <w:rsid w:val="0033538A"/>
    <w:rsid w:val="00335F50"/>
    <w:rsid w:val="00336028"/>
    <w:rsid w:val="00336102"/>
    <w:rsid w:val="00336846"/>
    <w:rsid w:val="00337FF2"/>
    <w:rsid w:val="003403A4"/>
    <w:rsid w:val="0034089E"/>
    <w:rsid w:val="00340E09"/>
    <w:rsid w:val="0034142E"/>
    <w:rsid w:val="00342043"/>
    <w:rsid w:val="003425D7"/>
    <w:rsid w:val="0034304B"/>
    <w:rsid w:val="00343B4D"/>
    <w:rsid w:val="00344676"/>
    <w:rsid w:val="00344F0E"/>
    <w:rsid w:val="00346698"/>
    <w:rsid w:val="00346B27"/>
    <w:rsid w:val="003474F9"/>
    <w:rsid w:val="003502BD"/>
    <w:rsid w:val="00350FDB"/>
    <w:rsid w:val="003511B5"/>
    <w:rsid w:val="003512B6"/>
    <w:rsid w:val="00351815"/>
    <w:rsid w:val="00351E25"/>
    <w:rsid w:val="0035215D"/>
    <w:rsid w:val="00352207"/>
    <w:rsid w:val="00353826"/>
    <w:rsid w:val="00356342"/>
    <w:rsid w:val="00361C28"/>
    <w:rsid w:val="00362DCC"/>
    <w:rsid w:val="003631A2"/>
    <w:rsid w:val="003635C2"/>
    <w:rsid w:val="00363F69"/>
    <w:rsid w:val="00364A41"/>
    <w:rsid w:val="0036754B"/>
    <w:rsid w:val="00367631"/>
    <w:rsid w:val="00367A3F"/>
    <w:rsid w:val="00367D5C"/>
    <w:rsid w:val="0037007C"/>
    <w:rsid w:val="00370424"/>
    <w:rsid w:val="00371EAA"/>
    <w:rsid w:val="0037209E"/>
    <w:rsid w:val="00373FBF"/>
    <w:rsid w:val="00375C14"/>
    <w:rsid w:val="00375D65"/>
    <w:rsid w:val="003775EA"/>
    <w:rsid w:val="003779C3"/>
    <w:rsid w:val="00377B2E"/>
    <w:rsid w:val="003805A2"/>
    <w:rsid w:val="003808FE"/>
    <w:rsid w:val="00380A30"/>
    <w:rsid w:val="00380DB0"/>
    <w:rsid w:val="0038164B"/>
    <w:rsid w:val="00381A24"/>
    <w:rsid w:val="00381C3D"/>
    <w:rsid w:val="003822F7"/>
    <w:rsid w:val="00382CD7"/>
    <w:rsid w:val="003849F4"/>
    <w:rsid w:val="00384E80"/>
    <w:rsid w:val="003857A5"/>
    <w:rsid w:val="00385B11"/>
    <w:rsid w:val="00386180"/>
    <w:rsid w:val="00386BD6"/>
    <w:rsid w:val="00387F7C"/>
    <w:rsid w:val="0039066C"/>
    <w:rsid w:val="0039073C"/>
    <w:rsid w:val="003908BB"/>
    <w:rsid w:val="0039167B"/>
    <w:rsid w:val="0039172F"/>
    <w:rsid w:val="00392260"/>
    <w:rsid w:val="00393A8D"/>
    <w:rsid w:val="003947FB"/>
    <w:rsid w:val="003956B5"/>
    <w:rsid w:val="00395D3A"/>
    <w:rsid w:val="00395EE1"/>
    <w:rsid w:val="00396C5C"/>
    <w:rsid w:val="003976E2"/>
    <w:rsid w:val="003A05B6"/>
    <w:rsid w:val="003A3B60"/>
    <w:rsid w:val="003A445A"/>
    <w:rsid w:val="003A4C3B"/>
    <w:rsid w:val="003A4E68"/>
    <w:rsid w:val="003A5EC3"/>
    <w:rsid w:val="003A7007"/>
    <w:rsid w:val="003A7045"/>
    <w:rsid w:val="003B03BD"/>
    <w:rsid w:val="003B05D2"/>
    <w:rsid w:val="003B2CB9"/>
    <w:rsid w:val="003B2D37"/>
    <w:rsid w:val="003B34AD"/>
    <w:rsid w:val="003B4084"/>
    <w:rsid w:val="003B7167"/>
    <w:rsid w:val="003C0C74"/>
    <w:rsid w:val="003C174E"/>
    <w:rsid w:val="003C1B63"/>
    <w:rsid w:val="003C204B"/>
    <w:rsid w:val="003C234A"/>
    <w:rsid w:val="003C294E"/>
    <w:rsid w:val="003C3B72"/>
    <w:rsid w:val="003C4334"/>
    <w:rsid w:val="003C45A3"/>
    <w:rsid w:val="003C551C"/>
    <w:rsid w:val="003C5A7A"/>
    <w:rsid w:val="003C5ECE"/>
    <w:rsid w:val="003C7D07"/>
    <w:rsid w:val="003D1272"/>
    <w:rsid w:val="003D15D4"/>
    <w:rsid w:val="003D16F6"/>
    <w:rsid w:val="003D23A0"/>
    <w:rsid w:val="003D25AB"/>
    <w:rsid w:val="003D303A"/>
    <w:rsid w:val="003D4180"/>
    <w:rsid w:val="003D67AA"/>
    <w:rsid w:val="003D68C3"/>
    <w:rsid w:val="003D7691"/>
    <w:rsid w:val="003E1976"/>
    <w:rsid w:val="003E1E89"/>
    <w:rsid w:val="003E37EF"/>
    <w:rsid w:val="003E6111"/>
    <w:rsid w:val="003E6212"/>
    <w:rsid w:val="003E621E"/>
    <w:rsid w:val="003F045C"/>
    <w:rsid w:val="003F04D5"/>
    <w:rsid w:val="003F30B5"/>
    <w:rsid w:val="003F4EAA"/>
    <w:rsid w:val="003F6A9A"/>
    <w:rsid w:val="003F72B5"/>
    <w:rsid w:val="003F7A3C"/>
    <w:rsid w:val="004004B5"/>
    <w:rsid w:val="00400A7C"/>
    <w:rsid w:val="004016C1"/>
    <w:rsid w:val="00401BBE"/>
    <w:rsid w:val="00401C13"/>
    <w:rsid w:val="00401ED6"/>
    <w:rsid w:val="00401FAE"/>
    <w:rsid w:val="00402159"/>
    <w:rsid w:val="00403B3D"/>
    <w:rsid w:val="00403DE8"/>
    <w:rsid w:val="004052A1"/>
    <w:rsid w:val="004056AE"/>
    <w:rsid w:val="004067AB"/>
    <w:rsid w:val="00406B98"/>
    <w:rsid w:val="004071D0"/>
    <w:rsid w:val="00407E70"/>
    <w:rsid w:val="00410387"/>
    <w:rsid w:val="00411F1B"/>
    <w:rsid w:val="004120EF"/>
    <w:rsid w:val="00412F13"/>
    <w:rsid w:val="0041342A"/>
    <w:rsid w:val="00413436"/>
    <w:rsid w:val="0041485D"/>
    <w:rsid w:val="00414977"/>
    <w:rsid w:val="00414D00"/>
    <w:rsid w:val="004169BC"/>
    <w:rsid w:val="00417466"/>
    <w:rsid w:val="0041769B"/>
    <w:rsid w:val="0041782B"/>
    <w:rsid w:val="00417C83"/>
    <w:rsid w:val="004204E0"/>
    <w:rsid w:val="00421138"/>
    <w:rsid w:val="00421585"/>
    <w:rsid w:val="00423607"/>
    <w:rsid w:val="0042372C"/>
    <w:rsid w:val="0042470C"/>
    <w:rsid w:val="00425AAE"/>
    <w:rsid w:val="004261B9"/>
    <w:rsid w:val="00427658"/>
    <w:rsid w:val="00427CD9"/>
    <w:rsid w:val="004313B2"/>
    <w:rsid w:val="004313F7"/>
    <w:rsid w:val="004315C7"/>
    <w:rsid w:val="00431E6D"/>
    <w:rsid w:val="004323E1"/>
    <w:rsid w:val="00432461"/>
    <w:rsid w:val="00433AF4"/>
    <w:rsid w:val="00433CB2"/>
    <w:rsid w:val="00433E05"/>
    <w:rsid w:val="00434F42"/>
    <w:rsid w:val="00435CC2"/>
    <w:rsid w:val="00435EF6"/>
    <w:rsid w:val="00436258"/>
    <w:rsid w:val="00440A81"/>
    <w:rsid w:val="004420EF"/>
    <w:rsid w:val="00442C47"/>
    <w:rsid w:val="00443FB3"/>
    <w:rsid w:val="00445928"/>
    <w:rsid w:val="00446264"/>
    <w:rsid w:val="004506DC"/>
    <w:rsid w:val="00450DDB"/>
    <w:rsid w:val="00451CD4"/>
    <w:rsid w:val="00452173"/>
    <w:rsid w:val="00452979"/>
    <w:rsid w:val="00453E23"/>
    <w:rsid w:val="004544D7"/>
    <w:rsid w:val="00455453"/>
    <w:rsid w:val="00455545"/>
    <w:rsid w:val="00455652"/>
    <w:rsid w:val="00455AC7"/>
    <w:rsid w:val="004578BF"/>
    <w:rsid w:val="00457DF8"/>
    <w:rsid w:val="004620E4"/>
    <w:rsid w:val="004629EC"/>
    <w:rsid w:val="00463366"/>
    <w:rsid w:val="00464474"/>
    <w:rsid w:val="00465011"/>
    <w:rsid w:val="0046526B"/>
    <w:rsid w:val="004654CF"/>
    <w:rsid w:val="00465AAD"/>
    <w:rsid w:val="00465D82"/>
    <w:rsid w:val="00466D39"/>
    <w:rsid w:val="0046768B"/>
    <w:rsid w:val="0047052A"/>
    <w:rsid w:val="00470EFB"/>
    <w:rsid w:val="00471912"/>
    <w:rsid w:val="00471F96"/>
    <w:rsid w:val="00472C17"/>
    <w:rsid w:val="0047506D"/>
    <w:rsid w:val="004757B0"/>
    <w:rsid w:val="004767FE"/>
    <w:rsid w:val="004771F8"/>
    <w:rsid w:val="00477E26"/>
    <w:rsid w:val="004818EF"/>
    <w:rsid w:val="00482CAA"/>
    <w:rsid w:val="004830DE"/>
    <w:rsid w:val="00483EE1"/>
    <w:rsid w:val="00484454"/>
    <w:rsid w:val="00485193"/>
    <w:rsid w:val="0048616B"/>
    <w:rsid w:val="004863E1"/>
    <w:rsid w:val="00486462"/>
    <w:rsid w:val="004867E8"/>
    <w:rsid w:val="00486B85"/>
    <w:rsid w:val="00487C66"/>
    <w:rsid w:val="00490D6D"/>
    <w:rsid w:val="0049184A"/>
    <w:rsid w:val="00492662"/>
    <w:rsid w:val="0049381E"/>
    <w:rsid w:val="00494583"/>
    <w:rsid w:val="0049523F"/>
    <w:rsid w:val="00495E1F"/>
    <w:rsid w:val="00495F50"/>
    <w:rsid w:val="00496259"/>
    <w:rsid w:val="004A0DE2"/>
    <w:rsid w:val="004A1B0B"/>
    <w:rsid w:val="004A2639"/>
    <w:rsid w:val="004A27F2"/>
    <w:rsid w:val="004A32AF"/>
    <w:rsid w:val="004A639D"/>
    <w:rsid w:val="004A7069"/>
    <w:rsid w:val="004A7730"/>
    <w:rsid w:val="004B052F"/>
    <w:rsid w:val="004B0530"/>
    <w:rsid w:val="004B0AA9"/>
    <w:rsid w:val="004B1D90"/>
    <w:rsid w:val="004B1D9D"/>
    <w:rsid w:val="004B2F3F"/>
    <w:rsid w:val="004B3095"/>
    <w:rsid w:val="004B3B6B"/>
    <w:rsid w:val="004B4879"/>
    <w:rsid w:val="004B6227"/>
    <w:rsid w:val="004B7556"/>
    <w:rsid w:val="004C0028"/>
    <w:rsid w:val="004C0786"/>
    <w:rsid w:val="004C0F0A"/>
    <w:rsid w:val="004C1101"/>
    <w:rsid w:val="004C1EB9"/>
    <w:rsid w:val="004C22E7"/>
    <w:rsid w:val="004C29B6"/>
    <w:rsid w:val="004C34F8"/>
    <w:rsid w:val="004C3CF0"/>
    <w:rsid w:val="004C3F8A"/>
    <w:rsid w:val="004C5037"/>
    <w:rsid w:val="004C5CCD"/>
    <w:rsid w:val="004C62B7"/>
    <w:rsid w:val="004C70CD"/>
    <w:rsid w:val="004C7949"/>
    <w:rsid w:val="004D1729"/>
    <w:rsid w:val="004D1D01"/>
    <w:rsid w:val="004D2B0E"/>
    <w:rsid w:val="004D2E17"/>
    <w:rsid w:val="004D3329"/>
    <w:rsid w:val="004D3EAE"/>
    <w:rsid w:val="004D469C"/>
    <w:rsid w:val="004D4D10"/>
    <w:rsid w:val="004D512D"/>
    <w:rsid w:val="004D51E1"/>
    <w:rsid w:val="004D53FA"/>
    <w:rsid w:val="004D56E3"/>
    <w:rsid w:val="004D57DA"/>
    <w:rsid w:val="004D62D1"/>
    <w:rsid w:val="004D6ADD"/>
    <w:rsid w:val="004D6EB1"/>
    <w:rsid w:val="004E08BC"/>
    <w:rsid w:val="004E0CE3"/>
    <w:rsid w:val="004E168F"/>
    <w:rsid w:val="004E21C1"/>
    <w:rsid w:val="004E24AD"/>
    <w:rsid w:val="004E5088"/>
    <w:rsid w:val="004E508A"/>
    <w:rsid w:val="004E67A0"/>
    <w:rsid w:val="004E72A5"/>
    <w:rsid w:val="004E753B"/>
    <w:rsid w:val="004E7B87"/>
    <w:rsid w:val="004F0539"/>
    <w:rsid w:val="004F0AC1"/>
    <w:rsid w:val="004F123C"/>
    <w:rsid w:val="004F1D5F"/>
    <w:rsid w:val="004F2C42"/>
    <w:rsid w:val="004F3C55"/>
    <w:rsid w:val="004F43B3"/>
    <w:rsid w:val="004F4B23"/>
    <w:rsid w:val="004F6420"/>
    <w:rsid w:val="00501299"/>
    <w:rsid w:val="0050186D"/>
    <w:rsid w:val="00502888"/>
    <w:rsid w:val="00502F2B"/>
    <w:rsid w:val="00503AB7"/>
    <w:rsid w:val="0050582E"/>
    <w:rsid w:val="00505958"/>
    <w:rsid w:val="00505ABB"/>
    <w:rsid w:val="0050622A"/>
    <w:rsid w:val="00506940"/>
    <w:rsid w:val="00506C53"/>
    <w:rsid w:val="0050734C"/>
    <w:rsid w:val="00507A21"/>
    <w:rsid w:val="00510A01"/>
    <w:rsid w:val="0051290A"/>
    <w:rsid w:val="005132FE"/>
    <w:rsid w:val="00513535"/>
    <w:rsid w:val="005162B3"/>
    <w:rsid w:val="00516BF3"/>
    <w:rsid w:val="0051717A"/>
    <w:rsid w:val="00517C73"/>
    <w:rsid w:val="00517E8A"/>
    <w:rsid w:val="005209A2"/>
    <w:rsid w:val="00520B34"/>
    <w:rsid w:val="00520F25"/>
    <w:rsid w:val="0052219F"/>
    <w:rsid w:val="005239A4"/>
    <w:rsid w:val="00523A09"/>
    <w:rsid w:val="00525848"/>
    <w:rsid w:val="0052654D"/>
    <w:rsid w:val="005274EC"/>
    <w:rsid w:val="00527925"/>
    <w:rsid w:val="005319BC"/>
    <w:rsid w:val="00531AAE"/>
    <w:rsid w:val="00532F1B"/>
    <w:rsid w:val="0053503A"/>
    <w:rsid w:val="00535DFE"/>
    <w:rsid w:val="00536CC4"/>
    <w:rsid w:val="00540410"/>
    <w:rsid w:val="00540BFA"/>
    <w:rsid w:val="00540F59"/>
    <w:rsid w:val="005417D9"/>
    <w:rsid w:val="00541A11"/>
    <w:rsid w:val="00541CE9"/>
    <w:rsid w:val="0054350A"/>
    <w:rsid w:val="00543CB3"/>
    <w:rsid w:val="005440CA"/>
    <w:rsid w:val="00544D1F"/>
    <w:rsid w:val="0054579A"/>
    <w:rsid w:val="00546125"/>
    <w:rsid w:val="00546A96"/>
    <w:rsid w:val="00546D2A"/>
    <w:rsid w:val="00551930"/>
    <w:rsid w:val="0055269B"/>
    <w:rsid w:val="005528BB"/>
    <w:rsid w:val="00552F9D"/>
    <w:rsid w:val="00553DFA"/>
    <w:rsid w:val="00554F27"/>
    <w:rsid w:val="00555757"/>
    <w:rsid w:val="00555A22"/>
    <w:rsid w:val="0055603C"/>
    <w:rsid w:val="005565B9"/>
    <w:rsid w:val="005577B1"/>
    <w:rsid w:val="0055782C"/>
    <w:rsid w:val="00557D40"/>
    <w:rsid w:val="0056263D"/>
    <w:rsid w:val="00562A5A"/>
    <w:rsid w:val="00563A5B"/>
    <w:rsid w:val="00563F3D"/>
    <w:rsid w:val="005664B1"/>
    <w:rsid w:val="00566926"/>
    <w:rsid w:val="0056692C"/>
    <w:rsid w:val="00566B3E"/>
    <w:rsid w:val="00570F9B"/>
    <w:rsid w:val="005710B8"/>
    <w:rsid w:val="0057145C"/>
    <w:rsid w:val="00571C4F"/>
    <w:rsid w:val="00572E95"/>
    <w:rsid w:val="00573473"/>
    <w:rsid w:val="0057370B"/>
    <w:rsid w:val="00573CC1"/>
    <w:rsid w:val="0057426E"/>
    <w:rsid w:val="00575120"/>
    <w:rsid w:val="00575185"/>
    <w:rsid w:val="005758B4"/>
    <w:rsid w:val="0057746F"/>
    <w:rsid w:val="00581D3F"/>
    <w:rsid w:val="00582B9E"/>
    <w:rsid w:val="00582F05"/>
    <w:rsid w:val="005834D8"/>
    <w:rsid w:val="0058362B"/>
    <w:rsid w:val="00594D8E"/>
    <w:rsid w:val="00595426"/>
    <w:rsid w:val="00595ED9"/>
    <w:rsid w:val="00595EE9"/>
    <w:rsid w:val="0059608F"/>
    <w:rsid w:val="0059710F"/>
    <w:rsid w:val="005A0004"/>
    <w:rsid w:val="005A08FD"/>
    <w:rsid w:val="005A0C8B"/>
    <w:rsid w:val="005A15F1"/>
    <w:rsid w:val="005A2D0A"/>
    <w:rsid w:val="005A34D6"/>
    <w:rsid w:val="005A37F8"/>
    <w:rsid w:val="005A3D33"/>
    <w:rsid w:val="005A6509"/>
    <w:rsid w:val="005A7EC0"/>
    <w:rsid w:val="005B03D3"/>
    <w:rsid w:val="005B0B06"/>
    <w:rsid w:val="005B0B3A"/>
    <w:rsid w:val="005B1629"/>
    <w:rsid w:val="005B1910"/>
    <w:rsid w:val="005B2469"/>
    <w:rsid w:val="005B247A"/>
    <w:rsid w:val="005B3071"/>
    <w:rsid w:val="005B5CE9"/>
    <w:rsid w:val="005B69DB"/>
    <w:rsid w:val="005B7EA6"/>
    <w:rsid w:val="005C00B6"/>
    <w:rsid w:val="005C0A36"/>
    <w:rsid w:val="005C1110"/>
    <w:rsid w:val="005C150E"/>
    <w:rsid w:val="005C1C64"/>
    <w:rsid w:val="005C2420"/>
    <w:rsid w:val="005C43BD"/>
    <w:rsid w:val="005C4B66"/>
    <w:rsid w:val="005C53F3"/>
    <w:rsid w:val="005C5970"/>
    <w:rsid w:val="005C5E9E"/>
    <w:rsid w:val="005C6F5A"/>
    <w:rsid w:val="005C7739"/>
    <w:rsid w:val="005D04F3"/>
    <w:rsid w:val="005D06D8"/>
    <w:rsid w:val="005D06EA"/>
    <w:rsid w:val="005D34A1"/>
    <w:rsid w:val="005D438E"/>
    <w:rsid w:val="005D4E77"/>
    <w:rsid w:val="005D59E3"/>
    <w:rsid w:val="005D6AEE"/>
    <w:rsid w:val="005D7410"/>
    <w:rsid w:val="005D7C70"/>
    <w:rsid w:val="005E01B8"/>
    <w:rsid w:val="005E02CA"/>
    <w:rsid w:val="005E0C11"/>
    <w:rsid w:val="005E1681"/>
    <w:rsid w:val="005E1C4B"/>
    <w:rsid w:val="005E1C58"/>
    <w:rsid w:val="005E1D1A"/>
    <w:rsid w:val="005E5816"/>
    <w:rsid w:val="005E596D"/>
    <w:rsid w:val="005E61FB"/>
    <w:rsid w:val="005E6333"/>
    <w:rsid w:val="005E6AE1"/>
    <w:rsid w:val="005E6F18"/>
    <w:rsid w:val="005E77E5"/>
    <w:rsid w:val="005E7A2D"/>
    <w:rsid w:val="005F0AC6"/>
    <w:rsid w:val="005F134A"/>
    <w:rsid w:val="005F2BD8"/>
    <w:rsid w:val="005F43A1"/>
    <w:rsid w:val="005F517A"/>
    <w:rsid w:val="005F6C2F"/>
    <w:rsid w:val="005F7060"/>
    <w:rsid w:val="005F71A8"/>
    <w:rsid w:val="005F7266"/>
    <w:rsid w:val="005F7D21"/>
    <w:rsid w:val="00600838"/>
    <w:rsid w:val="00600993"/>
    <w:rsid w:val="00600E7A"/>
    <w:rsid w:val="00601FCD"/>
    <w:rsid w:val="00606019"/>
    <w:rsid w:val="0060612E"/>
    <w:rsid w:val="00606252"/>
    <w:rsid w:val="006075A3"/>
    <w:rsid w:val="0061253A"/>
    <w:rsid w:val="00614C44"/>
    <w:rsid w:val="00615507"/>
    <w:rsid w:val="00615823"/>
    <w:rsid w:val="0061587F"/>
    <w:rsid w:val="00615D54"/>
    <w:rsid w:val="00615FC9"/>
    <w:rsid w:val="00617873"/>
    <w:rsid w:val="00617DF0"/>
    <w:rsid w:val="00621383"/>
    <w:rsid w:val="006219A5"/>
    <w:rsid w:val="00623E98"/>
    <w:rsid w:val="006240D1"/>
    <w:rsid w:val="006246C3"/>
    <w:rsid w:val="006248B9"/>
    <w:rsid w:val="00624A57"/>
    <w:rsid w:val="00624CC4"/>
    <w:rsid w:val="0062537E"/>
    <w:rsid w:val="0062566D"/>
    <w:rsid w:val="0062576A"/>
    <w:rsid w:val="0062591A"/>
    <w:rsid w:val="00625B16"/>
    <w:rsid w:val="00626650"/>
    <w:rsid w:val="00626BEB"/>
    <w:rsid w:val="00630C6A"/>
    <w:rsid w:val="00631AC7"/>
    <w:rsid w:val="00632190"/>
    <w:rsid w:val="00632229"/>
    <w:rsid w:val="00632509"/>
    <w:rsid w:val="006336A0"/>
    <w:rsid w:val="00633DE2"/>
    <w:rsid w:val="0063491C"/>
    <w:rsid w:val="0063566A"/>
    <w:rsid w:val="00636B88"/>
    <w:rsid w:val="00636D44"/>
    <w:rsid w:val="00640C36"/>
    <w:rsid w:val="00640D23"/>
    <w:rsid w:val="00641044"/>
    <w:rsid w:val="0064151D"/>
    <w:rsid w:val="00642414"/>
    <w:rsid w:val="0064380E"/>
    <w:rsid w:val="00644017"/>
    <w:rsid w:val="0064491B"/>
    <w:rsid w:val="00645A6C"/>
    <w:rsid w:val="00645BB7"/>
    <w:rsid w:val="00646B38"/>
    <w:rsid w:val="00647E3C"/>
    <w:rsid w:val="00647FC4"/>
    <w:rsid w:val="00650D88"/>
    <w:rsid w:val="006520BE"/>
    <w:rsid w:val="006529B5"/>
    <w:rsid w:val="00652F1B"/>
    <w:rsid w:val="00654E11"/>
    <w:rsid w:val="0065543E"/>
    <w:rsid w:val="00655A0A"/>
    <w:rsid w:val="006572B8"/>
    <w:rsid w:val="00657FC8"/>
    <w:rsid w:val="00660BDA"/>
    <w:rsid w:val="0066128C"/>
    <w:rsid w:val="00661293"/>
    <w:rsid w:val="0066478F"/>
    <w:rsid w:val="00664E04"/>
    <w:rsid w:val="0066755F"/>
    <w:rsid w:val="00667C87"/>
    <w:rsid w:val="00670D0D"/>
    <w:rsid w:val="00671814"/>
    <w:rsid w:val="0067186B"/>
    <w:rsid w:val="006725AD"/>
    <w:rsid w:val="00672F21"/>
    <w:rsid w:val="00673930"/>
    <w:rsid w:val="006747A1"/>
    <w:rsid w:val="006748D5"/>
    <w:rsid w:val="006752B9"/>
    <w:rsid w:val="0067611D"/>
    <w:rsid w:val="006779DA"/>
    <w:rsid w:val="00680779"/>
    <w:rsid w:val="006816C0"/>
    <w:rsid w:val="006824FD"/>
    <w:rsid w:val="00682519"/>
    <w:rsid w:val="00682FFA"/>
    <w:rsid w:val="006846A6"/>
    <w:rsid w:val="0068519C"/>
    <w:rsid w:val="00687811"/>
    <w:rsid w:val="00690408"/>
    <w:rsid w:val="00690717"/>
    <w:rsid w:val="0069090E"/>
    <w:rsid w:val="00690A08"/>
    <w:rsid w:val="00691A43"/>
    <w:rsid w:val="00691FF0"/>
    <w:rsid w:val="006930A9"/>
    <w:rsid w:val="0069370A"/>
    <w:rsid w:val="00696C10"/>
    <w:rsid w:val="006970AC"/>
    <w:rsid w:val="00697AB6"/>
    <w:rsid w:val="00697CD6"/>
    <w:rsid w:val="006A0B4F"/>
    <w:rsid w:val="006A0D45"/>
    <w:rsid w:val="006A15EF"/>
    <w:rsid w:val="006A1BB9"/>
    <w:rsid w:val="006A1D1E"/>
    <w:rsid w:val="006A215C"/>
    <w:rsid w:val="006A2222"/>
    <w:rsid w:val="006A31B5"/>
    <w:rsid w:val="006A3D08"/>
    <w:rsid w:val="006A4705"/>
    <w:rsid w:val="006A4B2A"/>
    <w:rsid w:val="006A78F5"/>
    <w:rsid w:val="006B1CC9"/>
    <w:rsid w:val="006B21E0"/>
    <w:rsid w:val="006B2290"/>
    <w:rsid w:val="006B27CB"/>
    <w:rsid w:val="006B2E55"/>
    <w:rsid w:val="006B429A"/>
    <w:rsid w:val="006B58FF"/>
    <w:rsid w:val="006B6322"/>
    <w:rsid w:val="006B79FF"/>
    <w:rsid w:val="006C0BD2"/>
    <w:rsid w:val="006C2E74"/>
    <w:rsid w:val="006C4C70"/>
    <w:rsid w:val="006C59D2"/>
    <w:rsid w:val="006C75CC"/>
    <w:rsid w:val="006D0F86"/>
    <w:rsid w:val="006D1623"/>
    <w:rsid w:val="006D4BEB"/>
    <w:rsid w:val="006D5922"/>
    <w:rsid w:val="006D72D2"/>
    <w:rsid w:val="006D7810"/>
    <w:rsid w:val="006D7986"/>
    <w:rsid w:val="006E1549"/>
    <w:rsid w:val="006E1BA7"/>
    <w:rsid w:val="006E1D10"/>
    <w:rsid w:val="006E3C5D"/>
    <w:rsid w:val="006E566F"/>
    <w:rsid w:val="006E5CE0"/>
    <w:rsid w:val="006F1383"/>
    <w:rsid w:val="006F1541"/>
    <w:rsid w:val="006F2866"/>
    <w:rsid w:val="006F4326"/>
    <w:rsid w:val="006F4440"/>
    <w:rsid w:val="006F447C"/>
    <w:rsid w:val="006F457F"/>
    <w:rsid w:val="006F47A8"/>
    <w:rsid w:val="006F4A46"/>
    <w:rsid w:val="006F4E76"/>
    <w:rsid w:val="006F5A4C"/>
    <w:rsid w:val="006F67F6"/>
    <w:rsid w:val="006F69CF"/>
    <w:rsid w:val="006F7B02"/>
    <w:rsid w:val="007005FB"/>
    <w:rsid w:val="00700C15"/>
    <w:rsid w:val="00700DE3"/>
    <w:rsid w:val="007013BC"/>
    <w:rsid w:val="00703614"/>
    <w:rsid w:val="00704FA1"/>
    <w:rsid w:val="00705FFD"/>
    <w:rsid w:val="00706284"/>
    <w:rsid w:val="00706613"/>
    <w:rsid w:val="0070678F"/>
    <w:rsid w:val="00706A3D"/>
    <w:rsid w:val="0070738C"/>
    <w:rsid w:val="00712B14"/>
    <w:rsid w:val="00714C95"/>
    <w:rsid w:val="00714EFE"/>
    <w:rsid w:val="00715154"/>
    <w:rsid w:val="00715864"/>
    <w:rsid w:val="00716198"/>
    <w:rsid w:val="007179FC"/>
    <w:rsid w:val="00717DF4"/>
    <w:rsid w:val="00722267"/>
    <w:rsid w:val="00722D96"/>
    <w:rsid w:val="00724013"/>
    <w:rsid w:val="00724227"/>
    <w:rsid w:val="007256C9"/>
    <w:rsid w:val="00725E4B"/>
    <w:rsid w:val="00727216"/>
    <w:rsid w:val="00730AB0"/>
    <w:rsid w:val="00730F41"/>
    <w:rsid w:val="00731A07"/>
    <w:rsid w:val="00731DDA"/>
    <w:rsid w:val="00731DF1"/>
    <w:rsid w:val="007320F4"/>
    <w:rsid w:val="0073294C"/>
    <w:rsid w:val="00733867"/>
    <w:rsid w:val="00733D11"/>
    <w:rsid w:val="00734023"/>
    <w:rsid w:val="00734176"/>
    <w:rsid w:val="007341DC"/>
    <w:rsid w:val="007344E0"/>
    <w:rsid w:val="00736706"/>
    <w:rsid w:val="007367BD"/>
    <w:rsid w:val="00736ACD"/>
    <w:rsid w:val="00736DB9"/>
    <w:rsid w:val="00737038"/>
    <w:rsid w:val="007372B0"/>
    <w:rsid w:val="0073731A"/>
    <w:rsid w:val="00737DA8"/>
    <w:rsid w:val="0074005C"/>
    <w:rsid w:val="0074023B"/>
    <w:rsid w:val="00740548"/>
    <w:rsid w:val="007408D3"/>
    <w:rsid w:val="007418C1"/>
    <w:rsid w:val="00741C6D"/>
    <w:rsid w:val="0074344F"/>
    <w:rsid w:val="007440FC"/>
    <w:rsid w:val="00744A74"/>
    <w:rsid w:val="00745491"/>
    <w:rsid w:val="00745C03"/>
    <w:rsid w:val="007460A7"/>
    <w:rsid w:val="007465E2"/>
    <w:rsid w:val="00746BE2"/>
    <w:rsid w:val="007478A9"/>
    <w:rsid w:val="00747D74"/>
    <w:rsid w:val="00750B5D"/>
    <w:rsid w:val="00751A71"/>
    <w:rsid w:val="00751E31"/>
    <w:rsid w:val="00752B1C"/>
    <w:rsid w:val="007531A8"/>
    <w:rsid w:val="00755AE8"/>
    <w:rsid w:val="00756157"/>
    <w:rsid w:val="00756529"/>
    <w:rsid w:val="00756A23"/>
    <w:rsid w:val="007605CF"/>
    <w:rsid w:val="00760996"/>
    <w:rsid w:val="007615B3"/>
    <w:rsid w:val="00761753"/>
    <w:rsid w:val="00762A02"/>
    <w:rsid w:val="007630A7"/>
    <w:rsid w:val="00763987"/>
    <w:rsid w:val="007647EB"/>
    <w:rsid w:val="00764843"/>
    <w:rsid w:val="00764AFE"/>
    <w:rsid w:val="00764E54"/>
    <w:rsid w:val="00766A5A"/>
    <w:rsid w:val="00766DFB"/>
    <w:rsid w:val="007675CA"/>
    <w:rsid w:val="0077052D"/>
    <w:rsid w:val="007720CA"/>
    <w:rsid w:val="00772AAC"/>
    <w:rsid w:val="00773C46"/>
    <w:rsid w:val="00774ABD"/>
    <w:rsid w:val="00775A9F"/>
    <w:rsid w:val="00775F53"/>
    <w:rsid w:val="00776D36"/>
    <w:rsid w:val="00776D95"/>
    <w:rsid w:val="007803CE"/>
    <w:rsid w:val="007803F2"/>
    <w:rsid w:val="00780CA3"/>
    <w:rsid w:val="00781F37"/>
    <w:rsid w:val="00782BDD"/>
    <w:rsid w:val="00783BCB"/>
    <w:rsid w:val="00784DE6"/>
    <w:rsid w:val="00785BDB"/>
    <w:rsid w:val="007868C2"/>
    <w:rsid w:val="007916F4"/>
    <w:rsid w:val="007946FF"/>
    <w:rsid w:val="00794CD2"/>
    <w:rsid w:val="0079505A"/>
    <w:rsid w:val="007955BA"/>
    <w:rsid w:val="00795B89"/>
    <w:rsid w:val="00795DE0"/>
    <w:rsid w:val="007967CE"/>
    <w:rsid w:val="007A1B99"/>
    <w:rsid w:val="007A2E14"/>
    <w:rsid w:val="007A408D"/>
    <w:rsid w:val="007A4DC1"/>
    <w:rsid w:val="007A5538"/>
    <w:rsid w:val="007A58FC"/>
    <w:rsid w:val="007A59A3"/>
    <w:rsid w:val="007A6058"/>
    <w:rsid w:val="007A7220"/>
    <w:rsid w:val="007A7B64"/>
    <w:rsid w:val="007B191E"/>
    <w:rsid w:val="007B1F5F"/>
    <w:rsid w:val="007B5F8E"/>
    <w:rsid w:val="007B68D0"/>
    <w:rsid w:val="007B6E62"/>
    <w:rsid w:val="007B6FBB"/>
    <w:rsid w:val="007B705F"/>
    <w:rsid w:val="007C0057"/>
    <w:rsid w:val="007C0F88"/>
    <w:rsid w:val="007C1773"/>
    <w:rsid w:val="007C4419"/>
    <w:rsid w:val="007C4F4D"/>
    <w:rsid w:val="007C50A9"/>
    <w:rsid w:val="007C5A83"/>
    <w:rsid w:val="007C5B7F"/>
    <w:rsid w:val="007C68F2"/>
    <w:rsid w:val="007C7CC3"/>
    <w:rsid w:val="007D0A85"/>
    <w:rsid w:val="007D152E"/>
    <w:rsid w:val="007D2E34"/>
    <w:rsid w:val="007D2F01"/>
    <w:rsid w:val="007D3607"/>
    <w:rsid w:val="007D3C6A"/>
    <w:rsid w:val="007D3F9A"/>
    <w:rsid w:val="007D5DB5"/>
    <w:rsid w:val="007D69B9"/>
    <w:rsid w:val="007D6D02"/>
    <w:rsid w:val="007D70BD"/>
    <w:rsid w:val="007D71FD"/>
    <w:rsid w:val="007D7240"/>
    <w:rsid w:val="007D76AB"/>
    <w:rsid w:val="007E0AD7"/>
    <w:rsid w:val="007E11CF"/>
    <w:rsid w:val="007E11DA"/>
    <w:rsid w:val="007E1A4F"/>
    <w:rsid w:val="007E35E3"/>
    <w:rsid w:val="007E4688"/>
    <w:rsid w:val="007E4EF9"/>
    <w:rsid w:val="007E5193"/>
    <w:rsid w:val="007E5BAB"/>
    <w:rsid w:val="007E6619"/>
    <w:rsid w:val="007E6DD4"/>
    <w:rsid w:val="007E72AB"/>
    <w:rsid w:val="007E7D16"/>
    <w:rsid w:val="007F00A8"/>
    <w:rsid w:val="007F0977"/>
    <w:rsid w:val="007F2548"/>
    <w:rsid w:val="007F2C6B"/>
    <w:rsid w:val="007F2E72"/>
    <w:rsid w:val="007F3E6E"/>
    <w:rsid w:val="007F57E9"/>
    <w:rsid w:val="007F7148"/>
    <w:rsid w:val="007F7DE7"/>
    <w:rsid w:val="008003AA"/>
    <w:rsid w:val="008018E1"/>
    <w:rsid w:val="00802921"/>
    <w:rsid w:val="00803793"/>
    <w:rsid w:val="00803E09"/>
    <w:rsid w:val="008047A9"/>
    <w:rsid w:val="008048D2"/>
    <w:rsid w:val="0080509B"/>
    <w:rsid w:val="00805764"/>
    <w:rsid w:val="00805D6C"/>
    <w:rsid w:val="00805DCC"/>
    <w:rsid w:val="00805DEE"/>
    <w:rsid w:val="00805E79"/>
    <w:rsid w:val="008079F3"/>
    <w:rsid w:val="0081219F"/>
    <w:rsid w:val="00812CE8"/>
    <w:rsid w:val="008135F0"/>
    <w:rsid w:val="00813844"/>
    <w:rsid w:val="00813E2B"/>
    <w:rsid w:val="008143FD"/>
    <w:rsid w:val="008144CC"/>
    <w:rsid w:val="00814698"/>
    <w:rsid w:val="008156D1"/>
    <w:rsid w:val="00815A69"/>
    <w:rsid w:val="00815B66"/>
    <w:rsid w:val="00816483"/>
    <w:rsid w:val="0081752A"/>
    <w:rsid w:val="00817589"/>
    <w:rsid w:val="00817725"/>
    <w:rsid w:val="00817A1E"/>
    <w:rsid w:val="00820244"/>
    <w:rsid w:val="00821560"/>
    <w:rsid w:val="00821597"/>
    <w:rsid w:val="00821CD9"/>
    <w:rsid w:val="00821ED9"/>
    <w:rsid w:val="00821FC9"/>
    <w:rsid w:val="008230D3"/>
    <w:rsid w:val="008236BC"/>
    <w:rsid w:val="00824257"/>
    <w:rsid w:val="008247E1"/>
    <w:rsid w:val="008255FB"/>
    <w:rsid w:val="00825ABC"/>
    <w:rsid w:val="00826C0D"/>
    <w:rsid w:val="00826E24"/>
    <w:rsid w:val="00827C34"/>
    <w:rsid w:val="00827E96"/>
    <w:rsid w:val="008303C1"/>
    <w:rsid w:val="00830954"/>
    <w:rsid w:val="00830DD3"/>
    <w:rsid w:val="008321AB"/>
    <w:rsid w:val="00832A99"/>
    <w:rsid w:val="00833011"/>
    <w:rsid w:val="00833DED"/>
    <w:rsid w:val="008343D8"/>
    <w:rsid w:val="0083465E"/>
    <w:rsid w:val="008346ED"/>
    <w:rsid w:val="008346EF"/>
    <w:rsid w:val="008347CB"/>
    <w:rsid w:val="00834F11"/>
    <w:rsid w:val="00836532"/>
    <w:rsid w:val="00836B32"/>
    <w:rsid w:val="008376E6"/>
    <w:rsid w:val="00837EAB"/>
    <w:rsid w:val="00840A80"/>
    <w:rsid w:val="00840DD4"/>
    <w:rsid w:val="008427BF"/>
    <w:rsid w:val="00843BE9"/>
    <w:rsid w:val="00846329"/>
    <w:rsid w:val="00846DE9"/>
    <w:rsid w:val="0084722E"/>
    <w:rsid w:val="00847EFA"/>
    <w:rsid w:val="00850404"/>
    <w:rsid w:val="00850D99"/>
    <w:rsid w:val="00850EF3"/>
    <w:rsid w:val="0085141C"/>
    <w:rsid w:val="008519E3"/>
    <w:rsid w:val="00852337"/>
    <w:rsid w:val="00852464"/>
    <w:rsid w:val="008529E5"/>
    <w:rsid w:val="00852EAC"/>
    <w:rsid w:val="008556DF"/>
    <w:rsid w:val="0085713C"/>
    <w:rsid w:val="00857321"/>
    <w:rsid w:val="00857BA1"/>
    <w:rsid w:val="00857E77"/>
    <w:rsid w:val="00860B70"/>
    <w:rsid w:val="00860E5F"/>
    <w:rsid w:val="0086155F"/>
    <w:rsid w:val="00861BDE"/>
    <w:rsid w:val="00862D92"/>
    <w:rsid w:val="00863480"/>
    <w:rsid w:val="00863CCD"/>
    <w:rsid w:val="008647F7"/>
    <w:rsid w:val="008651CE"/>
    <w:rsid w:val="0086564A"/>
    <w:rsid w:val="00865BB6"/>
    <w:rsid w:val="00866273"/>
    <w:rsid w:val="0086656B"/>
    <w:rsid w:val="0086662B"/>
    <w:rsid w:val="0087175A"/>
    <w:rsid w:val="008719E0"/>
    <w:rsid w:val="00871F1B"/>
    <w:rsid w:val="0087305E"/>
    <w:rsid w:val="008730B0"/>
    <w:rsid w:val="00873AB5"/>
    <w:rsid w:val="00873ABD"/>
    <w:rsid w:val="00873DBB"/>
    <w:rsid w:val="00874271"/>
    <w:rsid w:val="008744D9"/>
    <w:rsid w:val="0087458E"/>
    <w:rsid w:val="00874873"/>
    <w:rsid w:val="00874D5F"/>
    <w:rsid w:val="008753DC"/>
    <w:rsid w:val="00875EE6"/>
    <w:rsid w:val="0087628A"/>
    <w:rsid w:val="00876327"/>
    <w:rsid w:val="0087650E"/>
    <w:rsid w:val="00876601"/>
    <w:rsid w:val="0087721C"/>
    <w:rsid w:val="00880820"/>
    <w:rsid w:val="008808D5"/>
    <w:rsid w:val="00881392"/>
    <w:rsid w:val="00881688"/>
    <w:rsid w:val="008827E0"/>
    <w:rsid w:val="00883345"/>
    <w:rsid w:val="00883BE5"/>
    <w:rsid w:val="008851B5"/>
    <w:rsid w:val="00885AE0"/>
    <w:rsid w:val="00886FEB"/>
    <w:rsid w:val="00890E17"/>
    <w:rsid w:val="00892ED9"/>
    <w:rsid w:val="00892F83"/>
    <w:rsid w:val="008938E9"/>
    <w:rsid w:val="00894BA5"/>
    <w:rsid w:val="00894F00"/>
    <w:rsid w:val="0089533A"/>
    <w:rsid w:val="008959DB"/>
    <w:rsid w:val="00896235"/>
    <w:rsid w:val="008968DB"/>
    <w:rsid w:val="00896E9D"/>
    <w:rsid w:val="0089798E"/>
    <w:rsid w:val="008A04E0"/>
    <w:rsid w:val="008A05AA"/>
    <w:rsid w:val="008A1505"/>
    <w:rsid w:val="008A2D87"/>
    <w:rsid w:val="008A303D"/>
    <w:rsid w:val="008A48C3"/>
    <w:rsid w:val="008A4AE3"/>
    <w:rsid w:val="008A5C49"/>
    <w:rsid w:val="008A6B08"/>
    <w:rsid w:val="008B080A"/>
    <w:rsid w:val="008B0923"/>
    <w:rsid w:val="008B0999"/>
    <w:rsid w:val="008B0E4C"/>
    <w:rsid w:val="008B12FB"/>
    <w:rsid w:val="008B1D03"/>
    <w:rsid w:val="008B21B1"/>
    <w:rsid w:val="008B3574"/>
    <w:rsid w:val="008B3A15"/>
    <w:rsid w:val="008B4130"/>
    <w:rsid w:val="008B419C"/>
    <w:rsid w:val="008B55EA"/>
    <w:rsid w:val="008B61F4"/>
    <w:rsid w:val="008B707D"/>
    <w:rsid w:val="008C05E3"/>
    <w:rsid w:val="008C2AC0"/>
    <w:rsid w:val="008C37E7"/>
    <w:rsid w:val="008C501B"/>
    <w:rsid w:val="008C5B4E"/>
    <w:rsid w:val="008C7498"/>
    <w:rsid w:val="008D0763"/>
    <w:rsid w:val="008D0F42"/>
    <w:rsid w:val="008D1925"/>
    <w:rsid w:val="008D243E"/>
    <w:rsid w:val="008D371E"/>
    <w:rsid w:val="008D3E33"/>
    <w:rsid w:val="008D3E4F"/>
    <w:rsid w:val="008D404F"/>
    <w:rsid w:val="008D73BA"/>
    <w:rsid w:val="008D7F67"/>
    <w:rsid w:val="008E0DD6"/>
    <w:rsid w:val="008E13B5"/>
    <w:rsid w:val="008E1D9C"/>
    <w:rsid w:val="008E1EDE"/>
    <w:rsid w:val="008E389A"/>
    <w:rsid w:val="008E436D"/>
    <w:rsid w:val="008E452F"/>
    <w:rsid w:val="008E57BE"/>
    <w:rsid w:val="008E5E27"/>
    <w:rsid w:val="008E7452"/>
    <w:rsid w:val="008F05A9"/>
    <w:rsid w:val="008F207D"/>
    <w:rsid w:val="008F2089"/>
    <w:rsid w:val="008F23B9"/>
    <w:rsid w:val="008F2681"/>
    <w:rsid w:val="008F27BA"/>
    <w:rsid w:val="008F3365"/>
    <w:rsid w:val="008F34CD"/>
    <w:rsid w:val="008F37FD"/>
    <w:rsid w:val="008F3A46"/>
    <w:rsid w:val="008F3C89"/>
    <w:rsid w:val="008F40AD"/>
    <w:rsid w:val="008F50BB"/>
    <w:rsid w:val="008F769A"/>
    <w:rsid w:val="0090039B"/>
    <w:rsid w:val="0090129A"/>
    <w:rsid w:val="00901366"/>
    <w:rsid w:val="00901D72"/>
    <w:rsid w:val="00902067"/>
    <w:rsid w:val="0090339C"/>
    <w:rsid w:val="0090375F"/>
    <w:rsid w:val="009068AE"/>
    <w:rsid w:val="00906D4A"/>
    <w:rsid w:val="009111CD"/>
    <w:rsid w:val="009117FD"/>
    <w:rsid w:val="00911B34"/>
    <w:rsid w:val="00911EC9"/>
    <w:rsid w:val="00914CCB"/>
    <w:rsid w:val="00915214"/>
    <w:rsid w:val="00915338"/>
    <w:rsid w:val="009156B1"/>
    <w:rsid w:val="00916B58"/>
    <w:rsid w:val="00917174"/>
    <w:rsid w:val="009173B8"/>
    <w:rsid w:val="009174FD"/>
    <w:rsid w:val="009177AD"/>
    <w:rsid w:val="0092129D"/>
    <w:rsid w:val="009219FB"/>
    <w:rsid w:val="00923236"/>
    <w:rsid w:val="009236C4"/>
    <w:rsid w:val="009237F6"/>
    <w:rsid w:val="009240E3"/>
    <w:rsid w:val="00924CFA"/>
    <w:rsid w:val="00924F5F"/>
    <w:rsid w:val="00925A38"/>
    <w:rsid w:val="00925FCE"/>
    <w:rsid w:val="00927CCB"/>
    <w:rsid w:val="0093030A"/>
    <w:rsid w:val="00932277"/>
    <w:rsid w:val="00933654"/>
    <w:rsid w:val="009347CA"/>
    <w:rsid w:val="00934D2D"/>
    <w:rsid w:val="00935BD8"/>
    <w:rsid w:val="00936A6D"/>
    <w:rsid w:val="00936CE1"/>
    <w:rsid w:val="0093722C"/>
    <w:rsid w:val="00940469"/>
    <w:rsid w:val="00940915"/>
    <w:rsid w:val="00940BEB"/>
    <w:rsid w:val="00940F05"/>
    <w:rsid w:val="009421E3"/>
    <w:rsid w:val="00946D3F"/>
    <w:rsid w:val="009474D0"/>
    <w:rsid w:val="009518F6"/>
    <w:rsid w:val="0095190A"/>
    <w:rsid w:val="00952246"/>
    <w:rsid w:val="00952367"/>
    <w:rsid w:val="0095256A"/>
    <w:rsid w:val="009534E8"/>
    <w:rsid w:val="00953CCA"/>
    <w:rsid w:val="0095400A"/>
    <w:rsid w:val="00955308"/>
    <w:rsid w:val="009556E3"/>
    <w:rsid w:val="0095625F"/>
    <w:rsid w:val="0095765A"/>
    <w:rsid w:val="00957D03"/>
    <w:rsid w:val="00957D64"/>
    <w:rsid w:val="009602D9"/>
    <w:rsid w:val="00960456"/>
    <w:rsid w:val="009604BA"/>
    <w:rsid w:val="0096076A"/>
    <w:rsid w:val="00960D3D"/>
    <w:rsid w:val="0096104A"/>
    <w:rsid w:val="00961221"/>
    <w:rsid w:val="00961680"/>
    <w:rsid w:val="00963D00"/>
    <w:rsid w:val="00964A44"/>
    <w:rsid w:val="00964DC8"/>
    <w:rsid w:val="00965CD8"/>
    <w:rsid w:val="00966F1B"/>
    <w:rsid w:val="00970794"/>
    <w:rsid w:val="009712BE"/>
    <w:rsid w:val="00971B63"/>
    <w:rsid w:val="0097217C"/>
    <w:rsid w:val="00972698"/>
    <w:rsid w:val="009727FF"/>
    <w:rsid w:val="00973114"/>
    <w:rsid w:val="009750C4"/>
    <w:rsid w:val="00976159"/>
    <w:rsid w:val="00977022"/>
    <w:rsid w:val="00977025"/>
    <w:rsid w:val="00977F10"/>
    <w:rsid w:val="0098048E"/>
    <w:rsid w:val="00981A10"/>
    <w:rsid w:val="00981B97"/>
    <w:rsid w:val="00982EB4"/>
    <w:rsid w:val="009841F9"/>
    <w:rsid w:val="0098527B"/>
    <w:rsid w:val="009864DF"/>
    <w:rsid w:val="009865A8"/>
    <w:rsid w:val="0098721A"/>
    <w:rsid w:val="009900B9"/>
    <w:rsid w:val="0099101A"/>
    <w:rsid w:val="009916CB"/>
    <w:rsid w:val="00991E8A"/>
    <w:rsid w:val="009920C0"/>
    <w:rsid w:val="00994112"/>
    <w:rsid w:val="009944CD"/>
    <w:rsid w:val="009955E9"/>
    <w:rsid w:val="00995862"/>
    <w:rsid w:val="00995AA7"/>
    <w:rsid w:val="00996237"/>
    <w:rsid w:val="00996935"/>
    <w:rsid w:val="00996F29"/>
    <w:rsid w:val="00997425"/>
    <w:rsid w:val="00997671"/>
    <w:rsid w:val="009A09F9"/>
    <w:rsid w:val="009A2402"/>
    <w:rsid w:val="009A34C7"/>
    <w:rsid w:val="009A36C4"/>
    <w:rsid w:val="009A49B6"/>
    <w:rsid w:val="009A4D26"/>
    <w:rsid w:val="009A582E"/>
    <w:rsid w:val="009A62C5"/>
    <w:rsid w:val="009A7144"/>
    <w:rsid w:val="009A7E29"/>
    <w:rsid w:val="009B0B3C"/>
    <w:rsid w:val="009B124D"/>
    <w:rsid w:val="009B36DE"/>
    <w:rsid w:val="009B4448"/>
    <w:rsid w:val="009B5568"/>
    <w:rsid w:val="009B782E"/>
    <w:rsid w:val="009C0BBD"/>
    <w:rsid w:val="009C0C44"/>
    <w:rsid w:val="009C12E9"/>
    <w:rsid w:val="009C1919"/>
    <w:rsid w:val="009C266F"/>
    <w:rsid w:val="009C30FB"/>
    <w:rsid w:val="009C3882"/>
    <w:rsid w:val="009C442A"/>
    <w:rsid w:val="009C4AAF"/>
    <w:rsid w:val="009C5101"/>
    <w:rsid w:val="009C636F"/>
    <w:rsid w:val="009C67BC"/>
    <w:rsid w:val="009C6E54"/>
    <w:rsid w:val="009C722C"/>
    <w:rsid w:val="009C79A2"/>
    <w:rsid w:val="009C7FE4"/>
    <w:rsid w:val="009D00AC"/>
    <w:rsid w:val="009D1020"/>
    <w:rsid w:val="009D18D0"/>
    <w:rsid w:val="009D22A8"/>
    <w:rsid w:val="009D283A"/>
    <w:rsid w:val="009D30FA"/>
    <w:rsid w:val="009D3F20"/>
    <w:rsid w:val="009D4A3C"/>
    <w:rsid w:val="009D4D93"/>
    <w:rsid w:val="009D4E39"/>
    <w:rsid w:val="009D4F3C"/>
    <w:rsid w:val="009D5E34"/>
    <w:rsid w:val="009D6AE0"/>
    <w:rsid w:val="009D78EA"/>
    <w:rsid w:val="009D7B06"/>
    <w:rsid w:val="009D7C46"/>
    <w:rsid w:val="009D7FF2"/>
    <w:rsid w:val="009E09B2"/>
    <w:rsid w:val="009E0F8F"/>
    <w:rsid w:val="009E10C7"/>
    <w:rsid w:val="009E35A1"/>
    <w:rsid w:val="009E46DA"/>
    <w:rsid w:val="009E47BC"/>
    <w:rsid w:val="009E76CE"/>
    <w:rsid w:val="009E7AB8"/>
    <w:rsid w:val="009E7B8F"/>
    <w:rsid w:val="009F0C62"/>
    <w:rsid w:val="009F1196"/>
    <w:rsid w:val="009F1916"/>
    <w:rsid w:val="009F1A3F"/>
    <w:rsid w:val="009F1CDE"/>
    <w:rsid w:val="009F222E"/>
    <w:rsid w:val="009F4043"/>
    <w:rsid w:val="009F4EE5"/>
    <w:rsid w:val="009F5DC0"/>
    <w:rsid w:val="009F5FC6"/>
    <w:rsid w:val="009F640B"/>
    <w:rsid w:val="009F761E"/>
    <w:rsid w:val="00A013D7"/>
    <w:rsid w:val="00A0146D"/>
    <w:rsid w:val="00A02B6F"/>
    <w:rsid w:val="00A0325F"/>
    <w:rsid w:val="00A04224"/>
    <w:rsid w:val="00A05916"/>
    <w:rsid w:val="00A07ECB"/>
    <w:rsid w:val="00A107AF"/>
    <w:rsid w:val="00A10992"/>
    <w:rsid w:val="00A111B1"/>
    <w:rsid w:val="00A1131E"/>
    <w:rsid w:val="00A11989"/>
    <w:rsid w:val="00A11AA8"/>
    <w:rsid w:val="00A151A4"/>
    <w:rsid w:val="00A15422"/>
    <w:rsid w:val="00A1559A"/>
    <w:rsid w:val="00A164A0"/>
    <w:rsid w:val="00A168DE"/>
    <w:rsid w:val="00A16FA7"/>
    <w:rsid w:val="00A17277"/>
    <w:rsid w:val="00A20D08"/>
    <w:rsid w:val="00A20F88"/>
    <w:rsid w:val="00A211A9"/>
    <w:rsid w:val="00A21BAC"/>
    <w:rsid w:val="00A24283"/>
    <w:rsid w:val="00A25775"/>
    <w:rsid w:val="00A2615A"/>
    <w:rsid w:val="00A305E7"/>
    <w:rsid w:val="00A30D86"/>
    <w:rsid w:val="00A30DFF"/>
    <w:rsid w:val="00A30F80"/>
    <w:rsid w:val="00A314B5"/>
    <w:rsid w:val="00A317B9"/>
    <w:rsid w:val="00A3180C"/>
    <w:rsid w:val="00A32874"/>
    <w:rsid w:val="00A32995"/>
    <w:rsid w:val="00A32D03"/>
    <w:rsid w:val="00A34A59"/>
    <w:rsid w:val="00A34A8E"/>
    <w:rsid w:val="00A3544F"/>
    <w:rsid w:val="00A36974"/>
    <w:rsid w:val="00A36AD9"/>
    <w:rsid w:val="00A3766F"/>
    <w:rsid w:val="00A4020B"/>
    <w:rsid w:val="00A40A8B"/>
    <w:rsid w:val="00A41E66"/>
    <w:rsid w:val="00A4428E"/>
    <w:rsid w:val="00A445A3"/>
    <w:rsid w:val="00A4516C"/>
    <w:rsid w:val="00A452C0"/>
    <w:rsid w:val="00A45997"/>
    <w:rsid w:val="00A51226"/>
    <w:rsid w:val="00A52CE4"/>
    <w:rsid w:val="00A53489"/>
    <w:rsid w:val="00A55AAD"/>
    <w:rsid w:val="00A55BCB"/>
    <w:rsid w:val="00A560D1"/>
    <w:rsid w:val="00A57026"/>
    <w:rsid w:val="00A600AF"/>
    <w:rsid w:val="00A628C4"/>
    <w:rsid w:val="00A62F73"/>
    <w:rsid w:val="00A64A4F"/>
    <w:rsid w:val="00A64C0E"/>
    <w:rsid w:val="00A65C70"/>
    <w:rsid w:val="00A6645E"/>
    <w:rsid w:val="00A6711F"/>
    <w:rsid w:val="00A700F7"/>
    <w:rsid w:val="00A70559"/>
    <w:rsid w:val="00A7182F"/>
    <w:rsid w:val="00A72335"/>
    <w:rsid w:val="00A73F89"/>
    <w:rsid w:val="00A741F2"/>
    <w:rsid w:val="00A7543E"/>
    <w:rsid w:val="00A7559F"/>
    <w:rsid w:val="00A7578F"/>
    <w:rsid w:val="00A76B10"/>
    <w:rsid w:val="00A76B51"/>
    <w:rsid w:val="00A77218"/>
    <w:rsid w:val="00A77AB8"/>
    <w:rsid w:val="00A77D73"/>
    <w:rsid w:val="00A83CAA"/>
    <w:rsid w:val="00A841A1"/>
    <w:rsid w:val="00A846DE"/>
    <w:rsid w:val="00A85820"/>
    <w:rsid w:val="00A85C39"/>
    <w:rsid w:val="00A865AA"/>
    <w:rsid w:val="00A86D3D"/>
    <w:rsid w:val="00A86E85"/>
    <w:rsid w:val="00A87C29"/>
    <w:rsid w:val="00A87DFE"/>
    <w:rsid w:val="00A90A2E"/>
    <w:rsid w:val="00A91323"/>
    <w:rsid w:val="00A92D58"/>
    <w:rsid w:val="00A93F02"/>
    <w:rsid w:val="00A95359"/>
    <w:rsid w:val="00A97426"/>
    <w:rsid w:val="00A974C2"/>
    <w:rsid w:val="00A97A17"/>
    <w:rsid w:val="00AA02B6"/>
    <w:rsid w:val="00AA05C1"/>
    <w:rsid w:val="00AA0678"/>
    <w:rsid w:val="00AA1DD0"/>
    <w:rsid w:val="00AA2190"/>
    <w:rsid w:val="00AA38F5"/>
    <w:rsid w:val="00AA4763"/>
    <w:rsid w:val="00AA48DF"/>
    <w:rsid w:val="00AA5720"/>
    <w:rsid w:val="00AA5BC2"/>
    <w:rsid w:val="00AA5C85"/>
    <w:rsid w:val="00AA6085"/>
    <w:rsid w:val="00AA62A6"/>
    <w:rsid w:val="00AA6B4A"/>
    <w:rsid w:val="00AA6C6C"/>
    <w:rsid w:val="00AA74F4"/>
    <w:rsid w:val="00AB0801"/>
    <w:rsid w:val="00AB0B33"/>
    <w:rsid w:val="00AB0D0C"/>
    <w:rsid w:val="00AB141B"/>
    <w:rsid w:val="00AB270A"/>
    <w:rsid w:val="00AB297A"/>
    <w:rsid w:val="00AB2F31"/>
    <w:rsid w:val="00AB529D"/>
    <w:rsid w:val="00AB54EF"/>
    <w:rsid w:val="00AB6C7E"/>
    <w:rsid w:val="00AB7338"/>
    <w:rsid w:val="00AB79CE"/>
    <w:rsid w:val="00AB7D2A"/>
    <w:rsid w:val="00AC01DA"/>
    <w:rsid w:val="00AC0622"/>
    <w:rsid w:val="00AC0789"/>
    <w:rsid w:val="00AC1F81"/>
    <w:rsid w:val="00AC35FD"/>
    <w:rsid w:val="00AC4909"/>
    <w:rsid w:val="00AC75BD"/>
    <w:rsid w:val="00AD0044"/>
    <w:rsid w:val="00AD0D22"/>
    <w:rsid w:val="00AD1352"/>
    <w:rsid w:val="00AD1D08"/>
    <w:rsid w:val="00AD2646"/>
    <w:rsid w:val="00AD29C2"/>
    <w:rsid w:val="00AD2C14"/>
    <w:rsid w:val="00AD3393"/>
    <w:rsid w:val="00AD44AB"/>
    <w:rsid w:val="00AD52C5"/>
    <w:rsid w:val="00AD5A9D"/>
    <w:rsid w:val="00AD65CA"/>
    <w:rsid w:val="00AD67E5"/>
    <w:rsid w:val="00AD7DD4"/>
    <w:rsid w:val="00AD7EEB"/>
    <w:rsid w:val="00AE0472"/>
    <w:rsid w:val="00AE08F3"/>
    <w:rsid w:val="00AE1694"/>
    <w:rsid w:val="00AE2033"/>
    <w:rsid w:val="00AE28A9"/>
    <w:rsid w:val="00AE4455"/>
    <w:rsid w:val="00AE6BE4"/>
    <w:rsid w:val="00AE7F6D"/>
    <w:rsid w:val="00AF039E"/>
    <w:rsid w:val="00AF1277"/>
    <w:rsid w:val="00AF2748"/>
    <w:rsid w:val="00AF2AFD"/>
    <w:rsid w:val="00AF3B25"/>
    <w:rsid w:val="00AF4958"/>
    <w:rsid w:val="00AF4C8D"/>
    <w:rsid w:val="00AF52F3"/>
    <w:rsid w:val="00AF5FB1"/>
    <w:rsid w:val="00AF6E99"/>
    <w:rsid w:val="00AF7111"/>
    <w:rsid w:val="00AF7779"/>
    <w:rsid w:val="00AF7C00"/>
    <w:rsid w:val="00B000BD"/>
    <w:rsid w:val="00B00481"/>
    <w:rsid w:val="00B00655"/>
    <w:rsid w:val="00B00735"/>
    <w:rsid w:val="00B01035"/>
    <w:rsid w:val="00B01DCF"/>
    <w:rsid w:val="00B01E98"/>
    <w:rsid w:val="00B0202E"/>
    <w:rsid w:val="00B02085"/>
    <w:rsid w:val="00B02BFA"/>
    <w:rsid w:val="00B04341"/>
    <w:rsid w:val="00B0474B"/>
    <w:rsid w:val="00B05003"/>
    <w:rsid w:val="00B05788"/>
    <w:rsid w:val="00B0623B"/>
    <w:rsid w:val="00B0773B"/>
    <w:rsid w:val="00B10268"/>
    <w:rsid w:val="00B11FE1"/>
    <w:rsid w:val="00B13099"/>
    <w:rsid w:val="00B130E1"/>
    <w:rsid w:val="00B14169"/>
    <w:rsid w:val="00B14B32"/>
    <w:rsid w:val="00B16950"/>
    <w:rsid w:val="00B16E81"/>
    <w:rsid w:val="00B20EB7"/>
    <w:rsid w:val="00B216F5"/>
    <w:rsid w:val="00B22C5C"/>
    <w:rsid w:val="00B22F8A"/>
    <w:rsid w:val="00B23B45"/>
    <w:rsid w:val="00B26BB4"/>
    <w:rsid w:val="00B26C48"/>
    <w:rsid w:val="00B27462"/>
    <w:rsid w:val="00B275C1"/>
    <w:rsid w:val="00B302FA"/>
    <w:rsid w:val="00B3137F"/>
    <w:rsid w:val="00B32512"/>
    <w:rsid w:val="00B32D77"/>
    <w:rsid w:val="00B3394E"/>
    <w:rsid w:val="00B34AF5"/>
    <w:rsid w:val="00B356C3"/>
    <w:rsid w:val="00B35988"/>
    <w:rsid w:val="00B36F39"/>
    <w:rsid w:val="00B374CE"/>
    <w:rsid w:val="00B377B0"/>
    <w:rsid w:val="00B37A53"/>
    <w:rsid w:val="00B41A4B"/>
    <w:rsid w:val="00B41E79"/>
    <w:rsid w:val="00B42841"/>
    <w:rsid w:val="00B442FE"/>
    <w:rsid w:val="00B44453"/>
    <w:rsid w:val="00B44B5C"/>
    <w:rsid w:val="00B459B5"/>
    <w:rsid w:val="00B4663F"/>
    <w:rsid w:val="00B46AD4"/>
    <w:rsid w:val="00B46D12"/>
    <w:rsid w:val="00B509FB"/>
    <w:rsid w:val="00B50D7D"/>
    <w:rsid w:val="00B51CD5"/>
    <w:rsid w:val="00B523D5"/>
    <w:rsid w:val="00B53703"/>
    <w:rsid w:val="00B53D23"/>
    <w:rsid w:val="00B540BC"/>
    <w:rsid w:val="00B551FF"/>
    <w:rsid w:val="00B5652D"/>
    <w:rsid w:val="00B607F7"/>
    <w:rsid w:val="00B61D0E"/>
    <w:rsid w:val="00B63855"/>
    <w:rsid w:val="00B65393"/>
    <w:rsid w:val="00B67024"/>
    <w:rsid w:val="00B67049"/>
    <w:rsid w:val="00B6746F"/>
    <w:rsid w:val="00B67507"/>
    <w:rsid w:val="00B71222"/>
    <w:rsid w:val="00B71F2F"/>
    <w:rsid w:val="00B72223"/>
    <w:rsid w:val="00B73B11"/>
    <w:rsid w:val="00B75793"/>
    <w:rsid w:val="00B76759"/>
    <w:rsid w:val="00B76A8A"/>
    <w:rsid w:val="00B76FFE"/>
    <w:rsid w:val="00B77AB2"/>
    <w:rsid w:val="00B77F7D"/>
    <w:rsid w:val="00B77FB9"/>
    <w:rsid w:val="00B801EA"/>
    <w:rsid w:val="00B80A4C"/>
    <w:rsid w:val="00B81189"/>
    <w:rsid w:val="00B8247E"/>
    <w:rsid w:val="00B830C9"/>
    <w:rsid w:val="00B83447"/>
    <w:rsid w:val="00B83791"/>
    <w:rsid w:val="00B8435F"/>
    <w:rsid w:val="00B85A91"/>
    <w:rsid w:val="00B85C5A"/>
    <w:rsid w:val="00B868B6"/>
    <w:rsid w:val="00B900AE"/>
    <w:rsid w:val="00B90C24"/>
    <w:rsid w:val="00B922FB"/>
    <w:rsid w:val="00B93640"/>
    <w:rsid w:val="00B95718"/>
    <w:rsid w:val="00B96D2E"/>
    <w:rsid w:val="00B9706D"/>
    <w:rsid w:val="00B97235"/>
    <w:rsid w:val="00B97C04"/>
    <w:rsid w:val="00B97DF1"/>
    <w:rsid w:val="00BA0226"/>
    <w:rsid w:val="00BA07DA"/>
    <w:rsid w:val="00BA2396"/>
    <w:rsid w:val="00BA2A05"/>
    <w:rsid w:val="00BA2A1D"/>
    <w:rsid w:val="00BA30E4"/>
    <w:rsid w:val="00BA3F9F"/>
    <w:rsid w:val="00BA4E78"/>
    <w:rsid w:val="00BA4F2D"/>
    <w:rsid w:val="00BA5DDB"/>
    <w:rsid w:val="00BB1BF8"/>
    <w:rsid w:val="00BB2844"/>
    <w:rsid w:val="00BB2B74"/>
    <w:rsid w:val="00BB2EEA"/>
    <w:rsid w:val="00BB38F7"/>
    <w:rsid w:val="00BB39AA"/>
    <w:rsid w:val="00BB416C"/>
    <w:rsid w:val="00BB419B"/>
    <w:rsid w:val="00BB516F"/>
    <w:rsid w:val="00BC1927"/>
    <w:rsid w:val="00BC2070"/>
    <w:rsid w:val="00BC25EE"/>
    <w:rsid w:val="00BC2722"/>
    <w:rsid w:val="00BC2E2A"/>
    <w:rsid w:val="00BC5D1F"/>
    <w:rsid w:val="00BC62E6"/>
    <w:rsid w:val="00BC6D92"/>
    <w:rsid w:val="00BC7826"/>
    <w:rsid w:val="00BC798A"/>
    <w:rsid w:val="00BD03D9"/>
    <w:rsid w:val="00BD10D3"/>
    <w:rsid w:val="00BD13B8"/>
    <w:rsid w:val="00BD1F6B"/>
    <w:rsid w:val="00BD2C81"/>
    <w:rsid w:val="00BD2E4F"/>
    <w:rsid w:val="00BD3581"/>
    <w:rsid w:val="00BD4DF7"/>
    <w:rsid w:val="00BD51B4"/>
    <w:rsid w:val="00BD6E11"/>
    <w:rsid w:val="00BD778B"/>
    <w:rsid w:val="00BE070F"/>
    <w:rsid w:val="00BE0764"/>
    <w:rsid w:val="00BE2295"/>
    <w:rsid w:val="00BE3664"/>
    <w:rsid w:val="00BE3BC6"/>
    <w:rsid w:val="00BE40F8"/>
    <w:rsid w:val="00BE4162"/>
    <w:rsid w:val="00BE46E2"/>
    <w:rsid w:val="00BE5F0D"/>
    <w:rsid w:val="00BE7B1F"/>
    <w:rsid w:val="00BF0B00"/>
    <w:rsid w:val="00BF0DBE"/>
    <w:rsid w:val="00BF1039"/>
    <w:rsid w:val="00BF1B13"/>
    <w:rsid w:val="00BF2037"/>
    <w:rsid w:val="00BF28CE"/>
    <w:rsid w:val="00BF2FFF"/>
    <w:rsid w:val="00BF4119"/>
    <w:rsid w:val="00BF4245"/>
    <w:rsid w:val="00BF4A7C"/>
    <w:rsid w:val="00BF4FC9"/>
    <w:rsid w:val="00BF5982"/>
    <w:rsid w:val="00BF5F81"/>
    <w:rsid w:val="00BF7549"/>
    <w:rsid w:val="00BF7979"/>
    <w:rsid w:val="00C01BE2"/>
    <w:rsid w:val="00C02081"/>
    <w:rsid w:val="00C036F4"/>
    <w:rsid w:val="00C041BF"/>
    <w:rsid w:val="00C043A2"/>
    <w:rsid w:val="00C04639"/>
    <w:rsid w:val="00C0466B"/>
    <w:rsid w:val="00C04902"/>
    <w:rsid w:val="00C04A8C"/>
    <w:rsid w:val="00C04D07"/>
    <w:rsid w:val="00C07A17"/>
    <w:rsid w:val="00C10F70"/>
    <w:rsid w:val="00C11DE5"/>
    <w:rsid w:val="00C12690"/>
    <w:rsid w:val="00C13AE2"/>
    <w:rsid w:val="00C13D43"/>
    <w:rsid w:val="00C15317"/>
    <w:rsid w:val="00C16017"/>
    <w:rsid w:val="00C16769"/>
    <w:rsid w:val="00C205E8"/>
    <w:rsid w:val="00C20F00"/>
    <w:rsid w:val="00C21348"/>
    <w:rsid w:val="00C222B2"/>
    <w:rsid w:val="00C22410"/>
    <w:rsid w:val="00C22612"/>
    <w:rsid w:val="00C238B5"/>
    <w:rsid w:val="00C238EC"/>
    <w:rsid w:val="00C23EDD"/>
    <w:rsid w:val="00C23F44"/>
    <w:rsid w:val="00C2523A"/>
    <w:rsid w:val="00C2533F"/>
    <w:rsid w:val="00C2548E"/>
    <w:rsid w:val="00C262F8"/>
    <w:rsid w:val="00C271D4"/>
    <w:rsid w:val="00C27875"/>
    <w:rsid w:val="00C27E64"/>
    <w:rsid w:val="00C31470"/>
    <w:rsid w:val="00C328DE"/>
    <w:rsid w:val="00C34405"/>
    <w:rsid w:val="00C34984"/>
    <w:rsid w:val="00C35839"/>
    <w:rsid w:val="00C358E1"/>
    <w:rsid w:val="00C35E7D"/>
    <w:rsid w:val="00C3613B"/>
    <w:rsid w:val="00C40911"/>
    <w:rsid w:val="00C420B4"/>
    <w:rsid w:val="00C42F84"/>
    <w:rsid w:val="00C430EA"/>
    <w:rsid w:val="00C4340A"/>
    <w:rsid w:val="00C43F88"/>
    <w:rsid w:val="00C451EC"/>
    <w:rsid w:val="00C46652"/>
    <w:rsid w:val="00C4694C"/>
    <w:rsid w:val="00C46FA9"/>
    <w:rsid w:val="00C5088B"/>
    <w:rsid w:val="00C51343"/>
    <w:rsid w:val="00C52E0B"/>
    <w:rsid w:val="00C52EAA"/>
    <w:rsid w:val="00C554D5"/>
    <w:rsid w:val="00C57D6F"/>
    <w:rsid w:val="00C60861"/>
    <w:rsid w:val="00C60BFC"/>
    <w:rsid w:val="00C613E8"/>
    <w:rsid w:val="00C621EB"/>
    <w:rsid w:val="00C62344"/>
    <w:rsid w:val="00C62DF5"/>
    <w:rsid w:val="00C632D5"/>
    <w:rsid w:val="00C633DA"/>
    <w:rsid w:val="00C634BD"/>
    <w:rsid w:val="00C63BC4"/>
    <w:rsid w:val="00C64B05"/>
    <w:rsid w:val="00C67D6F"/>
    <w:rsid w:val="00C70713"/>
    <w:rsid w:val="00C70E10"/>
    <w:rsid w:val="00C71C0D"/>
    <w:rsid w:val="00C73511"/>
    <w:rsid w:val="00C74D30"/>
    <w:rsid w:val="00C75750"/>
    <w:rsid w:val="00C77154"/>
    <w:rsid w:val="00C77876"/>
    <w:rsid w:val="00C8074A"/>
    <w:rsid w:val="00C817F8"/>
    <w:rsid w:val="00C82329"/>
    <w:rsid w:val="00C829C0"/>
    <w:rsid w:val="00C83098"/>
    <w:rsid w:val="00C83656"/>
    <w:rsid w:val="00C8377C"/>
    <w:rsid w:val="00C842CF"/>
    <w:rsid w:val="00C85521"/>
    <w:rsid w:val="00C8577D"/>
    <w:rsid w:val="00C86345"/>
    <w:rsid w:val="00C87868"/>
    <w:rsid w:val="00C90912"/>
    <w:rsid w:val="00C92A31"/>
    <w:rsid w:val="00C92D78"/>
    <w:rsid w:val="00C92EF9"/>
    <w:rsid w:val="00C93AE0"/>
    <w:rsid w:val="00C94543"/>
    <w:rsid w:val="00C94C4A"/>
    <w:rsid w:val="00C950D2"/>
    <w:rsid w:val="00C95424"/>
    <w:rsid w:val="00C96281"/>
    <w:rsid w:val="00C9771C"/>
    <w:rsid w:val="00CA038D"/>
    <w:rsid w:val="00CA0F2B"/>
    <w:rsid w:val="00CA14C7"/>
    <w:rsid w:val="00CA1776"/>
    <w:rsid w:val="00CA2CAA"/>
    <w:rsid w:val="00CA4D39"/>
    <w:rsid w:val="00CA5484"/>
    <w:rsid w:val="00CA6A0C"/>
    <w:rsid w:val="00CB0037"/>
    <w:rsid w:val="00CB0721"/>
    <w:rsid w:val="00CB087D"/>
    <w:rsid w:val="00CB1B46"/>
    <w:rsid w:val="00CB268D"/>
    <w:rsid w:val="00CB2BD9"/>
    <w:rsid w:val="00CB4414"/>
    <w:rsid w:val="00CB5FC0"/>
    <w:rsid w:val="00CB71B8"/>
    <w:rsid w:val="00CB757E"/>
    <w:rsid w:val="00CB788A"/>
    <w:rsid w:val="00CB7F23"/>
    <w:rsid w:val="00CC32B0"/>
    <w:rsid w:val="00CC3786"/>
    <w:rsid w:val="00CC4AA0"/>
    <w:rsid w:val="00CC51B1"/>
    <w:rsid w:val="00CC73F0"/>
    <w:rsid w:val="00CC7887"/>
    <w:rsid w:val="00CC7961"/>
    <w:rsid w:val="00CD0DE0"/>
    <w:rsid w:val="00CD0EF3"/>
    <w:rsid w:val="00CD1663"/>
    <w:rsid w:val="00CD1FD0"/>
    <w:rsid w:val="00CD2066"/>
    <w:rsid w:val="00CD543A"/>
    <w:rsid w:val="00CD5955"/>
    <w:rsid w:val="00CD609B"/>
    <w:rsid w:val="00CD6139"/>
    <w:rsid w:val="00CD6D59"/>
    <w:rsid w:val="00CE04EC"/>
    <w:rsid w:val="00CE1CB3"/>
    <w:rsid w:val="00CE2B09"/>
    <w:rsid w:val="00CE2F39"/>
    <w:rsid w:val="00CE3365"/>
    <w:rsid w:val="00CE3775"/>
    <w:rsid w:val="00CE37C7"/>
    <w:rsid w:val="00CE5263"/>
    <w:rsid w:val="00CE61AA"/>
    <w:rsid w:val="00CE7A96"/>
    <w:rsid w:val="00CE7D9A"/>
    <w:rsid w:val="00CF0640"/>
    <w:rsid w:val="00CF0C80"/>
    <w:rsid w:val="00CF0F67"/>
    <w:rsid w:val="00CF144B"/>
    <w:rsid w:val="00CF19E5"/>
    <w:rsid w:val="00CF4D8A"/>
    <w:rsid w:val="00CF50FA"/>
    <w:rsid w:val="00CF5A27"/>
    <w:rsid w:val="00CF6A18"/>
    <w:rsid w:val="00CF7C76"/>
    <w:rsid w:val="00D0137E"/>
    <w:rsid w:val="00D0277B"/>
    <w:rsid w:val="00D0308A"/>
    <w:rsid w:val="00D033AB"/>
    <w:rsid w:val="00D036D8"/>
    <w:rsid w:val="00D0438F"/>
    <w:rsid w:val="00D0512A"/>
    <w:rsid w:val="00D06B62"/>
    <w:rsid w:val="00D06BF2"/>
    <w:rsid w:val="00D06CE1"/>
    <w:rsid w:val="00D06EAA"/>
    <w:rsid w:val="00D07E7B"/>
    <w:rsid w:val="00D108C4"/>
    <w:rsid w:val="00D10CE3"/>
    <w:rsid w:val="00D113BB"/>
    <w:rsid w:val="00D14879"/>
    <w:rsid w:val="00D14D9C"/>
    <w:rsid w:val="00D15192"/>
    <w:rsid w:val="00D15F51"/>
    <w:rsid w:val="00D16C5F"/>
    <w:rsid w:val="00D17065"/>
    <w:rsid w:val="00D173EB"/>
    <w:rsid w:val="00D204BE"/>
    <w:rsid w:val="00D20AEB"/>
    <w:rsid w:val="00D226AE"/>
    <w:rsid w:val="00D2283C"/>
    <w:rsid w:val="00D23A89"/>
    <w:rsid w:val="00D2421E"/>
    <w:rsid w:val="00D2626A"/>
    <w:rsid w:val="00D26A47"/>
    <w:rsid w:val="00D2793A"/>
    <w:rsid w:val="00D27CD1"/>
    <w:rsid w:val="00D3059E"/>
    <w:rsid w:val="00D314C2"/>
    <w:rsid w:val="00D318F5"/>
    <w:rsid w:val="00D3254A"/>
    <w:rsid w:val="00D3272E"/>
    <w:rsid w:val="00D329ED"/>
    <w:rsid w:val="00D333F2"/>
    <w:rsid w:val="00D334ED"/>
    <w:rsid w:val="00D35F8D"/>
    <w:rsid w:val="00D36016"/>
    <w:rsid w:val="00D3725B"/>
    <w:rsid w:val="00D37938"/>
    <w:rsid w:val="00D40F5A"/>
    <w:rsid w:val="00D4137B"/>
    <w:rsid w:val="00D41E42"/>
    <w:rsid w:val="00D4267B"/>
    <w:rsid w:val="00D42E57"/>
    <w:rsid w:val="00D4502A"/>
    <w:rsid w:val="00D47224"/>
    <w:rsid w:val="00D4752C"/>
    <w:rsid w:val="00D47B10"/>
    <w:rsid w:val="00D47D88"/>
    <w:rsid w:val="00D50814"/>
    <w:rsid w:val="00D52185"/>
    <w:rsid w:val="00D538C1"/>
    <w:rsid w:val="00D53AE1"/>
    <w:rsid w:val="00D53C1F"/>
    <w:rsid w:val="00D53C4D"/>
    <w:rsid w:val="00D547D4"/>
    <w:rsid w:val="00D56C16"/>
    <w:rsid w:val="00D60C9E"/>
    <w:rsid w:val="00D61425"/>
    <w:rsid w:val="00D63FBC"/>
    <w:rsid w:val="00D64E17"/>
    <w:rsid w:val="00D70BEF"/>
    <w:rsid w:val="00D70F99"/>
    <w:rsid w:val="00D72A79"/>
    <w:rsid w:val="00D75D87"/>
    <w:rsid w:val="00D76F6B"/>
    <w:rsid w:val="00D7711F"/>
    <w:rsid w:val="00D7747A"/>
    <w:rsid w:val="00D80850"/>
    <w:rsid w:val="00D81167"/>
    <w:rsid w:val="00D8133F"/>
    <w:rsid w:val="00D814C3"/>
    <w:rsid w:val="00D81642"/>
    <w:rsid w:val="00D8224F"/>
    <w:rsid w:val="00D83320"/>
    <w:rsid w:val="00D84AF9"/>
    <w:rsid w:val="00D8517B"/>
    <w:rsid w:val="00D86567"/>
    <w:rsid w:val="00D87074"/>
    <w:rsid w:val="00D901F4"/>
    <w:rsid w:val="00D9061A"/>
    <w:rsid w:val="00D90815"/>
    <w:rsid w:val="00D9181D"/>
    <w:rsid w:val="00D92329"/>
    <w:rsid w:val="00D936C3"/>
    <w:rsid w:val="00D95952"/>
    <w:rsid w:val="00DA053D"/>
    <w:rsid w:val="00DA071C"/>
    <w:rsid w:val="00DA15FE"/>
    <w:rsid w:val="00DA2F95"/>
    <w:rsid w:val="00DA3E60"/>
    <w:rsid w:val="00DA49FA"/>
    <w:rsid w:val="00DA53A6"/>
    <w:rsid w:val="00DA57B5"/>
    <w:rsid w:val="00DA6B37"/>
    <w:rsid w:val="00DA7A2D"/>
    <w:rsid w:val="00DA7DC2"/>
    <w:rsid w:val="00DB08B2"/>
    <w:rsid w:val="00DB0EFB"/>
    <w:rsid w:val="00DB24D4"/>
    <w:rsid w:val="00DB42F1"/>
    <w:rsid w:val="00DB43FC"/>
    <w:rsid w:val="00DB5BBE"/>
    <w:rsid w:val="00DB66BF"/>
    <w:rsid w:val="00DB6A9B"/>
    <w:rsid w:val="00DB6DE9"/>
    <w:rsid w:val="00DC09C1"/>
    <w:rsid w:val="00DC2881"/>
    <w:rsid w:val="00DC34D5"/>
    <w:rsid w:val="00DC4ABB"/>
    <w:rsid w:val="00DC4F1F"/>
    <w:rsid w:val="00DC5905"/>
    <w:rsid w:val="00DC5C98"/>
    <w:rsid w:val="00DC627A"/>
    <w:rsid w:val="00DC692F"/>
    <w:rsid w:val="00DC69D6"/>
    <w:rsid w:val="00DC6CA1"/>
    <w:rsid w:val="00DC7D9F"/>
    <w:rsid w:val="00DD04FA"/>
    <w:rsid w:val="00DD234C"/>
    <w:rsid w:val="00DD2E19"/>
    <w:rsid w:val="00DD3C24"/>
    <w:rsid w:val="00DD3D0E"/>
    <w:rsid w:val="00DD4083"/>
    <w:rsid w:val="00DD48FC"/>
    <w:rsid w:val="00DD70B9"/>
    <w:rsid w:val="00DD735F"/>
    <w:rsid w:val="00DD7415"/>
    <w:rsid w:val="00DE18F0"/>
    <w:rsid w:val="00DE209E"/>
    <w:rsid w:val="00DE3599"/>
    <w:rsid w:val="00DE3878"/>
    <w:rsid w:val="00DE54C9"/>
    <w:rsid w:val="00DE566B"/>
    <w:rsid w:val="00DE5F6F"/>
    <w:rsid w:val="00DE68BE"/>
    <w:rsid w:val="00DE7010"/>
    <w:rsid w:val="00DE7220"/>
    <w:rsid w:val="00DE76C0"/>
    <w:rsid w:val="00DE7D07"/>
    <w:rsid w:val="00DF06E0"/>
    <w:rsid w:val="00DF11EE"/>
    <w:rsid w:val="00DF1BB7"/>
    <w:rsid w:val="00DF1CCF"/>
    <w:rsid w:val="00DF2391"/>
    <w:rsid w:val="00DF2DB8"/>
    <w:rsid w:val="00DF3BFF"/>
    <w:rsid w:val="00DF462C"/>
    <w:rsid w:val="00DF5DF4"/>
    <w:rsid w:val="00DF6CBB"/>
    <w:rsid w:val="00DF6D17"/>
    <w:rsid w:val="00DF7003"/>
    <w:rsid w:val="00DF7DCB"/>
    <w:rsid w:val="00DF7F85"/>
    <w:rsid w:val="00E00A5A"/>
    <w:rsid w:val="00E015A7"/>
    <w:rsid w:val="00E036E0"/>
    <w:rsid w:val="00E060C3"/>
    <w:rsid w:val="00E11126"/>
    <w:rsid w:val="00E11DD6"/>
    <w:rsid w:val="00E122DC"/>
    <w:rsid w:val="00E125D2"/>
    <w:rsid w:val="00E12AC1"/>
    <w:rsid w:val="00E131D5"/>
    <w:rsid w:val="00E14FE9"/>
    <w:rsid w:val="00E154F8"/>
    <w:rsid w:val="00E16301"/>
    <w:rsid w:val="00E1661B"/>
    <w:rsid w:val="00E17039"/>
    <w:rsid w:val="00E17969"/>
    <w:rsid w:val="00E2010A"/>
    <w:rsid w:val="00E20D28"/>
    <w:rsid w:val="00E20E82"/>
    <w:rsid w:val="00E22BA4"/>
    <w:rsid w:val="00E22BB8"/>
    <w:rsid w:val="00E23DB5"/>
    <w:rsid w:val="00E2479C"/>
    <w:rsid w:val="00E277D2"/>
    <w:rsid w:val="00E27813"/>
    <w:rsid w:val="00E31D3C"/>
    <w:rsid w:val="00E31DAB"/>
    <w:rsid w:val="00E329E8"/>
    <w:rsid w:val="00E32AE9"/>
    <w:rsid w:val="00E33B66"/>
    <w:rsid w:val="00E34067"/>
    <w:rsid w:val="00E359BD"/>
    <w:rsid w:val="00E362C2"/>
    <w:rsid w:val="00E36B02"/>
    <w:rsid w:val="00E37670"/>
    <w:rsid w:val="00E37C58"/>
    <w:rsid w:val="00E415AD"/>
    <w:rsid w:val="00E4175C"/>
    <w:rsid w:val="00E424EA"/>
    <w:rsid w:val="00E426BF"/>
    <w:rsid w:val="00E42DB0"/>
    <w:rsid w:val="00E44157"/>
    <w:rsid w:val="00E45163"/>
    <w:rsid w:val="00E4539A"/>
    <w:rsid w:val="00E4604E"/>
    <w:rsid w:val="00E47798"/>
    <w:rsid w:val="00E52AF4"/>
    <w:rsid w:val="00E545A7"/>
    <w:rsid w:val="00E554D8"/>
    <w:rsid w:val="00E5642A"/>
    <w:rsid w:val="00E609C6"/>
    <w:rsid w:val="00E60AF3"/>
    <w:rsid w:val="00E60EAC"/>
    <w:rsid w:val="00E6105D"/>
    <w:rsid w:val="00E61FD7"/>
    <w:rsid w:val="00E63F90"/>
    <w:rsid w:val="00E64092"/>
    <w:rsid w:val="00E669DA"/>
    <w:rsid w:val="00E66BC2"/>
    <w:rsid w:val="00E70AD1"/>
    <w:rsid w:val="00E70DC2"/>
    <w:rsid w:val="00E70E51"/>
    <w:rsid w:val="00E72772"/>
    <w:rsid w:val="00E72DF6"/>
    <w:rsid w:val="00E73C78"/>
    <w:rsid w:val="00E73CA7"/>
    <w:rsid w:val="00E74D5A"/>
    <w:rsid w:val="00E750BC"/>
    <w:rsid w:val="00E75165"/>
    <w:rsid w:val="00E75C1F"/>
    <w:rsid w:val="00E76044"/>
    <w:rsid w:val="00E766B8"/>
    <w:rsid w:val="00E7744B"/>
    <w:rsid w:val="00E80885"/>
    <w:rsid w:val="00E808F0"/>
    <w:rsid w:val="00E811DD"/>
    <w:rsid w:val="00E82515"/>
    <w:rsid w:val="00E82708"/>
    <w:rsid w:val="00E836D2"/>
    <w:rsid w:val="00E84501"/>
    <w:rsid w:val="00E85C8B"/>
    <w:rsid w:val="00E872F7"/>
    <w:rsid w:val="00E8740A"/>
    <w:rsid w:val="00E90A16"/>
    <w:rsid w:val="00E918FB"/>
    <w:rsid w:val="00E91DE1"/>
    <w:rsid w:val="00E91E25"/>
    <w:rsid w:val="00E922BA"/>
    <w:rsid w:val="00E92B86"/>
    <w:rsid w:val="00E93646"/>
    <w:rsid w:val="00E93662"/>
    <w:rsid w:val="00E94C2F"/>
    <w:rsid w:val="00E94FAE"/>
    <w:rsid w:val="00E95B98"/>
    <w:rsid w:val="00E963C8"/>
    <w:rsid w:val="00E96461"/>
    <w:rsid w:val="00E968E0"/>
    <w:rsid w:val="00EA031B"/>
    <w:rsid w:val="00EA119C"/>
    <w:rsid w:val="00EA17BE"/>
    <w:rsid w:val="00EA22E2"/>
    <w:rsid w:val="00EA2814"/>
    <w:rsid w:val="00EA57C8"/>
    <w:rsid w:val="00EA6162"/>
    <w:rsid w:val="00EA6363"/>
    <w:rsid w:val="00EA6453"/>
    <w:rsid w:val="00EA79DB"/>
    <w:rsid w:val="00EB043A"/>
    <w:rsid w:val="00EB0C54"/>
    <w:rsid w:val="00EB2CD2"/>
    <w:rsid w:val="00EB2DF5"/>
    <w:rsid w:val="00EB32F0"/>
    <w:rsid w:val="00EB34B6"/>
    <w:rsid w:val="00EB44D6"/>
    <w:rsid w:val="00EB49C1"/>
    <w:rsid w:val="00EB57C9"/>
    <w:rsid w:val="00EB662D"/>
    <w:rsid w:val="00EB6690"/>
    <w:rsid w:val="00EB7B6D"/>
    <w:rsid w:val="00EB7CEA"/>
    <w:rsid w:val="00EC06F9"/>
    <w:rsid w:val="00EC1536"/>
    <w:rsid w:val="00EC1B11"/>
    <w:rsid w:val="00EC2206"/>
    <w:rsid w:val="00EC2C89"/>
    <w:rsid w:val="00EC375A"/>
    <w:rsid w:val="00EC3B96"/>
    <w:rsid w:val="00EC3C48"/>
    <w:rsid w:val="00EC3E3C"/>
    <w:rsid w:val="00EC407A"/>
    <w:rsid w:val="00EC4E95"/>
    <w:rsid w:val="00EC5E8B"/>
    <w:rsid w:val="00EC604A"/>
    <w:rsid w:val="00EC6669"/>
    <w:rsid w:val="00EC6B70"/>
    <w:rsid w:val="00ED1482"/>
    <w:rsid w:val="00ED19B3"/>
    <w:rsid w:val="00ED3AF5"/>
    <w:rsid w:val="00ED428A"/>
    <w:rsid w:val="00ED54D3"/>
    <w:rsid w:val="00ED5BCA"/>
    <w:rsid w:val="00ED67C6"/>
    <w:rsid w:val="00ED68D6"/>
    <w:rsid w:val="00ED6FE3"/>
    <w:rsid w:val="00ED7519"/>
    <w:rsid w:val="00ED7891"/>
    <w:rsid w:val="00EE07D1"/>
    <w:rsid w:val="00EE1B94"/>
    <w:rsid w:val="00EE2E22"/>
    <w:rsid w:val="00EE45D2"/>
    <w:rsid w:val="00EE4CA8"/>
    <w:rsid w:val="00EE5309"/>
    <w:rsid w:val="00EE67B7"/>
    <w:rsid w:val="00EE68B6"/>
    <w:rsid w:val="00EE68EE"/>
    <w:rsid w:val="00EE7124"/>
    <w:rsid w:val="00EE7AC7"/>
    <w:rsid w:val="00EF093F"/>
    <w:rsid w:val="00EF0D8C"/>
    <w:rsid w:val="00EF228D"/>
    <w:rsid w:val="00EF334B"/>
    <w:rsid w:val="00EF39EC"/>
    <w:rsid w:val="00EF47D0"/>
    <w:rsid w:val="00EF57A3"/>
    <w:rsid w:val="00EF6F61"/>
    <w:rsid w:val="00EF7850"/>
    <w:rsid w:val="00EF7C8B"/>
    <w:rsid w:val="00EF7CA8"/>
    <w:rsid w:val="00F02F82"/>
    <w:rsid w:val="00F0314D"/>
    <w:rsid w:val="00F043CE"/>
    <w:rsid w:val="00F04419"/>
    <w:rsid w:val="00F05ADC"/>
    <w:rsid w:val="00F06B8C"/>
    <w:rsid w:val="00F07F77"/>
    <w:rsid w:val="00F10613"/>
    <w:rsid w:val="00F118AA"/>
    <w:rsid w:val="00F128FD"/>
    <w:rsid w:val="00F12CF4"/>
    <w:rsid w:val="00F13030"/>
    <w:rsid w:val="00F15DFE"/>
    <w:rsid w:val="00F1783A"/>
    <w:rsid w:val="00F179B0"/>
    <w:rsid w:val="00F20396"/>
    <w:rsid w:val="00F206AA"/>
    <w:rsid w:val="00F22547"/>
    <w:rsid w:val="00F2313F"/>
    <w:rsid w:val="00F237A6"/>
    <w:rsid w:val="00F24E01"/>
    <w:rsid w:val="00F259EB"/>
    <w:rsid w:val="00F25E62"/>
    <w:rsid w:val="00F26BC9"/>
    <w:rsid w:val="00F273F3"/>
    <w:rsid w:val="00F30499"/>
    <w:rsid w:val="00F30B4F"/>
    <w:rsid w:val="00F317BD"/>
    <w:rsid w:val="00F3194D"/>
    <w:rsid w:val="00F31A1E"/>
    <w:rsid w:val="00F31FC8"/>
    <w:rsid w:val="00F3260B"/>
    <w:rsid w:val="00F3465D"/>
    <w:rsid w:val="00F34C03"/>
    <w:rsid w:val="00F362A8"/>
    <w:rsid w:val="00F36709"/>
    <w:rsid w:val="00F367D9"/>
    <w:rsid w:val="00F368AE"/>
    <w:rsid w:val="00F37638"/>
    <w:rsid w:val="00F3790F"/>
    <w:rsid w:val="00F37F54"/>
    <w:rsid w:val="00F404DC"/>
    <w:rsid w:val="00F40632"/>
    <w:rsid w:val="00F41A9D"/>
    <w:rsid w:val="00F41CAA"/>
    <w:rsid w:val="00F433F5"/>
    <w:rsid w:val="00F44693"/>
    <w:rsid w:val="00F4477A"/>
    <w:rsid w:val="00F4532F"/>
    <w:rsid w:val="00F45F4E"/>
    <w:rsid w:val="00F46C89"/>
    <w:rsid w:val="00F46EFC"/>
    <w:rsid w:val="00F50D5B"/>
    <w:rsid w:val="00F51176"/>
    <w:rsid w:val="00F53471"/>
    <w:rsid w:val="00F5439A"/>
    <w:rsid w:val="00F54DFE"/>
    <w:rsid w:val="00F54ED3"/>
    <w:rsid w:val="00F54F30"/>
    <w:rsid w:val="00F56890"/>
    <w:rsid w:val="00F57A52"/>
    <w:rsid w:val="00F57B10"/>
    <w:rsid w:val="00F6092D"/>
    <w:rsid w:val="00F61D43"/>
    <w:rsid w:val="00F62BB4"/>
    <w:rsid w:val="00F63CB2"/>
    <w:rsid w:val="00F64815"/>
    <w:rsid w:val="00F649E3"/>
    <w:rsid w:val="00F657E9"/>
    <w:rsid w:val="00F662C3"/>
    <w:rsid w:val="00F67071"/>
    <w:rsid w:val="00F71289"/>
    <w:rsid w:val="00F714E2"/>
    <w:rsid w:val="00F7296D"/>
    <w:rsid w:val="00F73014"/>
    <w:rsid w:val="00F73102"/>
    <w:rsid w:val="00F7441B"/>
    <w:rsid w:val="00F74776"/>
    <w:rsid w:val="00F75A63"/>
    <w:rsid w:val="00F77707"/>
    <w:rsid w:val="00F778CE"/>
    <w:rsid w:val="00F77CFD"/>
    <w:rsid w:val="00F77D18"/>
    <w:rsid w:val="00F80A81"/>
    <w:rsid w:val="00F80C67"/>
    <w:rsid w:val="00F82A38"/>
    <w:rsid w:val="00F83499"/>
    <w:rsid w:val="00F83E87"/>
    <w:rsid w:val="00F842CD"/>
    <w:rsid w:val="00F846B0"/>
    <w:rsid w:val="00F8634F"/>
    <w:rsid w:val="00F91A78"/>
    <w:rsid w:val="00F94F61"/>
    <w:rsid w:val="00F96830"/>
    <w:rsid w:val="00FA2081"/>
    <w:rsid w:val="00FA3023"/>
    <w:rsid w:val="00FA3D9A"/>
    <w:rsid w:val="00FA46E2"/>
    <w:rsid w:val="00FA503E"/>
    <w:rsid w:val="00FA50CC"/>
    <w:rsid w:val="00FA6A8E"/>
    <w:rsid w:val="00FA7429"/>
    <w:rsid w:val="00FA7DDE"/>
    <w:rsid w:val="00FB08B7"/>
    <w:rsid w:val="00FB1189"/>
    <w:rsid w:val="00FB1450"/>
    <w:rsid w:val="00FB21D6"/>
    <w:rsid w:val="00FB24C8"/>
    <w:rsid w:val="00FB26DB"/>
    <w:rsid w:val="00FB2B5F"/>
    <w:rsid w:val="00FB370B"/>
    <w:rsid w:val="00FB4055"/>
    <w:rsid w:val="00FB55B8"/>
    <w:rsid w:val="00FC07D1"/>
    <w:rsid w:val="00FC0BE3"/>
    <w:rsid w:val="00FC244E"/>
    <w:rsid w:val="00FC270B"/>
    <w:rsid w:val="00FC2744"/>
    <w:rsid w:val="00FC7CF4"/>
    <w:rsid w:val="00FC7D5B"/>
    <w:rsid w:val="00FD0139"/>
    <w:rsid w:val="00FD1293"/>
    <w:rsid w:val="00FD17A1"/>
    <w:rsid w:val="00FD1A11"/>
    <w:rsid w:val="00FD1E70"/>
    <w:rsid w:val="00FD2045"/>
    <w:rsid w:val="00FD26A3"/>
    <w:rsid w:val="00FD2F23"/>
    <w:rsid w:val="00FD4A56"/>
    <w:rsid w:val="00FD6682"/>
    <w:rsid w:val="00FD6E1F"/>
    <w:rsid w:val="00FD797A"/>
    <w:rsid w:val="00FE1085"/>
    <w:rsid w:val="00FE16DD"/>
    <w:rsid w:val="00FE2446"/>
    <w:rsid w:val="00FE266F"/>
    <w:rsid w:val="00FE2F65"/>
    <w:rsid w:val="00FE37D4"/>
    <w:rsid w:val="00FE3857"/>
    <w:rsid w:val="00FE3890"/>
    <w:rsid w:val="00FE5148"/>
    <w:rsid w:val="00FE51E4"/>
    <w:rsid w:val="00FE7942"/>
    <w:rsid w:val="00FE7AB4"/>
    <w:rsid w:val="00FF0313"/>
    <w:rsid w:val="00FF1B36"/>
    <w:rsid w:val="00FF1D53"/>
    <w:rsid w:val="00FF3064"/>
    <w:rsid w:val="00FF7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1C04E5F"/>
  <w15:docId w15:val="{21DC7862-28BD-4439-8CB3-5D3D04ED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B36"/>
    <w:pPr>
      <w:spacing w:after="240" w:line="360" w:lineRule="auto"/>
      <w:ind w:firstLine="340"/>
      <w:jc w:val="both"/>
    </w:pPr>
    <w:rPr>
      <w:rFonts w:ascii="Times New Roman" w:hAnsi="Times New Roman"/>
      <w:sz w:val="24"/>
    </w:rPr>
  </w:style>
  <w:style w:type="paragraph" w:styleId="Heading1">
    <w:name w:val="heading 1"/>
    <w:basedOn w:val="Normal"/>
    <w:next w:val="Normal"/>
    <w:link w:val="Heading1Char"/>
    <w:uiPriority w:val="9"/>
    <w:qFormat/>
    <w:rsid w:val="00DF2DB8"/>
    <w:pPr>
      <w:keepNext/>
      <w:keepLines/>
      <w:numPr>
        <w:numId w:val="8"/>
      </w:numPr>
      <w:spacing w:before="240" w:line="240" w:lineRule="auto"/>
      <w:ind w:left="431" w:hanging="431"/>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245467"/>
    <w:pPr>
      <w:keepNext/>
      <w:keepLines/>
      <w:numPr>
        <w:ilvl w:val="1"/>
        <w:numId w:val="8"/>
      </w:numPr>
      <w:spacing w:line="240" w:lineRule="auto"/>
      <w:outlineLvl w:val="1"/>
    </w:pPr>
    <w:rPr>
      <w:rFonts w:eastAsiaTheme="majorEastAsia" w:cstheme="majorBidi"/>
      <w:b/>
      <w:i/>
      <w:szCs w:val="26"/>
    </w:rPr>
  </w:style>
  <w:style w:type="paragraph" w:styleId="Heading3">
    <w:name w:val="heading 3"/>
    <w:basedOn w:val="Normal"/>
    <w:link w:val="Heading3Char"/>
    <w:uiPriority w:val="9"/>
    <w:qFormat/>
    <w:rsid w:val="006A15EF"/>
    <w:pPr>
      <w:keepNext/>
      <w:numPr>
        <w:ilvl w:val="2"/>
        <w:numId w:val="8"/>
      </w:numPr>
      <w:spacing w:after="120" w:line="240" w:lineRule="auto"/>
      <w:outlineLvl w:val="2"/>
    </w:pPr>
    <w:rPr>
      <w:rFonts w:eastAsia="Times New Roman" w:cs="Times New Roman"/>
      <w:bCs/>
      <w:i/>
      <w:szCs w:val="27"/>
      <w:lang w:eastAsia="it-IT"/>
    </w:rPr>
  </w:style>
  <w:style w:type="paragraph" w:styleId="Heading4">
    <w:name w:val="heading 4"/>
    <w:basedOn w:val="Normal"/>
    <w:next w:val="Normal"/>
    <w:link w:val="Heading4Char"/>
    <w:uiPriority w:val="9"/>
    <w:unhideWhenUsed/>
    <w:qFormat/>
    <w:rsid w:val="00245467"/>
    <w:pPr>
      <w:keepNext/>
      <w:keepLines/>
      <w:numPr>
        <w:ilvl w:val="3"/>
        <w:numId w:val="8"/>
      </w:numPr>
      <w:spacing w:before="240" w:line="240" w:lineRule="auto"/>
      <w:jc w:val="center"/>
      <w:outlineLvl w:val="3"/>
    </w:pPr>
    <w:rPr>
      <w:rFonts w:eastAsiaTheme="majorEastAsia" w:cstheme="majorBidi"/>
      <w:b/>
      <w:iCs/>
      <w:sz w:val="28"/>
    </w:rPr>
  </w:style>
  <w:style w:type="paragraph" w:styleId="Heading5">
    <w:name w:val="heading 5"/>
    <w:basedOn w:val="Normal"/>
    <w:next w:val="Normal"/>
    <w:link w:val="Heading5Char"/>
    <w:uiPriority w:val="9"/>
    <w:semiHidden/>
    <w:unhideWhenUsed/>
    <w:qFormat/>
    <w:rsid w:val="00245467"/>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45467"/>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45467"/>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45467"/>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5467"/>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1B36"/>
    <w:pPr>
      <w:spacing w:after="0" w:line="240" w:lineRule="auto"/>
      <w:ind w:firstLine="0"/>
    </w:pPr>
    <w:rPr>
      <w:sz w:val="20"/>
      <w:szCs w:val="20"/>
    </w:rPr>
  </w:style>
  <w:style w:type="character" w:customStyle="1" w:styleId="FootnoteTextChar">
    <w:name w:val="Footnote Text Char"/>
    <w:basedOn w:val="DefaultParagraphFont"/>
    <w:link w:val="FootnoteText"/>
    <w:uiPriority w:val="99"/>
    <w:semiHidden/>
    <w:rsid w:val="00FF1B36"/>
    <w:rPr>
      <w:rFonts w:ascii="Times New Roman" w:hAnsi="Times New Roman"/>
      <w:sz w:val="20"/>
      <w:szCs w:val="20"/>
    </w:rPr>
  </w:style>
  <w:style w:type="character" w:styleId="FootnoteReference">
    <w:name w:val="footnote reference"/>
    <w:basedOn w:val="DefaultParagraphFont"/>
    <w:uiPriority w:val="99"/>
    <w:semiHidden/>
    <w:unhideWhenUsed/>
    <w:rsid w:val="000011E2"/>
    <w:rPr>
      <w:vertAlign w:val="superscript"/>
    </w:rPr>
  </w:style>
  <w:style w:type="paragraph" w:styleId="Header">
    <w:name w:val="header"/>
    <w:basedOn w:val="Normal"/>
    <w:link w:val="HeaderChar"/>
    <w:uiPriority w:val="99"/>
    <w:unhideWhenUsed/>
    <w:rsid w:val="00B4445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44453"/>
  </w:style>
  <w:style w:type="paragraph" w:styleId="Footer">
    <w:name w:val="footer"/>
    <w:basedOn w:val="Normal"/>
    <w:link w:val="FooterChar"/>
    <w:uiPriority w:val="99"/>
    <w:unhideWhenUsed/>
    <w:rsid w:val="00B44453"/>
    <w:pPr>
      <w:tabs>
        <w:tab w:val="center" w:pos="4819"/>
        <w:tab w:val="right" w:pos="9638"/>
      </w:tabs>
      <w:spacing w:after="0" w:line="240" w:lineRule="auto"/>
    </w:pPr>
  </w:style>
  <w:style w:type="character" w:customStyle="1" w:styleId="FooterChar">
    <w:name w:val="Footer Char"/>
    <w:basedOn w:val="DefaultParagraphFont"/>
    <w:link w:val="Footer"/>
    <w:uiPriority w:val="99"/>
    <w:rsid w:val="00B44453"/>
  </w:style>
  <w:style w:type="character" w:customStyle="1" w:styleId="Heading3Char">
    <w:name w:val="Heading 3 Char"/>
    <w:basedOn w:val="DefaultParagraphFont"/>
    <w:link w:val="Heading3"/>
    <w:uiPriority w:val="9"/>
    <w:rsid w:val="006A15EF"/>
    <w:rPr>
      <w:rFonts w:ascii="Times New Roman" w:eastAsia="Times New Roman" w:hAnsi="Times New Roman" w:cs="Times New Roman"/>
      <w:bCs/>
      <w:i/>
      <w:sz w:val="24"/>
      <w:szCs w:val="27"/>
      <w:lang w:eastAsia="it-IT"/>
    </w:rPr>
  </w:style>
  <w:style w:type="paragraph" w:styleId="NormalWeb">
    <w:name w:val="Normal (Web)"/>
    <w:basedOn w:val="Normal"/>
    <w:uiPriority w:val="99"/>
    <w:semiHidden/>
    <w:unhideWhenUsed/>
    <w:rsid w:val="004863E1"/>
    <w:pPr>
      <w:spacing w:before="100" w:beforeAutospacing="1" w:after="100" w:afterAutospacing="1" w:line="240" w:lineRule="auto"/>
    </w:pPr>
    <w:rPr>
      <w:rFonts w:eastAsia="Times New Roman" w:cs="Times New Roman"/>
      <w:szCs w:val="24"/>
      <w:lang w:eastAsia="it-IT"/>
    </w:rPr>
  </w:style>
  <w:style w:type="character" w:styleId="Hyperlink">
    <w:name w:val="Hyperlink"/>
    <w:basedOn w:val="DefaultParagraphFont"/>
    <w:uiPriority w:val="99"/>
    <w:unhideWhenUsed/>
    <w:rsid w:val="001944CD"/>
    <w:rPr>
      <w:color w:val="0000FF"/>
      <w:u w:val="single"/>
    </w:rPr>
  </w:style>
  <w:style w:type="character" w:styleId="CommentReference">
    <w:name w:val="annotation reference"/>
    <w:basedOn w:val="DefaultParagraphFont"/>
    <w:uiPriority w:val="99"/>
    <w:semiHidden/>
    <w:unhideWhenUsed/>
    <w:rsid w:val="002D563A"/>
    <w:rPr>
      <w:sz w:val="16"/>
      <w:szCs w:val="16"/>
    </w:rPr>
  </w:style>
  <w:style w:type="paragraph" w:styleId="CommentText">
    <w:name w:val="annotation text"/>
    <w:basedOn w:val="Normal"/>
    <w:link w:val="CommentTextChar"/>
    <w:uiPriority w:val="99"/>
    <w:semiHidden/>
    <w:unhideWhenUsed/>
    <w:rsid w:val="002D563A"/>
    <w:pPr>
      <w:spacing w:line="240" w:lineRule="auto"/>
    </w:pPr>
    <w:rPr>
      <w:sz w:val="20"/>
      <w:szCs w:val="20"/>
    </w:rPr>
  </w:style>
  <w:style w:type="character" w:customStyle="1" w:styleId="CommentTextChar">
    <w:name w:val="Comment Text Char"/>
    <w:basedOn w:val="DefaultParagraphFont"/>
    <w:link w:val="CommentText"/>
    <w:uiPriority w:val="99"/>
    <w:semiHidden/>
    <w:rsid w:val="002D563A"/>
    <w:rPr>
      <w:sz w:val="20"/>
      <w:szCs w:val="20"/>
    </w:rPr>
  </w:style>
  <w:style w:type="paragraph" w:styleId="CommentSubject">
    <w:name w:val="annotation subject"/>
    <w:basedOn w:val="CommentText"/>
    <w:next w:val="CommentText"/>
    <w:link w:val="CommentSubjectChar"/>
    <w:uiPriority w:val="99"/>
    <w:semiHidden/>
    <w:unhideWhenUsed/>
    <w:rsid w:val="002D563A"/>
    <w:rPr>
      <w:b/>
      <w:bCs/>
    </w:rPr>
  </w:style>
  <w:style w:type="character" w:customStyle="1" w:styleId="CommentSubjectChar">
    <w:name w:val="Comment Subject Char"/>
    <w:basedOn w:val="CommentTextChar"/>
    <w:link w:val="CommentSubject"/>
    <w:uiPriority w:val="99"/>
    <w:semiHidden/>
    <w:rsid w:val="002D563A"/>
    <w:rPr>
      <w:b/>
      <w:bCs/>
      <w:sz w:val="20"/>
      <w:szCs w:val="20"/>
    </w:rPr>
  </w:style>
  <w:style w:type="paragraph" w:styleId="BalloonText">
    <w:name w:val="Balloon Text"/>
    <w:basedOn w:val="Normal"/>
    <w:link w:val="BalloonTextChar"/>
    <w:uiPriority w:val="99"/>
    <w:semiHidden/>
    <w:unhideWhenUsed/>
    <w:rsid w:val="002D5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63A"/>
    <w:rPr>
      <w:rFonts w:ascii="Segoe UI" w:hAnsi="Segoe UI" w:cs="Segoe UI"/>
      <w:sz w:val="18"/>
      <w:szCs w:val="18"/>
    </w:rPr>
  </w:style>
  <w:style w:type="paragraph" w:styleId="EndnoteText">
    <w:name w:val="endnote text"/>
    <w:basedOn w:val="Normal"/>
    <w:link w:val="EndnoteTextChar"/>
    <w:uiPriority w:val="99"/>
    <w:semiHidden/>
    <w:unhideWhenUsed/>
    <w:rsid w:val="006F4E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4E76"/>
    <w:rPr>
      <w:sz w:val="20"/>
      <w:szCs w:val="20"/>
    </w:rPr>
  </w:style>
  <w:style w:type="character" w:styleId="EndnoteReference">
    <w:name w:val="endnote reference"/>
    <w:basedOn w:val="DefaultParagraphFont"/>
    <w:uiPriority w:val="99"/>
    <w:semiHidden/>
    <w:unhideWhenUsed/>
    <w:rsid w:val="006F4E76"/>
    <w:rPr>
      <w:vertAlign w:val="superscript"/>
    </w:rPr>
  </w:style>
  <w:style w:type="paragraph" w:customStyle="1" w:styleId="Default">
    <w:name w:val="Default"/>
    <w:rsid w:val="00E609C6"/>
    <w:pPr>
      <w:autoSpaceDE w:val="0"/>
      <w:autoSpaceDN w:val="0"/>
      <w:adjustRightInd w:val="0"/>
      <w:spacing w:after="0" w:line="240" w:lineRule="auto"/>
    </w:pPr>
    <w:rPr>
      <w:rFonts w:ascii="Times New Roman" w:eastAsia="Times New Roman" w:hAnsi="Times New Roman" w:cs="Times New Roman"/>
      <w:color w:val="000000"/>
      <w:sz w:val="24"/>
      <w:szCs w:val="24"/>
      <w:lang w:val="en-GB"/>
    </w:rPr>
  </w:style>
  <w:style w:type="table" w:styleId="TableGrid">
    <w:name w:val="Table Grid"/>
    <w:basedOn w:val="TableNormal"/>
    <w:uiPriority w:val="39"/>
    <w:rsid w:val="00667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F2DB8"/>
    <w:pPr>
      <w:spacing w:before="480" w:after="480" w:line="240" w:lineRule="auto"/>
      <w:ind w:firstLine="0"/>
      <w:contextualSpacing/>
      <w:jc w:val="center"/>
      <w:outlineLvl w:val="0"/>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DF2DB8"/>
    <w:rPr>
      <w:rFonts w:ascii="Times New Roman" w:eastAsiaTheme="majorEastAsia" w:hAnsi="Times New Roman" w:cstheme="majorBidi"/>
      <w:b/>
      <w:spacing w:val="-10"/>
      <w:kern w:val="28"/>
      <w:sz w:val="36"/>
      <w:szCs w:val="56"/>
    </w:rPr>
  </w:style>
  <w:style w:type="paragraph" w:styleId="Subtitle">
    <w:name w:val="Subtitle"/>
    <w:basedOn w:val="Normal"/>
    <w:next w:val="Normal"/>
    <w:link w:val="SubtitleChar"/>
    <w:uiPriority w:val="11"/>
    <w:qFormat/>
    <w:rsid w:val="00745C03"/>
    <w:pPr>
      <w:numPr>
        <w:ilvl w:val="1"/>
      </w:numPr>
      <w:spacing w:after="480"/>
      <w:ind w:firstLine="340"/>
      <w:jc w:val="center"/>
    </w:pPr>
    <w:rPr>
      <w:rFonts w:eastAsiaTheme="minorEastAsia"/>
      <w:i/>
      <w:spacing w:val="15"/>
      <w:sz w:val="36"/>
    </w:rPr>
  </w:style>
  <w:style w:type="character" w:customStyle="1" w:styleId="SubtitleChar">
    <w:name w:val="Subtitle Char"/>
    <w:basedOn w:val="DefaultParagraphFont"/>
    <w:link w:val="Subtitle"/>
    <w:uiPriority w:val="11"/>
    <w:rsid w:val="00745C03"/>
    <w:rPr>
      <w:rFonts w:ascii="Times New Roman" w:eastAsiaTheme="minorEastAsia" w:hAnsi="Times New Roman"/>
      <w:i/>
      <w:spacing w:val="15"/>
      <w:sz w:val="36"/>
    </w:rPr>
  </w:style>
  <w:style w:type="paragraph" w:customStyle="1" w:styleId="Titlepageprelims">
    <w:name w:val="Title page prelims"/>
    <w:basedOn w:val="Normal"/>
    <w:qFormat/>
    <w:rsid w:val="00DF2DB8"/>
    <w:pPr>
      <w:spacing w:after="0" w:line="240" w:lineRule="auto"/>
      <w:ind w:firstLine="0"/>
    </w:pPr>
    <w:rPr>
      <w:lang w:val="en-GB"/>
    </w:rPr>
  </w:style>
  <w:style w:type="character" w:customStyle="1" w:styleId="Heading4Char">
    <w:name w:val="Heading 4 Char"/>
    <w:basedOn w:val="DefaultParagraphFont"/>
    <w:link w:val="Heading4"/>
    <w:uiPriority w:val="9"/>
    <w:rsid w:val="002C2D1B"/>
    <w:rPr>
      <w:rFonts w:ascii="Times New Roman" w:eastAsiaTheme="majorEastAsia" w:hAnsi="Times New Roman" w:cstheme="majorBidi"/>
      <w:b/>
      <w:iCs/>
      <w:sz w:val="28"/>
    </w:rPr>
  </w:style>
  <w:style w:type="paragraph" w:customStyle="1" w:styleId="Indentquote">
    <w:name w:val="Indent quote"/>
    <w:basedOn w:val="Normal"/>
    <w:qFormat/>
    <w:rsid w:val="003B05D2"/>
    <w:pPr>
      <w:ind w:left="677" w:right="677" w:firstLine="0"/>
    </w:pPr>
    <w:rPr>
      <w:lang w:val="en-GB"/>
    </w:rPr>
  </w:style>
  <w:style w:type="character" w:customStyle="1" w:styleId="Heading1Char">
    <w:name w:val="Heading 1 Char"/>
    <w:basedOn w:val="DefaultParagraphFont"/>
    <w:link w:val="Heading1"/>
    <w:uiPriority w:val="9"/>
    <w:rsid w:val="00DF2DB8"/>
    <w:rPr>
      <w:rFonts w:ascii="Times New Roman" w:eastAsiaTheme="majorEastAsia" w:hAnsi="Times New Roman" w:cstheme="majorBidi"/>
      <w:b/>
      <w:sz w:val="28"/>
      <w:szCs w:val="32"/>
    </w:rPr>
  </w:style>
  <w:style w:type="paragraph" w:customStyle="1" w:styleId="Tabletext">
    <w:name w:val="Table text"/>
    <w:basedOn w:val="Normal"/>
    <w:qFormat/>
    <w:rsid w:val="00EF334B"/>
    <w:pPr>
      <w:spacing w:after="0" w:line="240" w:lineRule="auto"/>
      <w:ind w:firstLine="0"/>
    </w:pPr>
    <w:rPr>
      <w:rFonts w:cs="Times New Roman"/>
      <w:szCs w:val="24"/>
      <w:lang w:val="en-GB"/>
    </w:rPr>
  </w:style>
  <w:style w:type="character" w:customStyle="1" w:styleId="Heading2Char">
    <w:name w:val="Heading 2 Char"/>
    <w:basedOn w:val="DefaultParagraphFont"/>
    <w:link w:val="Heading2"/>
    <w:uiPriority w:val="9"/>
    <w:rsid w:val="00245467"/>
    <w:rPr>
      <w:rFonts w:ascii="Times New Roman" w:eastAsiaTheme="majorEastAsia" w:hAnsi="Times New Roman" w:cstheme="majorBidi"/>
      <w:b/>
      <w:i/>
      <w:sz w:val="24"/>
      <w:szCs w:val="26"/>
    </w:rPr>
  </w:style>
  <w:style w:type="character" w:customStyle="1" w:styleId="Heading5Char">
    <w:name w:val="Heading 5 Char"/>
    <w:basedOn w:val="DefaultParagraphFont"/>
    <w:link w:val="Heading5"/>
    <w:uiPriority w:val="9"/>
    <w:semiHidden/>
    <w:rsid w:val="00245467"/>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245467"/>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245467"/>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2454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5467"/>
    <w:rPr>
      <w:rFonts w:asciiTheme="majorHAnsi" w:eastAsiaTheme="majorEastAsia" w:hAnsiTheme="majorHAnsi" w:cstheme="majorBidi"/>
      <w:i/>
      <w:iCs/>
      <w:color w:val="272727" w:themeColor="text1" w:themeTint="D8"/>
      <w:sz w:val="21"/>
      <w:szCs w:val="21"/>
    </w:rPr>
  </w:style>
  <w:style w:type="paragraph" w:customStyle="1" w:styleId="Reference">
    <w:name w:val="Reference"/>
    <w:basedOn w:val="Normal"/>
    <w:qFormat/>
    <w:rsid w:val="00AA02B6"/>
    <w:pPr>
      <w:autoSpaceDE w:val="0"/>
      <w:autoSpaceDN w:val="0"/>
      <w:adjustRightInd w:val="0"/>
      <w:spacing w:after="0"/>
      <w:ind w:left="340" w:hanging="340"/>
    </w:pPr>
    <w:rPr>
      <w:rFonts w:cs="Times New Roman"/>
      <w:szCs w:val="24"/>
      <w:lang w:val="en-GB"/>
    </w:rPr>
  </w:style>
  <w:style w:type="character" w:customStyle="1" w:styleId="author">
    <w:name w:val="author"/>
    <w:basedOn w:val="DefaultParagraphFont"/>
    <w:rsid w:val="00C73511"/>
  </w:style>
  <w:style w:type="character" w:customStyle="1" w:styleId="author-name">
    <w:name w:val="author-name"/>
    <w:basedOn w:val="DefaultParagraphFont"/>
    <w:rsid w:val="00C73511"/>
  </w:style>
  <w:style w:type="character" w:customStyle="1" w:styleId="hidden1">
    <w:name w:val="hidden1"/>
    <w:basedOn w:val="DefaultParagraphFont"/>
    <w:rsid w:val="00C73511"/>
    <w:rPr>
      <w:vanish/>
      <w:webHidden w:val="0"/>
      <w:specVanish w:val="0"/>
    </w:rPr>
  </w:style>
  <w:style w:type="character" w:customStyle="1" w:styleId="slug-vol">
    <w:name w:val="slug-vol"/>
    <w:basedOn w:val="DefaultParagraphFont"/>
    <w:rsid w:val="001D41E4"/>
  </w:style>
  <w:style w:type="character" w:customStyle="1" w:styleId="slug-issue">
    <w:name w:val="slug-issue"/>
    <w:basedOn w:val="DefaultParagraphFont"/>
    <w:rsid w:val="001D41E4"/>
  </w:style>
  <w:style w:type="character" w:customStyle="1" w:styleId="slug-pages3">
    <w:name w:val="slug-pages3"/>
    <w:basedOn w:val="DefaultParagraphFont"/>
    <w:rsid w:val="001D41E4"/>
    <w:rPr>
      <w:b/>
      <w:bCs/>
    </w:rPr>
  </w:style>
  <w:style w:type="character" w:styleId="SubtleEmphasis">
    <w:name w:val="Subtle Emphasis"/>
    <w:basedOn w:val="DefaultParagraphFont"/>
    <w:uiPriority w:val="19"/>
    <w:qFormat/>
    <w:rsid w:val="007D3607"/>
    <w:rPr>
      <w:i/>
      <w:iCs/>
      <w:color w:val="404040" w:themeColor="text1" w:themeTint="BF"/>
    </w:rPr>
  </w:style>
  <w:style w:type="paragraph" w:styleId="Caption">
    <w:name w:val="caption"/>
    <w:basedOn w:val="Normal"/>
    <w:next w:val="Normal"/>
    <w:uiPriority w:val="35"/>
    <w:unhideWhenUsed/>
    <w:qFormat/>
    <w:rsid w:val="007A2E14"/>
    <w:pPr>
      <w:spacing w:after="200" w:line="240" w:lineRule="auto"/>
      <w:jc w:val="left"/>
    </w:pPr>
    <w:rPr>
      <w:iCs/>
      <w:szCs w:val="18"/>
    </w:rPr>
  </w:style>
  <w:style w:type="paragraph" w:styleId="Revision">
    <w:name w:val="Revision"/>
    <w:hidden/>
    <w:uiPriority w:val="99"/>
    <w:semiHidden/>
    <w:rsid w:val="0095625F"/>
    <w:pPr>
      <w:spacing w:after="0" w:line="240" w:lineRule="auto"/>
    </w:pPr>
    <w:rPr>
      <w:rFonts w:ascii="Times New Roman" w:hAnsi="Times New Roman"/>
      <w:sz w:val="24"/>
    </w:rPr>
  </w:style>
  <w:style w:type="character" w:styleId="Emphasis">
    <w:name w:val="Emphasis"/>
    <w:basedOn w:val="DefaultParagraphFont"/>
    <w:uiPriority w:val="20"/>
    <w:qFormat/>
    <w:rsid w:val="002B23CF"/>
    <w:rPr>
      <w:i/>
      <w:iCs/>
    </w:rPr>
  </w:style>
  <w:style w:type="paragraph" w:styleId="ListParagraph">
    <w:name w:val="List Paragraph"/>
    <w:basedOn w:val="Normal"/>
    <w:uiPriority w:val="34"/>
    <w:qFormat/>
    <w:rsid w:val="007D71FD"/>
    <w:pPr>
      <w:ind w:left="720"/>
      <w:contextualSpacing/>
    </w:pPr>
  </w:style>
  <w:style w:type="character" w:customStyle="1" w:styleId="nlmarticle-title">
    <w:name w:val="nlm_article-title"/>
    <w:basedOn w:val="DefaultParagraphFont"/>
    <w:rsid w:val="0048616B"/>
  </w:style>
  <w:style w:type="character" w:customStyle="1" w:styleId="title-text">
    <w:name w:val="title-text"/>
    <w:basedOn w:val="DefaultParagraphFont"/>
    <w:rsid w:val="0050582E"/>
  </w:style>
  <w:style w:type="character" w:customStyle="1" w:styleId="size-m">
    <w:name w:val="size-m"/>
    <w:basedOn w:val="DefaultParagraphFont"/>
    <w:rsid w:val="0050582E"/>
    <w:rPr>
      <w:sz w:val="15"/>
      <w:szCs w:val="15"/>
    </w:rPr>
  </w:style>
  <w:style w:type="character" w:customStyle="1" w:styleId="size-xl">
    <w:name w:val="size-xl"/>
    <w:basedOn w:val="DefaultParagraphFont"/>
    <w:rsid w:val="0050582E"/>
    <w:rPr>
      <w:sz w:val="23"/>
      <w:szCs w:val="23"/>
    </w:rPr>
  </w:style>
  <w:style w:type="character" w:customStyle="1" w:styleId="st1">
    <w:name w:val="st1"/>
    <w:basedOn w:val="DefaultParagraphFont"/>
    <w:rsid w:val="00CA038D"/>
  </w:style>
  <w:style w:type="paragraph" w:customStyle="1" w:styleId="tabletext0">
    <w:name w:val="table text"/>
    <w:basedOn w:val="Reference"/>
    <w:rsid w:val="00EF334B"/>
    <w:pPr>
      <w:spacing w:line="240" w:lineRule="auto"/>
      <w:ind w:left="0" w:firstLine="0"/>
    </w:pPr>
    <w:rPr>
      <w:bCs/>
      <w:iCs/>
    </w:rPr>
  </w:style>
  <w:style w:type="character" w:customStyle="1" w:styleId="searchword1">
    <w:name w:val="searchword1"/>
    <w:basedOn w:val="DefaultParagraphFont"/>
    <w:rsid w:val="003512B6"/>
    <w:rPr>
      <w:shd w:val="clear" w:color="auto" w:fill="FFFBC3"/>
    </w:rPr>
  </w:style>
  <w:style w:type="character" w:customStyle="1" w:styleId="UnresolvedMention1">
    <w:name w:val="Unresolved Mention1"/>
    <w:basedOn w:val="DefaultParagraphFont"/>
    <w:uiPriority w:val="99"/>
    <w:semiHidden/>
    <w:unhideWhenUsed/>
    <w:rsid w:val="00FB4055"/>
    <w:rPr>
      <w:color w:val="605E5C"/>
      <w:shd w:val="clear" w:color="auto" w:fill="E1DFDD"/>
    </w:rPr>
  </w:style>
  <w:style w:type="character" w:styleId="UnresolvedMention">
    <w:name w:val="Unresolved Mention"/>
    <w:basedOn w:val="DefaultParagraphFont"/>
    <w:uiPriority w:val="99"/>
    <w:semiHidden/>
    <w:unhideWhenUsed/>
    <w:rsid w:val="00420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5164">
      <w:bodyDiv w:val="1"/>
      <w:marLeft w:val="0"/>
      <w:marRight w:val="0"/>
      <w:marTop w:val="0"/>
      <w:marBottom w:val="0"/>
      <w:divBdr>
        <w:top w:val="none" w:sz="0" w:space="0" w:color="auto"/>
        <w:left w:val="none" w:sz="0" w:space="0" w:color="auto"/>
        <w:bottom w:val="none" w:sz="0" w:space="0" w:color="auto"/>
        <w:right w:val="none" w:sz="0" w:space="0" w:color="auto"/>
      </w:divBdr>
      <w:divsChild>
        <w:div w:id="1464881311">
          <w:marLeft w:val="0"/>
          <w:marRight w:val="0"/>
          <w:marTop w:val="0"/>
          <w:marBottom w:val="0"/>
          <w:divBdr>
            <w:top w:val="none" w:sz="0" w:space="0" w:color="auto"/>
            <w:left w:val="none" w:sz="0" w:space="0" w:color="auto"/>
            <w:bottom w:val="none" w:sz="0" w:space="0" w:color="auto"/>
            <w:right w:val="none" w:sz="0" w:space="0" w:color="auto"/>
          </w:divBdr>
          <w:divsChild>
            <w:div w:id="1494956095">
              <w:marLeft w:val="0"/>
              <w:marRight w:val="0"/>
              <w:marTop w:val="100"/>
              <w:marBottom w:val="100"/>
              <w:divBdr>
                <w:top w:val="none" w:sz="0" w:space="0" w:color="auto"/>
                <w:left w:val="none" w:sz="0" w:space="0" w:color="auto"/>
                <w:bottom w:val="none" w:sz="0" w:space="0" w:color="auto"/>
                <w:right w:val="none" w:sz="0" w:space="0" w:color="auto"/>
              </w:divBdr>
              <w:divsChild>
                <w:div w:id="804350235">
                  <w:marLeft w:val="0"/>
                  <w:marRight w:val="0"/>
                  <w:marTop w:val="0"/>
                  <w:marBottom w:val="0"/>
                  <w:divBdr>
                    <w:top w:val="none" w:sz="0" w:space="0" w:color="auto"/>
                    <w:left w:val="none" w:sz="0" w:space="0" w:color="auto"/>
                    <w:bottom w:val="none" w:sz="0" w:space="0" w:color="auto"/>
                    <w:right w:val="none" w:sz="0" w:space="0" w:color="auto"/>
                  </w:divBdr>
                  <w:divsChild>
                    <w:div w:id="1688174228">
                      <w:marLeft w:val="0"/>
                      <w:marRight w:val="0"/>
                      <w:marTop w:val="0"/>
                      <w:marBottom w:val="0"/>
                      <w:divBdr>
                        <w:top w:val="none" w:sz="0" w:space="0" w:color="auto"/>
                        <w:left w:val="none" w:sz="0" w:space="0" w:color="auto"/>
                        <w:bottom w:val="none" w:sz="0" w:space="0" w:color="auto"/>
                        <w:right w:val="none" w:sz="0" w:space="0" w:color="auto"/>
                      </w:divBdr>
                      <w:divsChild>
                        <w:div w:id="1898274465">
                          <w:marLeft w:val="0"/>
                          <w:marRight w:val="0"/>
                          <w:marTop w:val="100"/>
                          <w:marBottom w:val="100"/>
                          <w:divBdr>
                            <w:top w:val="none" w:sz="0" w:space="0" w:color="auto"/>
                            <w:left w:val="none" w:sz="0" w:space="0" w:color="auto"/>
                            <w:bottom w:val="none" w:sz="0" w:space="0" w:color="auto"/>
                            <w:right w:val="none" w:sz="0" w:space="0" w:color="auto"/>
                          </w:divBdr>
                          <w:divsChild>
                            <w:div w:id="1774284901">
                              <w:marLeft w:val="0"/>
                              <w:marRight w:val="0"/>
                              <w:marTop w:val="0"/>
                              <w:marBottom w:val="104"/>
                              <w:divBdr>
                                <w:top w:val="none" w:sz="0" w:space="0" w:color="auto"/>
                                <w:left w:val="none" w:sz="0" w:space="0" w:color="auto"/>
                                <w:bottom w:val="single" w:sz="8" w:space="7" w:color="EBEBEB"/>
                                <w:right w:val="none" w:sz="0" w:space="0" w:color="auto"/>
                              </w:divBdr>
                              <w:divsChild>
                                <w:div w:id="20134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76902">
      <w:bodyDiv w:val="1"/>
      <w:marLeft w:val="0"/>
      <w:marRight w:val="0"/>
      <w:marTop w:val="0"/>
      <w:marBottom w:val="0"/>
      <w:divBdr>
        <w:top w:val="none" w:sz="0" w:space="0" w:color="auto"/>
        <w:left w:val="none" w:sz="0" w:space="0" w:color="auto"/>
        <w:bottom w:val="none" w:sz="0" w:space="0" w:color="auto"/>
        <w:right w:val="none" w:sz="0" w:space="0" w:color="auto"/>
      </w:divBdr>
      <w:divsChild>
        <w:div w:id="1249924249">
          <w:marLeft w:val="0"/>
          <w:marRight w:val="0"/>
          <w:marTop w:val="0"/>
          <w:marBottom w:val="0"/>
          <w:divBdr>
            <w:top w:val="none" w:sz="0" w:space="0" w:color="auto"/>
            <w:left w:val="none" w:sz="0" w:space="0" w:color="auto"/>
            <w:bottom w:val="none" w:sz="0" w:space="0" w:color="auto"/>
            <w:right w:val="none" w:sz="0" w:space="0" w:color="auto"/>
          </w:divBdr>
          <w:divsChild>
            <w:div w:id="1987005857">
              <w:marLeft w:val="0"/>
              <w:marRight w:val="0"/>
              <w:marTop w:val="100"/>
              <w:marBottom w:val="100"/>
              <w:divBdr>
                <w:top w:val="none" w:sz="0" w:space="0" w:color="auto"/>
                <w:left w:val="none" w:sz="0" w:space="0" w:color="auto"/>
                <w:bottom w:val="none" w:sz="0" w:space="0" w:color="auto"/>
                <w:right w:val="none" w:sz="0" w:space="0" w:color="auto"/>
              </w:divBdr>
              <w:divsChild>
                <w:div w:id="450053958">
                  <w:marLeft w:val="0"/>
                  <w:marRight w:val="0"/>
                  <w:marTop w:val="0"/>
                  <w:marBottom w:val="0"/>
                  <w:divBdr>
                    <w:top w:val="none" w:sz="0" w:space="0" w:color="auto"/>
                    <w:left w:val="none" w:sz="0" w:space="0" w:color="auto"/>
                    <w:bottom w:val="none" w:sz="0" w:space="0" w:color="auto"/>
                    <w:right w:val="none" w:sz="0" w:space="0" w:color="auto"/>
                  </w:divBdr>
                  <w:divsChild>
                    <w:div w:id="2018993607">
                      <w:marLeft w:val="0"/>
                      <w:marRight w:val="0"/>
                      <w:marTop w:val="0"/>
                      <w:marBottom w:val="0"/>
                      <w:divBdr>
                        <w:top w:val="none" w:sz="0" w:space="0" w:color="auto"/>
                        <w:left w:val="none" w:sz="0" w:space="0" w:color="auto"/>
                        <w:bottom w:val="none" w:sz="0" w:space="0" w:color="auto"/>
                        <w:right w:val="none" w:sz="0" w:space="0" w:color="auto"/>
                      </w:divBdr>
                      <w:divsChild>
                        <w:div w:id="1655642821">
                          <w:marLeft w:val="0"/>
                          <w:marRight w:val="0"/>
                          <w:marTop w:val="100"/>
                          <w:marBottom w:val="100"/>
                          <w:divBdr>
                            <w:top w:val="none" w:sz="0" w:space="0" w:color="auto"/>
                            <w:left w:val="none" w:sz="0" w:space="0" w:color="auto"/>
                            <w:bottom w:val="none" w:sz="0" w:space="0" w:color="auto"/>
                            <w:right w:val="none" w:sz="0" w:space="0" w:color="auto"/>
                          </w:divBdr>
                          <w:divsChild>
                            <w:div w:id="1345129949">
                              <w:marLeft w:val="0"/>
                              <w:marRight w:val="0"/>
                              <w:marTop w:val="0"/>
                              <w:marBottom w:val="104"/>
                              <w:divBdr>
                                <w:top w:val="none" w:sz="0" w:space="0" w:color="auto"/>
                                <w:left w:val="none" w:sz="0" w:space="0" w:color="auto"/>
                                <w:bottom w:val="single" w:sz="8" w:space="7" w:color="EBEBEB"/>
                                <w:right w:val="none" w:sz="0" w:space="0" w:color="auto"/>
                              </w:divBdr>
                              <w:divsChild>
                                <w:div w:id="19851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118980">
      <w:bodyDiv w:val="1"/>
      <w:marLeft w:val="0"/>
      <w:marRight w:val="0"/>
      <w:marTop w:val="0"/>
      <w:marBottom w:val="0"/>
      <w:divBdr>
        <w:top w:val="none" w:sz="0" w:space="0" w:color="auto"/>
        <w:left w:val="none" w:sz="0" w:space="0" w:color="auto"/>
        <w:bottom w:val="none" w:sz="0" w:space="0" w:color="auto"/>
        <w:right w:val="none" w:sz="0" w:space="0" w:color="auto"/>
      </w:divBdr>
      <w:divsChild>
        <w:div w:id="836846225">
          <w:marLeft w:val="0"/>
          <w:marRight w:val="0"/>
          <w:marTop w:val="0"/>
          <w:marBottom w:val="0"/>
          <w:divBdr>
            <w:top w:val="none" w:sz="0" w:space="0" w:color="auto"/>
            <w:left w:val="none" w:sz="0" w:space="0" w:color="auto"/>
            <w:bottom w:val="none" w:sz="0" w:space="0" w:color="auto"/>
            <w:right w:val="none" w:sz="0" w:space="0" w:color="auto"/>
          </w:divBdr>
        </w:div>
        <w:div w:id="1084493926">
          <w:marLeft w:val="0"/>
          <w:marRight w:val="0"/>
          <w:marTop w:val="0"/>
          <w:marBottom w:val="0"/>
          <w:divBdr>
            <w:top w:val="none" w:sz="0" w:space="0" w:color="auto"/>
            <w:left w:val="none" w:sz="0" w:space="0" w:color="auto"/>
            <w:bottom w:val="none" w:sz="0" w:space="0" w:color="auto"/>
            <w:right w:val="none" w:sz="0" w:space="0" w:color="auto"/>
          </w:divBdr>
        </w:div>
      </w:divsChild>
    </w:div>
    <w:div w:id="397633130">
      <w:bodyDiv w:val="1"/>
      <w:marLeft w:val="0"/>
      <w:marRight w:val="0"/>
      <w:marTop w:val="0"/>
      <w:marBottom w:val="0"/>
      <w:divBdr>
        <w:top w:val="none" w:sz="0" w:space="0" w:color="auto"/>
        <w:left w:val="none" w:sz="0" w:space="0" w:color="auto"/>
        <w:bottom w:val="none" w:sz="0" w:space="0" w:color="auto"/>
        <w:right w:val="none" w:sz="0" w:space="0" w:color="auto"/>
      </w:divBdr>
      <w:divsChild>
        <w:div w:id="1905868178">
          <w:marLeft w:val="0"/>
          <w:marRight w:val="0"/>
          <w:marTop w:val="0"/>
          <w:marBottom w:val="0"/>
          <w:divBdr>
            <w:top w:val="none" w:sz="0" w:space="0" w:color="auto"/>
            <w:left w:val="none" w:sz="0" w:space="0" w:color="auto"/>
            <w:bottom w:val="none" w:sz="0" w:space="0" w:color="auto"/>
            <w:right w:val="none" w:sz="0" w:space="0" w:color="auto"/>
          </w:divBdr>
          <w:divsChild>
            <w:div w:id="1805583743">
              <w:marLeft w:val="0"/>
              <w:marRight w:val="0"/>
              <w:marTop w:val="0"/>
              <w:marBottom w:val="0"/>
              <w:divBdr>
                <w:top w:val="none" w:sz="0" w:space="0" w:color="auto"/>
                <w:left w:val="none" w:sz="0" w:space="0" w:color="auto"/>
                <w:bottom w:val="none" w:sz="0" w:space="0" w:color="auto"/>
                <w:right w:val="none" w:sz="0" w:space="0" w:color="auto"/>
              </w:divBdr>
              <w:divsChild>
                <w:div w:id="262301392">
                  <w:marLeft w:val="0"/>
                  <w:marRight w:val="0"/>
                  <w:marTop w:val="0"/>
                  <w:marBottom w:val="0"/>
                  <w:divBdr>
                    <w:top w:val="none" w:sz="0" w:space="0" w:color="auto"/>
                    <w:left w:val="none" w:sz="0" w:space="0" w:color="auto"/>
                    <w:bottom w:val="none" w:sz="0" w:space="0" w:color="auto"/>
                    <w:right w:val="none" w:sz="0" w:space="0" w:color="auto"/>
                  </w:divBdr>
                  <w:divsChild>
                    <w:div w:id="157618201">
                      <w:marLeft w:val="0"/>
                      <w:marRight w:val="0"/>
                      <w:marTop w:val="0"/>
                      <w:marBottom w:val="0"/>
                      <w:divBdr>
                        <w:top w:val="single" w:sz="2" w:space="0" w:color="D9D9D9"/>
                        <w:left w:val="single" w:sz="6" w:space="0" w:color="D9D9D9"/>
                        <w:bottom w:val="single" w:sz="2" w:space="0" w:color="D9D9D9"/>
                        <w:right w:val="single" w:sz="6" w:space="0" w:color="D9D9D9"/>
                      </w:divBdr>
                      <w:divsChild>
                        <w:div w:id="1434977043">
                          <w:marLeft w:val="0"/>
                          <w:marRight w:val="0"/>
                          <w:marTop w:val="0"/>
                          <w:marBottom w:val="0"/>
                          <w:divBdr>
                            <w:top w:val="none" w:sz="0" w:space="0" w:color="auto"/>
                            <w:left w:val="none" w:sz="0" w:space="0" w:color="auto"/>
                            <w:bottom w:val="none" w:sz="0" w:space="0" w:color="auto"/>
                            <w:right w:val="none" w:sz="0" w:space="0" w:color="auto"/>
                          </w:divBdr>
                          <w:divsChild>
                            <w:div w:id="305010695">
                              <w:marLeft w:val="0"/>
                              <w:marRight w:val="0"/>
                              <w:marTop w:val="0"/>
                              <w:marBottom w:val="0"/>
                              <w:divBdr>
                                <w:top w:val="none" w:sz="0" w:space="0" w:color="auto"/>
                                <w:left w:val="none" w:sz="0" w:space="0" w:color="auto"/>
                                <w:bottom w:val="none" w:sz="0" w:space="0" w:color="auto"/>
                                <w:right w:val="none" w:sz="0" w:space="0" w:color="auto"/>
                              </w:divBdr>
                              <w:divsChild>
                                <w:div w:id="1486094370">
                                  <w:marLeft w:val="0"/>
                                  <w:marRight w:val="0"/>
                                  <w:marTop w:val="0"/>
                                  <w:marBottom w:val="0"/>
                                  <w:divBdr>
                                    <w:top w:val="none" w:sz="0" w:space="0" w:color="auto"/>
                                    <w:left w:val="none" w:sz="0" w:space="0" w:color="auto"/>
                                    <w:bottom w:val="none" w:sz="0" w:space="0" w:color="auto"/>
                                    <w:right w:val="none" w:sz="0" w:space="0" w:color="auto"/>
                                  </w:divBdr>
                                  <w:divsChild>
                                    <w:div w:id="661128948">
                                      <w:marLeft w:val="0"/>
                                      <w:marRight w:val="0"/>
                                      <w:marTop w:val="0"/>
                                      <w:marBottom w:val="90"/>
                                      <w:divBdr>
                                        <w:top w:val="none" w:sz="0" w:space="0" w:color="auto"/>
                                        <w:left w:val="none" w:sz="0" w:space="0" w:color="auto"/>
                                        <w:bottom w:val="none" w:sz="0" w:space="0" w:color="auto"/>
                                        <w:right w:val="none" w:sz="0" w:space="0" w:color="auto"/>
                                      </w:divBdr>
                                    </w:div>
                                    <w:div w:id="1476023416">
                                      <w:marLeft w:val="0"/>
                                      <w:marRight w:val="0"/>
                                      <w:marTop w:val="0"/>
                                      <w:marBottom w:val="135"/>
                                      <w:divBdr>
                                        <w:top w:val="none" w:sz="0" w:space="0" w:color="auto"/>
                                        <w:left w:val="none" w:sz="0" w:space="0" w:color="auto"/>
                                        <w:bottom w:val="none" w:sz="0" w:space="0" w:color="auto"/>
                                        <w:right w:val="none" w:sz="0" w:space="0" w:color="auto"/>
                                      </w:divBdr>
                                    </w:div>
                                  </w:divsChild>
                                </w:div>
                                <w:div w:id="1721592366">
                                  <w:marLeft w:val="0"/>
                                  <w:marRight w:val="0"/>
                                  <w:marTop w:val="0"/>
                                  <w:marBottom w:val="0"/>
                                  <w:divBdr>
                                    <w:top w:val="none" w:sz="0" w:space="0" w:color="auto"/>
                                    <w:left w:val="none" w:sz="0" w:space="0" w:color="auto"/>
                                    <w:bottom w:val="none" w:sz="0" w:space="0" w:color="auto"/>
                                    <w:right w:val="none" w:sz="0" w:space="0" w:color="auto"/>
                                  </w:divBdr>
                                  <w:divsChild>
                                    <w:div w:id="57142904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362576">
      <w:bodyDiv w:val="1"/>
      <w:marLeft w:val="0"/>
      <w:marRight w:val="0"/>
      <w:marTop w:val="0"/>
      <w:marBottom w:val="0"/>
      <w:divBdr>
        <w:top w:val="none" w:sz="0" w:space="0" w:color="auto"/>
        <w:left w:val="none" w:sz="0" w:space="0" w:color="auto"/>
        <w:bottom w:val="none" w:sz="0" w:space="0" w:color="auto"/>
        <w:right w:val="none" w:sz="0" w:space="0" w:color="auto"/>
      </w:divBdr>
    </w:div>
    <w:div w:id="928386299">
      <w:bodyDiv w:val="1"/>
      <w:marLeft w:val="0"/>
      <w:marRight w:val="0"/>
      <w:marTop w:val="0"/>
      <w:marBottom w:val="0"/>
      <w:divBdr>
        <w:top w:val="none" w:sz="0" w:space="0" w:color="auto"/>
        <w:left w:val="none" w:sz="0" w:space="0" w:color="auto"/>
        <w:bottom w:val="none" w:sz="0" w:space="0" w:color="auto"/>
        <w:right w:val="none" w:sz="0" w:space="0" w:color="auto"/>
      </w:divBdr>
      <w:divsChild>
        <w:div w:id="1743288573">
          <w:marLeft w:val="0"/>
          <w:marRight w:val="0"/>
          <w:marTop w:val="0"/>
          <w:marBottom w:val="0"/>
          <w:divBdr>
            <w:top w:val="none" w:sz="0" w:space="0" w:color="auto"/>
            <w:left w:val="none" w:sz="0" w:space="0" w:color="auto"/>
            <w:bottom w:val="none" w:sz="0" w:space="0" w:color="auto"/>
            <w:right w:val="none" w:sz="0" w:space="0" w:color="auto"/>
          </w:divBdr>
          <w:divsChild>
            <w:div w:id="636953398">
              <w:marLeft w:val="0"/>
              <w:marRight w:val="0"/>
              <w:marTop w:val="0"/>
              <w:marBottom w:val="0"/>
              <w:divBdr>
                <w:top w:val="none" w:sz="0" w:space="0" w:color="auto"/>
                <w:left w:val="none" w:sz="0" w:space="0" w:color="auto"/>
                <w:bottom w:val="none" w:sz="0" w:space="0" w:color="auto"/>
                <w:right w:val="none" w:sz="0" w:space="0" w:color="auto"/>
              </w:divBdr>
              <w:divsChild>
                <w:div w:id="1824740576">
                  <w:marLeft w:val="0"/>
                  <w:marRight w:val="0"/>
                  <w:marTop w:val="0"/>
                  <w:marBottom w:val="0"/>
                  <w:divBdr>
                    <w:top w:val="none" w:sz="0" w:space="0" w:color="auto"/>
                    <w:left w:val="none" w:sz="0" w:space="0" w:color="auto"/>
                    <w:bottom w:val="none" w:sz="0" w:space="0" w:color="auto"/>
                    <w:right w:val="none" w:sz="0" w:space="0" w:color="auto"/>
                  </w:divBdr>
                  <w:divsChild>
                    <w:div w:id="1364355849">
                      <w:marLeft w:val="0"/>
                      <w:marRight w:val="0"/>
                      <w:marTop w:val="0"/>
                      <w:marBottom w:val="0"/>
                      <w:divBdr>
                        <w:top w:val="none" w:sz="0" w:space="0" w:color="auto"/>
                        <w:left w:val="none" w:sz="0" w:space="0" w:color="auto"/>
                        <w:bottom w:val="none" w:sz="0" w:space="0" w:color="auto"/>
                        <w:right w:val="none" w:sz="0" w:space="0" w:color="auto"/>
                      </w:divBdr>
                      <w:divsChild>
                        <w:div w:id="360087389">
                          <w:marLeft w:val="0"/>
                          <w:marRight w:val="0"/>
                          <w:marTop w:val="0"/>
                          <w:marBottom w:val="0"/>
                          <w:divBdr>
                            <w:top w:val="none" w:sz="0" w:space="0" w:color="auto"/>
                            <w:left w:val="none" w:sz="0" w:space="0" w:color="auto"/>
                            <w:bottom w:val="none" w:sz="0" w:space="0" w:color="auto"/>
                            <w:right w:val="none" w:sz="0" w:space="0" w:color="auto"/>
                          </w:divBdr>
                          <w:divsChild>
                            <w:div w:id="1317762981">
                              <w:marLeft w:val="0"/>
                              <w:marRight w:val="0"/>
                              <w:marTop w:val="0"/>
                              <w:marBottom w:val="0"/>
                              <w:divBdr>
                                <w:top w:val="none" w:sz="0" w:space="0" w:color="auto"/>
                                <w:left w:val="none" w:sz="0" w:space="0" w:color="auto"/>
                                <w:bottom w:val="none" w:sz="0" w:space="0" w:color="auto"/>
                                <w:right w:val="none" w:sz="0" w:space="0" w:color="auto"/>
                              </w:divBdr>
                              <w:divsChild>
                                <w:div w:id="1128595555">
                                  <w:marLeft w:val="0"/>
                                  <w:marRight w:val="0"/>
                                  <w:marTop w:val="0"/>
                                  <w:marBottom w:val="0"/>
                                  <w:divBdr>
                                    <w:top w:val="none" w:sz="0" w:space="0" w:color="auto"/>
                                    <w:left w:val="none" w:sz="0" w:space="0" w:color="auto"/>
                                    <w:bottom w:val="none" w:sz="0" w:space="0" w:color="auto"/>
                                    <w:right w:val="none" w:sz="0" w:space="0" w:color="auto"/>
                                  </w:divBdr>
                                  <w:divsChild>
                                    <w:div w:id="487864669">
                                      <w:marLeft w:val="0"/>
                                      <w:marRight w:val="0"/>
                                      <w:marTop w:val="0"/>
                                      <w:marBottom w:val="0"/>
                                      <w:divBdr>
                                        <w:top w:val="none" w:sz="0" w:space="0" w:color="auto"/>
                                        <w:left w:val="none" w:sz="0" w:space="0" w:color="auto"/>
                                        <w:bottom w:val="none" w:sz="0" w:space="0" w:color="auto"/>
                                        <w:right w:val="none" w:sz="0" w:space="0" w:color="auto"/>
                                      </w:divBdr>
                                      <w:divsChild>
                                        <w:div w:id="809325645">
                                          <w:marLeft w:val="0"/>
                                          <w:marRight w:val="0"/>
                                          <w:marTop w:val="0"/>
                                          <w:marBottom w:val="0"/>
                                          <w:divBdr>
                                            <w:top w:val="none" w:sz="0" w:space="0" w:color="auto"/>
                                            <w:left w:val="none" w:sz="0" w:space="0" w:color="auto"/>
                                            <w:bottom w:val="none" w:sz="0" w:space="0" w:color="auto"/>
                                            <w:right w:val="none" w:sz="0" w:space="0" w:color="auto"/>
                                          </w:divBdr>
                                          <w:divsChild>
                                            <w:div w:id="393968953">
                                              <w:marLeft w:val="75"/>
                                              <w:marRight w:val="75"/>
                                              <w:marTop w:val="0"/>
                                              <w:marBottom w:val="0"/>
                                              <w:divBdr>
                                                <w:top w:val="none" w:sz="0" w:space="0" w:color="auto"/>
                                                <w:left w:val="none" w:sz="0" w:space="0" w:color="auto"/>
                                                <w:bottom w:val="none" w:sz="0" w:space="0" w:color="auto"/>
                                                <w:right w:val="none" w:sz="0" w:space="0" w:color="auto"/>
                                              </w:divBdr>
                                              <w:divsChild>
                                                <w:div w:id="1933203286">
                                                  <w:marLeft w:val="0"/>
                                                  <w:marRight w:val="0"/>
                                                  <w:marTop w:val="0"/>
                                                  <w:marBottom w:val="0"/>
                                                  <w:divBdr>
                                                    <w:top w:val="none" w:sz="0" w:space="0" w:color="auto"/>
                                                    <w:left w:val="none" w:sz="0" w:space="0" w:color="auto"/>
                                                    <w:bottom w:val="none" w:sz="0" w:space="0" w:color="auto"/>
                                                    <w:right w:val="none" w:sz="0" w:space="0" w:color="auto"/>
                                                  </w:divBdr>
                                                  <w:divsChild>
                                                    <w:div w:id="1646548888">
                                                      <w:marLeft w:val="0"/>
                                                      <w:marRight w:val="0"/>
                                                      <w:marTop w:val="0"/>
                                                      <w:marBottom w:val="0"/>
                                                      <w:divBdr>
                                                        <w:top w:val="none" w:sz="0" w:space="0" w:color="auto"/>
                                                        <w:left w:val="none" w:sz="0" w:space="0" w:color="auto"/>
                                                        <w:bottom w:val="none" w:sz="0" w:space="0" w:color="auto"/>
                                                        <w:right w:val="none" w:sz="0" w:space="0" w:color="auto"/>
                                                      </w:divBdr>
                                                      <w:divsChild>
                                                        <w:div w:id="720058521">
                                                          <w:marLeft w:val="0"/>
                                                          <w:marRight w:val="0"/>
                                                          <w:marTop w:val="0"/>
                                                          <w:marBottom w:val="0"/>
                                                          <w:divBdr>
                                                            <w:top w:val="none" w:sz="0" w:space="0" w:color="auto"/>
                                                            <w:left w:val="none" w:sz="0" w:space="0" w:color="auto"/>
                                                            <w:bottom w:val="none" w:sz="0" w:space="0" w:color="auto"/>
                                                            <w:right w:val="none" w:sz="0" w:space="0" w:color="auto"/>
                                                          </w:divBdr>
                                                          <w:divsChild>
                                                            <w:div w:id="550581156">
                                                              <w:marLeft w:val="0"/>
                                                              <w:marRight w:val="0"/>
                                                              <w:marTop w:val="0"/>
                                                              <w:marBottom w:val="0"/>
                                                              <w:divBdr>
                                                                <w:top w:val="none" w:sz="0" w:space="0" w:color="auto"/>
                                                                <w:left w:val="none" w:sz="0" w:space="0" w:color="auto"/>
                                                                <w:bottom w:val="none" w:sz="0" w:space="0" w:color="auto"/>
                                                                <w:right w:val="none" w:sz="0" w:space="0" w:color="auto"/>
                                                              </w:divBdr>
                                                              <w:divsChild>
                                                                <w:div w:id="1373116295">
                                                                  <w:marLeft w:val="480"/>
                                                                  <w:marRight w:val="0"/>
                                                                  <w:marTop w:val="0"/>
                                                                  <w:marBottom w:val="0"/>
                                                                  <w:divBdr>
                                                                    <w:top w:val="none" w:sz="0" w:space="0" w:color="auto"/>
                                                                    <w:left w:val="none" w:sz="0" w:space="0" w:color="auto"/>
                                                                    <w:bottom w:val="none" w:sz="0" w:space="0" w:color="auto"/>
                                                                    <w:right w:val="none" w:sz="0" w:space="0" w:color="auto"/>
                                                                  </w:divBdr>
                                                                  <w:divsChild>
                                                                    <w:div w:id="1535539818">
                                                                      <w:marLeft w:val="0"/>
                                                                      <w:marRight w:val="0"/>
                                                                      <w:marTop w:val="0"/>
                                                                      <w:marBottom w:val="0"/>
                                                                      <w:divBdr>
                                                                        <w:top w:val="none" w:sz="0" w:space="0" w:color="auto"/>
                                                                        <w:left w:val="none" w:sz="0" w:space="0" w:color="auto"/>
                                                                        <w:bottom w:val="none" w:sz="0" w:space="0" w:color="auto"/>
                                                                        <w:right w:val="none" w:sz="0" w:space="0" w:color="auto"/>
                                                                      </w:divBdr>
                                                                      <w:divsChild>
                                                                        <w:div w:id="705956607">
                                                                          <w:marLeft w:val="0"/>
                                                                          <w:marRight w:val="0"/>
                                                                          <w:marTop w:val="0"/>
                                                                          <w:marBottom w:val="0"/>
                                                                          <w:divBdr>
                                                                            <w:top w:val="none" w:sz="0" w:space="0" w:color="auto"/>
                                                                            <w:left w:val="none" w:sz="0" w:space="0" w:color="auto"/>
                                                                            <w:bottom w:val="none" w:sz="0" w:space="0" w:color="auto"/>
                                                                            <w:right w:val="none" w:sz="0" w:space="0" w:color="auto"/>
                                                                          </w:divBdr>
                                                                          <w:divsChild>
                                                                            <w:div w:id="845679995">
                                                                              <w:marLeft w:val="0"/>
                                                                              <w:marRight w:val="0"/>
                                                                              <w:marTop w:val="0"/>
                                                                              <w:marBottom w:val="0"/>
                                                                              <w:divBdr>
                                                                                <w:top w:val="none" w:sz="0" w:space="0" w:color="auto"/>
                                                                                <w:left w:val="none" w:sz="0" w:space="0" w:color="auto"/>
                                                                                <w:bottom w:val="none" w:sz="0" w:space="0" w:color="auto"/>
                                                                                <w:right w:val="none" w:sz="0" w:space="0" w:color="auto"/>
                                                                              </w:divBdr>
                                                                              <w:divsChild>
                                                                                <w:div w:id="427894581">
                                                                                  <w:marLeft w:val="0"/>
                                                                                  <w:marRight w:val="0"/>
                                                                                  <w:marTop w:val="0"/>
                                                                                  <w:marBottom w:val="0"/>
                                                                                  <w:divBdr>
                                                                                    <w:top w:val="none" w:sz="0" w:space="0" w:color="auto"/>
                                                                                    <w:left w:val="none" w:sz="0" w:space="0" w:color="auto"/>
                                                                                    <w:bottom w:val="none" w:sz="0" w:space="0" w:color="auto"/>
                                                                                    <w:right w:val="none" w:sz="0" w:space="0" w:color="auto"/>
                                                                                  </w:divBdr>
                                                                                  <w:divsChild>
                                                                                    <w:div w:id="472522228">
                                                                                      <w:marLeft w:val="0"/>
                                                                                      <w:marRight w:val="0"/>
                                                                                      <w:marTop w:val="0"/>
                                                                                      <w:marBottom w:val="0"/>
                                                                                      <w:divBdr>
                                                                                        <w:top w:val="none" w:sz="0" w:space="0" w:color="auto"/>
                                                                                        <w:left w:val="none" w:sz="0" w:space="0" w:color="auto"/>
                                                                                        <w:bottom w:val="none" w:sz="0" w:space="0" w:color="auto"/>
                                                                                        <w:right w:val="none" w:sz="0" w:space="0" w:color="auto"/>
                                                                                      </w:divBdr>
                                                                                      <w:divsChild>
                                                                                        <w:div w:id="559370720">
                                                                                          <w:marLeft w:val="0"/>
                                                                                          <w:marRight w:val="0"/>
                                                                                          <w:marTop w:val="240"/>
                                                                                          <w:marBottom w:val="0"/>
                                                                                          <w:divBdr>
                                                                                            <w:top w:val="none" w:sz="0" w:space="0" w:color="auto"/>
                                                                                            <w:left w:val="none" w:sz="0" w:space="0" w:color="auto"/>
                                                                                            <w:bottom w:val="single" w:sz="6" w:space="23" w:color="auto"/>
                                                                                            <w:right w:val="none" w:sz="0" w:space="0" w:color="auto"/>
                                                                                          </w:divBdr>
                                                                                          <w:divsChild>
                                                                                            <w:div w:id="1666281327">
                                                                                              <w:marLeft w:val="0"/>
                                                                                              <w:marRight w:val="0"/>
                                                                                              <w:marTop w:val="0"/>
                                                                                              <w:marBottom w:val="0"/>
                                                                                              <w:divBdr>
                                                                                                <w:top w:val="none" w:sz="0" w:space="0" w:color="auto"/>
                                                                                                <w:left w:val="none" w:sz="0" w:space="0" w:color="auto"/>
                                                                                                <w:bottom w:val="none" w:sz="0" w:space="0" w:color="auto"/>
                                                                                                <w:right w:val="none" w:sz="0" w:space="0" w:color="auto"/>
                                                                                              </w:divBdr>
                                                                                              <w:divsChild>
                                                                                                <w:div w:id="793790905">
                                                                                                  <w:marLeft w:val="0"/>
                                                                                                  <w:marRight w:val="0"/>
                                                                                                  <w:marTop w:val="0"/>
                                                                                                  <w:marBottom w:val="0"/>
                                                                                                  <w:divBdr>
                                                                                                    <w:top w:val="none" w:sz="0" w:space="0" w:color="auto"/>
                                                                                                    <w:left w:val="none" w:sz="0" w:space="0" w:color="auto"/>
                                                                                                    <w:bottom w:val="none" w:sz="0" w:space="0" w:color="auto"/>
                                                                                                    <w:right w:val="none" w:sz="0" w:space="0" w:color="auto"/>
                                                                                                  </w:divBdr>
                                                                                                  <w:divsChild>
                                                                                                    <w:div w:id="723871629">
                                                                                                      <w:marLeft w:val="0"/>
                                                                                                      <w:marRight w:val="0"/>
                                                                                                      <w:marTop w:val="0"/>
                                                                                                      <w:marBottom w:val="0"/>
                                                                                                      <w:divBdr>
                                                                                                        <w:top w:val="none" w:sz="0" w:space="0" w:color="auto"/>
                                                                                                        <w:left w:val="none" w:sz="0" w:space="0" w:color="auto"/>
                                                                                                        <w:bottom w:val="none" w:sz="0" w:space="0" w:color="auto"/>
                                                                                                        <w:right w:val="none" w:sz="0" w:space="0" w:color="auto"/>
                                                                                                      </w:divBdr>
                                                                                                      <w:divsChild>
                                                                                                        <w:div w:id="476074908">
                                                                                                          <w:marLeft w:val="0"/>
                                                                                                          <w:marRight w:val="0"/>
                                                                                                          <w:marTop w:val="0"/>
                                                                                                          <w:marBottom w:val="0"/>
                                                                                                          <w:divBdr>
                                                                                                            <w:top w:val="none" w:sz="0" w:space="0" w:color="auto"/>
                                                                                                            <w:left w:val="none" w:sz="0" w:space="0" w:color="auto"/>
                                                                                                            <w:bottom w:val="none" w:sz="0" w:space="0" w:color="auto"/>
                                                                                                            <w:right w:val="none" w:sz="0" w:space="0" w:color="auto"/>
                                                                                                          </w:divBdr>
                                                                                                          <w:divsChild>
                                                                                                            <w:div w:id="1745714569">
                                                                                                              <w:marLeft w:val="0"/>
                                                                                                              <w:marRight w:val="0"/>
                                                                                                              <w:marTop w:val="0"/>
                                                                                                              <w:marBottom w:val="0"/>
                                                                                                              <w:divBdr>
                                                                                                                <w:top w:val="none" w:sz="0" w:space="0" w:color="auto"/>
                                                                                                                <w:left w:val="none" w:sz="0" w:space="0" w:color="auto"/>
                                                                                                                <w:bottom w:val="none" w:sz="0" w:space="0" w:color="auto"/>
                                                                                                                <w:right w:val="none" w:sz="0" w:space="0" w:color="auto"/>
                                                                                                              </w:divBdr>
                                                                                                              <w:divsChild>
                                                                                                                <w:div w:id="1974754990">
                                                                                                                  <w:marLeft w:val="0"/>
                                                                                                                  <w:marRight w:val="0"/>
                                                                                                                  <w:marTop w:val="0"/>
                                                                                                                  <w:marBottom w:val="0"/>
                                                                                                                  <w:divBdr>
                                                                                                                    <w:top w:val="none" w:sz="0" w:space="0" w:color="auto"/>
                                                                                                                    <w:left w:val="none" w:sz="0" w:space="0" w:color="auto"/>
                                                                                                                    <w:bottom w:val="none" w:sz="0" w:space="0" w:color="auto"/>
                                                                                                                    <w:right w:val="none" w:sz="0" w:space="0" w:color="auto"/>
                                                                                                                  </w:divBdr>
                                                                                                                  <w:divsChild>
                                                                                                                    <w:div w:id="114256573">
                                                                                                                      <w:marLeft w:val="0"/>
                                                                                                                      <w:marRight w:val="0"/>
                                                                                                                      <w:marTop w:val="0"/>
                                                                                                                      <w:marBottom w:val="0"/>
                                                                                                                      <w:divBdr>
                                                                                                                        <w:top w:val="none" w:sz="0" w:space="0" w:color="auto"/>
                                                                                                                        <w:left w:val="none" w:sz="0" w:space="0" w:color="auto"/>
                                                                                                                        <w:bottom w:val="none" w:sz="0" w:space="0" w:color="auto"/>
                                                                                                                        <w:right w:val="none" w:sz="0" w:space="0" w:color="auto"/>
                                                                                                                      </w:divBdr>
                                                                                                                      <w:divsChild>
                                                                                                                        <w:div w:id="584071999">
                                                                                                                          <w:marLeft w:val="0"/>
                                                                                                                          <w:marRight w:val="0"/>
                                                                                                                          <w:marTop w:val="0"/>
                                                                                                                          <w:marBottom w:val="0"/>
                                                                                                                          <w:divBdr>
                                                                                                                            <w:top w:val="none" w:sz="0" w:space="0" w:color="auto"/>
                                                                                                                            <w:left w:val="none" w:sz="0" w:space="0" w:color="auto"/>
                                                                                                                            <w:bottom w:val="none" w:sz="0" w:space="0" w:color="auto"/>
                                                                                                                            <w:right w:val="none" w:sz="0" w:space="0" w:color="auto"/>
                                                                                                                          </w:divBdr>
                                                                                                                        </w:div>
                                                                                                                        <w:div w:id="17373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241607">
      <w:bodyDiv w:val="1"/>
      <w:marLeft w:val="0"/>
      <w:marRight w:val="0"/>
      <w:marTop w:val="0"/>
      <w:marBottom w:val="0"/>
      <w:divBdr>
        <w:top w:val="none" w:sz="0" w:space="0" w:color="auto"/>
        <w:left w:val="none" w:sz="0" w:space="0" w:color="auto"/>
        <w:bottom w:val="none" w:sz="0" w:space="0" w:color="auto"/>
        <w:right w:val="none" w:sz="0" w:space="0" w:color="auto"/>
      </w:divBdr>
    </w:div>
    <w:div w:id="1229462931">
      <w:bodyDiv w:val="1"/>
      <w:marLeft w:val="0"/>
      <w:marRight w:val="0"/>
      <w:marTop w:val="0"/>
      <w:marBottom w:val="0"/>
      <w:divBdr>
        <w:top w:val="none" w:sz="0" w:space="0" w:color="auto"/>
        <w:left w:val="none" w:sz="0" w:space="0" w:color="auto"/>
        <w:bottom w:val="none" w:sz="0" w:space="0" w:color="auto"/>
        <w:right w:val="none" w:sz="0" w:space="0" w:color="auto"/>
      </w:divBdr>
      <w:divsChild>
        <w:div w:id="579364670">
          <w:marLeft w:val="230"/>
          <w:marRight w:val="230"/>
          <w:marTop w:val="230"/>
          <w:marBottom w:val="230"/>
          <w:divBdr>
            <w:top w:val="none" w:sz="0" w:space="0" w:color="auto"/>
            <w:left w:val="none" w:sz="0" w:space="0" w:color="auto"/>
            <w:bottom w:val="none" w:sz="0" w:space="0" w:color="auto"/>
            <w:right w:val="none" w:sz="0" w:space="0" w:color="auto"/>
          </w:divBdr>
        </w:div>
      </w:divsChild>
    </w:div>
    <w:div w:id="1497069702">
      <w:bodyDiv w:val="1"/>
      <w:marLeft w:val="0"/>
      <w:marRight w:val="0"/>
      <w:marTop w:val="0"/>
      <w:marBottom w:val="0"/>
      <w:divBdr>
        <w:top w:val="none" w:sz="0" w:space="0" w:color="auto"/>
        <w:left w:val="none" w:sz="0" w:space="0" w:color="auto"/>
        <w:bottom w:val="none" w:sz="0" w:space="0" w:color="auto"/>
        <w:right w:val="none" w:sz="0" w:space="0" w:color="auto"/>
      </w:divBdr>
      <w:divsChild>
        <w:div w:id="1916934178">
          <w:marLeft w:val="0"/>
          <w:marRight w:val="0"/>
          <w:marTop w:val="100"/>
          <w:marBottom w:val="100"/>
          <w:divBdr>
            <w:top w:val="none" w:sz="0" w:space="0" w:color="auto"/>
            <w:left w:val="none" w:sz="0" w:space="0" w:color="auto"/>
            <w:bottom w:val="none" w:sz="0" w:space="0" w:color="auto"/>
            <w:right w:val="none" w:sz="0" w:space="0" w:color="auto"/>
          </w:divBdr>
          <w:divsChild>
            <w:div w:id="624316601">
              <w:marLeft w:val="0"/>
              <w:marRight w:val="0"/>
              <w:marTop w:val="0"/>
              <w:marBottom w:val="0"/>
              <w:divBdr>
                <w:top w:val="none" w:sz="0" w:space="0" w:color="auto"/>
                <w:left w:val="none" w:sz="0" w:space="0" w:color="auto"/>
                <w:bottom w:val="none" w:sz="0" w:space="0" w:color="auto"/>
                <w:right w:val="none" w:sz="0" w:space="0" w:color="auto"/>
              </w:divBdr>
              <w:divsChild>
                <w:div w:id="1920752287">
                  <w:marLeft w:val="81"/>
                  <w:marRight w:val="81"/>
                  <w:marTop w:val="81"/>
                  <w:marBottom w:val="81"/>
                  <w:divBdr>
                    <w:top w:val="none" w:sz="0" w:space="0" w:color="auto"/>
                    <w:left w:val="none" w:sz="0" w:space="0" w:color="auto"/>
                    <w:bottom w:val="none" w:sz="0" w:space="0" w:color="auto"/>
                    <w:right w:val="none" w:sz="0" w:space="0" w:color="auto"/>
                  </w:divBdr>
                  <w:divsChild>
                    <w:div w:id="475611177">
                      <w:marLeft w:val="0"/>
                      <w:marRight w:val="0"/>
                      <w:marTop w:val="0"/>
                      <w:marBottom w:val="0"/>
                      <w:divBdr>
                        <w:top w:val="none" w:sz="0" w:space="0" w:color="auto"/>
                        <w:left w:val="none" w:sz="0" w:space="0" w:color="auto"/>
                        <w:bottom w:val="none" w:sz="0" w:space="0" w:color="auto"/>
                        <w:right w:val="none" w:sz="0" w:space="0" w:color="auto"/>
                      </w:divBdr>
                      <w:divsChild>
                        <w:div w:id="1243643006">
                          <w:marLeft w:val="0"/>
                          <w:marRight w:val="0"/>
                          <w:marTop w:val="0"/>
                          <w:marBottom w:val="0"/>
                          <w:divBdr>
                            <w:top w:val="none" w:sz="0" w:space="0" w:color="auto"/>
                            <w:left w:val="none" w:sz="0" w:space="0" w:color="auto"/>
                            <w:bottom w:val="none" w:sz="0" w:space="0" w:color="auto"/>
                            <w:right w:val="none" w:sz="0" w:space="0" w:color="auto"/>
                          </w:divBdr>
                          <w:divsChild>
                            <w:div w:id="677005903">
                              <w:marLeft w:val="0"/>
                              <w:marRight w:val="0"/>
                              <w:marTop w:val="0"/>
                              <w:marBottom w:val="0"/>
                              <w:divBdr>
                                <w:top w:val="none" w:sz="0" w:space="0" w:color="auto"/>
                                <w:left w:val="none" w:sz="0" w:space="0" w:color="auto"/>
                                <w:bottom w:val="none" w:sz="0" w:space="0" w:color="auto"/>
                                <w:right w:val="none" w:sz="0" w:space="0" w:color="auto"/>
                              </w:divBdr>
                              <w:divsChild>
                                <w:div w:id="809640329">
                                  <w:marLeft w:val="0"/>
                                  <w:marRight w:val="0"/>
                                  <w:marTop w:val="0"/>
                                  <w:marBottom w:val="0"/>
                                  <w:divBdr>
                                    <w:top w:val="none" w:sz="0" w:space="0" w:color="auto"/>
                                    <w:left w:val="none" w:sz="0" w:space="0" w:color="auto"/>
                                    <w:bottom w:val="none" w:sz="0" w:space="0" w:color="auto"/>
                                    <w:right w:val="none" w:sz="0" w:space="0" w:color="auto"/>
                                  </w:divBdr>
                                  <w:divsChild>
                                    <w:div w:id="1139767819">
                                      <w:marLeft w:val="81"/>
                                      <w:marRight w:val="81"/>
                                      <w:marTop w:val="81"/>
                                      <w:marBottom w:val="81"/>
                                      <w:divBdr>
                                        <w:top w:val="none" w:sz="0" w:space="0" w:color="auto"/>
                                        <w:left w:val="none" w:sz="0" w:space="0" w:color="auto"/>
                                        <w:bottom w:val="none" w:sz="0" w:space="0" w:color="auto"/>
                                        <w:right w:val="none" w:sz="0" w:space="0" w:color="auto"/>
                                      </w:divBdr>
                                      <w:divsChild>
                                        <w:div w:id="308633021">
                                          <w:marLeft w:val="0"/>
                                          <w:marRight w:val="0"/>
                                          <w:marTop w:val="0"/>
                                          <w:marBottom w:val="0"/>
                                          <w:divBdr>
                                            <w:top w:val="none" w:sz="0" w:space="0" w:color="auto"/>
                                            <w:left w:val="none" w:sz="0" w:space="0" w:color="auto"/>
                                            <w:bottom w:val="none" w:sz="0" w:space="0" w:color="auto"/>
                                            <w:right w:val="none" w:sz="0" w:space="0" w:color="auto"/>
                                          </w:divBdr>
                                          <w:divsChild>
                                            <w:div w:id="1782604260">
                                              <w:marLeft w:val="0"/>
                                              <w:marRight w:val="0"/>
                                              <w:marTop w:val="0"/>
                                              <w:marBottom w:val="0"/>
                                              <w:divBdr>
                                                <w:top w:val="none" w:sz="0" w:space="0" w:color="auto"/>
                                                <w:left w:val="none" w:sz="0" w:space="0" w:color="auto"/>
                                                <w:bottom w:val="none" w:sz="0" w:space="0" w:color="auto"/>
                                                <w:right w:val="none" w:sz="0" w:space="0" w:color="auto"/>
                                              </w:divBdr>
                                              <w:divsChild>
                                                <w:div w:id="1127818776">
                                                  <w:marLeft w:val="0"/>
                                                  <w:marRight w:val="0"/>
                                                  <w:marTop w:val="0"/>
                                                  <w:marBottom w:val="0"/>
                                                  <w:divBdr>
                                                    <w:top w:val="none" w:sz="0" w:space="0" w:color="auto"/>
                                                    <w:left w:val="none" w:sz="0" w:space="0" w:color="auto"/>
                                                    <w:bottom w:val="none" w:sz="0" w:space="0" w:color="auto"/>
                                                    <w:right w:val="none" w:sz="0" w:space="0" w:color="auto"/>
                                                  </w:divBdr>
                                                  <w:divsChild>
                                                    <w:div w:id="222065464">
                                                      <w:marLeft w:val="0"/>
                                                      <w:marRight w:val="0"/>
                                                      <w:marTop w:val="0"/>
                                                      <w:marBottom w:val="0"/>
                                                      <w:divBdr>
                                                        <w:top w:val="none" w:sz="0" w:space="0" w:color="auto"/>
                                                        <w:left w:val="none" w:sz="0" w:space="0" w:color="auto"/>
                                                        <w:bottom w:val="none" w:sz="0" w:space="0" w:color="auto"/>
                                                        <w:right w:val="none" w:sz="0" w:space="0" w:color="auto"/>
                                                      </w:divBdr>
                                                      <w:divsChild>
                                                        <w:div w:id="950937336">
                                                          <w:marLeft w:val="0"/>
                                                          <w:marRight w:val="0"/>
                                                          <w:marTop w:val="0"/>
                                                          <w:marBottom w:val="0"/>
                                                          <w:divBdr>
                                                            <w:top w:val="none" w:sz="0" w:space="0" w:color="auto"/>
                                                            <w:left w:val="none" w:sz="0" w:space="0" w:color="auto"/>
                                                            <w:bottom w:val="none" w:sz="0" w:space="0" w:color="auto"/>
                                                            <w:right w:val="none" w:sz="0" w:space="0" w:color="auto"/>
                                                          </w:divBdr>
                                                          <w:divsChild>
                                                            <w:div w:id="1043409284">
                                                              <w:marLeft w:val="0"/>
                                                              <w:marRight w:val="0"/>
                                                              <w:marTop w:val="0"/>
                                                              <w:marBottom w:val="0"/>
                                                              <w:divBdr>
                                                                <w:top w:val="none" w:sz="0" w:space="0" w:color="auto"/>
                                                                <w:left w:val="none" w:sz="0" w:space="0" w:color="auto"/>
                                                                <w:bottom w:val="none" w:sz="0" w:space="0" w:color="auto"/>
                                                                <w:right w:val="none" w:sz="0" w:space="0" w:color="auto"/>
                                                              </w:divBdr>
                                                              <w:divsChild>
                                                                <w:div w:id="107627633">
                                                                  <w:marLeft w:val="81"/>
                                                                  <w:marRight w:val="81"/>
                                                                  <w:marTop w:val="81"/>
                                                                  <w:marBottom w:val="81"/>
                                                                  <w:divBdr>
                                                                    <w:top w:val="none" w:sz="0" w:space="0" w:color="auto"/>
                                                                    <w:left w:val="none" w:sz="0" w:space="0" w:color="auto"/>
                                                                    <w:bottom w:val="none" w:sz="0" w:space="0" w:color="auto"/>
                                                                    <w:right w:val="none" w:sz="0" w:space="0" w:color="auto"/>
                                                                  </w:divBdr>
                                                                  <w:divsChild>
                                                                    <w:div w:id="762456497">
                                                                      <w:marLeft w:val="0"/>
                                                                      <w:marRight w:val="0"/>
                                                                      <w:marTop w:val="0"/>
                                                                      <w:marBottom w:val="0"/>
                                                                      <w:divBdr>
                                                                        <w:top w:val="none" w:sz="0" w:space="0" w:color="auto"/>
                                                                        <w:left w:val="none" w:sz="0" w:space="0" w:color="auto"/>
                                                                        <w:bottom w:val="none" w:sz="0" w:space="0" w:color="auto"/>
                                                                        <w:right w:val="none" w:sz="0" w:space="0" w:color="auto"/>
                                                                      </w:divBdr>
                                                                      <w:divsChild>
                                                                        <w:div w:id="1059473641">
                                                                          <w:marLeft w:val="0"/>
                                                                          <w:marRight w:val="0"/>
                                                                          <w:marTop w:val="0"/>
                                                                          <w:marBottom w:val="0"/>
                                                                          <w:divBdr>
                                                                            <w:top w:val="none" w:sz="0" w:space="0" w:color="auto"/>
                                                                            <w:left w:val="none" w:sz="0" w:space="0" w:color="auto"/>
                                                                            <w:bottom w:val="none" w:sz="0" w:space="0" w:color="auto"/>
                                                                            <w:right w:val="none" w:sz="0" w:space="0" w:color="auto"/>
                                                                          </w:divBdr>
                                                                          <w:divsChild>
                                                                            <w:div w:id="10495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607420">
      <w:bodyDiv w:val="1"/>
      <w:marLeft w:val="0"/>
      <w:marRight w:val="0"/>
      <w:marTop w:val="0"/>
      <w:marBottom w:val="0"/>
      <w:divBdr>
        <w:top w:val="none" w:sz="0" w:space="0" w:color="auto"/>
        <w:left w:val="none" w:sz="0" w:space="0" w:color="auto"/>
        <w:bottom w:val="none" w:sz="0" w:space="0" w:color="auto"/>
        <w:right w:val="none" w:sz="0" w:space="0" w:color="auto"/>
      </w:divBdr>
    </w:div>
    <w:div w:id="1676617383">
      <w:bodyDiv w:val="1"/>
      <w:marLeft w:val="0"/>
      <w:marRight w:val="0"/>
      <w:marTop w:val="0"/>
      <w:marBottom w:val="0"/>
      <w:divBdr>
        <w:top w:val="none" w:sz="0" w:space="0" w:color="auto"/>
        <w:left w:val="none" w:sz="0" w:space="0" w:color="auto"/>
        <w:bottom w:val="none" w:sz="0" w:space="0" w:color="auto"/>
        <w:right w:val="none" w:sz="0" w:space="0" w:color="auto"/>
      </w:divBdr>
      <w:divsChild>
        <w:div w:id="508715875">
          <w:marLeft w:val="0"/>
          <w:marRight w:val="0"/>
          <w:marTop w:val="0"/>
          <w:marBottom w:val="0"/>
          <w:divBdr>
            <w:top w:val="none" w:sz="0" w:space="0" w:color="auto"/>
            <w:left w:val="none" w:sz="0" w:space="0" w:color="auto"/>
            <w:bottom w:val="none" w:sz="0" w:space="0" w:color="auto"/>
            <w:right w:val="none" w:sz="0" w:space="0" w:color="auto"/>
          </w:divBdr>
          <w:divsChild>
            <w:div w:id="2172641">
              <w:marLeft w:val="0"/>
              <w:marRight w:val="0"/>
              <w:marTop w:val="0"/>
              <w:marBottom w:val="0"/>
              <w:divBdr>
                <w:top w:val="none" w:sz="0" w:space="0" w:color="auto"/>
                <w:left w:val="none" w:sz="0" w:space="0" w:color="auto"/>
                <w:bottom w:val="none" w:sz="0" w:space="0" w:color="auto"/>
                <w:right w:val="none" w:sz="0" w:space="0" w:color="auto"/>
              </w:divBdr>
              <w:divsChild>
                <w:div w:id="1151288151">
                  <w:marLeft w:val="0"/>
                  <w:marRight w:val="0"/>
                  <w:marTop w:val="0"/>
                  <w:marBottom w:val="0"/>
                  <w:divBdr>
                    <w:top w:val="none" w:sz="0" w:space="0" w:color="auto"/>
                    <w:left w:val="none" w:sz="0" w:space="0" w:color="auto"/>
                    <w:bottom w:val="none" w:sz="0" w:space="0" w:color="auto"/>
                    <w:right w:val="none" w:sz="0" w:space="0" w:color="auto"/>
                  </w:divBdr>
                  <w:divsChild>
                    <w:div w:id="1364089374">
                      <w:marLeft w:val="0"/>
                      <w:marRight w:val="0"/>
                      <w:marTop w:val="0"/>
                      <w:marBottom w:val="0"/>
                      <w:divBdr>
                        <w:top w:val="none" w:sz="0" w:space="0" w:color="auto"/>
                        <w:left w:val="none" w:sz="0" w:space="0" w:color="auto"/>
                        <w:bottom w:val="none" w:sz="0" w:space="0" w:color="auto"/>
                        <w:right w:val="none" w:sz="0" w:space="0" w:color="auto"/>
                      </w:divBdr>
                      <w:divsChild>
                        <w:div w:id="1609503127">
                          <w:marLeft w:val="0"/>
                          <w:marRight w:val="0"/>
                          <w:marTop w:val="0"/>
                          <w:marBottom w:val="0"/>
                          <w:divBdr>
                            <w:top w:val="none" w:sz="0" w:space="0" w:color="auto"/>
                            <w:left w:val="none" w:sz="0" w:space="0" w:color="auto"/>
                            <w:bottom w:val="none" w:sz="0" w:space="0" w:color="auto"/>
                            <w:right w:val="none" w:sz="0" w:space="0" w:color="auto"/>
                          </w:divBdr>
                          <w:divsChild>
                            <w:div w:id="860359773">
                              <w:marLeft w:val="0"/>
                              <w:marRight w:val="0"/>
                              <w:marTop w:val="0"/>
                              <w:marBottom w:val="0"/>
                              <w:divBdr>
                                <w:top w:val="none" w:sz="0" w:space="0" w:color="auto"/>
                                <w:left w:val="none" w:sz="0" w:space="0" w:color="auto"/>
                                <w:bottom w:val="none" w:sz="0" w:space="0" w:color="auto"/>
                                <w:right w:val="none" w:sz="0" w:space="0" w:color="auto"/>
                              </w:divBdr>
                              <w:divsChild>
                                <w:div w:id="1151403673">
                                  <w:marLeft w:val="0"/>
                                  <w:marRight w:val="0"/>
                                  <w:marTop w:val="0"/>
                                  <w:marBottom w:val="0"/>
                                  <w:divBdr>
                                    <w:top w:val="none" w:sz="0" w:space="0" w:color="auto"/>
                                    <w:left w:val="none" w:sz="0" w:space="0" w:color="auto"/>
                                    <w:bottom w:val="none" w:sz="0" w:space="0" w:color="auto"/>
                                    <w:right w:val="none" w:sz="0" w:space="0" w:color="auto"/>
                                  </w:divBdr>
                                  <w:divsChild>
                                    <w:div w:id="1344211096">
                                      <w:marLeft w:val="0"/>
                                      <w:marRight w:val="0"/>
                                      <w:marTop w:val="0"/>
                                      <w:marBottom w:val="0"/>
                                      <w:divBdr>
                                        <w:top w:val="none" w:sz="0" w:space="0" w:color="auto"/>
                                        <w:left w:val="none" w:sz="0" w:space="0" w:color="auto"/>
                                        <w:bottom w:val="none" w:sz="0" w:space="0" w:color="auto"/>
                                        <w:right w:val="none" w:sz="0" w:space="0" w:color="auto"/>
                                      </w:divBdr>
                                      <w:divsChild>
                                        <w:div w:id="1272974599">
                                          <w:marLeft w:val="0"/>
                                          <w:marRight w:val="0"/>
                                          <w:marTop w:val="0"/>
                                          <w:marBottom w:val="0"/>
                                          <w:divBdr>
                                            <w:top w:val="none" w:sz="0" w:space="0" w:color="auto"/>
                                            <w:left w:val="none" w:sz="0" w:space="0" w:color="auto"/>
                                            <w:bottom w:val="none" w:sz="0" w:space="0" w:color="auto"/>
                                            <w:right w:val="none" w:sz="0" w:space="0" w:color="auto"/>
                                          </w:divBdr>
                                          <w:divsChild>
                                            <w:div w:id="1967271464">
                                              <w:marLeft w:val="0"/>
                                              <w:marRight w:val="0"/>
                                              <w:marTop w:val="0"/>
                                              <w:marBottom w:val="0"/>
                                              <w:divBdr>
                                                <w:top w:val="none" w:sz="0" w:space="0" w:color="auto"/>
                                                <w:left w:val="none" w:sz="0" w:space="0" w:color="auto"/>
                                                <w:bottom w:val="none" w:sz="0" w:space="0" w:color="auto"/>
                                                <w:right w:val="none" w:sz="0" w:space="0" w:color="auto"/>
                                              </w:divBdr>
                                              <w:divsChild>
                                                <w:div w:id="898443039">
                                                  <w:marLeft w:val="0"/>
                                                  <w:marRight w:val="0"/>
                                                  <w:marTop w:val="0"/>
                                                  <w:marBottom w:val="0"/>
                                                  <w:divBdr>
                                                    <w:top w:val="none" w:sz="0" w:space="0" w:color="auto"/>
                                                    <w:left w:val="none" w:sz="0" w:space="0" w:color="auto"/>
                                                    <w:bottom w:val="none" w:sz="0" w:space="0" w:color="auto"/>
                                                    <w:right w:val="none" w:sz="0" w:space="0" w:color="auto"/>
                                                  </w:divBdr>
                                                  <w:divsChild>
                                                    <w:div w:id="710037641">
                                                      <w:marLeft w:val="0"/>
                                                      <w:marRight w:val="0"/>
                                                      <w:marTop w:val="0"/>
                                                      <w:marBottom w:val="0"/>
                                                      <w:divBdr>
                                                        <w:top w:val="none" w:sz="0" w:space="0" w:color="auto"/>
                                                        <w:left w:val="none" w:sz="0" w:space="0" w:color="auto"/>
                                                        <w:bottom w:val="none" w:sz="0" w:space="0" w:color="auto"/>
                                                        <w:right w:val="none" w:sz="0" w:space="0" w:color="auto"/>
                                                      </w:divBdr>
                                                      <w:divsChild>
                                                        <w:div w:id="1688677510">
                                                          <w:marLeft w:val="0"/>
                                                          <w:marRight w:val="0"/>
                                                          <w:marTop w:val="0"/>
                                                          <w:marBottom w:val="0"/>
                                                          <w:divBdr>
                                                            <w:top w:val="none" w:sz="0" w:space="0" w:color="auto"/>
                                                            <w:left w:val="none" w:sz="0" w:space="0" w:color="auto"/>
                                                            <w:bottom w:val="none" w:sz="0" w:space="0" w:color="auto"/>
                                                            <w:right w:val="none" w:sz="0" w:space="0" w:color="auto"/>
                                                          </w:divBdr>
                                                          <w:divsChild>
                                                            <w:div w:id="829950269">
                                                              <w:marLeft w:val="0"/>
                                                              <w:marRight w:val="0"/>
                                                              <w:marTop w:val="0"/>
                                                              <w:marBottom w:val="0"/>
                                                              <w:divBdr>
                                                                <w:top w:val="none" w:sz="0" w:space="0" w:color="auto"/>
                                                                <w:left w:val="none" w:sz="0" w:space="0" w:color="auto"/>
                                                                <w:bottom w:val="none" w:sz="0" w:space="0" w:color="auto"/>
                                                                <w:right w:val="none" w:sz="0" w:space="0" w:color="auto"/>
                                                              </w:divBdr>
                                                              <w:divsChild>
                                                                <w:div w:id="1274021773">
                                                                  <w:marLeft w:val="480"/>
                                                                  <w:marRight w:val="0"/>
                                                                  <w:marTop w:val="0"/>
                                                                  <w:marBottom w:val="0"/>
                                                                  <w:divBdr>
                                                                    <w:top w:val="none" w:sz="0" w:space="0" w:color="auto"/>
                                                                    <w:left w:val="none" w:sz="0" w:space="0" w:color="auto"/>
                                                                    <w:bottom w:val="none" w:sz="0" w:space="0" w:color="auto"/>
                                                                    <w:right w:val="none" w:sz="0" w:space="0" w:color="auto"/>
                                                                  </w:divBdr>
                                                                  <w:divsChild>
                                                                    <w:div w:id="1977753844">
                                                                      <w:marLeft w:val="0"/>
                                                                      <w:marRight w:val="0"/>
                                                                      <w:marTop w:val="0"/>
                                                                      <w:marBottom w:val="0"/>
                                                                      <w:divBdr>
                                                                        <w:top w:val="none" w:sz="0" w:space="0" w:color="auto"/>
                                                                        <w:left w:val="none" w:sz="0" w:space="0" w:color="auto"/>
                                                                        <w:bottom w:val="none" w:sz="0" w:space="0" w:color="auto"/>
                                                                        <w:right w:val="none" w:sz="0" w:space="0" w:color="auto"/>
                                                                      </w:divBdr>
                                                                      <w:divsChild>
                                                                        <w:div w:id="214121462">
                                                                          <w:marLeft w:val="0"/>
                                                                          <w:marRight w:val="0"/>
                                                                          <w:marTop w:val="0"/>
                                                                          <w:marBottom w:val="0"/>
                                                                          <w:divBdr>
                                                                            <w:top w:val="none" w:sz="0" w:space="0" w:color="auto"/>
                                                                            <w:left w:val="none" w:sz="0" w:space="0" w:color="auto"/>
                                                                            <w:bottom w:val="none" w:sz="0" w:space="0" w:color="auto"/>
                                                                            <w:right w:val="none" w:sz="0" w:space="0" w:color="auto"/>
                                                                          </w:divBdr>
                                                                          <w:divsChild>
                                                                            <w:div w:id="1707827931">
                                                                              <w:marLeft w:val="0"/>
                                                                              <w:marRight w:val="0"/>
                                                                              <w:marTop w:val="0"/>
                                                                              <w:marBottom w:val="0"/>
                                                                              <w:divBdr>
                                                                                <w:top w:val="none" w:sz="0" w:space="0" w:color="auto"/>
                                                                                <w:left w:val="none" w:sz="0" w:space="0" w:color="auto"/>
                                                                                <w:bottom w:val="none" w:sz="0" w:space="0" w:color="auto"/>
                                                                                <w:right w:val="none" w:sz="0" w:space="0" w:color="auto"/>
                                                                              </w:divBdr>
                                                                              <w:divsChild>
                                                                                <w:div w:id="44063192">
                                                                                  <w:marLeft w:val="0"/>
                                                                                  <w:marRight w:val="0"/>
                                                                                  <w:marTop w:val="0"/>
                                                                                  <w:marBottom w:val="0"/>
                                                                                  <w:divBdr>
                                                                                    <w:top w:val="none" w:sz="0" w:space="0" w:color="auto"/>
                                                                                    <w:left w:val="none" w:sz="0" w:space="0" w:color="auto"/>
                                                                                    <w:bottom w:val="none" w:sz="0" w:space="0" w:color="auto"/>
                                                                                    <w:right w:val="none" w:sz="0" w:space="0" w:color="auto"/>
                                                                                  </w:divBdr>
                                                                                  <w:divsChild>
                                                                                    <w:div w:id="1389261385">
                                                                                      <w:marLeft w:val="0"/>
                                                                                      <w:marRight w:val="0"/>
                                                                                      <w:marTop w:val="0"/>
                                                                                      <w:marBottom w:val="0"/>
                                                                                      <w:divBdr>
                                                                                        <w:top w:val="none" w:sz="0" w:space="0" w:color="auto"/>
                                                                                        <w:left w:val="none" w:sz="0" w:space="0" w:color="auto"/>
                                                                                        <w:bottom w:val="none" w:sz="0" w:space="0" w:color="auto"/>
                                                                                        <w:right w:val="none" w:sz="0" w:space="0" w:color="auto"/>
                                                                                      </w:divBdr>
                                                                                      <w:divsChild>
                                                                                        <w:div w:id="1831944045">
                                                                                          <w:marLeft w:val="0"/>
                                                                                          <w:marRight w:val="0"/>
                                                                                          <w:marTop w:val="30"/>
                                                                                          <w:marBottom w:val="0"/>
                                                                                          <w:divBdr>
                                                                                            <w:top w:val="none" w:sz="0" w:space="0" w:color="auto"/>
                                                                                            <w:left w:val="none" w:sz="0" w:space="0" w:color="auto"/>
                                                                                            <w:bottom w:val="single" w:sz="6" w:space="23" w:color="auto"/>
                                                                                            <w:right w:val="none" w:sz="0" w:space="0" w:color="auto"/>
                                                                                          </w:divBdr>
                                                                                          <w:divsChild>
                                                                                            <w:div w:id="1450855395">
                                                                                              <w:marLeft w:val="0"/>
                                                                                              <w:marRight w:val="0"/>
                                                                                              <w:marTop w:val="0"/>
                                                                                              <w:marBottom w:val="0"/>
                                                                                              <w:divBdr>
                                                                                                <w:top w:val="none" w:sz="0" w:space="0" w:color="auto"/>
                                                                                                <w:left w:val="none" w:sz="0" w:space="0" w:color="auto"/>
                                                                                                <w:bottom w:val="none" w:sz="0" w:space="0" w:color="auto"/>
                                                                                                <w:right w:val="none" w:sz="0" w:space="0" w:color="auto"/>
                                                                                              </w:divBdr>
                                                                                              <w:divsChild>
                                                                                                <w:div w:id="1895895737">
                                                                                                  <w:marLeft w:val="0"/>
                                                                                                  <w:marRight w:val="0"/>
                                                                                                  <w:marTop w:val="0"/>
                                                                                                  <w:marBottom w:val="0"/>
                                                                                                  <w:divBdr>
                                                                                                    <w:top w:val="none" w:sz="0" w:space="0" w:color="auto"/>
                                                                                                    <w:left w:val="none" w:sz="0" w:space="0" w:color="auto"/>
                                                                                                    <w:bottom w:val="none" w:sz="0" w:space="0" w:color="auto"/>
                                                                                                    <w:right w:val="none" w:sz="0" w:space="0" w:color="auto"/>
                                                                                                  </w:divBdr>
                                                                                                  <w:divsChild>
                                                                                                    <w:div w:id="299775486">
                                                                                                      <w:marLeft w:val="0"/>
                                                                                                      <w:marRight w:val="0"/>
                                                                                                      <w:marTop w:val="0"/>
                                                                                                      <w:marBottom w:val="0"/>
                                                                                                      <w:divBdr>
                                                                                                        <w:top w:val="none" w:sz="0" w:space="0" w:color="auto"/>
                                                                                                        <w:left w:val="none" w:sz="0" w:space="0" w:color="auto"/>
                                                                                                        <w:bottom w:val="none" w:sz="0" w:space="0" w:color="auto"/>
                                                                                                        <w:right w:val="none" w:sz="0" w:space="0" w:color="auto"/>
                                                                                                      </w:divBdr>
                                                                                                      <w:divsChild>
                                                                                                        <w:div w:id="2102337455">
                                                                                                          <w:marLeft w:val="0"/>
                                                                                                          <w:marRight w:val="0"/>
                                                                                                          <w:marTop w:val="75"/>
                                                                                                          <w:marBottom w:val="0"/>
                                                                                                          <w:divBdr>
                                                                                                            <w:top w:val="none" w:sz="0" w:space="0" w:color="auto"/>
                                                                                                            <w:left w:val="none" w:sz="0" w:space="0" w:color="auto"/>
                                                                                                            <w:bottom w:val="none" w:sz="0" w:space="0" w:color="auto"/>
                                                                                                            <w:right w:val="none" w:sz="0" w:space="0" w:color="auto"/>
                                                                                                          </w:divBdr>
                                                                                                          <w:divsChild>
                                                                                                            <w:div w:id="1049700">
                                                                                                              <w:marLeft w:val="0"/>
                                                                                                              <w:marRight w:val="0"/>
                                                                                                              <w:marTop w:val="0"/>
                                                                                                              <w:marBottom w:val="0"/>
                                                                                                              <w:divBdr>
                                                                                                                <w:top w:val="none" w:sz="0" w:space="0" w:color="auto"/>
                                                                                                                <w:left w:val="none" w:sz="0" w:space="0" w:color="auto"/>
                                                                                                                <w:bottom w:val="none" w:sz="0" w:space="0" w:color="auto"/>
                                                                                                                <w:right w:val="none" w:sz="0" w:space="0" w:color="auto"/>
                                                                                                              </w:divBdr>
                                                                                                              <w:divsChild>
                                                                                                                <w:div w:id="1898079189">
                                                                                                                  <w:marLeft w:val="0"/>
                                                                                                                  <w:marRight w:val="0"/>
                                                                                                                  <w:marTop w:val="0"/>
                                                                                                                  <w:marBottom w:val="0"/>
                                                                                                                  <w:divBdr>
                                                                                                                    <w:top w:val="none" w:sz="0" w:space="0" w:color="auto"/>
                                                                                                                    <w:left w:val="none" w:sz="0" w:space="0" w:color="auto"/>
                                                                                                                    <w:bottom w:val="none" w:sz="0" w:space="0" w:color="auto"/>
                                                                                                                    <w:right w:val="none" w:sz="0" w:space="0" w:color="auto"/>
                                                                                                                  </w:divBdr>
                                                                                                                  <w:divsChild>
                                                                                                                    <w:div w:id="412433832">
                                                                                                                      <w:marLeft w:val="0"/>
                                                                                                                      <w:marRight w:val="0"/>
                                                                                                                      <w:marTop w:val="0"/>
                                                                                                                      <w:marBottom w:val="0"/>
                                                                                                                      <w:divBdr>
                                                                                                                        <w:top w:val="none" w:sz="0" w:space="0" w:color="auto"/>
                                                                                                                        <w:left w:val="none" w:sz="0" w:space="0" w:color="auto"/>
                                                                                                                        <w:bottom w:val="none" w:sz="0" w:space="0" w:color="auto"/>
                                                                                                                        <w:right w:val="none" w:sz="0" w:space="0" w:color="auto"/>
                                                                                                                      </w:divBdr>
                                                                                                                    </w:div>
                                                                                                                    <w:div w:id="600726265">
                                                                                                                      <w:marLeft w:val="0"/>
                                                                                                                      <w:marRight w:val="0"/>
                                                                                                                      <w:marTop w:val="0"/>
                                                                                                                      <w:marBottom w:val="0"/>
                                                                                                                      <w:divBdr>
                                                                                                                        <w:top w:val="none" w:sz="0" w:space="0" w:color="auto"/>
                                                                                                                        <w:left w:val="none" w:sz="0" w:space="0" w:color="auto"/>
                                                                                                                        <w:bottom w:val="none" w:sz="0" w:space="0" w:color="auto"/>
                                                                                                                        <w:right w:val="none" w:sz="0" w:space="0" w:color="auto"/>
                                                                                                                      </w:divBdr>
                                                                                                                    </w:div>
                                                                                                                    <w:div w:id="967396417">
                                                                                                                      <w:marLeft w:val="0"/>
                                                                                                                      <w:marRight w:val="0"/>
                                                                                                                      <w:marTop w:val="0"/>
                                                                                                                      <w:marBottom w:val="0"/>
                                                                                                                      <w:divBdr>
                                                                                                                        <w:top w:val="none" w:sz="0" w:space="0" w:color="auto"/>
                                                                                                                        <w:left w:val="none" w:sz="0" w:space="0" w:color="auto"/>
                                                                                                                        <w:bottom w:val="none" w:sz="0" w:space="0" w:color="auto"/>
                                                                                                                        <w:right w:val="none" w:sz="0" w:space="0" w:color="auto"/>
                                                                                                                      </w:divBdr>
                                                                                                                      <w:divsChild>
                                                                                                                        <w:div w:id="251742475">
                                                                                                                          <w:marLeft w:val="0"/>
                                                                                                                          <w:marRight w:val="0"/>
                                                                                                                          <w:marTop w:val="0"/>
                                                                                                                          <w:marBottom w:val="0"/>
                                                                                                                          <w:divBdr>
                                                                                                                            <w:top w:val="none" w:sz="0" w:space="0" w:color="auto"/>
                                                                                                                            <w:left w:val="none" w:sz="0" w:space="0" w:color="auto"/>
                                                                                                                            <w:bottom w:val="none" w:sz="0" w:space="0" w:color="auto"/>
                                                                                                                            <w:right w:val="none" w:sz="0" w:space="0" w:color="auto"/>
                                                                                                                          </w:divBdr>
                                                                                                                          <w:divsChild>
                                                                                                                            <w:div w:id="126092510">
                                                                                                                              <w:marLeft w:val="0"/>
                                                                                                                              <w:marRight w:val="0"/>
                                                                                                                              <w:marTop w:val="280"/>
                                                                                                                              <w:marBottom w:val="280"/>
                                                                                                                              <w:divBdr>
                                                                                                                                <w:top w:val="none" w:sz="0" w:space="0" w:color="auto"/>
                                                                                                                                <w:left w:val="none" w:sz="0" w:space="0" w:color="auto"/>
                                                                                                                                <w:bottom w:val="none" w:sz="0" w:space="0" w:color="auto"/>
                                                                                                                                <w:right w:val="none" w:sz="0" w:space="0" w:color="auto"/>
                                                                                                                              </w:divBdr>
                                                                                                                            </w:div>
                                                                                                                            <w:div w:id="1274871994">
                                                                                                                              <w:marLeft w:val="0"/>
                                                                                                                              <w:marRight w:val="0"/>
                                                                                                                              <w:marTop w:val="280"/>
                                                                                                                              <w:marBottom w:val="280"/>
                                                                                                                              <w:divBdr>
                                                                                                                                <w:top w:val="none" w:sz="0" w:space="0" w:color="auto"/>
                                                                                                                                <w:left w:val="none" w:sz="0" w:space="0" w:color="auto"/>
                                                                                                                                <w:bottom w:val="none" w:sz="0" w:space="0" w:color="auto"/>
                                                                                                                                <w:right w:val="none" w:sz="0" w:space="0" w:color="auto"/>
                                                                                                                              </w:divBdr>
                                                                                                                            </w:div>
                                                                                                                            <w:div w:id="1788885440">
                                                                                                                              <w:marLeft w:val="0"/>
                                                                                                                              <w:marRight w:val="0"/>
                                                                                                                              <w:marTop w:val="280"/>
                                                                                                                              <w:marBottom w:val="280"/>
                                                                                                                              <w:divBdr>
                                                                                                                                <w:top w:val="none" w:sz="0" w:space="0" w:color="auto"/>
                                                                                                                                <w:left w:val="none" w:sz="0" w:space="0" w:color="auto"/>
                                                                                                                                <w:bottom w:val="none" w:sz="0" w:space="0" w:color="auto"/>
                                                                                                                                <w:right w:val="none" w:sz="0" w:space="0" w:color="auto"/>
                                                                                                                              </w:divBdr>
                                                                                                                            </w:div>
                                                                                                                            <w:div w:id="205311585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074707">
      <w:bodyDiv w:val="1"/>
      <w:marLeft w:val="0"/>
      <w:marRight w:val="0"/>
      <w:marTop w:val="0"/>
      <w:marBottom w:val="0"/>
      <w:divBdr>
        <w:top w:val="none" w:sz="0" w:space="0" w:color="auto"/>
        <w:left w:val="none" w:sz="0" w:space="0" w:color="auto"/>
        <w:bottom w:val="none" w:sz="0" w:space="0" w:color="auto"/>
        <w:right w:val="none" w:sz="0" w:space="0" w:color="auto"/>
      </w:divBdr>
      <w:divsChild>
        <w:div w:id="58137938">
          <w:marLeft w:val="0"/>
          <w:marRight w:val="0"/>
          <w:marTop w:val="0"/>
          <w:marBottom w:val="0"/>
          <w:divBdr>
            <w:top w:val="none" w:sz="0" w:space="0" w:color="auto"/>
            <w:left w:val="none" w:sz="0" w:space="0" w:color="auto"/>
            <w:bottom w:val="none" w:sz="0" w:space="0" w:color="auto"/>
            <w:right w:val="none" w:sz="0" w:space="0" w:color="auto"/>
          </w:divBdr>
          <w:divsChild>
            <w:div w:id="2009749950">
              <w:marLeft w:val="0"/>
              <w:marRight w:val="0"/>
              <w:marTop w:val="100"/>
              <w:marBottom w:val="100"/>
              <w:divBdr>
                <w:top w:val="none" w:sz="0" w:space="0" w:color="auto"/>
                <w:left w:val="none" w:sz="0" w:space="0" w:color="auto"/>
                <w:bottom w:val="none" w:sz="0" w:space="0" w:color="auto"/>
                <w:right w:val="none" w:sz="0" w:space="0" w:color="auto"/>
              </w:divBdr>
              <w:divsChild>
                <w:div w:id="904144411">
                  <w:marLeft w:val="0"/>
                  <w:marRight w:val="0"/>
                  <w:marTop w:val="0"/>
                  <w:marBottom w:val="0"/>
                  <w:divBdr>
                    <w:top w:val="none" w:sz="0" w:space="0" w:color="auto"/>
                    <w:left w:val="none" w:sz="0" w:space="0" w:color="auto"/>
                    <w:bottom w:val="none" w:sz="0" w:space="0" w:color="auto"/>
                    <w:right w:val="none" w:sz="0" w:space="0" w:color="auto"/>
                  </w:divBdr>
                  <w:divsChild>
                    <w:div w:id="621880260">
                      <w:marLeft w:val="0"/>
                      <w:marRight w:val="0"/>
                      <w:marTop w:val="0"/>
                      <w:marBottom w:val="0"/>
                      <w:divBdr>
                        <w:top w:val="none" w:sz="0" w:space="0" w:color="auto"/>
                        <w:left w:val="none" w:sz="0" w:space="0" w:color="auto"/>
                        <w:bottom w:val="none" w:sz="0" w:space="0" w:color="auto"/>
                        <w:right w:val="none" w:sz="0" w:space="0" w:color="auto"/>
                      </w:divBdr>
                      <w:divsChild>
                        <w:div w:id="1735620357">
                          <w:marLeft w:val="0"/>
                          <w:marRight w:val="0"/>
                          <w:marTop w:val="100"/>
                          <w:marBottom w:val="100"/>
                          <w:divBdr>
                            <w:top w:val="none" w:sz="0" w:space="0" w:color="auto"/>
                            <w:left w:val="none" w:sz="0" w:space="0" w:color="auto"/>
                            <w:bottom w:val="none" w:sz="0" w:space="0" w:color="auto"/>
                            <w:right w:val="none" w:sz="0" w:space="0" w:color="auto"/>
                          </w:divBdr>
                          <w:divsChild>
                            <w:div w:id="57286861">
                              <w:marLeft w:val="0"/>
                              <w:marRight w:val="0"/>
                              <w:marTop w:val="0"/>
                              <w:marBottom w:val="104"/>
                              <w:divBdr>
                                <w:top w:val="none" w:sz="0" w:space="0" w:color="auto"/>
                                <w:left w:val="none" w:sz="0" w:space="0" w:color="auto"/>
                                <w:bottom w:val="single" w:sz="8" w:space="7" w:color="EBEBEB"/>
                                <w:right w:val="none" w:sz="0" w:space="0" w:color="auto"/>
                              </w:divBdr>
                              <w:divsChild>
                                <w:div w:id="46531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16/j.bar.2020.100944"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BF805-0925-45D2-B7FA-6482EE50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12888</Words>
  <Characters>73464</Characters>
  <Application>Microsoft Office Word</Application>
  <DocSecurity>0</DocSecurity>
  <Lines>612</Lines>
  <Paragraphs>172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di Siena</Company>
  <LinksUpToDate>false</LinksUpToDate>
  <CharactersWithSpaces>86180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Giovannoni</dc:creator>
  <cp:lastModifiedBy>Christopher Napier</cp:lastModifiedBy>
  <cp:revision>2</cp:revision>
  <cp:lastPrinted>2018-09-17T10:49:00Z</cp:lastPrinted>
  <dcterms:created xsi:type="dcterms:W3CDTF">2020-09-02T10:55:00Z</dcterms:created>
  <dcterms:modified xsi:type="dcterms:W3CDTF">2020-09-02T10:55:00Z</dcterms:modified>
</cp:coreProperties>
</file>