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02F7E" w14:textId="51EDB3DE" w:rsidR="00D00627" w:rsidRPr="00B067FA" w:rsidRDefault="00030884" w:rsidP="00030884">
      <w:pPr>
        <w:spacing w:after="0" w:line="360" w:lineRule="auto"/>
        <w:jc w:val="center"/>
        <w:rPr>
          <w:rFonts w:ascii="Times New Roman" w:hAnsi="Times New Roman" w:cs="Times New Roman"/>
          <w:b/>
          <w:sz w:val="32"/>
          <w:szCs w:val="24"/>
        </w:rPr>
      </w:pPr>
      <w:r w:rsidRPr="00B067FA">
        <w:rPr>
          <w:rFonts w:ascii="Times New Roman" w:hAnsi="Times New Roman" w:cs="Times New Roman"/>
          <w:b/>
          <w:sz w:val="32"/>
          <w:szCs w:val="24"/>
        </w:rPr>
        <w:t>Case stud</w:t>
      </w:r>
      <w:r w:rsidR="001B10E7" w:rsidRPr="00B067FA">
        <w:rPr>
          <w:rFonts w:ascii="Times New Roman" w:hAnsi="Times New Roman" w:cs="Times New Roman"/>
          <w:b/>
          <w:sz w:val="32"/>
          <w:szCs w:val="24"/>
        </w:rPr>
        <w:t>y</w:t>
      </w:r>
      <w:r w:rsidRPr="00B067FA">
        <w:rPr>
          <w:rFonts w:ascii="Times New Roman" w:hAnsi="Times New Roman" w:cs="Times New Roman"/>
          <w:b/>
          <w:sz w:val="32"/>
          <w:szCs w:val="24"/>
        </w:rPr>
        <w:t xml:space="preserve"> </w:t>
      </w:r>
      <w:r w:rsidR="00747CE5" w:rsidRPr="00B067FA">
        <w:rPr>
          <w:rFonts w:ascii="Times New Roman" w:hAnsi="Times New Roman" w:cs="Times New Roman"/>
          <w:b/>
          <w:sz w:val="32"/>
          <w:szCs w:val="24"/>
        </w:rPr>
        <w:t xml:space="preserve">research </w:t>
      </w:r>
      <w:r w:rsidR="00F4178D" w:rsidRPr="00B067FA">
        <w:rPr>
          <w:rFonts w:ascii="Times New Roman" w:hAnsi="Times New Roman" w:cs="Times New Roman"/>
          <w:b/>
          <w:sz w:val="32"/>
          <w:szCs w:val="24"/>
        </w:rPr>
        <w:t>and</w:t>
      </w:r>
      <w:r w:rsidRPr="00B067FA">
        <w:rPr>
          <w:rFonts w:ascii="Times New Roman" w:hAnsi="Times New Roman" w:cs="Times New Roman"/>
          <w:b/>
          <w:sz w:val="32"/>
          <w:szCs w:val="24"/>
        </w:rPr>
        <w:t xml:space="preserve"> critical IR: </w:t>
      </w:r>
    </w:p>
    <w:p w14:paraId="1B7B873B" w14:textId="66398F55" w:rsidR="00030884" w:rsidRPr="00B067FA" w:rsidRDefault="00030884" w:rsidP="00030884">
      <w:pPr>
        <w:spacing w:after="0" w:line="360" w:lineRule="auto"/>
        <w:jc w:val="center"/>
        <w:rPr>
          <w:rFonts w:ascii="Times New Roman" w:hAnsi="Times New Roman" w:cs="Times New Roman"/>
          <w:b/>
          <w:sz w:val="32"/>
          <w:szCs w:val="24"/>
        </w:rPr>
      </w:pPr>
      <w:r w:rsidRPr="00B067FA">
        <w:rPr>
          <w:rFonts w:ascii="Times New Roman" w:hAnsi="Times New Roman" w:cs="Times New Roman"/>
          <w:b/>
          <w:sz w:val="32"/>
          <w:szCs w:val="24"/>
        </w:rPr>
        <w:t>The case for the extended case method</w:t>
      </w:r>
      <w:r w:rsidR="00747CE5" w:rsidRPr="00B067FA">
        <w:rPr>
          <w:rFonts w:ascii="Times New Roman" w:hAnsi="Times New Roman" w:cs="Times New Roman"/>
          <w:b/>
          <w:sz w:val="32"/>
          <w:szCs w:val="24"/>
        </w:rPr>
        <w:t>ology</w:t>
      </w:r>
    </w:p>
    <w:p w14:paraId="75D820BD" w14:textId="138532EC" w:rsidR="00944E8C" w:rsidRDefault="00944E8C" w:rsidP="00F80919">
      <w:pPr>
        <w:spacing w:after="0" w:line="360" w:lineRule="auto"/>
        <w:jc w:val="both"/>
        <w:rPr>
          <w:rFonts w:ascii="Times New Roman" w:hAnsi="Times New Roman" w:cs="Times New Roman"/>
          <w:b/>
          <w:sz w:val="24"/>
          <w:szCs w:val="24"/>
        </w:rPr>
      </w:pPr>
    </w:p>
    <w:p w14:paraId="77FF38CF" w14:textId="5BF45897" w:rsidR="00AE17B6" w:rsidRDefault="00AE17B6" w:rsidP="00F8091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Daniela Lai </w:t>
      </w:r>
    </w:p>
    <w:p w14:paraId="47F779E3" w14:textId="6E5EB297" w:rsidR="00AE17B6" w:rsidRDefault="00AE17B6" w:rsidP="00F80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London South Bank University </w:t>
      </w:r>
    </w:p>
    <w:p w14:paraId="41F63C26" w14:textId="77777777" w:rsidR="00AE17B6" w:rsidRPr="00AE17B6" w:rsidRDefault="00AE17B6" w:rsidP="00F80919">
      <w:pPr>
        <w:spacing w:after="0" w:line="360" w:lineRule="auto"/>
        <w:jc w:val="both"/>
        <w:rPr>
          <w:rFonts w:ascii="Times New Roman" w:hAnsi="Times New Roman" w:cs="Times New Roman"/>
          <w:sz w:val="24"/>
          <w:szCs w:val="24"/>
        </w:rPr>
      </w:pPr>
    </w:p>
    <w:p w14:paraId="2659DB2E" w14:textId="7EFA1B40" w:rsidR="00AE17B6" w:rsidRDefault="00AE17B6" w:rsidP="00F8091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Roberto Roccu</w:t>
      </w:r>
    </w:p>
    <w:p w14:paraId="0F375D80" w14:textId="3CA37258" w:rsidR="00CA266A" w:rsidRPr="00AE17B6" w:rsidRDefault="00AE17B6" w:rsidP="00F80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King’s College London</w:t>
      </w:r>
      <w:bookmarkStart w:id="0" w:name="_GoBack"/>
      <w:bookmarkEnd w:id="0"/>
    </w:p>
    <w:p w14:paraId="08143E6A" w14:textId="0BAB128C" w:rsidR="00AE17B6" w:rsidRPr="00AE17B6" w:rsidRDefault="00AE17B6" w:rsidP="00F80919">
      <w:pPr>
        <w:spacing w:after="0" w:line="360" w:lineRule="auto"/>
        <w:jc w:val="both"/>
        <w:rPr>
          <w:rFonts w:ascii="Times New Roman" w:hAnsi="Times New Roman" w:cs="Times New Roman"/>
          <w:sz w:val="24"/>
          <w:szCs w:val="24"/>
        </w:rPr>
      </w:pPr>
    </w:p>
    <w:p w14:paraId="3CF33484" w14:textId="77777777" w:rsidR="00AE17B6" w:rsidRPr="00AE17B6" w:rsidRDefault="00AE17B6" w:rsidP="00F80919">
      <w:pPr>
        <w:spacing w:after="0" w:line="360" w:lineRule="auto"/>
        <w:jc w:val="both"/>
        <w:rPr>
          <w:rFonts w:ascii="Times New Roman" w:hAnsi="Times New Roman" w:cs="Times New Roman"/>
          <w:sz w:val="24"/>
          <w:szCs w:val="24"/>
        </w:rPr>
      </w:pPr>
    </w:p>
    <w:p w14:paraId="370616E9" w14:textId="1D99CFE2" w:rsidR="00D00627" w:rsidRPr="00B067FA" w:rsidRDefault="005D1BF5" w:rsidP="00F8091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Abstract </w:t>
      </w:r>
    </w:p>
    <w:p w14:paraId="08DDB821" w14:textId="042DDC02" w:rsidR="00B51315" w:rsidRPr="00B067FA" w:rsidRDefault="00B51315" w:rsidP="0060185B">
      <w:pPr>
        <w:spacing w:after="120" w:line="276" w:lineRule="auto"/>
        <w:jc w:val="both"/>
        <w:rPr>
          <w:rFonts w:ascii="Times New Roman" w:hAnsi="Times New Roman" w:cs="Times New Roman"/>
          <w:sz w:val="24"/>
          <w:szCs w:val="24"/>
        </w:rPr>
      </w:pPr>
      <w:r w:rsidRPr="00B067FA">
        <w:rPr>
          <w:rFonts w:ascii="Times New Roman" w:hAnsi="Times New Roman" w:cs="Times New Roman"/>
          <w:sz w:val="24"/>
          <w:szCs w:val="24"/>
        </w:rPr>
        <w:t xml:space="preserve">Discussions on case study methodology in International Relations (IR) have historically been dominated by positivist and neopositivist approaches. </w:t>
      </w:r>
      <w:r w:rsidR="0060185B" w:rsidRPr="00B067FA">
        <w:rPr>
          <w:rFonts w:ascii="Times New Roman" w:hAnsi="Times New Roman" w:cs="Times New Roman"/>
          <w:sz w:val="24"/>
          <w:szCs w:val="24"/>
        </w:rPr>
        <w:t xml:space="preserve">However, these are problematic for critical IR research, pointing to the need for a non-positivist case study methodology. To address this issue, </w:t>
      </w:r>
      <w:r w:rsidRPr="00B067FA">
        <w:rPr>
          <w:rFonts w:ascii="Times New Roman" w:hAnsi="Times New Roman" w:cs="Times New Roman"/>
          <w:sz w:val="24"/>
          <w:szCs w:val="24"/>
        </w:rPr>
        <w:t>this paper introduces and adapts the extended case method</w:t>
      </w:r>
      <w:r w:rsidR="0060185B" w:rsidRPr="00B067FA">
        <w:rPr>
          <w:rFonts w:ascii="Times New Roman" w:hAnsi="Times New Roman" w:cs="Times New Roman"/>
          <w:sz w:val="24"/>
          <w:szCs w:val="24"/>
        </w:rPr>
        <w:t>ology</w:t>
      </w:r>
      <w:r w:rsidRPr="00B067FA">
        <w:rPr>
          <w:rFonts w:ascii="Times New Roman" w:hAnsi="Times New Roman" w:cs="Times New Roman"/>
          <w:sz w:val="24"/>
          <w:szCs w:val="24"/>
        </w:rPr>
        <w:t xml:space="preserve"> as a critical, reflexivist approach to case study research, whereby the case is constructed through a dynamic interaction with theory, rather than selected, and knowledge is produced through extensions rather than generalisation. Insofar as it seeks to study the world in complex and non-linear terms, take context and positionality seriously, and generate explicitly political and emancipatory knowledge, the extended case method</w:t>
      </w:r>
      <w:r w:rsidR="0060185B" w:rsidRPr="00B067FA">
        <w:rPr>
          <w:rFonts w:ascii="Times New Roman" w:hAnsi="Times New Roman" w:cs="Times New Roman"/>
          <w:sz w:val="24"/>
          <w:szCs w:val="24"/>
        </w:rPr>
        <w:t>ology</w:t>
      </w:r>
      <w:r w:rsidRPr="00B067FA">
        <w:rPr>
          <w:rFonts w:ascii="Times New Roman" w:hAnsi="Times New Roman" w:cs="Times New Roman"/>
          <w:sz w:val="24"/>
          <w:szCs w:val="24"/>
        </w:rPr>
        <w:t xml:space="preserve"> is consistent with the ontological and epistemological commitments of</w:t>
      </w:r>
      <w:r w:rsidR="00E94E09" w:rsidRPr="00B067FA">
        <w:rPr>
          <w:rFonts w:ascii="Times New Roman" w:hAnsi="Times New Roman" w:cs="Times New Roman"/>
          <w:sz w:val="24"/>
          <w:szCs w:val="24"/>
        </w:rPr>
        <w:t xml:space="preserve"> several</w:t>
      </w:r>
      <w:r w:rsidRPr="00B067FA">
        <w:rPr>
          <w:rFonts w:ascii="Times New Roman" w:hAnsi="Times New Roman" w:cs="Times New Roman"/>
          <w:sz w:val="24"/>
          <w:szCs w:val="24"/>
        </w:rPr>
        <w:t xml:space="preserve"> critical </w:t>
      </w:r>
      <w:r w:rsidR="00E94E09" w:rsidRPr="00B067FA">
        <w:rPr>
          <w:rFonts w:ascii="Times New Roman" w:hAnsi="Times New Roman" w:cs="Times New Roman"/>
          <w:sz w:val="24"/>
          <w:szCs w:val="24"/>
        </w:rPr>
        <w:t>IR approaches</w:t>
      </w:r>
      <w:r w:rsidRPr="00B067FA">
        <w:rPr>
          <w:rFonts w:ascii="Times New Roman" w:hAnsi="Times New Roman" w:cs="Times New Roman"/>
          <w:sz w:val="24"/>
          <w:szCs w:val="24"/>
        </w:rPr>
        <w:t>. Its potential is illustrated in the final part of the paper with reference to researching the socio-economic dimension of transitional justice in Bosnia and Herzegovina.</w:t>
      </w:r>
    </w:p>
    <w:p w14:paraId="67C812F0" w14:textId="535A7C02" w:rsidR="00030884" w:rsidRDefault="00030884" w:rsidP="00F80919">
      <w:pPr>
        <w:spacing w:after="0" w:line="360" w:lineRule="auto"/>
        <w:jc w:val="both"/>
        <w:rPr>
          <w:rFonts w:ascii="Times New Roman" w:hAnsi="Times New Roman" w:cs="Times New Roman"/>
          <w:b/>
          <w:sz w:val="24"/>
          <w:szCs w:val="24"/>
        </w:rPr>
      </w:pPr>
    </w:p>
    <w:p w14:paraId="3BB383AF" w14:textId="77777777" w:rsidR="00CA266A" w:rsidRDefault="00CA266A" w:rsidP="00CA266A">
      <w:pPr>
        <w:spacing w:after="120" w:line="276" w:lineRule="auto"/>
        <w:jc w:val="both"/>
        <w:rPr>
          <w:rFonts w:ascii="Times New Roman" w:hAnsi="Times New Roman" w:cs="Times New Roman"/>
          <w:sz w:val="24"/>
          <w:szCs w:val="24"/>
        </w:rPr>
      </w:pPr>
      <w:r w:rsidRPr="00500B0D">
        <w:rPr>
          <w:rFonts w:ascii="Times New Roman" w:hAnsi="Times New Roman" w:cs="Times New Roman"/>
          <w:b/>
          <w:sz w:val="24"/>
          <w:szCs w:val="24"/>
        </w:rPr>
        <w:t>Keywords</w:t>
      </w:r>
      <w:r w:rsidRPr="00500B0D">
        <w:rPr>
          <w:rFonts w:ascii="Times New Roman" w:hAnsi="Times New Roman" w:cs="Times New Roman"/>
          <w:sz w:val="24"/>
          <w:szCs w:val="24"/>
        </w:rPr>
        <w:t xml:space="preserve"> </w:t>
      </w:r>
    </w:p>
    <w:p w14:paraId="28217F75" w14:textId="2E3ED664" w:rsidR="00CA266A" w:rsidRPr="00CA266A" w:rsidRDefault="00CA266A" w:rsidP="00CA266A">
      <w:pPr>
        <w:spacing w:after="120" w:line="276" w:lineRule="auto"/>
        <w:jc w:val="both"/>
        <w:rPr>
          <w:rFonts w:ascii="Times New Roman" w:hAnsi="Times New Roman" w:cs="Times New Roman"/>
          <w:sz w:val="24"/>
          <w:szCs w:val="24"/>
        </w:rPr>
      </w:pPr>
      <w:r w:rsidRPr="00CA266A">
        <w:rPr>
          <w:rFonts w:ascii="Times New Roman" w:hAnsi="Times New Roman" w:cs="Times New Roman"/>
          <w:sz w:val="24"/>
          <w:szCs w:val="24"/>
        </w:rPr>
        <w:t xml:space="preserve">extended case methodology; case studies; critical International Relations; methodology </w:t>
      </w:r>
    </w:p>
    <w:p w14:paraId="51543FD4" w14:textId="6FA795DD" w:rsidR="00CA266A" w:rsidRDefault="00CA266A" w:rsidP="00F80919">
      <w:pPr>
        <w:spacing w:after="0" w:line="360" w:lineRule="auto"/>
        <w:jc w:val="both"/>
        <w:rPr>
          <w:rFonts w:ascii="Times New Roman" w:hAnsi="Times New Roman" w:cs="Times New Roman"/>
          <w:b/>
          <w:sz w:val="24"/>
          <w:szCs w:val="24"/>
        </w:rPr>
      </w:pPr>
    </w:p>
    <w:p w14:paraId="0B2D3706" w14:textId="77777777" w:rsidR="00FF06E7" w:rsidRPr="00B067FA" w:rsidRDefault="00FF06E7" w:rsidP="00F80919">
      <w:pPr>
        <w:spacing w:after="0" w:line="360" w:lineRule="auto"/>
        <w:jc w:val="both"/>
        <w:rPr>
          <w:rFonts w:ascii="Times New Roman" w:hAnsi="Times New Roman" w:cs="Times New Roman"/>
          <w:b/>
          <w:sz w:val="24"/>
          <w:szCs w:val="24"/>
        </w:rPr>
      </w:pPr>
    </w:p>
    <w:p w14:paraId="005FF3F9" w14:textId="77777777" w:rsidR="00B51315" w:rsidRPr="00B067FA" w:rsidRDefault="00B51315" w:rsidP="00F80919">
      <w:pPr>
        <w:spacing w:after="0" w:line="360" w:lineRule="auto"/>
        <w:jc w:val="both"/>
        <w:rPr>
          <w:rFonts w:ascii="Times New Roman" w:hAnsi="Times New Roman" w:cs="Times New Roman"/>
          <w:b/>
          <w:sz w:val="24"/>
          <w:szCs w:val="24"/>
        </w:rPr>
      </w:pPr>
    </w:p>
    <w:p w14:paraId="4408F6CF" w14:textId="7941AE49" w:rsidR="00F80919" w:rsidRPr="00B067FA" w:rsidRDefault="00F80919" w:rsidP="00F80919">
      <w:pPr>
        <w:spacing w:after="0" w:line="360" w:lineRule="auto"/>
        <w:jc w:val="both"/>
        <w:rPr>
          <w:rFonts w:ascii="Times New Roman" w:hAnsi="Times New Roman" w:cs="Times New Roman"/>
          <w:b/>
          <w:sz w:val="24"/>
          <w:szCs w:val="24"/>
        </w:rPr>
      </w:pPr>
      <w:r w:rsidRPr="00B067FA">
        <w:rPr>
          <w:rFonts w:ascii="Times New Roman" w:hAnsi="Times New Roman" w:cs="Times New Roman"/>
          <w:b/>
          <w:sz w:val="24"/>
          <w:szCs w:val="24"/>
        </w:rPr>
        <w:t xml:space="preserve">Introduction </w:t>
      </w:r>
    </w:p>
    <w:p w14:paraId="1DD05B73" w14:textId="459F1AB3" w:rsidR="00B067FA" w:rsidRPr="00B067FA" w:rsidRDefault="00E65D5D" w:rsidP="00F80919">
      <w:pPr>
        <w:spacing w:after="0" w:line="360" w:lineRule="auto"/>
        <w:jc w:val="both"/>
        <w:rPr>
          <w:rFonts w:ascii="Times New Roman" w:hAnsi="Times New Roman" w:cs="Times New Roman"/>
          <w:sz w:val="24"/>
          <w:szCs w:val="24"/>
        </w:rPr>
      </w:pPr>
      <w:r w:rsidRPr="00B067FA">
        <w:rPr>
          <w:rFonts w:ascii="Times New Roman" w:hAnsi="Times New Roman" w:cs="Times New Roman"/>
          <w:sz w:val="24"/>
          <w:szCs w:val="24"/>
        </w:rPr>
        <w:t>‘What is a case study and what is it good for?’</w:t>
      </w:r>
      <w:r w:rsidR="00B067FA" w:rsidRPr="00B067FA">
        <w:rPr>
          <w:rStyle w:val="EndnoteReference"/>
          <w:rFonts w:ascii="Times New Roman" w:hAnsi="Times New Roman" w:cs="Times New Roman"/>
          <w:sz w:val="24"/>
          <w:szCs w:val="24"/>
        </w:rPr>
        <w:endnoteReference w:id="1"/>
      </w:r>
      <w:r w:rsidR="00B067FA" w:rsidRPr="00B067FA">
        <w:rPr>
          <w:rFonts w:ascii="Times New Roman" w:hAnsi="Times New Roman" w:cs="Times New Roman"/>
          <w:sz w:val="24"/>
          <w:szCs w:val="24"/>
        </w:rPr>
        <w:t xml:space="preserve"> While asked and answered explicitly in positivist and neopositivist literature, this question is yet to receive substantial attention in non-positivist research in International Relations (IR).</w:t>
      </w:r>
      <w:r w:rsidR="00B067FA" w:rsidRPr="00B067FA">
        <w:rPr>
          <w:rStyle w:val="EndnoteReference"/>
          <w:rFonts w:ascii="Times New Roman" w:hAnsi="Times New Roman" w:cs="Times New Roman"/>
          <w:sz w:val="24"/>
          <w:szCs w:val="24"/>
        </w:rPr>
        <w:endnoteReference w:id="2"/>
      </w:r>
      <w:r w:rsidR="00B067FA" w:rsidRPr="00B067FA">
        <w:rPr>
          <w:rFonts w:ascii="Times New Roman" w:hAnsi="Times New Roman" w:cs="Times New Roman"/>
          <w:sz w:val="24"/>
          <w:szCs w:val="24"/>
        </w:rPr>
        <w:t xml:space="preserve"> This paper addresses this gap from the perspective of critical approaches in IR. It builds on the recent fertile season of methodological reflections in critical IR, strategically concerned with reclaiming discussions on methods and </w:t>
      </w:r>
      <w:r w:rsidR="00B067FA" w:rsidRPr="00B067FA">
        <w:rPr>
          <w:rFonts w:ascii="Times New Roman" w:hAnsi="Times New Roman" w:cs="Times New Roman"/>
          <w:sz w:val="24"/>
          <w:szCs w:val="24"/>
        </w:rPr>
        <w:lastRenderedPageBreak/>
        <w:t>methodology from the exclusive domain of positivist scholars, and substantively focused on making explicit the grounds for producing knowledge and evaluating knowledge claims.</w:t>
      </w:r>
      <w:r w:rsidR="00B067FA" w:rsidRPr="00B067FA">
        <w:rPr>
          <w:rStyle w:val="EndnoteReference"/>
          <w:rFonts w:ascii="Times New Roman" w:hAnsi="Times New Roman" w:cs="Times New Roman"/>
          <w:sz w:val="24"/>
          <w:szCs w:val="24"/>
        </w:rPr>
        <w:endnoteReference w:id="3"/>
      </w:r>
      <w:r w:rsidR="00B067FA" w:rsidRPr="00B067FA">
        <w:rPr>
          <w:rFonts w:ascii="Times New Roman" w:hAnsi="Times New Roman" w:cs="Times New Roman"/>
          <w:sz w:val="24"/>
          <w:szCs w:val="24"/>
        </w:rPr>
        <w:t xml:space="preserve"> In the recent surge of interest towards methods and methodology,</w:t>
      </w:r>
      <w:r w:rsidR="00B067FA" w:rsidRPr="00B067FA">
        <w:rPr>
          <w:rFonts w:ascii="Times New Roman" w:hAnsi="Times New Roman" w:cs="Times New Roman"/>
          <w:sz w:val="24"/>
          <w:szCs w:val="24"/>
          <w:vertAlign w:val="superscript"/>
        </w:rPr>
        <w:endnoteReference w:id="4"/>
      </w:r>
      <w:r w:rsidR="00B067FA" w:rsidRPr="00B067FA">
        <w:rPr>
          <w:rFonts w:ascii="Times New Roman" w:hAnsi="Times New Roman" w:cs="Times New Roman"/>
          <w:sz w:val="24"/>
          <w:szCs w:val="24"/>
        </w:rPr>
        <w:t xml:space="preserve"> much attention has been devoted to the scientific status of knowledge produced through non-positivist approaches. This development not only contests the tight link between positivism and methodologically sound research established in the classical literature on methods in IR,</w:t>
      </w:r>
      <w:r w:rsidR="00B067FA" w:rsidRPr="00B067FA">
        <w:rPr>
          <w:rFonts w:ascii="Times New Roman" w:hAnsi="Times New Roman" w:cs="Times New Roman"/>
          <w:sz w:val="24"/>
          <w:szCs w:val="24"/>
          <w:vertAlign w:val="superscript"/>
        </w:rPr>
        <w:endnoteReference w:id="5"/>
      </w:r>
      <w:r w:rsidR="00B067FA" w:rsidRPr="00B067FA">
        <w:rPr>
          <w:rFonts w:ascii="Times New Roman" w:hAnsi="Times New Roman" w:cs="Times New Roman"/>
          <w:sz w:val="24"/>
          <w:szCs w:val="24"/>
        </w:rPr>
        <w:t xml:space="preserve"> but it also explores new possibilities for pairing methodologies and methods in ways that expand, rather than constrain, our research possibilities.</w:t>
      </w:r>
      <w:r w:rsidR="00B067FA" w:rsidRPr="00B067FA">
        <w:rPr>
          <w:rStyle w:val="EndnoteReference"/>
          <w:rFonts w:ascii="Times New Roman" w:hAnsi="Times New Roman" w:cs="Times New Roman"/>
          <w:sz w:val="24"/>
          <w:szCs w:val="24"/>
        </w:rPr>
        <w:endnoteReference w:id="6"/>
      </w:r>
      <w:r w:rsidR="00B067FA" w:rsidRPr="00B067FA">
        <w:rPr>
          <w:rFonts w:ascii="Times New Roman" w:hAnsi="Times New Roman" w:cs="Times New Roman"/>
          <w:sz w:val="24"/>
          <w:szCs w:val="24"/>
        </w:rPr>
        <w:t xml:space="preserve"> As Jackson argues, science is in fact ‘a pluralist endeavour’ that encompasses, following Weber, every ‘systematic empirical analysis that aims to produce knowledge rather than to produce innerworldly effects’.</w:t>
      </w:r>
      <w:r w:rsidR="00B067FA" w:rsidRPr="00B067FA">
        <w:rPr>
          <w:rFonts w:ascii="Times New Roman" w:hAnsi="Times New Roman" w:cs="Times New Roman"/>
          <w:sz w:val="24"/>
          <w:szCs w:val="24"/>
          <w:vertAlign w:val="superscript"/>
        </w:rPr>
        <w:endnoteReference w:id="7"/>
      </w:r>
      <w:r w:rsidR="00B067FA" w:rsidRPr="00B067FA">
        <w:rPr>
          <w:rFonts w:ascii="Times New Roman" w:hAnsi="Times New Roman" w:cs="Times New Roman"/>
          <w:sz w:val="24"/>
          <w:szCs w:val="24"/>
        </w:rPr>
        <w:t xml:space="preserve"> </w:t>
      </w:r>
    </w:p>
    <w:p w14:paraId="54D19FF1" w14:textId="598D9A8A" w:rsidR="00B067FA" w:rsidRPr="00B067FA" w:rsidRDefault="00B067FA" w:rsidP="0063260E">
      <w:pPr>
        <w:spacing w:after="0" w:line="360" w:lineRule="auto"/>
        <w:ind w:firstLine="720"/>
        <w:jc w:val="both"/>
        <w:rPr>
          <w:rFonts w:ascii="Times New Roman" w:hAnsi="Times New Roman" w:cs="Times New Roman"/>
          <w:sz w:val="24"/>
          <w:szCs w:val="24"/>
        </w:rPr>
      </w:pPr>
      <w:r w:rsidRPr="00B067FA">
        <w:rPr>
          <w:rFonts w:ascii="Times New Roman" w:hAnsi="Times New Roman" w:cs="Times New Roman"/>
          <w:sz w:val="24"/>
          <w:szCs w:val="24"/>
        </w:rPr>
        <w:t>Despite this deeper methodological awareness, critical IR scholarship has yet to articulate its own methodological standards for justifying case selection, the role of case studies in producing knowledge, and the terms of comparison between cases.</w:t>
      </w:r>
      <w:r w:rsidRPr="00B067FA">
        <w:rPr>
          <w:rStyle w:val="EndnoteReference"/>
          <w:rFonts w:ascii="Times New Roman" w:hAnsi="Times New Roman" w:cs="Times New Roman"/>
          <w:sz w:val="24"/>
          <w:szCs w:val="24"/>
        </w:rPr>
        <w:endnoteReference w:id="8"/>
      </w:r>
      <w:r w:rsidRPr="00B067FA">
        <w:rPr>
          <w:rFonts w:ascii="Times New Roman" w:hAnsi="Times New Roman" w:cs="Times New Roman"/>
          <w:sz w:val="24"/>
          <w:szCs w:val="24"/>
        </w:rPr>
        <w:t xml:space="preserve"> While critical scholars have suggested that positivists and post-positivists may be ‘looking for different things’ in a case study,</w:t>
      </w:r>
      <w:r w:rsidRPr="00B067FA">
        <w:rPr>
          <w:rStyle w:val="EndnoteReference"/>
          <w:rFonts w:ascii="Times New Roman" w:hAnsi="Times New Roman" w:cs="Times New Roman"/>
          <w:sz w:val="24"/>
          <w:szCs w:val="24"/>
        </w:rPr>
        <w:endnoteReference w:id="9"/>
      </w:r>
      <w:r w:rsidRPr="00B067FA">
        <w:rPr>
          <w:rFonts w:ascii="Times New Roman" w:hAnsi="Times New Roman" w:cs="Times New Roman"/>
          <w:sz w:val="24"/>
          <w:szCs w:val="24"/>
        </w:rPr>
        <w:t xml:space="preserve"> critical IR practice has more often unreflectively adopted existing approaches than reflexively articulated its own approach to case study research. This is especially striking if we consider the attention given to other aspects of critical methods in IR, as well as the existence of other case-based approaches (such as ethnographies and genealogy) that could have provided a fertile ground for these discussions.</w:t>
      </w:r>
      <w:r w:rsidRPr="00B067FA">
        <w:rPr>
          <w:rStyle w:val="EndnoteReference"/>
          <w:rFonts w:ascii="Times New Roman" w:hAnsi="Times New Roman" w:cs="Times New Roman"/>
          <w:sz w:val="24"/>
          <w:szCs w:val="24"/>
        </w:rPr>
        <w:endnoteReference w:id="10"/>
      </w:r>
      <w:r w:rsidRPr="00B067FA">
        <w:rPr>
          <w:rFonts w:ascii="Times New Roman" w:hAnsi="Times New Roman" w:cs="Times New Roman"/>
          <w:sz w:val="24"/>
          <w:szCs w:val="24"/>
        </w:rPr>
        <w:t xml:space="preserve"> This paper explicitly asks how can we conduct case study research in critical IR in a way that is methodologically explicit and transparent about its (non-positivist) research choices. To this end, it proposes the extended case methodology, inspired by the work of the sociologist Michael Burawoy, as a non-positivist route to case study research in critical IR. </w:t>
      </w:r>
    </w:p>
    <w:p w14:paraId="26F1328D" w14:textId="286E8177" w:rsidR="00B067FA" w:rsidRPr="00B067FA" w:rsidRDefault="00B067FA" w:rsidP="0063260E">
      <w:pPr>
        <w:spacing w:after="0" w:line="360" w:lineRule="auto"/>
        <w:ind w:firstLine="720"/>
        <w:jc w:val="both"/>
        <w:rPr>
          <w:rFonts w:ascii="Times New Roman" w:hAnsi="Times New Roman" w:cs="Times New Roman"/>
          <w:sz w:val="24"/>
          <w:szCs w:val="24"/>
        </w:rPr>
      </w:pPr>
      <w:r w:rsidRPr="00B067FA">
        <w:rPr>
          <w:rFonts w:ascii="Times New Roman" w:hAnsi="Times New Roman" w:cs="Times New Roman"/>
          <w:sz w:val="24"/>
          <w:szCs w:val="24"/>
        </w:rPr>
        <w:t>More specifically, our paper addresses scholars from various strands of critical IR who, following Jackson’s categorisation, recognise themselves in the ‘reflexivist’ tradition, grounded in the ontological-epistemological belief that we cannot know the world as an entity that is entirely separated from us, and rejecting the idea that we can only know what we can directly experience.</w:t>
      </w:r>
      <w:r w:rsidRPr="00B067FA">
        <w:rPr>
          <w:rStyle w:val="EndnoteReference"/>
          <w:rFonts w:ascii="Times New Roman" w:hAnsi="Times New Roman" w:cs="Times New Roman"/>
          <w:sz w:val="24"/>
          <w:szCs w:val="24"/>
        </w:rPr>
        <w:t xml:space="preserve"> </w:t>
      </w:r>
      <w:r w:rsidRPr="00B067FA">
        <w:rPr>
          <w:rStyle w:val="EndnoteReference"/>
          <w:rFonts w:ascii="Times New Roman" w:hAnsi="Times New Roman" w:cs="Times New Roman"/>
          <w:sz w:val="24"/>
          <w:szCs w:val="24"/>
        </w:rPr>
        <w:endnoteReference w:id="11"/>
      </w:r>
      <w:r w:rsidRPr="00B067FA">
        <w:rPr>
          <w:rFonts w:ascii="Times New Roman" w:hAnsi="Times New Roman" w:cs="Times New Roman"/>
          <w:sz w:val="24"/>
          <w:szCs w:val="24"/>
        </w:rPr>
        <w:t xml:space="preserve"> Feminist, Marxist, Bourdieusian, and post-colonial approaches are some of the traditions identified as part of critical IR.</w:t>
      </w:r>
      <w:r w:rsidRPr="00B067FA">
        <w:rPr>
          <w:rStyle w:val="EndnoteReference"/>
          <w:rFonts w:ascii="Times New Roman" w:hAnsi="Times New Roman" w:cs="Times New Roman"/>
          <w:sz w:val="24"/>
          <w:szCs w:val="24"/>
        </w:rPr>
        <w:endnoteReference w:id="12"/>
      </w:r>
      <w:r w:rsidRPr="00B067FA">
        <w:rPr>
          <w:rFonts w:ascii="Times New Roman" w:hAnsi="Times New Roman" w:cs="Times New Roman"/>
          <w:sz w:val="24"/>
          <w:szCs w:val="24"/>
        </w:rPr>
        <w:t xml:space="preserve"> Feminists are singled out as those who have made the biggest contribution to the development of reflexivity and positionality as a cornerstone of critical methodologies in IR.</w:t>
      </w:r>
      <w:r w:rsidRPr="00B067FA">
        <w:rPr>
          <w:rStyle w:val="EndnoteReference"/>
          <w:rFonts w:ascii="Times New Roman" w:hAnsi="Times New Roman" w:cs="Times New Roman"/>
          <w:sz w:val="24"/>
          <w:szCs w:val="24"/>
        </w:rPr>
        <w:endnoteReference w:id="13"/>
      </w:r>
      <w:r w:rsidRPr="00B067FA">
        <w:rPr>
          <w:rFonts w:ascii="Times New Roman" w:hAnsi="Times New Roman" w:cs="Times New Roman"/>
          <w:sz w:val="24"/>
          <w:szCs w:val="24"/>
        </w:rPr>
        <w:t xml:space="preserve"> These critical IR scholars, in their pursuit of holistic understanding and perspectival social knowledge, can benefit from a case study methodology that can help make knowledge claims about the social world in a way that systematically relates the observation of the local context to power relations and transnational </w:t>
      </w:r>
      <w:r w:rsidRPr="00B067FA">
        <w:rPr>
          <w:rFonts w:ascii="Times New Roman" w:hAnsi="Times New Roman" w:cs="Times New Roman"/>
          <w:sz w:val="24"/>
          <w:szCs w:val="24"/>
        </w:rPr>
        <w:lastRenderedPageBreak/>
        <w:t>power structures. While not being the only possible methodological choice for non-positivist case studies, and without wanting to play down the diversity of critical IR approaches, the extended case methodology contributes to IR methodology debates by responding to the need for non-positivist standards for conceptualising and carrying out case study research.</w:t>
      </w:r>
    </w:p>
    <w:p w14:paraId="060461E2" w14:textId="4B5505AE" w:rsidR="00B067FA" w:rsidRPr="00B067FA" w:rsidRDefault="00B067FA" w:rsidP="00F4611F">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Before we proceed, a terminological clarification is necessary. Concurring with Hansen,</w:t>
      </w:r>
      <w:r w:rsidRPr="00B067FA">
        <w:rPr>
          <w:rStyle w:val="EndnoteReference"/>
          <w:rFonts w:ascii="Times New Roman" w:hAnsi="Times New Roman" w:cs="Times New Roman"/>
          <w:sz w:val="24"/>
          <w:szCs w:val="24"/>
        </w:rPr>
        <w:endnoteReference w:id="14"/>
      </w:r>
      <w:r w:rsidRPr="00B067FA">
        <w:rPr>
          <w:rFonts w:ascii="Times New Roman" w:hAnsi="Times New Roman" w:cs="Times New Roman"/>
          <w:sz w:val="24"/>
          <w:szCs w:val="24"/>
        </w:rPr>
        <w:t xml:space="preserve"> and Barkin and Sjoberg, we define methods as the techniques of data collection and analysis employed during research, and methodology as the overall research strategy of a project or a ‘bridge that links research questions, epistemology, and methods’.</w:t>
      </w:r>
      <w:r w:rsidRPr="00B067FA">
        <w:rPr>
          <w:rStyle w:val="EndnoteReference"/>
          <w:rFonts w:ascii="Times New Roman" w:hAnsi="Times New Roman" w:cs="Times New Roman"/>
          <w:sz w:val="24"/>
          <w:szCs w:val="24"/>
        </w:rPr>
        <w:endnoteReference w:id="15"/>
      </w:r>
      <w:r w:rsidRPr="00B067FA">
        <w:rPr>
          <w:rFonts w:ascii="Times New Roman" w:hAnsi="Times New Roman" w:cs="Times New Roman"/>
          <w:sz w:val="24"/>
          <w:szCs w:val="24"/>
        </w:rPr>
        <w:t xml:space="preserve"> Still agreeing with Barkin and Sjoberg,</w:t>
      </w:r>
      <w:r w:rsidRPr="00B067FA">
        <w:rPr>
          <w:rStyle w:val="EndnoteReference"/>
          <w:rFonts w:ascii="Times New Roman" w:hAnsi="Times New Roman" w:cs="Times New Roman"/>
          <w:sz w:val="24"/>
          <w:szCs w:val="24"/>
        </w:rPr>
        <w:endnoteReference w:id="16"/>
      </w:r>
      <w:r w:rsidRPr="00B067FA">
        <w:rPr>
          <w:rFonts w:ascii="Times New Roman" w:hAnsi="Times New Roman" w:cs="Times New Roman"/>
          <w:sz w:val="24"/>
          <w:szCs w:val="24"/>
        </w:rPr>
        <w:t xml:space="preserve"> as well as Jackson, methodology is here understood as informed by ontological-epistemological commitments, which shape how we conceive the relationship between the mind and the world, and the type of knowledge claims we make.</w:t>
      </w:r>
      <w:r w:rsidRPr="00B067FA">
        <w:rPr>
          <w:rStyle w:val="EndnoteReference"/>
          <w:rFonts w:ascii="Times New Roman" w:hAnsi="Times New Roman" w:cs="Times New Roman"/>
          <w:sz w:val="24"/>
          <w:szCs w:val="24"/>
        </w:rPr>
        <w:endnoteReference w:id="17"/>
      </w:r>
      <w:r w:rsidRPr="00B067FA">
        <w:rPr>
          <w:rFonts w:ascii="Times New Roman" w:hAnsi="Times New Roman" w:cs="Times New Roman"/>
          <w:sz w:val="24"/>
          <w:szCs w:val="24"/>
        </w:rPr>
        <w:t xml:space="preserve"> Once methods and methodology are redefined in these terms, Burawoy’s reference to the ‘extended case method’ appears as misnomer from our perspective.</w:t>
      </w:r>
      <w:r w:rsidRPr="00B067FA">
        <w:rPr>
          <w:rStyle w:val="EndnoteReference"/>
          <w:rFonts w:ascii="Times New Roman" w:hAnsi="Times New Roman" w:cs="Times New Roman"/>
          <w:sz w:val="24"/>
          <w:szCs w:val="24"/>
        </w:rPr>
        <w:endnoteReference w:id="18"/>
      </w:r>
      <w:r w:rsidRPr="00B067FA">
        <w:rPr>
          <w:rFonts w:ascii="Times New Roman" w:hAnsi="Times New Roman" w:cs="Times New Roman"/>
          <w:sz w:val="24"/>
          <w:szCs w:val="24"/>
        </w:rPr>
        <w:t xml:space="preserve"> Insofar as it is concerned not with specific techniques for gathering and analysing data (that is, methods), but with the strategy employed to make knowledge claims about a social phenomenon, we define our approach to case study research for critical IR as the extended case </w:t>
      </w:r>
      <w:r w:rsidRPr="00B067FA">
        <w:rPr>
          <w:rFonts w:ascii="Times New Roman" w:hAnsi="Times New Roman" w:cs="Times New Roman"/>
          <w:i/>
          <w:sz w:val="24"/>
          <w:szCs w:val="24"/>
        </w:rPr>
        <w:t>methodology</w:t>
      </w:r>
      <w:r w:rsidRPr="00B067FA">
        <w:rPr>
          <w:rFonts w:ascii="Times New Roman" w:hAnsi="Times New Roman" w:cs="Times New Roman"/>
          <w:sz w:val="24"/>
          <w:szCs w:val="24"/>
        </w:rPr>
        <w:t>. This terminological shift also signals the extent to which Burawoy’s original conceptualisation has been reworked to respond to the needs and questions of critical IR.</w:t>
      </w:r>
    </w:p>
    <w:p w14:paraId="56155CE5" w14:textId="39767B1F" w:rsidR="00B067FA" w:rsidRPr="00B067FA" w:rsidRDefault="00B067FA" w:rsidP="007A453C">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The main argument of this paper is that the extended case methodology responds to the need for a case study methodology in critical IR. Characterised by case ‘construction’ rather than selection, and by the distinctive role of theory throughout the research process, the extended case methodology has a flexible approach to theory-building, and it is concerned with contextually rich, complex accounts of the social world, while attributing an emancipatory function to the production of knowledge. The first section of the paper highlights the problems faced by critical IR when adopting positivist approaches to case study research, and it draws on the contribution of critical IR scholars in outlining the main features of a critical approach to methodology in general, and case studies in particular. The second section argues that the extended case methodology constitutes one such approach. It thus briefly presents the methodology drawing on Burawoy’s work, before suggesting three ‘addenda’ that highlight the extended case methodology’s contribution to critical IR. The paper concludes with an illustration of how the extended case methodology can shed light on marginalised aspects of transitional justice processes in post-war Bosnia and Herzegovina, thus substantiating our claim that the extended case methodology provides a viable and rigorous alternative to positivist approaches available to critical IR scholars engaged in case study research.</w:t>
      </w:r>
    </w:p>
    <w:p w14:paraId="7141F308" w14:textId="1486CADF" w:rsidR="00B067FA" w:rsidRPr="00B067FA" w:rsidRDefault="00B067FA" w:rsidP="005B4DAE">
      <w:pPr>
        <w:spacing w:after="0" w:line="360" w:lineRule="auto"/>
        <w:ind w:firstLine="567"/>
        <w:jc w:val="both"/>
        <w:rPr>
          <w:rFonts w:ascii="Times New Roman" w:hAnsi="Times New Roman" w:cs="Times New Roman"/>
          <w:sz w:val="24"/>
          <w:szCs w:val="24"/>
        </w:rPr>
      </w:pPr>
    </w:p>
    <w:p w14:paraId="12218DD4" w14:textId="77777777" w:rsidR="00B067FA" w:rsidRPr="00B067FA" w:rsidRDefault="00B067FA" w:rsidP="005B4DAE">
      <w:pPr>
        <w:spacing w:after="0" w:line="360" w:lineRule="auto"/>
        <w:ind w:firstLine="567"/>
        <w:jc w:val="both"/>
        <w:rPr>
          <w:rFonts w:ascii="Times New Roman" w:hAnsi="Times New Roman" w:cs="Times New Roman"/>
          <w:sz w:val="24"/>
          <w:szCs w:val="24"/>
        </w:rPr>
      </w:pPr>
    </w:p>
    <w:p w14:paraId="0AA9AC66" w14:textId="77777777" w:rsidR="00B067FA" w:rsidRPr="00B067FA" w:rsidRDefault="00B067FA" w:rsidP="0022347B">
      <w:pPr>
        <w:spacing w:after="0" w:line="360" w:lineRule="auto"/>
        <w:jc w:val="both"/>
        <w:rPr>
          <w:rFonts w:ascii="Times New Roman" w:hAnsi="Times New Roman" w:cs="Times New Roman"/>
          <w:b/>
          <w:sz w:val="24"/>
          <w:szCs w:val="24"/>
        </w:rPr>
      </w:pPr>
      <w:r w:rsidRPr="00B067FA">
        <w:rPr>
          <w:rFonts w:ascii="Times New Roman" w:hAnsi="Times New Roman" w:cs="Times New Roman"/>
          <w:b/>
          <w:sz w:val="24"/>
          <w:szCs w:val="24"/>
        </w:rPr>
        <w:t xml:space="preserve">A missing link? Case study research and critical IR methodology </w:t>
      </w:r>
    </w:p>
    <w:p w14:paraId="2A478293" w14:textId="4CC29472" w:rsidR="00B067FA" w:rsidRPr="00B067FA" w:rsidRDefault="00B067FA" w:rsidP="0022347B">
      <w:pPr>
        <w:spacing w:after="0" w:line="360" w:lineRule="auto"/>
        <w:jc w:val="both"/>
        <w:rPr>
          <w:rFonts w:ascii="Times New Roman" w:hAnsi="Times New Roman" w:cs="Times New Roman"/>
          <w:sz w:val="24"/>
          <w:szCs w:val="24"/>
        </w:rPr>
      </w:pPr>
      <w:r w:rsidRPr="00B067FA">
        <w:rPr>
          <w:rFonts w:ascii="Times New Roman" w:hAnsi="Times New Roman" w:cs="Times New Roman"/>
          <w:sz w:val="24"/>
          <w:szCs w:val="24"/>
        </w:rPr>
        <w:t xml:space="preserve">Case studies are a very popular methodology for social science researchers. Much of their appeal stems from the possibility to generate in-depth insights into a case and avoid the necessarily succinct representation of individual cases given by large-N studies. Predominant understandings of case study research are built on a positivist epistemology characterised by specific understandings of causality and causal mechanisms. Researchers are asked to justify what contribution to knowledge a single case study can actually make, and positivist approaches have developed specific answers to this question. We argue that these are not necessarily applicable to critical IR research, due to fundamental ontological and epistemological differences, which in turn translate into different research objectives and standards for evaluating knowledge claims. </w:t>
      </w:r>
    </w:p>
    <w:p w14:paraId="1468F9C0" w14:textId="1C3AF305"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Within the positivist domain, there are two dominant tendencies in case study research,</w:t>
      </w:r>
      <w:r w:rsidRPr="00B067FA">
        <w:rPr>
          <w:rStyle w:val="EndnoteReference"/>
          <w:rFonts w:ascii="Times New Roman" w:hAnsi="Times New Roman" w:cs="Times New Roman"/>
          <w:sz w:val="24"/>
          <w:szCs w:val="24"/>
        </w:rPr>
        <w:endnoteReference w:id="19"/>
      </w:r>
      <w:r w:rsidRPr="00B067FA">
        <w:rPr>
          <w:rFonts w:ascii="Times New Roman" w:hAnsi="Times New Roman" w:cs="Times New Roman"/>
          <w:sz w:val="24"/>
          <w:szCs w:val="24"/>
        </w:rPr>
        <w:t xml:space="preserve"> each reflecting different understandings of causality and logics of inference but sharing ontological commitments to a mind-world separation to which critical ‘reflexivist’ IR does not subscribe. The first, ‘traditional’ tendency inserts case studies, at least implicitly, within a comparative framework. Gerring illustrates this clearly when identifying three types of single-case research: in each of them, the inference leading to generalisation, considered the aim of a case study, depends on either spatial or temporal covariation in/within a single unit, or on a combination of the two.</w:t>
      </w:r>
      <w:r w:rsidRPr="00B067FA">
        <w:rPr>
          <w:rStyle w:val="EndnoteReference"/>
          <w:rFonts w:ascii="Times New Roman" w:hAnsi="Times New Roman" w:cs="Times New Roman"/>
          <w:sz w:val="24"/>
          <w:szCs w:val="24"/>
        </w:rPr>
        <w:endnoteReference w:id="20"/>
      </w:r>
      <w:r w:rsidRPr="00B067FA">
        <w:rPr>
          <w:rFonts w:ascii="Times New Roman" w:hAnsi="Times New Roman" w:cs="Times New Roman"/>
          <w:sz w:val="24"/>
          <w:szCs w:val="24"/>
        </w:rPr>
        <w:t xml:space="preserve"> Even if understood as merely supportive to multi-case research,</w:t>
      </w:r>
      <w:r w:rsidRPr="00B067FA">
        <w:rPr>
          <w:rStyle w:val="EndnoteReference"/>
          <w:rFonts w:ascii="Times New Roman" w:hAnsi="Times New Roman" w:cs="Times New Roman"/>
          <w:sz w:val="24"/>
          <w:szCs w:val="24"/>
        </w:rPr>
        <w:endnoteReference w:id="21"/>
      </w:r>
      <w:r w:rsidRPr="00B067FA">
        <w:rPr>
          <w:rFonts w:ascii="Times New Roman" w:hAnsi="Times New Roman" w:cs="Times New Roman"/>
          <w:sz w:val="24"/>
          <w:szCs w:val="24"/>
        </w:rPr>
        <w:t xml:space="preserve"> single cases could serve the purpose of a plausibility probe, of a building block for new theories, or provide descriptively rich accounts that could improve future uses of a case for comparative research. In this tradition, single case studies are thus nested into comparative research through the logic of representativeness driving case selection. An emphasis on the comparative function of case studies is indicative of a conception of causality deriving from Hume and Mill, which responds to the criteria of constant conjunction, the logic of control, directional relationships, and disproving alternative explanations. Neopositivist research applies this framework in trying to falsify explanations.</w:t>
      </w:r>
      <w:r w:rsidRPr="00B067FA">
        <w:rPr>
          <w:rStyle w:val="EndnoteReference"/>
          <w:rFonts w:ascii="Times New Roman" w:hAnsi="Times New Roman" w:cs="Times New Roman"/>
          <w:sz w:val="24"/>
          <w:szCs w:val="24"/>
        </w:rPr>
        <w:endnoteReference w:id="22"/>
      </w:r>
    </w:p>
    <w:p w14:paraId="1A420502" w14:textId="6B8E777A" w:rsidR="00B067FA" w:rsidRPr="00B067FA" w:rsidRDefault="00B067FA" w:rsidP="00CB3D26">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 xml:space="preserve">Recent methodological innovations in case study research have instead focused on causal mechanisms and process tracing methodologies. While not necessarily rejecting the first, authors following this second tendency put more emphasis on identifying the steps and relationships that, combined, constitute a specific causal process. In sum, causality responds to a ‘causes-of-effects’ approach, where the aim is to trace the originating causes of an observed </w:t>
      </w:r>
      <w:r w:rsidRPr="00B067FA">
        <w:rPr>
          <w:rFonts w:ascii="Times New Roman" w:hAnsi="Times New Roman" w:cs="Times New Roman"/>
          <w:sz w:val="24"/>
          <w:szCs w:val="24"/>
        </w:rPr>
        <w:lastRenderedPageBreak/>
        <w:t>outcome through the establishment of the specific processes and linkages producing it.</w:t>
      </w:r>
      <w:r w:rsidRPr="00B067FA">
        <w:rPr>
          <w:rStyle w:val="EndnoteReference"/>
          <w:rFonts w:ascii="Times New Roman" w:hAnsi="Times New Roman" w:cs="Times New Roman"/>
          <w:sz w:val="24"/>
          <w:szCs w:val="24"/>
        </w:rPr>
        <w:endnoteReference w:id="23"/>
      </w:r>
      <w:r w:rsidRPr="00B067FA">
        <w:rPr>
          <w:rFonts w:ascii="Times New Roman" w:hAnsi="Times New Roman" w:cs="Times New Roman"/>
          <w:sz w:val="24"/>
          <w:szCs w:val="24"/>
        </w:rPr>
        <w:t xml:space="preserve"> The quest for causal mechanisms also drives case selection. For example, scholars might select cases because they are ‘least likely’ (and thus can potentially provide strong support if the theory is not falsified in that instance), ‘most likely’ (which can illustrate the mechanism at work, and identify spuriousness in causal relationships that were established statistically), or because they are deviant.</w:t>
      </w:r>
      <w:r w:rsidRPr="00B067FA">
        <w:rPr>
          <w:rStyle w:val="EndnoteReference"/>
          <w:rFonts w:ascii="Times New Roman" w:hAnsi="Times New Roman" w:cs="Times New Roman"/>
          <w:sz w:val="24"/>
          <w:szCs w:val="24"/>
        </w:rPr>
        <w:endnoteReference w:id="24"/>
      </w:r>
      <w:r w:rsidRPr="00B067FA">
        <w:rPr>
          <w:rFonts w:ascii="Times New Roman" w:hAnsi="Times New Roman" w:cs="Times New Roman"/>
          <w:sz w:val="24"/>
          <w:szCs w:val="24"/>
        </w:rPr>
        <w:t xml:space="preserve"> Notwithstanding the arguably more complex view of the social world in this latter group of scholars, both these tendencies remain committed to the possibility of knowing something independently of our position </w:t>
      </w:r>
      <w:r w:rsidRPr="00B067FA">
        <w:rPr>
          <w:rFonts w:ascii="Times New Roman" w:hAnsi="Times New Roman" w:cs="Times New Roman"/>
          <w:i/>
          <w:sz w:val="24"/>
          <w:szCs w:val="24"/>
        </w:rPr>
        <w:t>vis-à-vis</w:t>
      </w:r>
      <w:r w:rsidRPr="00B067FA">
        <w:rPr>
          <w:rFonts w:ascii="Times New Roman" w:hAnsi="Times New Roman" w:cs="Times New Roman"/>
          <w:sz w:val="24"/>
          <w:szCs w:val="24"/>
        </w:rPr>
        <w:t xml:space="preserve"> the object under study, combined with a concern for generalisation and explanations that can ‘travel’ from one context to another.</w:t>
      </w:r>
    </w:p>
    <w:p w14:paraId="71C6D16D" w14:textId="6CDE2ED1"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While valuable routes for the production of knowledge, these case study methodologies can be problematic for critical IR – its internal diversity notwithstanding – for three main reasons, pertaining respectively to fundamental ontological and epistemological differences, to the trade-off between context and generalisability, and to the difficulties of bridging epistemologies through methodology. Firstly, the positivist quest to unveil causes, effects and mechanisms that are both objectively knowable and independent of the researcher’s own position and preferences clashes with the foundational assumptions of critical approaches, for which facts ‘are social and historical products, partly determined by the collective action of human beings in society’.</w:t>
      </w:r>
      <w:r w:rsidRPr="00B067FA">
        <w:rPr>
          <w:rStyle w:val="EndnoteReference"/>
          <w:rFonts w:ascii="Times New Roman" w:hAnsi="Times New Roman" w:cs="Times New Roman"/>
          <w:sz w:val="24"/>
          <w:szCs w:val="24"/>
        </w:rPr>
        <w:endnoteReference w:id="25"/>
      </w:r>
      <w:r w:rsidRPr="00B067FA">
        <w:rPr>
          <w:rFonts w:ascii="Times New Roman" w:hAnsi="Times New Roman" w:cs="Times New Roman"/>
          <w:sz w:val="24"/>
          <w:szCs w:val="24"/>
        </w:rPr>
        <w:t xml:space="preserve"> Hence, the researcher’s own words and deeds contribute to the very emergence of social facts, giving critical theory its double role as ‘both an intellectual </w:t>
      </w:r>
      <w:r w:rsidRPr="00B067FA">
        <w:rPr>
          <w:rFonts w:ascii="Times New Roman" w:hAnsi="Times New Roman" w:cs="Times New Roman"/>
          <w:i/>
          <w:sz w:val="24"/>
          <w:szCs w:val="24"/>
        </w:rPr>
        <w:t>and</w:t>
      </w:r>
      <w:r w:rsidRPr="00B067FA">
        <w:rPr>
          <w:rFonts w:ascii="Times New Roman" w:hAnsi="Times New Roman" w:cs="Times New Roman"/>
          <w:sz w:val="24"/>
          <w:szCs w:val="24"/>
        </w:rPr>
        <w:t xml:space="preserve"> a social act’, seeking to make sense of society ‘by taking a position outside of society while at the same time recognising that it is itself a product of society’.</w:t>
      </w:r>
      <w:r w:rsidRPr="00B067FA">
        <w:rPr>
          <w:rStyle w:val="EndnoteReference"/>
          <w:rFonts w:ascii="Times New Roman" w:hAnsi="Times New Roman" w:cs="Times New Roman"/>
          <w:sz w:val="24"/>
          <w:szCs w:val="24"/>
        </w:rPr>
        <w:endnoteReference w:id="26"/>
      </w:r>
      <w:r w:rsidRPr="00B067FA">
        <w:rPr>
          <w:rFonts w:ascii="Times New Roman" w:hAnsi="Times New Roman" w:cs="Times New Roman"/>
          <w:sz w:val="24"/>
          <w:szCs w:val="24"/>
        </w:rPr>
        <w:t xml:space="preserve"> Feminist epistemology, which has significantly contributed to philosophical and methodological awareness in critical IR,</w:t>
      </w:r>
      <w:r w:rsidRPr="00B067FA">
        <w:rPr>
          <w:rStyle w:val="EndnoteReference"/>
          <w:rFonts w:ascii="Times New Roman" w:hAnsi="Times New Roman" w:cs="Times New Roman"/>
          <w:sz w:val="24"/>
          <w:szCs w:val="24"/>
        </w:rPr>
        <w:endnoteReference w:id="27"/>
      </w:r>
      <w:r w:rsidRPr="00B067FA">
        <w:rPr>
          <w:rFonts w:ascii="Times New Roman" w:hAnsi="Times New Roman" w:cs="Times New Roman"/>
          <w:sz w:val="24"/>
          <w:szCs w:val="24"/>
        </w:rPr>
        <w:t xml:space="preserve"> forcefully made the point that knowledge is related to our position in the social world, and called for taking into consideration subaltern voices and perspectives.</w:t>
      </w:r>
      <w:r w:rsidRPr="00B067FA">
        <w:rPr>
          <w:rStyle w:val="EndnoteReference"/>
          <w:rFonts w:ascii="Times New Roman" w:hAnsi="Times New Roman" w:cs="Times New Roman"/>
          <w:sz w:val="24"/>
          <w:szCs w:val="24"/>
        </w:rPr>
        <w:endnoteReference w:id="28"/>
      </w:r>
      <w:r w:rsidRPr="00B067FA">
        <w:rPr>
          <w:rFonts w:ascii="Times New Roman" w:hAnsi="Times New Roman" w:cs="Times New Roman"/>
          <w:sz w:val="24"/>
          <w:szCs w:val="24"/>
        </w:rPr>
        <w:t xml:space="preserve"> Critical researchers will thus be attentive to context and power structures, and adopt a relational and iterative approach to sense-making and knowledge production, which links theoretical insights to the observation of the social world.</w:t>
      </w:r>
      <w:r w:rsidRPr="00B067FA">
        <w:rPr>
          <w:rStyle w:val="EndnoteReference"/>
          <w:rFonts w:ascii="Times New Roman" w:hAnsi="Times New Roman" w:cs="Times New Roman"/>
          <w:sz w:val="24"/>
          <w:szCs w:val="24"/>
        </w:rPr>
        <w:endnoteReference w:id="29"/>
      </w:r>
    </w:p>
    <w:p w14:paraId="735D292C" w14:textId="317CBC9C"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Secondly, in light of this attention to context, critical approaches consider the pursuit of external validity at the expense of contextual awareness either undesirable or altogether impossible. Critical researchers are suspicious of uniformity and not interested in elaborating designs that ‘control’ for specific factors to isolate causes and their impact on studied outcomes. Rather, they look at constitutive relations when showing how the things we know come to be, and put emphasis on producing layered accounts of human agency.</w:t>
      </w:r>
      <w:r w:rsidRPr="00B067FA">
        <w:rPr>
          <w:rStyle w:val="EndnoteReference"/>
          <w:rFonts w:ascii="Times New Roman" w:hAnsi="Times New Roman" w:cs="Times New Roman"/>
          <w:sz w:val="24"/>
          <w:szCs w:val="24"/>
        </w:rPr>
        <w:endnoteReference w:id="30"/>
      </w:r>
      <w:r w:rsidRPr="00B067FA">
        <w:rPr>
          <w:rFonts w:ascii="Times New Roman" w:hAnsi="Times New Roman" w:cs="Times New Roman"/>
          <w:sz w:val="24"/>
          <w:szCs w:val="24"/>
        </w:rPr>
        <w:t xml:space="preserve"> While selecting cases by ‘controlling’ for certain factors and thus maximising generalisability is an appropriate move in </w:t>
      </w:r>
      <w:r w:rsidRPr="00B067FA">
        <w:rPr>
          <w:rFonts w:ascii="Times New Roman" w:hAnsi="Times New Roman" w:cs="Times New Roman"/>
          <w:sz w:val="24"/>
          <w:szCs w:val="24"/>
        </w:rPr>
        <w:lastRenderedPageBreak/>
        <w:t>positivist case study research, this is problematic for critical researchers: not only because it prevents a nuanced analysis of the context, but also because it assumes that the researcher’s point of view remains unchanged throughout the stages of the research process (from design to fieldwork, or from fieldwork in different sites to the analysis/interpretation of findings).</w:t>
      </w:r>
    </w:p>
    <w:p w14:paraId="58017073" w14:textId="6AB87CF8"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Lastly, given these differences concerning not only epistemology and ontology but also the very purpose of theorising, attempts to bridge epistemological differences through methodological agreement are bound to be problematic. This temptation is especially strong with case studies, as their versatility makes them adaptable to different research purposes. Indeed, some scholars have noted that a case study can be equally appreciated by people holding different epistemological stances, although each might be looking for ‘different things’ in it.</w:t>
      </w:r>
      <w:r w:rsidRPr="00B067FA">
        <w:rPr>
          <w:rStyle w:val="EndnoteReference"/>
          <w:rFonts w:ascii="Times New Roman" w:hAnsi="Times New Roman" w:cs="Times New Roman"/>
          <w:sz w:val="24"/>
          <w:szCs w:val="24"/>
        </w:rPr>
        <w:endnoteReference w:id="31"/>
      </w:r>
      <w:r w:rsidRPr="00B067FA">
        <w:rPr>
          <w:rFonts w:ascii="Times New Roman" w:hAnsi="Times New Roman" w:cs="Times New Roman"/>
          <w:sz w:val="24"/>
          <w:szCs w:val="24"/>
        </w:rPr>
        <w:t xml:space="preserve"> Price and Reus-Smit even argue that the more ‘moderate’ critical interpretivists are able to engage in cross-epistemological dialogue with positivists on key methodological issues.</w:t>
      </w:r>
      <w:r w:rsidRPr="00B067FA">
        <w:rPr>
          <w:rStyle w:val="EndnoteReference"/>
          <w:rFonts w:ascii="Times New Roman" w:hAnsi="Times New Roman" w:cs="Times New Roman"/>
          <w:sz w:val="24"/>
          <w:szCs w:val="24"/>
        </w:rPr>
        <w:endnoteReference w:id="32"/>
      </w:r>
      <w:r w:rsidRPr="00B067FA">
        <w:rPr>
          <w:rFonts w:ascii="Times New Roman" w:hAnsi="Times New Roman" w:cs="Times New Roman"/>
          <w:sz w:val="24"/>
          <w:szCs w:val="24"/>
        </w:rPr>
        <w:t xml:space="preserve"> This attempt, however, is fraught with challenges. First, because the attempt to elaborate a critical constructivist way of making contingent truth claims and generalisations masks fundamentally different beliefs about the nature of knowledge and objectivity underpinning the positivist/interpretivist divide. On this point, we agree with critiques of attempts to ‘bridge’ epistemologies.</w:t>
      </w:r>
      <w:r w:rsidRPr="00B067FA">
        <w:rPr>
          <w:rFonts w:ascii="Times New Roman" w:hAnsi="Times New Roman" w:cs="Times New Roman"/>
          <w:sz w:val="24"/>
          <w:szCs w:val="24"/>
          <w:vertAlign w:val="superscript"/>
        </w:rPr>
        <w:endnoteReference w:id="33"/>
      </w:r>
      <w:r w:rsidRPr="00B067FA">
        <w:rPr>
          <w:rFonts w:ascii="Times New Roman" w:hAnsi="Times New Roman" w:cs="Times New Roman"/>
          <w:sz w:val="24"/>
          <w:szCs w:val="24"/>
        </w:rPr>
        <w:t xml:space="preserve"> Second, critical scholars are not necessarily interested in generalisation and recurrence: they would rather seek to destabilise them, and question who or what are these generalisations for.</w:t>
      </w:r>
      <w:r w:rsidRPr="00B067FA">
        <w:rPr>
          <w:rStyle w:val="EndnoteReference"/>
          <w:rFonts w:ascii="Times New Roman" w:hAnsi="Times New Roman" w:cs="Times New Roman"/>
          <w:sz w:val="24"/>
          <w:szCs w:val="24"/>
        </w:rPr>
        <w:endnoteReference w:id="34"/>
      </w:r>
      <w:r w:rsidRPr="00B067FA">
        <w:rPr>
          <w:rFonts w:ascii="Times New Roman" w:hAnsi="Times New Roman" w:cs="Times New Roman"/>
          <w:sz w:val="24"/>
          <w:szCs w:val="24"/>
        </w:rPr>
        <w:t xml:space="preserve"> Ultimately, the fact that good case studies can be appreciated across different epistemologies does not eliminate the need for methodological approaches to case study research unmoored from positivist criteria. </w:t>
      </w:r>
    </w:p>
    <w:p w14:paraId="46EA984F" w14:textId="0D8C510D" w:rsidR="00B067FA" w:rsidRPr="00B067FA" w:rsidRDefault="00B067FA" w:rsidP="00C144A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In different ways from the extended case methodology proposed here, case-based research has been already put to fruitful non-positivist uses in IR, for instance through genealogy and ethnography. The former, as the study of the conditions of possibility of an idea or discursive construction, has been used by IR scholars to investigate ideas such as sovereignty or finance.</w:t>
      </w:r>
      <w:r w:rsidRPr="00B067FA">
        <w:rPr>
          <w:rStyle w:val="EndnoteReference"/>
          <w:rFonts w:ascii="Times New Roman" w:hAnsi="Times New Roman" w:cs="Times New Roman"/>
          <w:sz w:val="24"/>
          <w:szCs w:val="24"/>
        </w:rPr>
        <w:endnoteReference w:id="35"/>
      </w:r>
      <w:r w:rsidRPr="00B067FA">
        <w:rPr>
          <w:rFonts w:ascii="Times New Roman" w:hAnsi="Times New Roman" w:cs="Times New Roman"/>
          <w:sz w:val="24"/>
          <w:szCs w:val="24"/>
        </w:rPr>
        <w:t xml:space="preserve"> In genealogical research the ‘case’ under consideration is the social phenomenon itself, rather than an instance of it. Case studies, however, are interested in the observation of an instance (a ‘case’) for the purpose of making inferences about a phenomenon. Ethnography, understood as a methodology concerned with long-term engagement and observation of a field, can potentially be carried out through case-based research, and employ some of the existing case study designs as well as the extended case methodology.</w:t>
      </w:r>
      <w:r w:rsidRPr="00B067FA">
        <w:rPr>
          <w:rStyle w:val="EndnoteReference"/>
          <w:rFonts w:ascii="Times New Roman" w:hAnsi="Times New Roman" w:cs="Times New Roman"/>
          <w:sz w:val="24"/>
          <w:szCs w:val="24"/>
        </w:rPr>
        <w:endnoteReference w:id="36"/>
      </w:r>
      <w:r w:rsidRPr="00B067FA">
        <w:rPr>
          <w:rFonts w:ascii="Times New Roman" w:hAnsi="Times New Roman" w:cs="Times New Roman"/>
          <w:sz w:val="24"/>
          <w:szCs w:val="24"/>
        </w:rPr>
        <w:t xml:space="preserve"> However, case study research is not necessarily ethnographic, insofar as it can rely on a variety of methods of data collection and analysis beyond participant observation. Moreover, some forms of ethnographic research, such as multi-sited ethnography, are not necessarily case-based in the conventional sense of </w:t>
      </w:r>
      <w:r w:rsidRPr="00B067FA">
        <w:rPr>
          <w:rFonts w:ascii="Times New Roman" w:hAnsi="Times New Roman" w:cs="Times New Roman"/>
          <w:sz w:val="24"/>
          <w:szCs w:val="24"/>
        </w:rPr>
        <w:lastRenderedPageBreak/>
        <w:t>the term.</w:t>
      </w:r>
      <w:r w:rsidRPr="00B067FA">
        <w:rPr>
          <w:rStyle w:val="EndnoteReference"/>
          <w:rFonts w:ascii="Times New Roman" w:hAnsi="Times New Roman" w:cs="Times New Roman"/>
          <w:sz w:val="24"/>
          <w:szCs w:val="24"/>
        </w:rPr>
        <w:endnoteReference w:id="37"/>
      </w:r>
      <w:r w:rsidRPr="00B067FA">
        <w:rPr>
          <w:rFonts w:ascii="Times New Roman" w:hAnsi="Times New Roman" w:cs="Times New Roman"/>
          <w:sz w:val="24"/>
          <w:szCs w:val="24"/>
        </w:rPr>
        <w:t xml:space="preserve"> In sum, the undoubted contribution of ethnography to case study research in IR does not erase the need of a non-positivist case study methodology that is not inherently tied to participant observation. </w:t>
      </w:r>
    </w:p>
    <w:p w14:paraId="1BDF8D3D" w14:textId="5E51DBCD"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Thus, in presenting the extended case methodology, this paper attempts to make explicit the process of generating knowledge from a single case, contributing to a much-needed discussion on the development of a critical reflexivist approach to case studies.</w:t>
      </w:r>
      <w:r w:rsidRPr="00B067FA">
        <w:rPr>
          <w:rStyle w:val="EndnoteReference"/>
          <w:rFonts w:ascii="Times New Roman" w:hAnsi="Times New Roman" w:cs="Times New Roman"/>
          <w:sz w:val="24"/>
          <w:szCs w:val="24"/>
        </w:rPr>
        <w:endnoteReference w:id="38"/>
      </w:r>
      <w:r w:rsidRPr="00B067FA">
        <w:rPr>
          <w:rFonts w:ascii="Times New Roman" w:hAnsi="Times New Roman" w:cs="Times New Roman"/>
          <w:sz w:val="24"/>
          <w:szCs w:val="24"/>
        </w:rPr>
        <w:t xml:space="preserve"> In doing this, the paper draws on the contribution of debates that have addressed questions related to methodology in IR, to the scientific status of knowledge produced through non-causal, non-positivist approaches,</w:t>
      </w:r>
      <w:r w:rsidRPr="00B067FA">
        <w:rPr>
          <w:rStyle w:val="EndnoteReference"/>
          <w:rFonts w:ascii="Times New Roman" w:hAnsi="Times New Roman" w:cs="Times New Roman"/>
          <w:sz w:val="24"/>
          <w:szCs w:val="24"/>
        </w:rPr>
        <w:endnoteReference w:id="39"/>
      </w:r>
      <w:r w:rsidRPr="00B067FA">
        <w:rPr>
          <w:rFonts w:ascii="Times New Roman" w:hAnsi="Times New Roman" w:cs="Times New Roman"/>
          <w:sz w:val="24"/>
          <w:szCs w:val="24"/>
        </w:rPr>
        <w:t xml:space="preserve"> and to methods recast as performative rather than representational, and as political rather than value neutral.</w:t>
      </w:r>
      <w:r w:rsidRPr="00B067FA">
        <w:rPr>
          <w:rFonts w:ascii="Times New Roman" w:hAnsi="Times New Roman" w:cs="Times New Roman"/>
          <w:sz w:val="24"/>
          <w:szCs w:val="24"/>
          <w:vertAlign w:val="superscript"/>
        </w:rPr>
        <w:endnoteReference w:id="40"/>
      </w:r>
      <w:r w:rsidRPr="00B067FA">
        <w:rPr>
          <w:rFonts w:ascii="Times New Roman" w:hAnsi="Times New Roman" w:cs="Times New Roman"/>
          <w:sz w:val="24"/>
          <w:szCs w:val="24"/>
        </w:rPr>
        <w:t xml:space="preserve"> For the purpose of this paper, we draw on these debates to delineate some features of critical methodologies in IR, which we argue are reflected in the extended case methodology. A non-positivist, critical methodology should –  first – acknowledge that the production of knowledge is not neutral, but a political (and emancipatory) endeavour. It will thus rely on methodological strategies and methods that are relational, dialogic, and participatory.</w:t>
      </w:r>
      <w:r w:rsidRPr="00B067FA">
        <w:rPr>
          <w:rStyle w:val="EndnoteReference"/>
          <w:rFonts w:ascii="Times New Roman" w:hAnsi="Times New Roman" w:cs="Times New Roman"/>
          <w:sz w:val="24"/>
          <w:szCs w:val="24"/>
        </w:rPr>
        <w:endnoteReference w:id="41"/>
      </w:r>
      <w:r w:rsidRPr="00B067FA">
        <w:rPr>
          <w:rFonts w:ascii="Times New Roman" w:hAnsi="Times New Roman" w:cs="Times New Roman"/>
          <w:sz w:val="24"/>
          <w:szCs w:val="24"/>
        </w:rPr>
        <w:t xml:space="preserve"> Critical research rejects the separation between ‘what’ is studied and ‘who’ is carrying out the study, and places the researcher </w:t>
      </w:r>
      <w:r w:rsidRPr="00B067FA">
        <w:rPr>
          <w:rFonts w:ascii="Times New Roman" w:hAnsi="Times New Roman" w:cs="Times New Roman"/>
          <w:i/>
          <w:sz w:val="24"/>
          <w:szCs w:val="24"/>
        </w:rPr>
        <w:t>within</w:t>
      </w:r>
      <w:r w:rsidRPr="00B067FA">
        <w:rPr>
          <w:rFonts w:ascii="Times New Roman" w:hAnsi="Times New Roman" w:cs="Times New Roman"/>
          <w:sz w:val="24"/>
          <w:szCs w:val="24"/>
        </w:rPr>
        <w:t xml:space="preserve"> the social relations surrounding the object under research, where positivist scholars would isolate themselves from it. The use of methods of data collection and analysis reflects these positions. Second, since critical theory is self-reflective, and knowledge is situated,</w:t>
      </w:r>
      <w:r w:rsidRPr="00B067FA">
        <w:rPr>
          <w:rStyle w:val="EndnoteReference"/>
          <w:rFonts w:ascii="Times New Roman" w:hAnsi="Times New Roman" w:cs="Times New Roman"/>
          <w:sz w:val="24"/>
          <w:szCs w:val="24"/>
        </w:rPr>
        <w:endnoteReference w:id="42"/>
      </w:r>
      <w:r w:rsidRPr="00B067FA">
        <w:rPr>
          <w:rFonts w:ascii="Times New Roman" w:hAnsi="Times New Roman" w:cs="Times New Roman"/>
          <w:sz w:val="24"/>
          <w:szCs w:val="24"/>
        </w:rPr>
        <w:t xml:space="preserve"> a critical methodology for case studies should pay attention to the evolving nature of power relations and social forces, and the way in which they shape societies while in turn being constituted by them.</w:t>
      </w:r>
      <w:r w:rsidRPr="00B067FA">
        <w:rPr>
          <w:rStyle w:val="EndnoteReference"/>
          <w:rFonts w:ascii="Times New Roman" w:hAnsi="Times New Roman" w:cs="Times New Roman"/>
          <w:sz w:val="24"/>
          <w:szCs w:val="24"/>
        </w:rPr>
        <w:endnoteReference w:id="43"/>
      </w:r>
      <w:r w:rsidRPr="00B067FA">
        <w:rPr>
          <w:rFonts w:ascii="Times New Roman" w:hAnsi="Times New Roman" w:cs="Times New Roman"/>
          <w:sz w:val="24"/>
          <w:szCs w:val="24"/>
        </w:rPr>
        <w:t xml:space="preserve"> Methodologically, this entails a focus on complex, rather than linear, relations, and the need to think holistically rather than rigidly separate different levels of analysis. Third, because social structures are never stable nor present themselves uniformly, critical theory approaches usually adopt a flexible approach to theory building.</w:t>
      </w:r>
      <w:r w:rsidRPr="00B067FA">
        <w:rPr>
          <w:rStyle w:val="EndnoteReference"/>
          <w:rFonts w:ascii="Times New Roman" w:hAnsi="Times New Roman" w:cs="Times New Roman"/>
          <w:sz w:val="24"/>
          <w:szCs w:val="24"/>
        </w:rPr>
        <w:endnoteReference w:id="44"/>
      </w:r>
      <w:r w:rsidRPr="00B067FA">
        <w:rPr>
          <w:rFonts w:ascii="Times New Roman" w:hAnsi="Times New Roman" w:cs="Times New Roman"/>
          <w:sz w:val="24"/>
          <w:szCs w:val="24"/>
        </w:rPr>
        <w:t xml:space="preserve"> From a methodological perspective, this means that theory does not determine how we see the world, but drives our exploration of it and our research questions. It also means that theorising entails confronting one’s thinking with those living in the social world under scrutiny, without imposing epistemic superiority on them, but at the same time without uncritically reproducing their claims or assumptions. As the following section shows, the extended case methodology possesses these key features of a critical methodology, from its approach to generating knowledge to its use of methods and the role of theory in the research process.</w:t>
      </w:r>
    </w:p>
    <w:p w14:paraId="51C26247" w14:textId="32D384AE" w:rsidR="00B067FA" w:rsidRPr="00B067FA" w:rsidRDefault="00B067FA" w:rsidP="00DB614C">
      <w:pPr>
        <w:spacing w:after="0" w:line="360" w:lineRule="auto"/>
        <w:jc w:val="both"/>
        <w:rPr>
          <w:rFonts w:ascii="Times New Roman" w:hAnsi="Times New Roman" w:cs="Times New Roman"/>
          <w:sz w:val="24"/>
          <w:szCs w:val="24"/>
        </w:rPr>
      </w:pPr>
    </w:p>
    <w:p w14:paraId="7795CADE" w14:textId="697179B6" w:rsidR="00B067FA" w:rsidRPr="00B067FA" w:rsidRDefault="00B067FA" w:rsidP="00DB614C">
      <w:pPr>
        <w:spacing w:after="0" w:line="360" w:lineRule="auto"/>
        <w:jc w:val="both"/>
        <w:rPr>
          <w:rFonts w:ascii="Times New Roman" w:hAnsi="Times New Roman" w:cs="Times New Roman"/>
          <w:sz w:val="24"/>
          <w:szCs w:val="24"/>
        </w:rPr>
      </w:pPr>
    </w:p>
    <w:p w14:paraId="52F8246A" w14:textId="219D9F2C" w:rsidR="00B067FA" w:rsidRPr="00B067FA" w:rsidRDefault="00B067FA" w:rsidP="00DB614C">
      <w:pPr>
        <w:spacing w:after="0" w:line="360" w:lineRule="auto"/>
        <w:jc w:val="both"/>
        <w:rPr>
          <w:rFonts w:ascii="Times New Roman" w:hAnsi="Times New Roman" w:cs="Times New Roman"/>
          <w:b/>
          <w:sz w:val="24"/>
          <w:szCs w:val="24"/>
        </w:rPr>
      </w:pPr>
      <w:r w:rsidRPr="00B067FA">
        <w:rPr>
          <w:rFonts w:ascii="Times New Roman" w:hAnsi="Times New Roman" w:cs="Times New Roman"/>
          <w:b/>
          <w:sz w:val="24"/>
          <w:szCs w:val="24"/>
        </w:rPr>
        <w:lastRenderedPageBreak/>
        <w:t>The extended case methodology</w:t>
      </w:r>
    </w:p>
    <w:p w14:paraId="1499E807" w14:textId="056A25E3" w:rsidR="00B067FA" w:rsidRPr="00B067FA" w:rsidRDefault="00B067FA" w:rsidP="00FA42AB">
      <w:pPr>
        <w:spacing w:after="0" w:line="360" w:lineRule="auto"/>
        <w:jc w:val="both"/>
        <w:rPr>
          <w:rFonts w:ascii="Times New Roman" w:hAnsi="Times New Roman" w:cs="Times New Roman"/>
          <w:sz w:val="24"/>
          <w:szCs w:val="24"/>
        </w:rPr>
      </w:pPr>
      <w:r w:rsidRPr="00B067FA">
        <w:rPr>
          <w:rFonts w:ascii="Times New Roman" w:hAnsi="Times New Roman" w:cs="Times New Roman"/>
          <w:sz w:val="24"/>
          <w:szCs w:val="24"/>
        </w:rPr>
        <w:t xml:space="preserve">Critical IR approaches are thus driven by questions that challenge established assumptions about the social world, and seek answers to such questions in ways that destabilise dominant narratives and foreground subaltern voices. They are also relational: not only should researchers see dialogue as the privileged point of entry into the research, but meaning emerging from such encounters should be related to the power relations and social forces at play. The extended case methodology constitutes a non-positivist avenue to case study research that responds to the needs of critical scholars. The first part of this section outlines Burawoy’s extended case method, which inspires the approach presented here. Because of its origins in a different field, the move towards an extended case </w:t>
      </w:r>
      <w:r w:rsidRPr="00B067FA">
        <w:rPr>
          <w:rFonts w:ascii="Times New Roman" w:hAnsi="Times New Roman" w:cs="Times New Roman"/>
          <w:i/>
          <w:sz w:val="24"/>
          <w:szCs w:val="24"/>
        </w:rPr>
        <w:t>methodology</w:t>
      </w:r>
      <w:r w:rsidRPr="00B067FA">
        <w:rPr>
          <w:rFonts w:ascii="Times New Roman" w:hAnsi="Times New Roman" w:cs="Times New Roman"/>
          <w:sz w:val="24"/>
          <w:szCs w:val="24"/>
        </w:rPr>
        <w:t xml:space="preserve"> comes with three addenda to ensure that our approach responds to the specific challenges of conducting case study research in critical IR.</w:t>
      </w:r>
      <w:r w:rsidRPr="00B067FA" w:rsidDel="00FA42AB">
        <w:rPr>
          <w:rFonts w:ascii="Times New Roman" w:hAnsi="Times New Roman" w:cs="Times New Roman"/>
          <w:sz w:val="24"/>
          <w:szCs w:val="24"/>
        </w:rPr>
        <w:t xml:space="preserve"> </w:t>
      </w:r>
    </w:p>
    <w:p w14:paraId="52660F7D" w14:textId="77777777" w:rsidR="00B067FA" w:rsidRPr="00B067FA" w:rsidRDefault="00B067FA" w:rsidP="00D00627">
      <w:pPr>
        <w:spacing w:after="0" w:line="360" w:lineRule="auto"/>
        <w:ind w:firstLine="567"/>
        <w:jc w:val="both"/>
        <w:rPr>
          <w:rFonts w:ascii="Times New Roman" w:hAnsi="Times New Roman" w:cs="Times New Roman"/>
          <w:sz w:val="24"/>
          <w:szCs w:val="24"/>
        </w:rPr>
      </w:pPr>
    </w:p>
    <w:p w14:paraId="60AA9DB7" w14:textId="130A475D" w:rsidR="00B067FA" w:rsidRPr="00B067FA" w:rsidRDefault="00B067FA" w:rsidP="0063260E">
      <w:pPr>
        <w:spacing w:after="0" w:line="360" w:lineRule="auto"/>
        <w:jc w:val="both"/>
        <w:rPr>
          <w:rFonts w:ascii="Times New Roman" w:hAnsi="Times New Roman" w:cs="Times New Roman"/>
          <w:b/>
          <w:i/>
          <w:sz w:val="24"/>
          <w:szCs w:val="24"/>
        </w:rPr>
      </w:pPr>
      <w:r w:rsidRPr="00B067FA">
        <w:rPr>
          <w:rFonts w:ascii="Times New Roman" w:hAnsi="Times New Roman" w:cs="Times New Roman"/>
          <w:b/>
          <w:i/>
          <w:sz w:val="24"/>
          <w:szCs w:val="24"/>
        </w:rPr>
        <w:t>Burawoy’s extended case method</w:t>
      </w:r>
    </w:p>
    <w:p w14:paraId="6F670F22" w14:textId="0E4AA50D" w:rsidR="00B067FA" w:rsidRPr="00B067FA" w:rsidRDefault="00B067FA" w:rsidP="0063260E">
      <w:pPr>
        <w:spacing w:after="0" w:line="360" w:lineRule="auto"/>
        <w:jc w:val="both"/>
        <w:rPr>
          <w:rFonts w:ascii="Times New Roman" w:hAnsi="Times New Roman" w:cs="Times New Roman"/>
          <w:sz w:val="24"/>
          <w:szCs w:val="24"/>
        </w:rPr>
      </w:pPr>
      <w:r w:rsidRPr="00B067FA">
        <w:rPr>
          <w:rFonts w:ascii="Times New Roman" w:hAnsi="Times New Roman" w:cs="Times New Roman"/>
          <w:sz w:val="24"/>
          <w:szCs w:val="24"/>
        </w:rPr>
        <w:t>The extended case method is a theoretically-informed approach to the study of local contexts that links everyday practices that researchers observe to the ‘broader economic and political forces’ shaping the specific context studied.</w:t>
      </w:r>
      <w:r w:rsidRPr="00B067FA">
        <w:rPr>
          <w:rFonts w:ascii="Times New Roman" w:hAnsi="Times New Roman" w:cs="Times New Roman"/>
          <w:sz w:val="24"/>
          <w:szCs w:val="24"/>
          <w:vertAlign w:val="superscript"/>
        </w:rPr>
        <w:endnoteReference w:id="45"/>
      </w:r>
      <w:r w:rsidRPr="00B067FA">
        <w:rPr>
          <w:rFonts w:ascii="Times New Roman" w:hAnsi="Times New Roman" w:cs="Times New Roman"/>
          <w:sz w:val="24"/>
          <w:szCs w:val="24"/>
        </w:rPr>
        <w:t xml:space="preserve"> The researcher and the world to be studied stand in a relational position: the reality researched is never completely independent or separated from the researcher. The position of the researcher </w:t>
      </w:r>
      <w:r w:rsidRPr="00B067FA">
        <w:rPr>
          <w:rFonts w:ascii="Times New Roman" w:hAnsi="Times New Roman" w:cs="Times New Roman"/>
          <w:i/>
          <w:sz w:val="24"/>
          <w:szCs w:val="24"/>
        </w:rPr>
        <w:t>vis-à-vis</w:t>
      </w:r>
      <w:r w:rsidRPr="00B067FA">
        <w:rPr>
          <w:rFonts w:ascii="Times New Roman" w:hAnsi="Times New Roman" w:cs="Times New Roman"/>
          <w:sz w:val="24"/>
          <w:szCs w:val="24"/>
        </w:rPr>
        <w:t xml:space="preserve"> the object of study is thus problematised, and constitutes an integral part of the research process. The extended case method is thus also reflexive: the grounds for knowledge claims are found in the researcher’s self-awareness of their research practices and ‘the broader context in which they are embedded’.</w:t>
      </w:r>
      <w:r w:rsidRPr="00B067FA">
        <w:rPr>
          <w:rFonts w:ascii="Times New Roman" w:hAnsi="Times New Roman" w:cs="Times New Roman"/>
          <w:sz w:val="24"/>
          <w:szCs w:val="24"/>
          <w:vertAlign w:val="superscript"/>
        </w:rPr>
        <w:endnoteReference w:id="46"/>
      </w:r>
      <w:r w:rsidRPr="00B067FA">
        <w:rPr>
          <w:rFonts w:ascii="Times New Roman" w:hAnsi="Times New Roman" w:cs="Times New Roman"/>
          <w:sz w:val="24"/>
          <w:szCs w:val="24"/>
        </w:rPr>
        <w:t xml:space="preserve"> See also Tickner: </w:t>
      </w:r>
    </w:p>
    <w:p w14:paraId="15FC9B5E" w14:textId="77777777" w:rsidR="00B067FA" w:rsidRPr="00B067FA" w:rsidRDefault="00B067FA" w:rsidP="00DB614C">
      <w:pPr>
        <w:spacing w:after="0" w:line="360" w:lineRule="auto"/>
        <w:ind w:firstLine="720"/>
        <w:jc w:val="both"/>
        <w:rPr>
          <w:rFonts w:ascii="Times New Roman" w:hAnsi="Times New Roman" w:cs="Times New Roman"/>
          <w:sz w:val="24"/>
          <w:szCs w:val="24"/>
        </w:rPr>
      </w:pPr>
    </w:p>
    <w:p w14:paraId="5FBC8D33" w14:textId="703CE005" w:rsidR="00B067FA" w:rsidRPr="00B067FA" w:rsidRDefault="00B067FA" w:rsidP="001B10E7">
      <w:pPr>
        <w:spacing w:after="0" w:line="360" w:lineRule="auto"/>
        <w:ind w:left="567" w:right="567"/>
        <w:jc w:val="both"/>
        <w:rPr>
          <w:rFonts w:ascii="Times New Roman" w:hAnsi="Times New Roman" w:cs="Times New Roman"/>
          <w:sz w:val="24"/>
          <w:szCs w:val="24"/>
        </w:rPr>
      </w:pPr>
      <w:r w:rsidRPr="00B067FA">
        <w:rPr>
          <w:rFonts w:ascii="Times New Roman" w:hAnsi="Times New Roman" w:cs="Times New Roman"/>
          <w:sz w:val="24"/>
          <w:szCs w:val="24"/>
        </w:rPr>
        <w:t>Reflexivists are committed to the proposition that a systematic effort to analyse their own role as knowledge producers and to locate themselves within their broader social contexts will yield knowledge, not merely of things experienced, but valid knowledge of the social arrangements that order and give rise to those experiences. Knowledge of the social world begins not with that world, but with the self.</w:t>
      </w:r>
      <w:r w:rsidRPr="00B067FA">
        <w:rPr>
          <w:rFonts w:ascii="Times New Roman" w:hAnsi="Times New Roman" w:cs="Times New Roman"/>
          <w:sz w:val="24"/>
          <w:szCs w:val="24"/>
          <w:vertAlign w:val="superscript"/>
        </w:rPr>
        <w:endnoteReference w:id="47"/>
      </w:r>
    </w:p>
    <w:p w14:paraId="4035C725" w14:textId="77777777" w:rsidR="00B067FA" w:rsidRPr="00B067FA" w:rsidRDefault="00B067FA" w:rsidP="00E731FE">
      <w:pPr>
        <w:spacing w:after="0" w:line="360" w:lineRule="auto"/>
        <w:ind w:left="567"/>
        <w:jc w:val="both"/>
        <w:rPr>
          <w:rFonts w:ascii="Times New Roman" w:hAnsi="Times New Roman" w:cs="Times New Roman"/>
          <w:sz w:val="24"/>
          <w:szCs w:val="24"/>
        </w:rPr>
      </w:pPr>
    </w:p>
    <w:p w14:paraId="5F81D57C" w14:textId="7853453D" w:rsidR="00B067FA" w:rsidRPr="00B067FA" w:rsidRDefault="00B067FA" w:rsidP="0094680D">
      <w:pPr>
        <w:spacing w:after="0" w:line="360" w:lineRule="auto"/>
        <w:jc w:val="both"/>
        <w:rPr>
          <w:rFonts w:ascii="Times New Roman" w:hAnsi="Times New Roman" w:cs="Times New Roman"/>
          <w:sz w:val="24"/>
          <w:szCs w:val="24"/>
        </w:rPr>
      </w:pPr>
      <w:r w:rsidRPr="00B067FA">
        <w:rPr>
          <w:rFonts w:ascii="Times New Roman" w:hAnsi="Times New Roman" w:cs="Times New Roman"/>
          <w:sz w:val="24"/>
          <w:szCs w:val="24"/>
        </w:rPr>
        <w:t xml:space="preserve">Rather than trying to approximate a positivist model of science  incompatible with its research objectives, the extended case method values </w:t>
      </w:r>
      <w:r w:rsidRPr="00B067FA">
        <w:rPr>
          <w:rFonts w:ascii="Times New Roman" w:hAnsi="Times New Roman" w:cs="Times New Roman"/>
          <w:i/>
          <w:sz w:val="24"/>
          <w:szCs w:val="24"/>
        </w:rPr>
        <w:t xml:space="preserve">intervention </w:t>
      </w:r>
      <w:r w:rsidRPr="00B067FA">
        <w:rPr>
          <w:rFonts w:ascii="Times New Roman" w:hAnsi="Times New Roman" w:cs="Times New Roman"/>
          <w:sz w:val="24"/>
          <w:szCs w:val="24"/>
        </w:rPr>
        <w:t xml:space="preserve">as a methodological device, where the disturbance of the studied context produces effects that should be appreciated and analysed, </w:t>
      </w:r>
      <w:r w:rsidRPr="00B067FA">
        <w:rPr>
          <w:rFonts w:ascii="Times New Roman" w:hAnsi="Times New Roman" w:cs="Times New Roman"/>
          <w:sz w:val="24"/>
          <w:szCs w:val="24"/>
        </w:rPr>
        <w:lastRenderedPageBreak/>
        <w:t>rather than minimised.</w:t>
      </w:r>
      <w:r w:rsidRPr="00B067FA">
        <w:rPr>
          <w:rFonts w:ascii="Times New Roman" w:hAnsi="Times New Roman" w:cs="Times New Roman"/>
          <w:sz w:val="24"/>
          <w:szCs w:val="24"/>
          <w:vertAlign w:val="superscript"/>
        </w:rPr>
        <w:endnoteReference w:id="48"/>
      </w:r>
      <w:r w:rsidRPr="00B067FA">
        <w:rPr>
          <w:rFonts w:ascii="Times New Roman" w:hAnsi="Times New Roman" w:cs="Times New Roman"/>
          <w:sz w:val="24"/>
          <w:szCs w:val="24"/>
        </w:rPr>
        <w:t xml:space="preserve"> The establishment of ‘reliability’ criteria for knowledge production is also viewed as a constraint, limiting the appreciation of how situational experiences affect the way respondents address the questions asked by the interviewer.</w:t>
      </w:r>
      <w:r w:rsidRPr="00B067FA">
        <w:rPr>
          <w:rFonts w:ascii="Times New Roman" w:hAnsi="Times New Roman" w:cs="Times New Roman"/>
          <w:sz w:val="24"/>
          <w:szCs w:val="24"/>
          <w:vertAlign w:val="superscript"/>
        </w:rPr>
        <w:endnoteReference w:id="49"/>
      </w:r>
      <w:r w:rsidRPr="00B067FA">
        <w:rPr>
          <w:rFonts w:ascii="Times New Roman" w:hAnsi="Times New Roman" w:cs="Times New Roman"/>
          <w:sz w:val="24"/>
          <w:szCs w:val="24"/>
        </w:rPr>
        <w:t xml:space="preserve"> Moreover, rather than seeking to ‘bracket’ the context by trying to keep it constant and allow replicability, the extended case method studies the ‘everyday world from the standpoint of its structuration, that is by regarding it as simultaneously shaped by and shaping an external field of forces.’</w:t>
      </w:r>
      <w:r w:rsidRPr="00B067FA">
        <w:rPr>
          <w:rFonts w:ascii="Times New Roman" w:hAnsi="Times New Roman" w:cs="Times New Roman"/>
          <w:sz w:val="24"/>
          <w:szCs w:val="24"/>
          <w:vertAlign w:val="superscript"/>
        </w:rPr>
        <w:endnoteReference w:id="50"/>
      </w:r>
      <w:r w:rsidRPr="00B067FA">
        <w:rPr>
          <w:rFonts w:ascii="Times New Roman" w:hAnsi="Times New Roman" w:cs="Times New Roman"/>
          <w:sz w:val="24"/>
          <w:szCs w:val="24"/>
        </w:rPr>
        <w:t xml:space="preserve"> This problematisation of conventional approaches to case studies, either as inserted within a comparative framework or aiming to establish etiological explanations, is visible in the stance towards representativeness: for the extended case method, cases are interesting not because they are representative, but because their anomalies provide the challenge against which theory can be reconstructed.</w:t>
      </w:r>
      <w:r w:rsidRPr="00B067FA">
        <w:rPr>
          <w:rFonts w:ascii="Times New Roman" w:hAnsi="Times New Roman" w:cs="Times New Roman"/>
          <w:sz w:val="24"/>
          <w:szCs w:val="24"/>
          <w:vertAlign w:val="superscript"/>
        </w:rPr>
        <w:endnoteReference w:id="51"/>
      </w:r>
      <w:r w:rsidRPr="00B067FA">
        <w:rPr>
          <w:rFonts w:ascii="Times New Roman" w:hAnsi="Times New Roman" w:cs="Times New Roman"/>
          <w:sz w:val="24"/>
          <w:szCs w:val="24"/>
        </w:rPr>
        <w:t xml:space="preserve"> The relational approach of the extended case method, and its commitment to seeing the researcher as part of the social phenomena under study, are thus a crucial part of this methodology, and make it relevant and useful for critical IR. </w:t>
      </w:r>
    </w:p>
    <w:p w14:paraId="662FD2D8" w14:textId="1998B2C3" w:rsidR="00B067FA" w:rsidRPr="00B067FA" w:rsidRDefault="00B067FA" w:rsidP="0094680D">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If traditional approaches to inference are discarded, and given the orientation to theory reconstruction rather than generalisation, how does the extended case method generate knowledge claims? Burawoy’s answer to this question lies in the process of ‘extension’, which allows the analysis of complex constitutive relations through four steps.</w:t>
      </w:r>
      <w:r w:rsidRPr="00B067FA">
        <w:rPr>
          <w:rFonts w:ascii="Times New Roman" w:hAnsi="Times New Roman" w:cs="Times New Roman"/>
          <w:sz w:val="24"/>
          <w:szCs w:val="24"/>
          <w:vertAlign w:val="superscript"/>
        </w:rPr>
        <w:endnoteReference w:id="52"/>
      </w:r>
      <w:r w:rsidRPr="00B067FA">
        <w:rPr>
          <w:rFonts w:ascii="Times New Roman" w:hAnsi="Times New Roman" w:cs="Times New Roman"/>
          <w:sz w:val="24"/>
          <w:szCs w:val="24"/>
        </w:rPr>
        <w:t xml:space="preserve"> The first consists in the intervention of the researcher in the field, and their introduction to the research participant. ‘Extending the observer to the participant’ thus occurs when the researcher, armed with their theories and assumptions, enters the field of research and inevitably modifies or affects it, thereby eliciting a variegated universe of reactions which then becomes subject of analysis. In other words, the first step is the practical application of intervention as </w:t>
      </w:r>
      <w:r w:rsidRPr="00B067FA">
        <w:rPr>
          <w:rFonts w:ascii="Times New Roman" w:hAnsi="Times New Roman" w:cs="Times New Roman"/>
          <w:i/>
          <w:sz w:val="24"/>
          <w:szCs w:val="24"/>
        </w:rPr>
        <w:t>methodological principle</w:t>
      </w:r>
      <w:r w:rsidRPr="00B067FA">
        <w:rPr>
          <w:rFonts w:ascii="Times New Roman" w:hAnsi="Times New Roman" w:cs="Times New Roman"/>
          <w:sz w:val="24"/>
          <w:szCs w:val="24"/>
        </w:rPr>
        <w:t xml:space="preserve">, where the researcher’s presence in the research context becomes physical and not just metaphorical, and fully visible to research participants. </w:t>
      </w:r>
    </w:p>
    <w:p w14:paraId="12E7EED6" w14:textId="05D17D5D" w:rsidR="00B067FA" w:rsidRPr="00B067FA" w:rsidRDefault="00B067FA" w:rsidP="008E1343">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The second extension gets us into the process of ‘data reduction’, allowing us to move from social situation to social process, which is predicated on an appreciation of how ‘situational knowledge’ gained in the field is structured into a social process by specific power regimes.</w:t>
      </w:r>
      <w:r w:rsidRPr="00B067FA">
        <w:rPr>
          <w:rFonts w:ascii="Times New Roman" w:hAnsi="Times New Roman" w:cs="Times New Roman"/>
          <w:sz w:val="24"/>
          <w:szCs w:val="24"/>
          <w:vertAlign w:val="superscript"/>
        </w:rPr>
        <w:endnoteReference w:id="53"/>
      </w:r>
      <w:r w:rsidRPr="00B067FA">
        <w:rPr>
          <w:rFonts w:ascii="Times New Roman" w:hAnsi="Times New Roman" w:cs="Times New Roman"/>
          <w:sz w:val="24"/>
          <w:szCs w:val="24"/>
        </w:rPr>
        <w:t xml:space="preserve"> This step is better illustrated with reference to Burawoy’s study on the abolition of the ‘colour bar’ in Zambia. Here, the social situation under examination (i.e.: relationships among workers in the mining company) is affected by the outside intervention of the Zambianisation policy mandating the career advancement of black people and the abolition of ‘colour bar’.</w:t>
      </w:r>
      <w:r w:rsidRPr="00B067FA">
        <w:rPr>
          <w:rFonts w:ascii="Times New Roman" w:hAnsi="Times New Roman" w:cs="Times New Roman"/>
          <w:sz w:val="24"/>
          <w:szCs w:val="24"/>
          <w:vertAlign w:val="superscript"/>
        </w:rPr>
        <w:endnoteReference w:id="54"/>
      </w:r>
      <w:r w:rsidRPr="00B067FA">
        <w:rPr>
          <w:rFonts w:ascii="Times New Roman" w:hAnsi="Times New Roman" w:cs="Times New Roman"/>
          <w:sz w:val="24"/>
          <w:szCs w:val="24"/>
        </w:rPr>
        <w:t xml:space="preserve"> However, the consequences of Zambianisation are structured by the distorted implementation of this reform by mining companies, who devised ways to keep white employees in commanding posts.</w:t>
      </w:r>
      <w:r w:rsidRPr="00B067FA">
        <w:rPr>
          <w:rFonts w:ascii="Times New Roman" w:hAnsi="Times New Roman" w:cs="Times New Roman"/>
          <w:sz w:val="24"/>
          <w:szCs w:val="24"/>
          <w:vertAlign w:val="superscript"/>
        </w:rPr>
        <w:endnoteReference w:id="55"/>
      </w:r>
      <w:r w:rsidRPr="00B067FA">
        <w:rPr>
          <w:rFonts w:ascii="Times New Roman" w:hAnsi="Times New Roman" w:cs="Times New Roman"/>
          <w:sz w:val="24"/>
          <w:szCs w:val="24"/>
        </w:rPr>
        <w:t xml:space="preserve"> The social situation observed can therefore be understood </w:t>
      </w:r>
      <w:r w:rsidRPr="00B067FA">
        <w:rPr>
          <w:rFonts w:ascii="Times New Roman" w:hAnsi="Times New Roman" w:cs="Times New Roman"/>
          <w:sz w:val="24"/>
          <w:szCs w:val="24"/>
        </w:rPr>
        <w:lastRenderedPageBreak/>
        <w:t xml:space="preserve">as a social process once we take into account the external intervention performed (Zambianisation) and the regimes of power structuring it (that is, the particular ways in which mining companies implemented it). While earlier in the paper we referred to intervention as a methodological principle, here the term indicates the </w:t>
      </w:r>
      <w:r w:rsidRPr="00B067FA">
        <w:rPr>
          <w:rFonts w:ascii="Times New Roman" w:hAnsi="Times New Roman" w:cs="Times New Roman"/>
          <w:i/>
          <w:sz w:val="24"/>
          <w:szCs w:val="24"/>
        </w:rPr>
        <w:t>empirical act</w:t>
      </w:r>
      <w:r w:rsidRPr="00B067FA">
        <w:rPr>
          <w:rFonts w:ascii="Times New Roman" w:hAnsi="Times New Roman" w:cs="Times New Roman"/>
          <w:sz w:val="24"/>
          <w:szCs w:val="24"/>
        </w:rPr>
        <w:t xml:space="preserve"> through which macro-forces structure the social situation in the local context, placing it into a relation of mutual constitution with the forces examined at the micro-level in the field.</w:t>
      </w:r>
      <w:r w:rsidRPr="00B067FA" w:rsidDel="008E1343">
        <w:rPr>
          <w:rFonts w:ascii="Times New Roman" w:hAnsi="Times New Roman" w:cs="Times New Roman"/>
          <w:sz w:val="24"/>
          <w:szCs w:val="24"/>
        </w:rPr>
        <w:t xml:space="preserve"> </w:t>
      </w:r>
    </w:p>
    <w:p w14:paraId="66C233B9" w14:textId="3FBFC6A8"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The third extension brings the researcher to trace the external forces shaping the context of Zambianisation. Here again, the process of generating knowledge claims involves ‘locating social processes at the site of research in a relation of mutual determination with an external field of social forces.’</w:t>
      </w:r>
      <w:r w:rsidRPr="00B067FA">
        <w:rPr>
          <w:rFonts w:ascii="Times New Roman" w:hAnsi="Times New Roman" w:cs="Times New Roman"/>
          <w:sz w:val="24"/>
          <w:szCs w:val="24"/>
          <w:vertAlign w:val="superscript"/>
        </w:rPr>
        <w:endnoteReference w:id="56"/>
      </w:r>
      <w:r w:rsidRPr="00B067FA">
        <w:rPr>
          <w:rFonts w:ascii="Times New Roman" w:hAnsi="Times New Roman" w:cs="Times New Roman"/>
          <w:sz w:val="24"/>
          <w:szCs w:val="24"/>
        </w:rPr>
        <w:t xml:space="preserve"> These social forces shaping ‘from the outside’ the Zambian mining industry are identified by Burawoy in postcolonial politics, international markets and the persistence of Western influence.</w:t>
      </w:r>
      <w:r w:rsidRPr="00B067FA">
        <w:rPr>
          <w:rFonts w:ascii="Times New Roman" w:hAnsi="Times New Roman" w:cs="Times New Roman"/>
          <w:sz w:val="24"/>
          <w:szCs w:val="24"/>
          <w:vertAlign w:val="superscript"/>
        </w:rPr>
        <w:endnoteReference w:id="57"/>
      </w:r>
      <w:r w:rsidRPr="00B067FA">
        <w:rPr>
          <w:rFonts w:ascii="Times New Roman" w:hAnsi="Times New Roman" w:cs="Times New Roman"/>
          <w:sz w:val="24"/>
          <w:szCs w:val="24"/>
        </w:rPr>
        <w:t xml:space="preserve"> This and the previous step in the process of extension detail the non-positivist process through which we move from the particular to the general: not by seeking to establish law-like regularities, but by grounding knowledge about international forces and social structures in their mutual constitution with the local. The process of ‘extending out’ thus shifts our attention from linear, causal associations to a social world where local agency, power relations and international and transnational forces stand in a complex, mutually constitutive relation to one another.  </w:t>
      </w:r>
    </w:p>
    <w:p w14:paraId="7749EB06" w14:textId="1311D34B" w:rsidR="00B067FA" w:rsidRPr="00B067FA" w:rsidRDefault="00B067FA" w:rsidP="005342AF">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The final extension allows us to introduce another key feature of the extended case method, the role of theory, which also responds to the need of critical IR research for a flexible approach to theory-building. First, the methodological principle of intervention brings the researcher’s theoretical assumptions into the research process, and into the field. However, while theory informs the research process from the start, it is in its last stage that the observer is led to perform ‘theory reconstruction’.</w:t>
      </w:r>
      <w:r w:rsidRPr="00B067FA">
        <w:rPr>
          <w:rFonts w:ascii="Times New Roman" w:hAnsi="Times New Roman" w:cs="Times New Roman"/>
          <w:sz w:val="24"/>
          <w:szCs w:val="24"/>
          <w:vertAlign w:val="superscript"/>
        </w:rPr>
        <w:endnoteReference w:id="58"/>
      </w:r>
      <w:r w:rsidRPr="00B067FA">
        <w:rPr>
          <w:rFonts w:ascii="Times New Roman" w:hAnsi="Times New Roman" w:cs="Times New Roman"/>
          <w:sz w:val="24"/>
          <w:szCs w:val="24"/>
        </w:rPr>
        <w:t xml:space="preserve"> This is the answer to the anomalies emerged during fieldwork which challenge the theory as the initial – more or less developed – framework.  In his study, Burawoy’s deconstructs or rejects a series of theoretical propositions based on his encounters with the field, while reconstructing theory through an adaptation of Fanon’s work on the post-colonial revolution to the case of Zambia.</w:t>
      </w:r>
      <w:r w:rsidRPr="00B067FA">
        <w:rPr>
          <w:rStyle w:val="EndnoteReference"/>
          <w:rFonts w:ascii="Times New Roman" w:hAnsi="Times New Roman" w:cs="Times New Roman"/>
          <w:sz w:val="24"/>
          <w:szCs w:val="24"/>
        </w:rPr>
        <w:endnoteReference w:id="59"/>
      </w:r>
      <w:r w:rsidRPr="00B067FA">
        <w:rPr>
          <w:rFonts w:ascii="Times New Roman" w:hAnsi="Times New Roman" w:cs="Times New Roman"/>
          <w:sz w:val="24"/>
          <w:szCs w:val="24"/>
        </w:rPr>
        <w:t xml:space="preserve"> The extended case method thus offers a flexible approach to theory building, where theory is reconstructed based on uneasy encounters with the social world under observation. The fact that theory is not ‘bracketed out’ during the research process, but rather explicitly informs the assumption brought by the researcher onto the field, makes this approach particularly suited to the needs of critical IR. This is also reflected in the re-definition of the ‘case’ in the extended case method, which is not seen as a natural setting existing independently, but as a ‘theoretically constructed object’. </w:t>
      </w:r>
      <w:r w:rsidRPr="00B067FA">
        <w:rPr>
          <w:rFonts w:ascii="Times New Roman" w:hAnsi="Times New Roman" w:cs="Times New Roman"/>
          <w:sz w:val="24"/>
          <w:szCs w:val="24"/>
        </w:rPr>
        <w:lastRenderedPageBreak/>
        <w:t>It is the ‘theory we bring to the site that turns it into a case of something’,</w:t>
      </w:r>
      <w:r w:rsidRPr="00B067FA">
        <w:rPr>
          <w:rFonts w:ascii="Times New Roman" w:hAnsi="Times New Roman" w:cs="Times New Roman"/>
          <w:sz w:val="24"/>
          <w:szCs w:val="24"/>
          <w:vertAlign w:val="superscript"/>
        </w:rPr>
        <w:endnoteReference w:id="60"/>
      </w:r>
      <w:r w:rsidRPr="00B067FA">
        <w:rPr>
          <w:rFonts w:ascii="Times New Roman" w:hAnsi="Times New Roman" w:cs="Times New Roman"/>
          <w:sz w:val="24"/>
          <w:szCs w:val="24"/>
        </w:rPr>
        <w:t xml:space="preserve"> which is then analysed in relation to the social forces that shape it. The ‘case’ is then ‘doubly constituted: realistically by the social forces within which it is embedded and the social processes it expresses, and imaginatively by the position we hold in the field and the theoretical framework we bring to bear’.</w:t>
      </w:r>
      <w:r w:rsidRPr="00B067FA">
        <w:rPr>
          <w:rFonts w:ascii="Times New Roman" w:hAnsi="Times New Roman" w:cs="Times New Roman"/>
          <w:sz w:val="24"/>
          <w:szCs w:val="24"/>
          <w:vertAlign w:val="superscript"/>
        </w:rPr>
        <w:endnoteReference w:id="61"/>
      </w:r>
      <w:r w:rsidRPr="00B067FA">
        <w:rPr>
          <w:rFonts w:ascii="Times New Roman" w:hAnsi="Times New Roman" w:cs="Times New Roman"/>
          <w:sz w:val="24"/>
          <w:szCs w:val="24"/>
        </w:rPr>
        <w:t xml:space="preserve"> As it combines participant observation with macro-theories about social and political processes, the extended case method provides a valuable starting point for critical IR scholars aiming to link local phenomena with the international processes they are interested in analysing.</w:t>
      </w:r>
    </w:p>
    <w:p w14:paraId="52C7C534" w14:textId="77777777" w:rsidR="00B067FA" w:rsidRPr="00B067FA" w:rsidRDefault="00B067FA" w:rsidP="00D00627">
      <w:pPr>
        <w:spacing w:after="0" w:line="360" w:lineRule="auto"/>
        <w:ind w:firstLine="567"/>
        <w:jc w:val="both"/>
        <w:rPr>
          <w:rFonts w:ascii="Times New Roman" w:hAnsi="Times New Roman" w:cs="Times New Roman"/>
          <w:sz w:val="24"/>
          <w:szCs w:val="24"/>
        </w:rPr>
      </w:pPr>
    </w:p>
    <w:p w14:paraId="54E54145" w14:textId="65909ED2" w:rsidR="00B067FA" w:rsidRPr="00B067FA" w:rsidRDefault="00B067FA" w:rsidP="00D00627">
      <w:pPr>
        <w:spacing w:after="0" w:line="360" w:lineRule="auto"/>
        <w:jc w:val="both"/>
        <w:rPr>
          <w:rFonts w:ascii="Times New Roman" w:hAnsi="Times New Roman" w:cs="Times New Roman"/>
          <w:b/>
          <w:i/>
          <w:sz w:val="24"/>
          <w:szCs w:val="24"/>
        </w:rPr>
      </w:pPr>
      <w:r w:rsidRPr="00B067FA">
        <w:rPr>
          <w:rFonts w:ascii="Times New Roman" w:hAnsi="Times New Roman" w:cs="Times New Roman"/>
          <w:b/>
          <w:i/>
          <w:sz w:val="24"/>
          <w:szCs w:val="24"/>
        </w:rPr>
        <w:t xml:space="preserve">The extended case methodology in IR: three addenda  </w:t>
      </w:r>
    </w:p>
    <w:p w14:paraId="6E6A6F59" w14:textId="3BD5BC16" w:rsidR="00B067FA" w:rsidRPr="00B067FA" w:rsidRDefault="00B067FA" w:rsidP="00497AC4">
      <w:pPr>
        <w:spacing w:after="0" w:line="360" w:lineRule="auto"/>
        <w:jc w:val="both"/>
        <w:rPr>
          <w:rFonts w:ascii="Times New Roman" w:hAnsi="Times New Roman" w:cs="Times New Roman"/>
          <w:sz w:val="24"/>
          <w:szCs w:val="24"/>
        </w:rPr>
      </w:pPr>
      <w:bookmarkStart w:id="1" w:name="_Hlk525304919"/>
      <w:r w:rsidRPr="00B067FA">
        <w:rPr>
          <w:rFonts w:ascii="Times New Roman" w:hAnsi="Times New Roman" w:cs="Times New Roman"/>
          <w:sz w:val="24"/>
          <w:szCs w:val="24"/>
        </w:rPr>
        <w:t xml:space="preserve">With its emphasis on constitutive relations, power and social forces, and contextually rich accounts contributing to knowledge about macro-processes, Burawoy’s extended case method offers an alternative to positivist frameworks for case studies to critical IR scholars. Rather than adapting positivist jargon to justify case selection and a case’s contribution to knowledge, this approach enables critical researchers to follow their epistemological commitments while making explicit their research choices. </w:t>
      </w:r>
      <w:bookmarkEnd w:id="1"/>
      <w:r w:rsidRPr="00B067FA">
        <w:rPr>
          <w:rFonts w:ascii="Times New Roman" w:hAnsi="Times New Roman" w:cs="Times New Roman"/>
          <w:sz w:val="24"/>
          <w:szCs w:val="24"/>
        </w:rPr>
        <w:t xml:space="preserve">The move from extended case method to our proposed extended case methodology allows us to refine Burawoy’s approach so that it responds directly to the kind of methodological questions IR scholars ask themselves. More specifically, in this part we discuss three addenda that relate, respectively, to the epistemological grounding of this approach; the link between theories and research questions; and, lastly, the use of data collection methods.  </w:t>
      </w:r>
    </w:p>
    <w:p w14:paraId="4A577EDC" w14:textId="6097C4E0" w:rsidR="00B067FA" w:rsidRPr="00B067FA" w:rsidRDefault="00B067FA" w:rsidP="0063260E">
      <w:pPr>
        <w:spacing w:after="0" w:line="360" w:lineRule="auto"/>
        <w:ind w:firstLine="720"/>
        <w:jc w:val="both"/>
        <w:rPr>
          <w:rFonts w:ascii="Times New Roman" w:hAnsi="Times New Roman" w:cs="Times New Roman"/>
          <w:sz w:val="24"/>
          <w:szCs w:val="24"/>
        </w:rPr>
      </w:pPr>
      <w:r w:rsidRPr="00B067FA">
        <w:rPr>
          <w:rFonts w:ascii="Times New Roman" w:hAnsi="Times New Roman" w:cs="Times New Roman"/>
          <w:i/>
          <w:sz w:val="24"/>
          <w:szCs w:val="24"/>
        </w:rPr>
        <w:t xml:space="preserve">Addendum #1. Critical reflexive IR.  </w:t>
      </w:r>
      <w:r w:rsidRPr="00B067FA">
        <w:rPr>
          <w:rFonts w:ascii="Times New Roman" w:hAnsi="Times New Roman" w:cs="Times New Roman"/>
          <w:sz w:val="24"/>
          <w:szCs w:val="24"/>
        </w:rPr>
        <w:t>Here we draw on methodological debates on the epistemic status of international studies,</w:t>
      </w:r>
      <w:r w:rsidRPr="00B067FA">
        <w:rPr>
          <w:rFonts w:ascii="Times New Roman" w:hAnsi="Times New Roman" w:cs="Times New Roman"/>
          <w:sz w:val="24"/>
          <w:szCs w:val="24"/>
          <w:vertAlign w:val="superscript"/>
        </w:rPr>
        <w:endnoteReference w:id="62"/>
      </w:r>
      <w:r w:rsidRPr="00B067FA">
        <w:rPr>
          <w:rFonts w:ascii="Times New Roman" w:hAnsi="Times New Roman" w:cs="Times New Roman"/>
          <w:sz w:val="24"/>
          <w:szCs w:val="24"/>
        </w:rPr>
        <w:t xml:space="preserve"> and specifically on the work of Jackson, to argue that the extended case methodology can suit critical IR scholars who recognise themselves in ‘reflexive’ approaches for two main reasons.</w:t>
      </w:r>
      <w:r w:rsidRPr="00B067FA">
        <w:rPr>
          <w:rFonts w:ascii="Times New Roman" w:hAnsi="Times New Roman" w:cs="Times New Roman"/>
          <w:sz w:val="24"/>
          <w:szCs w:val="24"/>
          <w:vertAlign w:val="superscript"/>
        </w:rPr>
        <w:endnoteReference w:id="63"/>
      </w:r>
      <w:r w:rsidRPr="00B067FA">
        <w:rPr>
          <w:rFonts w:ascii="Times New Roman" w:hAnsi="Times New Roman" w:cs="Times New Roman"/>
          <w:sz w:val="24"/>
          <w:szCs w:val="24"/>
        </w:rPr>
        <w:t xml:space="preserve"> First, the extended case methodology is applicable to those approaches that systematically consider the role of researchers in the process of knowledge production, as ‘the very character of knowledge itself is both inseparable from and not in any sense reducible to the social position and organizational practices of the scientific researcher.’</w:t>
      </w:r>
      <w:r w:rsidRPr="00B067FA">
        <w:rPr>
          <w:rFonts w:ascii="Times New Roman" w:hAnsi="Times New Roman" w:cs="Times New Roman"/>
          <w:sz w:val="24"/>
          <w:szCs w:val="24"/>
          <w:vertAlign w:val="superscript"/>
        </w:rPr>
        <w:endnoteReference w:id="64"/>
      </w:r>
      <w:r w:rsidRPr="00B067FA">
        <w:rPr>
          <w:rFonts w:ascii="Times New Roman" w:hAnsi="Times New Roman" w:cs="Times New Roman"/>
          <w:sz w:val="24"/>
          <w:szCs w:val="24"/>
        </w:rPr>
        <w:t xml:space="preserve"> The extended case methodology abandons the positivist ambition to experience reality as such, since researchers ‘can only know it through their relation to it’.</w:t>
      </w:r>
      <w:r w:rsidRPr="00B067FA">
        <w:rPr>
          <w:rFonts w:ascii="Times New Roman" w:hAnsi="Times New Roman" w:cs="Times New Roman"/>
          <w:sz w:val="24"/>
          <w:szCs w:val="24"/>
          <w:vertAlign w:val="superscript"/>
        </w:rPr>
        <w:endnoteReference w:id="65"/>
      </w:r>
      <w:r w:rsidRPr="00B067FA">
        <w:rPr>
          <w:rFonts w:ascii="Times New Roman" w:hAnsi="Times New Roman" w:cs="Times New Roman"/>
          <w:sz w:val="24"/>
          <w:szCs w:val="24"/>
        </w:rPr>
        <w:t xml:space="preserve"> Second, reflexivity combines attention to the point of view and perspective of social groups under study with a critical outlook on what research participants say or do, as a necessary step towards the production of knowledge that contributes to progressively transform society.</w:t>
      </w:r>
      <w:r w:rsidRPr="00B067FA">
        <w:rPr>
          <w:rFonts w:ascii="Times New Roman" w:hAnsi="Times New Roman" w:cs="Times New Roman"/>
          <w:sz w:val="24"/>
          <w:szCs w:val="24"/>
          <w:vertAlign w:val="superscript"/>
        </w:rPr>
        <w:endnoteReference w:id="66"/>
      </w:r>
      <w:r w:rsidRPr="00B067FA">
        <w:rPr>
          <w:rFonts w:ascii="Times New Roman" w:hAnsi="Times New Roman" w:cs="Times New Roman"/>
          <w:sz w:val="24"/>
          <w:szCs w:val="24"/>
        </w:rPr>
        <w:t xml:space="preserve"> Reflexivity equips us with the sensitivity necessary for understanding how research, and the </w:t>
      </w:r>
      <w:r w:rsidRPr="00B067FA">
        <w:rPr>
          <w:rFonts w:ascii="Times New Roman" w:hAnsi="Times New Roman" w:cs="Times New Roman"/>
          <w:sz w:val="24"/>
          <w:szCs w:val="24"/>
        </w:rPr>
        <w:lastRenderedPageBreak/>
        <w:t>knowledge it generates, are inevitably affected by our own theoretical expectations and positionality before, during and after fieldwork. This process is distinctively different from theory-building in neopositivist research.</w:t>
      </w:r>
      <w:r w:rsidRPr="00B067FA">
        <w:rPr>
          <w:rFonts w:ascii="Times New Roman" w:hAnsi="Times New Roman" w:cs="Times New Roman"/>
          <w:sz w:val="24"/>
          <w:szCs w:val="24"/>
          <w:vertAlign w:val="superscript"/>
        </w:rPr>
        <w:endnoteReference w:id="67"/>
      </w:r>
      <w:r w:rsidRPr="00B067FA">
        <w:rPr>
          <w:rFonts w:ascii="Times New Roman" w:hAnsi="Times New Roman" w:cs="Times New Roman"/>
          <w:sz w:val="24"/>
          <w:szCs w:val="24"/>
        </w:rPr>
        <w:t xml:space="preserve"> In the former, the starting theory is hypostatised and either confirmed or refuted by evidence gathered through the examination of self-contained case studies. In critical theory, holding external forces constant is just a temporary step allowing the researcher to go down the spatial scale of reference, before ascending back and relating the findings, particularly the uncomfortable ones, to the hitherto temporarily fixed macro-forces at play. This is a move made explicit by the extended case methodology.</w:t>
      </w:r>
      <w:r w:rsidRPr="00B067FA" w:rsidDel="007D0DE2">
        <w:rPr>
          <w:rFonts w:ascii="Times New Roman" w:hAnsi="Times New Roman" w:cs="Times New Roman"/>
          <w:sz w:val="24"/>
          <w:szCs w:val="24"/>
        </w:rPr>
        <w:t xml:space="preserve"> </w:t>
      </w:r>
    </w:p>
    <w:p w14:paraId="16DF161E" w14:textId="3C7F830C" w:rsidR="00B067FA" w:rsidRPr="00B067FA" w:rsidRDefault="00B067FA" w:rsidP="0063260E">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i/>
          <w:sz w:val="24"/>
          <w:szCs w:val="24"/>
        </w:rPr>
        <w:t xml:space="preserve">Addendum #2. Flexible theorising and research questions in IR. </w:t>
      </w:r>
      <w:r w:rsidRPr="00B067FA">
        <w:rPr>
          <w:rFonts w:ascii="Times New Roman" w:hAnsi="Times New Roman" w:cs="Times New Roman"/>
          <w:sz w:val="24"/>
          <w:szCs w:val="24"/>
        </w:rPr>
        <w:t>Without pretending to ‘impose’ the relevance of the extended case methodology on all strands of critical IR research, we argue that the assumptions of this approach are compatible with a range of approaches that fall within the ‘reflexive’ part of Jackson’s matrix. This is a variegated field, and many of the authors that populate it do not necessarily believe they share methodological commitments.</w:t>
      </w:r>
      <w:r w:rsidRPr="00B067FA">
        <w:rPr>
          <w:rFonts w:ascii="Times New Roman" w:hAnsi="Times New Roman" w:cs="Times New Roman"/>
          <w:sz w:val="24"/>
          <w:szCs w:val="24"/>
          <w:vertAlign w:val="superscript"/>
        </w:rPr>
        <w:endnoteReference w:id="68"/>
      </w:r>
      <w:r w:rsidRPr="00B067FA">
        <w:rPr>
          <w:rFonts w:ascii="Times New Roman" w:hAnsi="Times New Roman" w:cs="Times New Roman"/>
          <w:sz w:val="24"/>
          <w:szCs w:val="24"/>
        </w:rPr>
        <w:t xml:space="preserve"> However, the approach to theorising shared by these scholars, and the range of questions explored in critical IR research, make the extended case methodology a viable option for critical IR, especially if used flexibly rather than prescriptively. Much critical IR adopts a flexible approach to theorising: feminists, neo-Gramscian, post- and de-colonial approaches all share an attention to their conceptual frameworks from the outset of the research project, but also an awareness that the interaction with the social world requires a constant revision of the interpretation of these frameworks. Rather than proceeding in a rigid deductive or inductive manner, these scholars commit to an iterative process of theoretical reflection and empirical observation that the extended case methodology can guide and support. There is also no lack of research questions and puzzles in critical IR that can be approached through the extended case methodology. For instance, scholars interrogating how local conditions and agency interact with post-conflict, peacebuilding interventions,</w:t>
      </w:r>
      <w:r w:rsidRPr="00B067FA">
        <w:rPr>
          <w:rFonts w:ascii="Times New Roman" w:hAnsi="Times New Roman" w:cs="Times New Roman"/>
          <w:sz w:val="24"/>
          <w:szCs w:val="24"/>
          <w:vertAlign w:val="superscript"/>
        </w:rPr>
        <w:endnoteReference w:id="69"/>
      </w:r>
      <w:r w:rsidRPr="00B067FA">
        <w:rPr>
          <w:rFonts w:ascii="Times New Roman" w:hAnsi="Times New Roman" w:cs="Times New Roman"/>
          <w:sz w:val="24"/>
          <w:szCs w:val="24"/>
        </w:rPr>
        <w:t xml:space="preserve"> or researching the global implications of localised protest movements,</w:t>
      </w:r>
      <w:r w:rsidRPr="00B067FA">
        <w:rPr>
          <w:rFonts w:ascii="Times New Roman" w:hAnsi="Times New Roman" w:cs="Times New Roman"/>
          <w:sz w:val="24"/>
          <w:szCs w:val="24"/>
          <w:vertAlign w:val="superscript"/>
        </w:rPr>
        <w:t xml:space="preserve"> </w:t>
      </w:r>
      <w:r w:rsidRPr="00B067FA">
        <w:rPr>
          <w:rFonts w:ascii="Times New Roman" w:hAnsi="Times New Roman" w:cs="Times New Roman"/>
          <w:sz w:val="24"/>
          <w:szCs w:val="24"/>
          <w:vertAlign w:val="superscript"/>
        </w:rPr>
        <w:endnoteReference w:id="70"/>
      </w:r>
      <w:r w:rsidRPr="00B067FA">
        <w:rPr>
          <w:rFonts w:ascii="Times New Roman" w:hAnsi="Times New Roman" w:cs="Times New Roman"/>
          <w:sz w:val="24"/>
          <w:szCs w:val="24"/>
        </w:rPr>
        <w:t xml:space="preserve"> could greatly benefit from a methodology allowing the micro and the macro to be put into dialogue. The clearest example comes perhaps from feminist IR research. In its attempt to transform our understanding of IR, feminism has always been concerned with bringing to light the connections between micro-level, household, and informal politics and economies, and international politics. Studies in feminist, neo-Gramscian, or otherwise critical political economy focusing on how global capital flows impact on supposedly marginal livelihoods, taking for instance the form of land grabs in South-Saharan Africa,</w:t>
      </w:r>
      <w:r w:rsidRPr="00B067FA">
        <w:rPr>
          <w:rFonts w:ascii="Times New Roman" w:hAnsi="Times New Roman" w:cs="Times New Roman"/>
          <w:sz w:val="24"/>
          <w:szCs w:val="24"/>
          <w:vertAlign w:val="superscript"/>
        </w:rPr>
        <w:endnoteReference w:id="71"/>
      </w:r>
      <w:r w:rsidRPr="00B067FA">
        <w:rPr>
          <w:rFonts w:ascii="Times New Roman" w:hAnsi="Times New Roman" w:cs="Times New Roman"/>
          <w:sz w:val="24"/>
          <w:szCs w:val="24"/>
        </w:rPr>
        <w:t xml:space="preserve"> or de-industrialisation in the former Yugoslavia,</w:t>
      </w:r>
      <w:r w:rsidRPr="00B067FA">
        <w:rPr>
          <w:rFonts w:ascii="Times New Roman" w:hAnsi="Times New Roman" w:cs="Times New Roman"/>
          <w:sz w:val="24"/>
          <w:szCs w:val="24"/>
          <w:vertAlign w:val="superscript"/>
        </w:rPr>
        <w:endnoteReference w:id="72"/>
      </w:r>
      <w:r w:rsidRPr="00B067FA">
        <w:rPr>
          <w:rFonts w:ascii="Times New Roman" w:hAnsi="Times New Roman" w:cs="Times New Roman"/>
          <w:sz w:val="24"/>
          <w:szCs w:val="24"/>
        </w:rPr>
        <w:t xml:space="preserve"> would also have much to gain from relying on the extended case methodology. </w:t>
      </w:r>
    </w:p>
    <w:p w14:paraId="2DFFAD01" w14:textId="6C066F4F" w:rsidR="00B067FA" w:rsidRPr="00B067FA" w:rsidRDefault="00B067FA" w:rsidP="0063260E">
      <w:pPr>
        <w:spacing w:after="0" w:line="360" w:lineRule="auto"/>
        <w:ind w:firstLine="720"/>
        <w:jc w:val="both"/>
        <w:rPr>
          <w:rFonts w:ascii="Times New Roman" w:hAnsi="Times New Roman" w:cs="Times New Roman"/>
          <w:sz w:val="24"/>
          <w:szCs w:val="24"/>
        </w:rPr>
      </w:pPr>
      <w:r w:rsidRPr="00B067FA">
        <w:rPr>
          <w:rFonts w:ascii="Times New Roman" w:hAnsi="Times New Roman" w:cs="Times New Roman"/>
          <w:i/>
          <w:sz w:val="24"/>
          <w:szCs w:val="24"/>
        </w:rPr>
        <w:lastRenderedPageBreak/>
        <w:t xml:space="preserve">Addendum #3. Methods. </w:t>
      </w:r>
      <w:r w:rsidRPr="00B067FA">
        <w:rPr>
          <w:rFonts w:ascii="Times New Roman" w:hAnsi="Times New Roman" w:cs="Times New Roman"/>
          <w:sz w:val="24"/>
          <w:szCs w:val="24"/>
        </w:rPr>
        <w:t>Participant observation is the key data collection technique in Burawoy’s extended case method. In our reformulation as extended case methodology, however, we maintain that other methods commonly used during fieldwork can be accommodated within this methodology without substantially modifying it. As already shown, what characterises this approach is not the method of data collection, but the way in which data are incorporated and used within that methodological process. The process of generating knowledge through ‘extensions’ can be based on the close observation of events through participant observation, as well as on findings emerged through interviews or other methods that involve studying micro-level dynamics and settings. It is crucial that these methods align with how the extended case methodology approaches the field and the research process. This is unlikely to pose particular challenges for critical IR scholars who already acknowledge the impact of the relationship between interviewee and interviewer, their mutual perceptions and assumptions on the research process.</w:t>
      </w:r>
      <w:r w:rsidRPr="00B067FA">
        <w:rPr>
          <w:rStyle w:val="EndnoteReference"/>
          <w:rFonts w:ascii="Times New Roman" w:hAnsi="Times New Roman" w:cs="Times New Roman"/>
          <w:sz w:val="24"/>
          <w:szCs w:val="24"/>
        </w:rPr>
        <w:endnoteReference w:id="73"/>
      </w:r>
      <w:r w:rsidRPr="00B067FA">
        <w:rPr>
          <w:rFonts w:ascii="Times New Roman" w:hAnsi="Times New Roman" w:cs="Times New Roman"/>
          <w:sz w:val="24"/>
          <w:szCs w:val="24"/>
        </w:rPr>
        <w:t xml:space="preserve"> The researcher should therefore adopt a reflexive approach, allowing for the acknowledgement and fruitful use of those context effects that positivist research attempts to bracket. Interviews, focus groups, and other methods of data collection based on interaction with participants, therefore, cannot possibly be a ‘neutral stimulus’ eliciting equally neutral responses.</w:t>
      </w:r>
      <w:r w:rsidRPr="00B067FA">
        <w:rPr>
          <w:rFonts w:ascii="Times New Roman" w:hAnsi="Times New Roman" w:cs="Times New Roman"/>
          <w:sz w:val="24"/>
          <w:szCs w:val="24"/>
          <w:vertAlign w:val="superscript"/>
        </w:rPr>
        <w:endnoteReference w:id="74"/>
      </w:r>
      <w:r w:rsidRPr="00B067FA">
        <w:rPr>
          <w:rFonts w:ascii="Times New Roman" w:hAnsi="Times New Roman" w:cs="Times New Roman"/>
          <w:sz w:val="24"/>
          <w:szCs w:val="24"/>
        </w:rPr>
        <w:t xml:space="preserve"> Answers will always be immersed in those power relations and social processes that the extended case methodology sets out to uncover.</w:t>
      </w:r>
      <w:r w:rsidRPr="00B067FA">
        <w:rPr>
          <w:rFonts w:ascii="Times New Roman" w:hAnsi="Times New Roman" w:cs="Times New Roman"/>
          <w:sz w:val="24"/>
          <w:szCs w:val="24"/>
          <w:vertAlign w:val="superscript"/>
        </w:rPr>
        <w:endnoteReference w:id="75"/>
      </w:r>
      <w:r w:rsidRPr="00B067FA">
        <w:rPr>
          <w:rFonts w:ascii="Times New Roman" w:hAnsi="Times New Roman" w:cs="Times New Roman"/>
          <w:sz w:val="24"/>
          <w:szCs w:val="24"/>
        </w:rPr>
        <w:t xml:space="preserve"> Thus, while different research techniques are compatible with the extended case methodology, they are only insofar as they acknowledge the importance of reflexivity and power effects. </w:t>
      </w:r>
    </w:p>
    <w:p w14:paraId="41573CD1" w14:textId="3E2093AC" w:rsidR="00B067FA" w:rsidRPr="00B067FA" w:rsidRDefault="00B067FA" w:rsidP="00744B6A">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One might wonder whether methods that are not based on human interaction but common in IR, such as documentary research, may be compatible with the extended case methodology. Here, the impossibility to methodologically ‘intervene’ in the field through interaction with participants poses clear challenges. However, the methodological principle of intervention, with its explicit acknowledgement of the researcher’s presence and positionality in the research context and its attendant disturbances, does not fade away when doing archival research: consider for instance how personal background and institutional affiliation affect one’s ability to access archives and documents, or the researcher’s position towards the (past and present) lives of the people described in the documents, or the ability of living relatives and institutional spokespersons to answer for documents. We acknowledge that the application of the extended case methodology to documentary research requires further reflection (and dedicated space in a different article) to rethink the different steps of the ‘extension’ process. Nonetheless, this may well be achieved as long as we see methods as techniques that can be applied flexibly to different methodologies,</w:t>
      </w:r>
      <w:r w:rsidRPr="00B067FA">
        <w:rPr>
          <w:rStyle w:val="EndnoteReference"/>
          <w:rFonts w:ascii="Times New Roman" w:hAnsi="Times New Roman" w:cs="Times New Roman"/>
          <w:sz w:val="24"/>
          <w:szCs w:val="24"/>
        </w:rPr>
        <w:endnoteReference w:id="76"/>
      </w:r>
      <w:r w:rsidRPr="00B067FA">
        <w:rPr>
          <w:rFonts w:ascii="Times New Roman" w:hAnsi="Times New Roman" w:cs="Times New Roman"/>
          <w:sz w:val="24"/>
          <w:szCs w:val="24"/>
        </w:rPr>
        <w:t xml:space="preserve"> and we open up – rather than limit right from the start – the </w:t>
      </w:r>
      <w:r w:rsidRPr="00B067FA">
        <w:rPr>
          <w:rFonts w:ascii="Times New Roman" w:hAnsi="Times New Roman" w:cs="Times New Roman"/>
          <w:sz w:val="24"/>
          <w:szCs w:val="24"/>
        </w:rPr>
        <w:lastRenderedPageBreak/>
        <w:t>possibilities for the extended case methodology to be further adapted by other scholars. In line with this spirit, the next section provides a practical application, among many possible ones, of the extended case methodology with the aim of showing, rather than merely telling about, its relevance and potential for critical IR research.</w:t>
      </w:r>
    </w:p>
    <w:p w14:paraId="0D807BF5" w14:textId="30F71EFA" w:rsidR="00B067FA" w:rsidRPr="00B067FA" w:rsidRDefault="00B067FA" w:rsidP="00D00627">
      <w:pPr>
        <w:spacing w:after="0" w:line="360" w:lineRule="auto"/>
        <w:ind w:firstLine="567"/>
        <w:jc w:val="both"/>
        <w:rPr>
          <w:rFonts w:ascii="Times New Roman" w:hAnsi="Times New Roman" w:cs="Times New Roman"/>
          <w:sz w:val="24"/>
          <w:szCs w:val="24"/>
        </w:rPr>
      </w:pPr>
    </w:p>
    <w:p w14:paraId="7FA9CB06" w14:textId="77777777" w:rsidR="00B067FA" w:rsidRPr="00B067FA" w:rsidRDefault="00B067FA" w:rsidP="00D00627">
      <w:pPr>
        <w:spacing w:after="0" w:line="360" w:lineRule="auto"/>
        <w:ind w:firstLine="567"/>
        <w:jc w:val="both"/>
        <w:rPr>
          <w:rFonts w:ascii="Times New Roman" w:hAnsi="Times New Roman" w:cs="Times New Roman"/>
          <w:sz w:val="24"/>
          <w:szCs w:val="24"/>
        </w:rPr>
      </w:pPr>
    </w:p>
    <w:p w14:paraId="392E4065" w14:textId="033A3ED5" w:rsidR="00B067FA" w:rsidRPr="00B067FA" w:rsidRDefault="00B067FA" w:rsidP="00D00627">
      <w:pPr>
        <w:spacing w:after="0" w:line="360" w:lineRule="auto"/>
        <w:jc w:val="both"/>
        <w:rPr>
          <w:rFonts w:ascii="Times New Roman" w:hAnsi="Times New Roman" w:cs="Times New Roman"/>
          <w:sz w:val="24"/>
          <w:szCs w:val="24"/>
        </w:rPr>
      </w:pPr>
      <w:r w:rsidRPr="00B067FA">
        <w:rPr>
          <w:rFonts w:ascii="Times New Roman" w:hAnsi="Times New Roman" w:cs="Times New Roman"/>
          <w:b/>
          <w:sz w:val="24"/>
          <w:szCs w:val="24"/>
        </w:rPr>
        <w:t>The extended case methodology at work: researching transitional justice in Bosnia and Herzegovina</w:t>
      </w:r>
    </w:p>
    <w:p w14:paraId="3E692F32" w14:textId="1DD9B630" w:rsidR="00B067FA" w:rsidRPr="00B067FA" w:rsidRDefault="00B067FA" w:rsidP="00D00627">
      <w:pPr>
        <w:spacing w:after="0" w:line="360" w:lineRule="auto"/>
        <w:jc w:val="both"/>
        <w:rPr>
          <w:rFonts w:ascii="Times New Roman" w:hAnsi="Times New Roman" w:cs="Times New Roman"/>
          <w:sz w:val="24"/>
          <w:szCs w:val="24"/>
        </w:rPr>
      </w:pPr>
      <w:r w:rsidRPr="00B067FA">
        <w:rPr>
          <w:rFonts w:ascii="Times New Roman" w:hAnsi="Times New Roman" w:cs="Times New Roman"/>
          <w:sz w:val="24"/>
          <w:szCs w:val="24"/>
        </w:rPr>
        <w:t>What follows is a necessarily brief account of the benefits of using the extended case methodology, with reference to research conducted by one of the authors on the socioeconomic dimension of transitional justice in Bosnia and Herzegovina. Illustrating the methodological process behind a research project is always a difficult endeavour, especially because writing forces us to discuss in a linear fashion what is actually a messy and iterative process. With this difficulty in mind, this section highlights the workings of two key features of the extended case methodology: the process of case construction through extension, and the role of theory in the extended case methodology. We then outline the recovery of marginalised perspectives, the emphasis on contextually rich accounts, and the attention for complex relations as elements of the extended case methodology that make it especially suited to critical IR scholarship.</w:t>
      </w:r>
    </w:p>
    <w:p w14:paraId="08542DA4" w14:textId="3C027F85"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 xml:space="preserve">Before doing this, let us give a brief overview of the research project. This should be taken as a description of the final product aimed at providing context, whereas the paragraphs that follow discuss the methodological process through which the research developed. The research addressed the question of how post-war countries deal with the consequences of socioeconomic violence perpetrated during war, and what role does socioeconomic justice play in transitional justice processes. Tackled with reference to the Bosnian War, the question was situated within debates about whether (and how) can transitional justice frameworks incorporate socioeconomic concerns. The study entailed researching experiences of socioeconomic violence during war, the formulation of socioeconomic justice claims based on these experiences, and analysing how international interventions shaped the possibility of putting forward these claims. The bulk of the empirical research consisted of in-depth interviews with local communities, but interviews with international officials, activists, and a small amount of participant observation at activist meetings and protests was also conducted. The researcher also kept field notes of contextual observations emerged from interviews and informal interactions. </w:t>
      </w:r>
    </w:p>
    <w:p w14:paraId="64445619" w14:textId="36557AC8"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lastRenderedPageBreak/>
        <w:t>Positivist approaches to case studies require a specific formulation of the case under consideration at the beginning of the research: this is necessary to justify the selection of a specific case, and in turn to show how its analysis can contribute to broader knowledge on the topic.</w:t>
      </w:r>
      <w:r w:rsidRPr="00B067FA">
        <w:rPr>
          <w:rStyle w:val="EndnoteReference"/>
          <w:rFonts w:ascii="Times New Roman" w:hAnsi="Times New Roman" w:cs="Times New Roman"/>
          <w:sz w:val="24"/>
          <w:szCs w:val="24"/>
        </w:rPr>
        <w:endnoteReference w:id="77"/>
      </w:r>
      <w:r w:rsidRPr="00B067FA">
        <w:rPr>
          <w:rFonts w:ascii="Times New Roman" w:hAnsi="Times New Roman" w:cs="Times New Roman"/>
          <w:sz w:val="24"/>
          <w:szCs w:val="24"/>
        </w:rPr>
        <w:t xml:space="preserve"> However, in cases where the aim of the research is to disrupt dominant narratives about a certain phenomenon (such as what constitutes ‘transitional justice’) and analyse marginalised voices and communities, the features of the case only become clearer as the research progresses. In this example, the research departs from an interest around the fate of workers’ communities through the Bosnian war, whose stories are largely untold by the literature, and the question of whether this dimension of the conflict bears any relation to transitional justice processes. As in Burawoy, the first step of the research consists in the researcher’s intervention onto the field, which they approach through preliminary theoretical reflections.</w:t>
      </w:r>
      <w:r w:rsidRPr="00B067FA">
        <w:rPr>
          <w:rStyle w:val="EndnoteReference"/>
          <w:rFonts w:ascii="Times New Roman" w:hAnsi="Times New Roman" w:cs="Times New Roman"/>
          <w:sz w:val="24"/>
          <w:szCs w:val="24"/>
        </w:rPr>
        <w:endnoteReference w:id="78"/>
      </w:r>
      <w:r w:rsidRPr="00B067FA">
        <w:rPr>
          <w:rFonts w:ascii="Times New Roman" w:hAnsi="Times New Roman" w:cs="Times New Roman"/>
          <w:sz w:val="24"/>
          <w:szCs w:val="24"/>
        </w:rPr>
        <w:t xml:space="preserve"> In this instance, the idea driving the beginning of fieldwork, coming from the work of critical scholar Nancy Fraser,</w:t>
      </w:r>
      <w:r w:rsidRPr="00B067FA">
        <w:rPr>
          <w:rStyle w:val="EndnoteReference"/>
          <w:rFonts w:ascii="Times New Roman" w:hAnsi="Times New Roman" w:cs="Times New Roman"/>
          <w:sz w:val="24"/>
          <w:szCs w:val="24"/>
        </w:rPr>
        <w:endnoteReference w:id="79"/>
      </w:r>
      <w:r w:rsidRPr="00B067FA">
        <w:rPr>
          <w:rFonts w:ascii="Times New Roman" w:hAnsi="Times New Roman" w:cs="Times New Roman"/>
          <w:sz w:val="24"/>
          <w:szCs w:val="24"/>
        </w:rPr>
        <w:t xml:space="preserve"> was that what happened to these workers’ communities could be characterised as ‘socioeconomic injustice’. In Fraser’s work, socioeconomic injustice is defined as rooted in the political economy, and including for example ‘exploitation (having the fruits of one’s labor appropriated for the benefit of others); economic marginalization (being confined to undesirable or poorly paid work or being denied access to income-generating labor altogether), and deprivation (being denied an adequate material standard of living).’</w:t>
      </w:r>
      <w:r w:rsidRPr="00B067FA">
        <w:rPr>
          <w:rStyle w:val="EndnoteReference"/>
          <w:rFonts w:ascii="Times New Roman" w:hAnsi="Times New Roman" w:cs="Times New Roman"/>
          <w:sz w:val="24"/>
          <w:szCs w:val="24"/>
        </w:rPr>
        <w:endnoteReference w:id="80"/>
      </w:r>
      <w:r w:rsidRPr="00B067FA">
        <w:rPr>
          <w:rFonts w:ascii="Times New Roman" w:hAnsi="Times New Roman" w:cs="Times New Roman"/>
          <w:sz w:val="24"/>
          <w:szCs w:val="24"/>
        </w:rPr>
        <w:t xml:space="preserve"> Following a preparatory phase, fieldwork was conducted through interviews and observation in two post-industrial Bosnian communities over a combined period of nine months. </w:t>
      </w:r>
    </w:p>
    <w:p w14:paraId="2CA7DB1E" w14:textId="46E2DC8B"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The construction of the case then occurs through the process of extension, as interviews and observation reveal patterns of wartime socioeconomic violence, and show that different forms of injustice (including interethnic violence) overlap and intersect in people’s lived experiences. In turn, these patterns lead to other questions, then explored through interviews, about how local understandings of justice in Bosnia were shaped by these experiences. It is through this incremental process, going back and forth between new discoveries and theoretical reflections, that the research evolves: local conceptions of justice now appear also structured by power relations, embodied for instance in the institutional features of post-war Bosnia and the political-economic reforms of the post-war period that perpetuate and deepen, rather than alleviate, socioeconomic injustice.</w:t>
      </w:r>
      <w:r w:rsidRPr="00B067FA">
        <w:rPr>
          <w:rStyle w:val="EndnoteReference"/>
          <w:rFonts w:ascii="Times New Roman" w:hAnsi="Times New Roman" w:cs="Times New Roman"/>
          <w:sz w:val="24"/>
          <w:szCs w:val="24"/>
        </w:rPr>
        <w:endnoteReference w:id="81"/>
      </w:r>
      <w:r w:rsidRPr="00B067FA">
        <w:rPr>
          <w:rFonts w:ascii="Times New Roman" w:hAnsi="Times New Roman" w:cs="Times New Roman"/>
          <w:sz w:val="24"/>
          <w:szCs w:val="24"/>
        </w:rPr>
        <w:t xml:space="preserve"> Hence, following Burawoy, in this second stage social situations become social processes through the reproduction of regimes of power.</w:t>
      </w:r>
      <w:r w:rsidRPr="00B067FA">
        <w:rPr>
          <w:rStyle w:val="EndnoteReference"/>
          <w:rFonts w:ascii="Times New Roman" w:hAnsi="Times New Roman" w:cs="Times New Roman"/>
          <w:sz w:val="24"/>
          <w:szCs w:val="24"/>
        </w:rPr>
        <w:endnoteReference w:id="82"/>
      </w:r>
      <w:r w:rsidRPr="00B067FA">
        <w:rPr>
          <w:rFonts w:ascii="Times New Roman" w:hAnsi="Times New Roman" w:cs="Times New Roman"/>
          <w:sz w:val="24"/>
          <w:szCs w:val="24"/>
        </w:rPr>
        <w:t xml:space="preserve"> In the following extension, from social process to the external field of forces, the extended case methodology allows us to see how these reforms are sustained by transnational processes of neoliberal restructuring, manifesting themselves also through post-war international </w:t>
      </w:r>
      <w:r w:rsidRPr="00B067FA">
        <w:rPr>
          <w:rFonts w:ascii="Times New Roman" w:hAnsi="Times New Roman" w:cs="Times New Roman"/>
          <w:sz w:val="24"/>
          <w:szCs w:val="24"/>
        </w:rPr>
        <w:lastRenderedPageBreak/>
        <w:t>interventions combining the goal of establishing democracy, peace and justice with marketisation and economic liberalisation. In sum, while case selection in positivist research is an initial step, in the extended case methodology case construction is part of the whole research process, and occurs through extension. Such an approach is much closer to ‘abductive’ reasoning, which is iterative and incremental,</w:t>
      </w:r>
      <w:r w:rsidRPr="00B067FA">
        <w:rPr>
          <w:rStyle w:val="EndnoteReference"/>
          <w:rFonts w:ascii="Times New Roman" w:hAnsi="Times New Roman" w:cs="Times New Roman"/>
          <w:sz w:val="24"/>
          <w:szCs w:val="24"/>
        </w:rPr>
        <w:endnoteReference w:id="83"/>
      </w:r>
      <w:r w:rsidRPr="00B067FA">
        <w:rPr>
          <w:rFonts w:ascii="Times New Roman" w:hAnsi="Times New Roman" w:cs="Times New Roman"/>
          <w:sz w:val="24"/>
          <w:szCs w:val="24"/>
        </w:rPr>
        <w:t xml:space="preserve"> than to the hypothetico-deductive or inductive models, and their various combinations, that usually feature in positivist research. </w:t>
      </w:r>
    </w:p>
    <w:p w14:paraId="3E8DE62A" w14:textId="18A1A274"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The flexible approach to theory is another distinctive feature of the extended case methodology as an alternative to conventional case study research. As mentioned above, Nancy Fraser’s work constitutes the theoretical point of departure for this project. As a political theorist building on the tradition of critical theory, Fraser has addressed questions related to democracy, justice, feminism, and other pressing political issues of the post-Cold War era.</w:t>
      </w:r>
      <w:r w:rsidRPr="00B067FA">
        <w:rPr>
          <w:rStyle w:val="EndnoteReference"/>
          <w:rFonts w:ascii="Times New Roman" w:hAnsi="Times New Roman" w:cs="Times New Roman"/>
          <w:sz w:val="24"/>
          <w:szCs w:val="24"/>
        </w:rPr>
        <w:endnoteReference w:id="84"/>
      </w:r>
      <w:r w:rsidRPr="00B067FA">
        <w:rPr>
          <w:rFonts w:ascii="Times New Roman" w:hAnsi="Times New Roman" w:cs="Times New Roman"/>
          <w:sz w:val="24"/>
          <w:szCs w:val="24"/>
        </w:rPr>
        <w:t xml:space="preserve"> Most relevantly for this research, she developed a multi-dimensional conception of justice (first including redistribution and recognition, then adding the third dimension of representation),</w:t>
      </w:r>
      <w:r w:rsidRPr="00B067FA">
        <w:rPr>
          <w:rStyle w:val="EndnoteReference"/>
          <w:rFonts w:ascii="Times New Roman" w:hAnsi="Times New Roman" w:cs="Times New Roman"/>
          <w:sz w:val="24"/>
          <w:szCs w:val="24"/>
        </w:rPr>
        <w:endnoteReference w:id="85"/>
      </w:r>
      <w:r w:rsidRPr="00B067FA">
        <w:rPr>
          <w:rFonts w:ascii="Times New Roman" w:hAnsi="Times New Roman" w:cs="Times New Roman"/>
          <w:sz w:val="24"/>
          <w:szCs w:val="24"/>
        </w:rPr>
        <w:t xml:space="preserve"> and argued that apparent tensions between claims based on valuing difference (recognition) and equality (redistribution) are resolved when we take a transformative approach to redressing different types of injustice.</w:t>
      </w:r>
      <w:r w:rsidRPr="00B067FA">
        <w:rPr>
          <w:rStyle w:val="EndnoteReference"/>
          <w:rFonts w:ascii="Times New Roman" w:hAnsi="Times New Roman" w:cs="Times New Roman"/>
          <w:sz w:val="24"/>
          <w:szCs w:val="24"/>
        </w:rPr>
        <w:endnoteReference w:id="86"/>
      </w:r>
      <w:r w:rsidRPr="00B067FA">
        <w:rPr>
          <w:rFonts w:ascii="Times New Roman" w:hAnsi="Times New Roman" w:cs="Times New Roman"/>
          <w:sz w:val="24"/>
          <w:szCs w:val="24"/>
        </w:rPr>
        <w:t xml:space="preserve"> Moreover, an important contribution that her work makes to the field of transitional justice is that justice itself, in its different dimensions, is defined on the basis of the originating injustice that it should remedy. While more conventional approaches focus on specific crimes or violations of International Humanitarian Law, here local experiences (and interpretations) of violence are placed at the centre of the analysis. </w:t>
      </w:r>
    </w:p>
    <w:p w14:paraId="05A4A5A1" w14:textId="6CADF329"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In the extended case methodology, the theory is then modified through its encounter with anomalies in the field: puzzling issues that lead us to rethink and further develop our framework. Here it is useful to remember that theory does not fix expectations nor does it translate into hypotheses: rather, the theory is a prism through which we approach and interpret reality, which guides, but does not determine, our research.</w:t>
      </w:r>
      <w:r w:rsidRPr="00B067FA">
        <w:rPr>
          <w:rStyle w:val="EndnoteReference"/>
          <w:rFonts w:ascii="Times New Roman" w:hAnsi="Times New Roman" w:cs="Times New Roman"/>
          <w:sz w:val="24"/>
          <w:szCs w:val="24"/>
        </w:rPr>
        <w:endnoteReference w:id="87"/>
      </w:r>
      <w:r w:rsidRPr="00B067FA">
        <w:rPr>
          <w:rFonts w:ascii="Times New Roman" w:hAnsi="Times New Roman" w:cs="Times New Roman"/>
          <w:sz w:val="24"/>
          <w:szCs w:val="24"/>
        </w:rPr>
        <w:t xml:space="preserve"> In the context of doing fieldwork among local communities in Bosnia, anomalies emerge when actors and forces external to Fraser’s analysis come to define the process of dealing with wartime injustice. Relating her work to a post-war country thus requires adaptation. On the one hand, injustice committed during war is characterised by a specific temporal element: the conflict in Bosnia ‘froze’ the effects of socioeconomic violence because the local population was prevented, between 1992 and 1995, from mobilising to address such injustice. On the other hand, the post-war international intervention invested time and resources onto transitional justice programmes that dealt with violations of International Humanitarian Law, neglecting the socioeconomic dimension of wartime violence. Moreover, it effectively removed socialism, the redistributive </w:t>
      </w:r>
      <w:r w:rsidRPr="00B067FA">
        <w:rPr>
          <w:rFonts w:ascii="Times New Roman" w:hAnsi="Times New Roman" w:cs="Times New Roman"/>
          <w:sz w:val="24"/>
          <w:szCs w:val="24"/>
        </w:rPr>
        <w:lastRenderedPageBreak/>
        <w:t>policies it inspired, from public debate.</w:t>
      </w:r>
      <w:r w:rsidRPr="00B067FA">
        <w:rPr>
          <w:rStyle w:val="EndnoteReference"/>
          <w:rFonts w:ascii="Times New Roman" w:hAnsi="Times New Roman" w:cs="Times New Roman"/>
          <w:sz w:val="24"/>
          <w:szCs w:val="24"/>
        </w:rPr>
        <w:endnoteReference w:id="88"/>
      </w:r>
      <w:r w:rsidRPr="00B067FA">
        <w:rPr>
          <w:rFonts w:ascii="Times New Roman" w:hAnsi="Times New Roman" w:cs="Times New Roman"/>
          <w:sz w:val="24"/>
          <w:szCs w:val="24"/>
        </w:rPr>
        <w:t xml:space="preserve"> Discussions of socioeconomic issues were only to be driven by the goal of facilitating Bosnia’s transition to free-market capitalism. The bracketing of socioeconomic issues and the long temporal trajectory of wartime violence become important elements in understanding the Bosnian case, as they all affected how people recount and make sense of wartime experiences, and how they develop justice claims. </w:t>
      </w:r>
    </w:p>
    <w:p w14:paraId="64C3B20C" w14:textId="443F3571"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The continuous dialogue between researcher and participants, and between fieldwork material and theoretical reflection leads to theory reconstruction as part of both case construction and knowledge generation. This occurs, in this example, through the theorisation of Bosnia’s post-war and post-socialist conditions: respectively, the role of the war in complicating both the analysis of injustice suffered and the process of redressing it, and the ambivalent role played by the socialist past (a point of reference for people’s socioeconomic justice claims, and antithesis of the political and economic model envisaged by the international community). The theorisation of the second condition builds on Fraser’s conception of the ‘post-socialist age’ as an era marked by the absence of an alternative ‘emancipatory project’ in the wake of the fall of socialism,</w:t>
      </w:r>
      <w:r w:rsidRPr="00B067FA">
        <w:rPr>
          <w:rStyle w:val="EndnoteReference"/>
          <w:rFonts w:ascii="Times New Roman" w:hAnsi="Times New Roman" w:cs="Times New Roman"/>
          <w:sz w:val="24"/>
          <w:szCs w:val="24"/>
        </w:rPr>
        <w:endnoteReference w:id="89"/>
      </w:r>
      <w:r w:rsidRPr="00B067FA">
        <w:rPr>
          <w:rFonts w:ascii="Times New Roman" w:hAnsi="Times New Roman" w:cs="Times New Roman"/>
          <w:sz w:val="24"/>
          <w:szCs w:val="24"/>
        </w:rPr>
        <w:t xml:space="preserve"> but revises it and contextualises it through the input of scholars of ‘actually existing’ post-socialism in Bosnia, and of dealing with the past.</w:t>
      </w:r>
      <w:r w:rsidRPr="00B067FA">
        <w:rPr>
          <w:rStyle w:val="EndnoteReference"/>
          <w:rFonts w:ascii="Times New Roman" w:hAnsi="Times New Roman" w:cs="Times New Roman"/>
          <w:sz w:val="24"/>
          <w:szCs w:val="24"/>
        </w:rPr>
        <w:endnoteReference w:id="90"/>
      </w:r>
      <w:r w:rsidRPr="00B067FA">
        <w:rPr>
          <w:rFonts w:ascii="Times New Roman" w:hAnsi="Times New Roman" w:cs="Times New Roman"/>
          <w:sz w:val="24"/>
          <w:szCs w:val="24"/>
        </w:rPr>
        <w:t xml:space="preserve">  Through the research process, the initial theoretical framework is adapted to post-war countries, and becomes more responsive to the different ways in which justice claims develop – not only as a way of redressing experiences of injustice, but also in response to the conditions set by local and international politics. The difference between theory reconstruction and the role of theory in positivist research also lies in its reaction to anomalies: in the extended case method the theory is enriched through its contextualisation, whereas in positivist research uncovering specific conditions of the case under observation limits the scope and explanatory power of the theory. </w:t>
      </w:r>
    </w:p>
    <w:p w14:paraId="42925991" w14:textId="6EB5F772"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To conclude, three additional features make the extended case method more suited to critical scholars interested in case study research. First, insofar as it is concerned with disrupting established assumptions about what post-war justice should be about, and as it puts in the foreground a neglected section of Bosnia’s society, this research retrieves marginalised communities, their stories and justice claims, that have been historically left aside because they do not fit with conventional narratives of the Bosnian war and the ensuing transition. Second, as briefly mentioned above, the extended case method privileges contextuality over the generalisability of findings to a broader set of cases. The case of Bosnia is thus interesting not because representative or deviant,</w:t>
      </w:r>
      <w:r w:rsidRPr="00B067FA">
        <w:rPr>
          <w:rStyle w:val="EndnoteReference"/>
          <w:rFonts w:ascii="Times New Roman" w:hAnsi="Times New Roman" w:cs="Times New Roman"/>
          <w:sz w:val="24"/>
          <w:szCs w:val="24"/>
        </w:rPr>
        <w:endnoteReference w:id="91"/>
      </w:r>
      <w:r w:rsidRPr="00B067FA">
        <w:rPr>
          <w:rFonts w:ascii="Times New Roman" w:hAnsi="Times New Roman" w:cs="Times New Roman"/>
          <w:sz w:val="24"/>
          <w:szCs w:val="24"/>
        </w:rPr>
        <w:t xml:space="preserve"> but because it helps us understand socioeconomic justice in transitional societies in a contextually rich way, and more specifically through the complex </w:t>
      </w:r>
      <w:r w:rsidRPr="00B067FA">
        <w:rPr>
          <w:rFonts w:ascii="Times New Roman" w:hAnsi="Times New Roman" w:cs="Times New Roman"/>
          <w:sz w:val="24"/>
          <w:szCs w:val="24"/>
        </w:rPr>
        <w:lastRenderedPageBreak/>
        <w:t>relations between war experiences on the ground, political economy, international intervention and transnational processes of liberal democracy-building and neoliberalisation. Finally, the use of the extended case method predisposes the researcher towards attention to complex, rather than linear, relations. As the discussion of the extended case method and the example show, the thread linking local experiences and narratives, power relations, and external interventions does not flow in one direction. Local conceptions of justice, for instance, derive from wartime experiences of violence, but these are interpreted through the lens of post-war and post-socialist transformations. At the same time, justice claims shape the international intervention in some ways. It is also by labelling social justice claims as the legacy of socialist nostalgia and practicing its ‘reform agendas’ that the international community constitutes itself as a (neo)liberal actor. Once again, the extended case method differs from positivist approaches, as the focus here is placed on constitutive (rather than causal) relations.</w:t>
      </w:r>
      <w:r w:rsidRPr="00B067FA">
        <w:rPr>
          <w:rStyle w:val="EndnoteReference"/>
          <w:rFonts w:ascii="Times New Roman" w:hAnsi="Times New Roman" w:cs="Times New Roman"/>
          <w:sz w:val="24"/>
          <w:szCs w:val="24"/>
        </w:rPr>
        <w:endnoteReference w:id="92"/>
      </w:r>
    </w:p>
    <w:p w14:paraId="0382D60A" w14:textId="1C685DC8" w:rsidR="00B067FA" w:rsidRPr="00B067FA" w:rsidRDefault="00B067FA" w:rsidP="00D0062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 xml:space="preserve">While not exhaustive, this section has provided an overview of how using the extended case method in practice differs from positivist approaches to case studies. This approach provides a methodological avenue to research the complex question of how societies deal with the consequences of wartime violence. It does so by focusing on the value of context-specific, in-depth research that challenges dominant narratives of post-war transitions and justice processes, allowing for a flexible approach to theory building. </w:t>
      </w:r>
    </w:p>
    <w:p w14:paraId="6AE27042" w14:textId="7DB588E0" w:rsidR="00B067FA" w:rsidRPr="00B067FA" w:rsidRDefault="00B067FA" w:rsidP="00A665E2">
      <w:pPr>
        <w:spacing w:after="0" w:line="360" w:lineRule="auto"/>
        <w:ind w:firstLine="720"/>
        <w:jc w:val="both"/>
        <w:rPr>
          <w:rFonts w:ascii="Times New Roman" w:hAnsi="Times New Roman" w:cs="Times New Roman"/>
          <w:sz w:val="24"/>
          <w:szCs w:val="24"/>
        </w:rPr>
      </w:pPr>
    </w:p>
    <w:p w14:paraId="385107E4" w14:textId="77777777" w:rsidR="00B067FA" w:rsidRPr="00B067FA" w:rsidRDefault="00B067FA" w:rsidP="00A665E2">
      <w:pPr>
        <w:spacing w:after="0" w:line="360" w:lineRule="auto"/>
        <w:ind w:firstLine="720"/>
        <w:jc w:val="both"/>
        <w:rPr>
          <w:rFonts w:ascii="Times New Roman" w:hAnsi="Times New Roman" w:cs="Times New Roman"/>
          <w:sz w:val="24"/>
          <w:szCs w:val="24"/>
        </w:rPr>
      </w:pPr>
    </w:p>
    <w:p w14:paraId="45A72406" w14:textId="77777777" w:rsidR="00B067FA" w:rsidRPr="00B067FA" w:rsidRDefault="00B067FA" w:rsidP="000F4D64">
      <w:pPr>
        <w:spacing w:after="0" w:line="360" w:lineRule="auto"/>
        <w:jc w:val="both"/>
        <w:rPr>
          <w:rFonts w:ascii="Times New Roman" w:hAnsi="Times New Roman" w:cs="Times New Roman"/>
          <w:b/>
          <w:sz w:val="24"/>
          <w:szCs w:val="24"/>
        </w:rPr>
      </w:pPr>
      <w:r w:rsidRPr="00B067FA">
        <w:rPr>
          <w:rFonts w:ascii="Times New Roman" w:hAnsi="Times New Roman" w:cs="Times New Roman"/>
          <w:b/>
          <w:sz w:val="24"/>
          <w:szCs w:val="24"/>
        </w:rPr>
        <w:t xml:space="preserve">Conclusion </w:t>
      </w:r>
    </w:p>
    <w:p w14:paraId="381DC39C" w14:textId="1551721E" w:rsidR="00B067FA" w:rsidRPr="00B067FA" w:rsidRDefault="00B067FA" w:rsidP="000F4D64">
      <w:pPr>
        <w:spacing w:after="0" w:line="360" w:lineRule="auto"/>
        <w:jc w:val="both"/>
        <w:rPr>
          <w:rFonts w:ascii="Times New Roman" w:hAnsi="Times New Roman" w:cs="Times New Roman"/>
          <w:sz w:val="24"/>
          <w:szCs w:val="24"/>
        </w:rPr>
      </w:pPr>
      <w:r w:rsidRPr="00B067FA">
        <w:rPr>
          <w:rFonts w:ascii="Times New Roman" w:hAnsi="Times New Roman" w:cs="Times New Roman"/>
          <w:sz w:val="24"/>
          <w:szCs w:val="24"/>
        </w:rPr>
        <w:t>Discussions of methodology have traditionally contributed to setting criteria for doing ‘social science’ that accept or reject certain modes of writing, and that put certain approaches in a privileged position over others.</w:t>
      </w:r>
      <w:r w:rsidRPr="00B067FA">
        <w:rPr>
          <w:rFonts w:ascii="Times New Roman" w:hAnsi="Times New Roman" w:cs="Times New Roman"/>
          <w:sz w:val="24"/>
          <w:szCs w:val="24"/>
          <w:vertAlign w:val="superscript"/>
        </w:rPr>
        <w:endnoteReference w:id="93"/>
      </w:r>
      <w:r w:rsidRPr="00B067FA">
        <w:rPr>
          <w:rFonts w:ascii="Times New Roman" w:hAnsi="Times New Roman" w:cs="Times New Roman"/>
          <w:sz w:val="24"/>
          <w:szCs w:val="24"/>
        </w:rPr>
        <w:t xml:space="preserve"> Recent IR debates on critical methodologies and methods have largely reflected a different spirit, rejecting the idea that there is a single route to knowledge. Safe a common commitment to ‘systematic empirical analysis that aims to produce knowledge’,</w:t>
      </w:r>
      <w:r w:rsidRPr="00B067FA">
        <w:rPr>
          <w:rStyle w:val="EndnoteReference"/>
          <w:rFonts w:ascii="Times New Roman" w:hAnsi="Times New Roman" w:cs="Times New Roman"/>
          <w:sz w:val="24"/>
          <w:szCs w:val="24"/>
        </w:rPr>
        <w:endnoteReference w:id="94"/>
      </w:r>
      <w:r w:rsidRPr="00B067FA">
        <w:rPr>
          <w:rFonts w:ascii="Times New Roman" w:hAnsi="Times New Roman" w:cs="Times New Roman"/>
          <w:sz w:val="24"/>
          <w:szCs w:val="24"/>
        </w:rPr>
        <w:t xml:space="preserve"> the standards by which knowledge claims about the social world are assessed and evaluated also depends on the researcher’s specific ontological and epistemological commitments. This much has undoubtedly emerged from these debates, aiming at breaking the methodological dominance of positivist approaches, and its attendant exclusionary effects. As a contribution to this scholarship, this paper has presented the extended case methodology as a non-positivist route to systematically conducting empirical analysis, thus providing a viable alternative to conventional approaches to case study research. While rejecting the concern with representativeness and generalisation of positivist case study research, the extended case </w:t>
      </w:r>
      <w:r w:rsidRPr="00B067FA">
        <w:rPr>
          <w:rFonts w:ascii="Times New Roman" w:hAnsi="Times New Roman" w:cs="Times New Roman"/>
          <w:sz w:val="24"/>
          <w:szCs w:val="24"/>
        </w:rPr>
        <w:lastRenderedPageBreak/>
        <w:t>methodology represents an explicit attempt at detailing the process of generating knowledge, centred on a dynamic interaction with theory, and working around extensions of ‘situated knowledge’ on the micro level in connection to macro fields of forces. Insofar as it takes context and positionality seriously in its approach to theory-building, it sees and studies the world in complex rather than linear terms, and it seeks to generate explicitly political and emancipatory knowledge, the extended case methodology is entirely consistent with the ontological and epistemological commitments of most critical IR.</w:t>
      </w:r>
    </w:p>
    <w:p w14:paraId="68E611CF" w14:textId="5C3BA1FC" w:rsidR="00B067FA" w:rsidRPr="00B067FA" w:rsidRDefault="00B067FA" w:rsidP="000F4D64">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Ultimately, the extended case methodology relies on a substantially different understanding of the ‘case’ compared to positivist research. In the latter, a case study is either an instance or a counter-instance of an existing theory, or conducive to the development of one through the in-depth study of causal processes. Within the extended case methodology, the case is a construction that emerges during the research process, through the constant relation of observation and theory, and international and global forces and processes by which it is shaped and on which it reacts back. It is this very relation that allows us to stretch the ‘situated knowledge’</w:t>
      </w:r>
      <w:r w:rsidRPr="00B067FA">
        <w:rPr>
          <w:rStyle w:val="EndnoteReference"/>
          <w:rFonts w:ascii="Times New Roman" w:hAnsi="Times New Roman" w:cs="Times New Roman"/>
          <w:sz w:val="24"/>
          <w:szCs w:val="24"/>
        </w:rPr>
        <w:endnoteReference w:id="95"/>
      </w:r>
      <w:r w:rsidRPr="00B067FA">
        <w:rPr>
          <w:rFonts w:ascii="Times New Roman" w:hAnsi="Times New Roman" w:cs="Times New Roman"/>
          <w:sz w:val="24"/>
          <w:szCs w:val="24"/>
        </w:rPr>
        <w:t xml:space="preserve"> gained from the case through the extensions distinctive of the extended case methodology. This paper has provided an overview of this alternative methodological approach, and a brief example of how it could work through the study of socioeconomic justice in post-war Bosnia. This is, however, only meant to be a starting point for further discussion and practical application of the extended case methodology. Far from being prescriptive, this discussion of the extended case method is an invitation to further engage with case study methodologies from a critical perspective. This engagement might start from an exploration of how the extended case methodology might be adapted for case study research that is not fieldwork-intensive, but is based more on archival or document analysis or elite interviews, for instance.</w:t>
      </w:r>
    </w:p>
    <w:p w14:paraId="1538DC1D" w14:textId="29DD963A" w:rsidR="00A665E2" w:rsidRDefault="00B067FA" w:rsidP="001B10E7">
      <w:pPr>
        <w:spacing w:after="0" w:line="360" w:lineRule="auto"/>
        <w:ind w:firstLine="567"/>
        <w:jc w:val="both"/>
        <w:rPr>
          <w:rFonts w:ascii="Times New Roman" w:hAnsi="Times New Roman" w:cs="Times New Roman"/>
          <w:sz w:val="24"/>
          <w:szCs w:val="24"/>
        </w:rPr>
      </w:pPr>
      <w:r w:rsidRPr="00B067FA">
        <w:rPr>
          <w:rFonts w:ascii="Times New Roman" w:hAnsi="Times New Roman" w:cs="Times New Roman"/>
          <w:sz w:val="24"/>
          <w:szCs w:val="24"/>
        </w:rPr>
        <w:t>Additionally, as it opens an explicit discussion about the use of case studies in non-positivist IR, this paper also points towards important questions for comparative research. In the extended case methodology, the final step of theory reconstruction not only affects our understanding of the case at hand, but as it transforms theory it also alters the conditions of existence of other instances of the phenomenon under study, thus transforming the terms on which case comparison is carried out. Burawoy himself has tried to address this challenge in some of his more recent work.</w:t>
      </w:r>
      <w:r w:rsidRPr="00B067FA">
        <w:rPr>
          <w:rStyle w:val="EndnoteReference"/>
          <w:rFonts w:ascii="Times New Roman" w:hAnsi="Times New Roman" w:cs="Times New Roman"/>
          <w:sz w:val="24"/>
          <w:szCs w:val="24"/>
        </w:rPr>
        <w:endnoteReference w:id="96"/>
      </w:r>
      <w:r w:rsidRPr="00B067FA">
        <w:rPr>
          <w:rFonts w:ascii="Times New Roman" w:hAnsi="Times New Roman" w:cs="Times New Roman"/>
          <w:sz w:val="24"/>
          <w:szCs w:val="24"/>
        </w:rPr>
        <w:t xml:space="preserve"> Similarly, Jackson has argued for the need to develop a reflexivist approach to case comparison in IR, which has long been the domain of neopositivists.</w:t>
      </w:r>
      <w:r w:rsidRPr="00B067FA">
        <w:rPr>
          <w:rStyle w:val="EndnoteReference"/>
          <w:rFonts w:ascii="Times New Roman" w:hAnsi="Times New Roman" w:cs="Times New Roman"/>
          <w:sz w:val="24"/>
          <w:szCs w:val="24"/>
        </w:rPr>
        <w:endnoteReference w:id="97"/>
      </w:r>
      <w:r w:rsidRPr="00B067FA">
        <w:rPr>
          <w:rFonts w:ascii="Times New Roman" w:hAnsi="Times New Roman" w:cs="Times New Roman"/>
          <w:sz w:val="24"/>
          <w:szCs w:val="24"/>
        </w:rPr>
        <w:t xml:space="preserve"> </w:t>
      </w:r>
      <w:r w:rsidR="000F4D64" w:rsidRPr="00B067FA">
        <w:rPr>
          <w:rFonts w:ascii="Times New Roman" w:hAnsi="Times New Roman" w:cs="Times New Roman"/>
          <w:sz w:val="24"/>
          <w:szCs w:val="24"/>
        </w:rPr>
        <w:t>Thus, while contributing to the critical methods literature by introducing the extended case method</w:t>
      </w:r>
      <w:r w:rsidR="002410C6" w:rsidRPr="00B067FA">
        <w:rPr>
          <w:rFonts w:ascii="Times New Roman" w:hAnsi="Times New Roman" w:cs="Times New Roman"/>
          <w:sz w:val="24"/>
          <w:szCs w:val="24"/>
        </w:rPr>
        <w:t>ology</w:t>
      </w:r>
      <w:r w:rsidR="000F4D64" w:rsidRPr="00B067FA">
        <w:rPr>
          <w:rFonts w:ascii="Times New Roman" w:hAnsi="Times New Roman" w:cs="Times New Roman"/>
          <w:sz w:val="24"/>
          <w:szCs w:val="24"/>
        </w:rPr>
        <w:t xml:space="preserve"> as a non-positivist route to </w:t>
      </w:r>
      <w:r w:rsidR="002410C6" w:rsidRPr="00B067FA">
        <w:rPr>
          <w:rFonts w:ascii="Times New Roman" w:hAnsi="Times New Roman" w:cs="Times New Roman"/>
          <w:sz w:val="24"/>
          <w:szCs w:val="24"/>
        </w:rPr>
        <w:t>conducting case study research</w:t>
      </w:r>
      <w:r w:rsidR="000F4D64" w:rsidRPr="00B067FA">
        <w:rPr>
          <w:rFonts w:ascii="Times New Roman" w:hAnsi="Times New Roman" w:cs="Times New Roman"/>
          <w:sz w:val="24"/>
          <w:szCs w:val="24"/>
        </w:rPr>
        <w:t xml:space="preserve">, this </w:t>
      </w:r>
      <w:r w:rsidR="000F4D64" w:rsidRPr="00B067FA">
        <w:rPr>
          <w:rFonts w:ascii="Times New Roman" w:hAnsi="Times New Roman" w:cs="Times New Roman"/>
          <w:sz w:val="24"/>
          <w:szCs w:val="24"/>
        </w:rPr>
        <w:lastRenderedPageBreak/>
        <w:t xml:space="preserve">paper also suggests that </w:t>
      </w:r>
      <w:r w:rsidR="002410C6" w:rsidRPr="00B067FA">
        <w:rPr>
          <w:rFonts w:ascii="Times New Roman" w:hAnsi="Times New Roman" w:cs="Times New Roman"/>
          <w:sz w:val="24"/>
          <w:szCs w:val="24"/>
        </w:rPr>
        <w:t>this methodology might facilitate</w:t>
      </w:r>
      <w:r w:rsidR="000F4D64" w:rsidRPr="00B067FA">
        <w:rPr>
          <w:rFonts w:ascii="Times New Roman" w:hAnsi="Times New Roman" w:cs="Times New Roman"/>
          <w:sz w:val="24"/>
          <w:szCs w:val="24"/>
        </w:rPr>
        <w:t xml:space="preserve"> reflection on the role and usefulness of comparative research in critical IR.</w:t>
      </w:r>
    </w:p>
    <w:p w14:paraId="5A807E99" w14:textId="5839B5C2" w:rsidR="00B067FA" w:rsidRDefault="00B067FA" w:rsidP="005D1BF5">
      <w:pPr>
        <w:spacing w:after="0" w:line="360" w:lineRule="auto"/>
        <w:jc w:val="both"/>
        <w:rPr>
          <w:rFonts w:ascii="Times New Roman" w:hAnsi="Times New Roman" w:cs="Times New Roman"/>
          <w:sz w:val="24"/>
          <w:szCs w:val="24"/>
        </w:rPr>
      </w:pPr>
    </w:p>
    <w:p w14:paraId="38FEB183" w14:textId="1DECC6DC" w:rsidR="00AB1CA3" w:rsidRDefault="00AB1CA3" w:rsidP="005D1BF5">
      <w:pPr>
        <w:spacing w:after="0" w:line="360" w:lineRule="auto"/>
        <w:jc w:val="both"/>
        <w:rPr>
          <w:rFonts w:ascii="Times New Roman" w:hAnsi="Times New Roman" w:cs="Times New Roman"/>
          <w:sz w:val="24"/>
          <w:szCs w:val="24"/>
        </w:rPr>
      </w:pPr>
    </w:p>
    <w:p w14:paraId="1D1ADB0E" w14:textId="77777777" w:rsidR="00CA266A" w:rsidRDefault="00CA266A" w:rsidP="005D1BF5">
      <w:pPr>
        <w:spacing w:after="0" w:line="360" w:lineRule="auto"/>
        <w:jc w:val="both"/>
        <w:rPr>
          <w:rFonts w:ascii="Times New Roman" w:hAnsi="Times New Roman" w:cs="Times New Roman"/>
          <w:sz w:val="24"/>
          <w:szCs w:val="24"/>
        </w:rPr>
      </w:pPr>
    </w:p>
    <w:p w14:paraId="4F457AA4" w14:textId="71CF2CA4" w:rsidR="005D1BF5" w:rsidRPr="005D1BF5" w:rsidRDefault="005D1BF5" w:rsidP="005D1BF5">
      <w:pPr>
        <w:spacing w:after="0" w:line="360" w:lineRule="auto"/>
        <w:jc w:val="both"/>
        <w:rPr>
          <w:rFonts w:ascii="Times New Roman" w:hAnsi="Times New Roman" w:cs="Times New Roman"/>
          <w:b/>
          <w:sz w:val="24"/>
          <w:szCs w:val="24"/>
        </w:rPr>
      </w:pPr>
      <w:r w:rsidRPr="005D1BF5">
        <w:rPr>
          <w:rFonts w:ascii="Times New Roman" w:hAnsi="Times New Roman" w:cs="Times New Roman"/>
          <w:b/>
          <w:sz w:val="24"/>
          <w:szCs w:val="24"/>
        </w:rPr>
        <w:t>Notes</w:t>
      </w:r>
    </w:p>
    <w:sectPr w:rsidR="005D1BF5" w:rsidRPr="005D1BF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FB6D" w14:textId="77777777" w:rsidR="00D7568D" w:rsidRDefault="00D7568D" w:rsidP="00F80919">
      <w:pPr>
        <w:spacing w:after="0" w:line="240" w:lineRule="auto"/>
      </w:pPr>
      <w:r>
        <w:separator/>
      </w:r>
    </w:p>
  </w:endnote>
  <w:endnote w:type="continuationSeparator" w:id="0">
    <w:p w14:paraId="276C281F" w14:textId="77777777" w:rsidR="00D7568D" w:rsidRDefault="00D7568D" w:rsidP="00F80919">
      <w:pPr>
        <w:spacing w:after="0" w:line="240" w:lineRule="auto"/>
      </w:pPr>
      <w:r>
        <w:continuationSeparator/>
      </w:r>
    </w:p>
  </w:endnote>
  <w:endnote w:id="1">
    <w:p w14:paraId="2DDAA94C" w14:textId="62DCF7C6"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John Gerring, ‘What is a Case Study and What Is It Good for?’, </w:t>
      </w:r>
      <w:r w:rsidRPr="00B067FA">
        <w:rPr>
          <w:rFonts w:ascii="Times New Roman" w:hAnsi="Times New Roman" w:cs="Times New Roman"/>
          <w:i/>
          <w:sz w:val="22"/>
        </w:rPr>
        <w:t>The American Political Science Review</w:t>
      </w:r>
      <w:r w:rsidRPr="00B067FA">
        <w:rPr>
          <w:rFonts w:ascii="Times New Roman" w:hAnsi="Times New Roman" w:cs="Times New Roman"/>
          <w:sz w:val="22"/>
        </w:rPr>
        <w:t xml:space="preserve">, 98(2), 2004, pp. 341-354. </w:t>
      </w:r>
    </w:p>
  </w:endnote>
  <w:endnote w:id="2">
    <w:p w14:paraId="389D8B5F" w14:textId="77777777" w:rsidR="00B067FA" w:rsidRPr="00B067FA" w:rsidRDefault="00B067FA" w:rsidP="00B067FA">
      <w:pPr>
        <w:pStyle w:val="EndnoteText"/>
        <w:spacing w:after="120"/>
        <w:jc w:val="both"/>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Patrick T. Jackson, </w:t>
      </w:r>
      <w:r w:rsidRPr="00B067FA">
        <w:rPr>
          <w:rFonts w:ascii="Times New Roman" w:hAnsi="Times New Roman" w:cs="Times New Roman"/>
          <w:i/>
          <w:sz w:val="22"/>
        </w:rPr>
        <w:t>The Conduct of Inquiry in International Relations</w:t>
      </w:r>
      <w:r w:rsidRPr="00B067FA">
        <w:rPr>
          <w:rFonts w:ascii="Times New Roman" w:hAnsi="Times New Roman" w:cs="Times New Roman"/>
          <w:sz w:val="22"/>
        </w:rPr>
        <w:t xml:space="preserve"> (London: Routledge, 2011), p. 186.</w:t>
      </w:r>
    </w:p>
  </w:endnote>
  <w:endnote w:id="3">
    <w:p w14:paraId="0EF88F49" w14:textId="05725773" w:rsidR="00B067FA" w:rsidRPr="00B067FA" w:rsidRDefault="00B067FA" w:rsidP="00B067FA">
      <w:pPr>
        <w:pStyle w:val="EndnoteText"/>
        <w:spacing w:after="120"/>
        <w:jc w:val="both"/>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See for instance Jackson, </w:t>
      </w:r>
      <w:r w:rsidRPr="00B067FA">
        <w:rPr>
          <w:rFonts w:ascii="Times New Roman" w:hAnsi="Times New Roman" w:cs="Times New Roman"/>
          <w:i/>
          <w:sz w:val="22"/>
        </w:rPr>
        <w:t>The Conduct of Inquiry</w:t>
      </w:r>
      <w:r w:rsidRPr="00B067FA">
        <w:rPr>
          <w:rFonts w:ascii="Times New Roman" w:hAnsi="Times New Roman" w:cs="Times New Roman"/>
          <w:sz w:val="22"/>
        </w:rPr>
        <w:t>;</w:t>
      </w:r>
      <w:r w:rsidRPr="00B067FA">
        <w:rPr>
          <w:rFonts w:ascii="Times New Roman" w:hAnsi="Times New Roman" w:cs="Times New Roman"/>
          <w:i/>
          <w:sz w:val="22"/>
        </w:rPr>
        <w:t xml:space="preserve"> </w:t>
      </w:r>
      <w:r w:rsidRPr="00B067FA">
        <w:rPr>
          <w:rFonts w:ascii="Times New Roman" w:hAnsi="Times New Roman" w:cs="Times New Roman"/>
          <w:sz w:val="22"/>
        </w:rPr>
        <w:t>see</w:t>
      </w:r>
      <w:r w:rsidRPr="00B067FA">
        <w:rPr>
          <w:rFonts w:ascii="Times New Roman" w:hAnsi="Times New Roman" w:cs="Times New Roman"/>
          <w:i/>
          <w:sz w:val="22"/>
        </w:rPr>
        <w:t xml:space="preserve"> </w:t>
      </w:r>
      <w:r w:rsidRPr="00B067FA">
        <w:rPr>
          <w:rFonts w:ascii="Times New Roman" w:hAnsi="Times New Roman" w:cs="Times New Roman"/>
          <w:sz w:val="22"/>
        </w:rPr>
        <w:t>Cora Lacatus, Daniel Schade, Yuan (Joanne) Yao, ‘</w:t>
      </w:r>
      <w:r w:rsidRPr="00B067FA">
        <w:rPr>
          <w:rFonts w:ascii="Times New Roman" w:hAnsi="Times New Roman" w:cs="Times New Roman"/>
          <w:i/>
          <w:sz w:val="22"/>
        </w:rPr>
        <w:t>Quo Vadis</w:t>
      </w:r>
      <w:r w:rsidRPr="00B067FA">
        <w:rPr>
          <w:rFonts w:ascii="Times New Roman" w:hAnsi="Times New Roman" w:cs="Times New Roman"/>
          <w:sz w:val="22"/>
        </w:rPr>
        <w:t xml:space="preserve"> IR: Method, Methodology and Innovation’, </w:t>
      </w:r>
      <w:r w:rsidRPr="00B067FA">
        <w:rPr>
          <w:rFonts w:ascii="Times New Roman" w:hAnsi="Times New Roman" w:cs="Times New Roman"/>
          <w:i/>
          <w:sz w:val="22"/>
        </w:rPr>
        <w:t>Millennium: Journal of International Studies</w:t>
      </w:r>
      <w:r w:rsidRPr="00B067FA">
        <w:rPr>
          <w:rFonts w:ascii="Times New Roman" w:hAnsi="Times New Roman" w:cs="Times New Roman"/>
          <w:sz w:val="22"/>
        </w:rPr>
        <w:t xml:space="preserve">, 43(3) (2015), pp. 767-778 and the rest of the special issue, especially: J. Samuel Barkin, ‘Translatable? On Mixed Methods and Methodology’, </w:t>
      </w:r>
      <w:r w:rsidRPr="00B067FA">
        <w:rPr>
          <w:rFonts w:ascii="Times New Roman" w:hAnsi="Times New Roman" w:cs="Times New Roman"/>
          <w:i/>
          <w:sz w:val="22"/>
        </w:rPr>
        <w:t xml:space="preserve">Millennium, </w:t>
      </w:r>
      <w:r w:rsidRPr="00B067FA">
        <w:rPr>
          <w:rFonts w:ascii="Times New Roman" w:hAnsi="Times New Roman" w:cs="Times New Roman"/>
          <w:sz w:val="22"/>
        </w:rPr>
        <w:t xml:space="preserve">43(3) (2015), pp. 1003-1006; J. Samuel Barkin and Laura Sjoberg, ‘Calculating Critique: Thinking Outside the Methods Matching Game’, </w:t>
      </w:r>
      <w:r w:rsidRPr="00B067FA">
        <w:rPr>
          <w:rFonts w:ascii="Times New Roman" w:hAnsi="Times New Roman" w:cs="Times New Roman"/>
          <w:i/>
          <w:sz w:val="22"/>
        </w:rPr>
        <w:t>Millennium: Journal of International Studies</w:t>
      </w:r>
      <w:r w:rsidRPr="00B067FA">
        <w:rPr>
          <w:rFonts w:ascii="Times New Roman" w:hAnsi="Times New Roman" w:cs="Times New Roman"/>
          <w:sz w:val="22"/>
        </w:rPr>
        <w:t xml:space="preserve">, 43(3) (2015), pp. 852-871; Andrew Bennet, ‘Found in Translation: Combining Discourse Analysis with Computer Assisted Content Analysis’, </w:t>
      </w:r>
      <w:r w:rsidRPr="00B067FA">
        <w:rPr>
          <w:rFonts w:ascii="Times New Roman" w:hAnsi="Times New Roman" w:cs="Times New Roman"/>
          <w:i/>
          <w:sz w:val="22"/>
        </w:rPr>
        <w:t>Millennium</w:t>
      </w:r>
      <w:r w:rsidRPr="00B067FA">
        <w:rPr>
          <w:rFonts w:ascii="Times New Roman" w:hAnsi="Times New Roman" w:cs="Times New Roman"/>
          <w:sz w:val="22"/>
        </w:rPr>
        <w:t>, 43(3) (2015), pp. 984-997; Patrick T. Jackson, ‘Must International Studies be a Science?’</w:t>
      </w:r>
      <w:r w:rsidRPr="00B067FA">
        <w:rPr>
          <w:rFonts w:ascii="Times New Roman" w:hAnsi="Times New Roman" w:cs="Times New Roman"/>
          <w:i/>
          <w:sz w:val="22"/>
        </w:rPr>
        <w:t>, Millennium</w:t>
      </w:r>
      <w:r w:rsidRPr="00B067FA">
        <w:rPr>
          <w:rFonts w:ascii="Times New Roman" w:hAnsi="Times New Roman" w:cs="Times New Roman"/>
          <w:sz w:val="22"/>
        </w:rPr>
        <w:t xml:space="preserve">, 43(3) (2015), pp. 942-965; Milja Kurki, ‘Stretching Situated Knowledge: From Standpoint Epistemology to Cosmology and Back Again’, </w:t>
      </w:r>
      <w:r w:rsidRPr="00B067FA">
        <w:rPr>
          <w:rFonts w:ascii="Times New Roman" w:hAnsi="Times New Roman" w:cs="Times New Roman"/>
          <w:i/>
          <w:sz w:val="22"/>
        </w:rPr>
        <w:t xml:space="preserve">Millennium </w:t>
      </w:r>
      <w:r w:rsidRPr="00B067FA">
        <w:rPr>
          <w:rFonts w:ascii="Times New Roman" w:hAnsi="Times New Roman" w:cs="Times New Roman"/>
          <w:sz w:val="22"/>
        </w:rPr>
        <w:t xml:space="preserve">43(3) (2015), pp. 779-797; Iver B. Neumann, ‘International Studies Must be a Social Science: A Friendly Quarrel with PTJ’, </w:t>
      </w:r>
      <w:r w:rsidRPr="00B067FA">
        <w:rPr>
          <w:rFonts w:ascii="Times New Roman" w:hAnsi="Times New Roman" w:cs="Times New Roman"/>
          <w:i/>
          <w:sz w:val="22"/>
        </w:rPr>
        <w:t xml:space="preserve">Millennium, </w:t>
      </w:r>
      <w:r w:rsidRPr="00B067FA">
        <w:rPr>
          <w:rFonts w:ascii="Times New Roman" w:hAnsi="Times New Roman" w:cs="Times New Roman"/>
          <w:sz w:val="22"/>
        </w:rPr>
        <w:t xml:space="preserve">43(3) (2015), pp. 966-969; Laura Sjoberg, ‘What’s Lost in Translation? Neopositivism and Critical Research Interests,’ </w:t>
      </w:r>
      <w:r w:rsidRPr="00B067FA">
        <w:rPr>
          <w:rFonts w:ascii="Times New Roman" w:hAnsi="Times New Roman" w:cs="Times New Roman"/>
          <w:i/>
          <w:sz w:val="22"/>
        </w:rPr>
        <w:t xml:space="preserve">Millennium, </w:t>
      </w:r>
      <w:r w:rsidRPr="00B067FA">
        <w:rPr>
          <w:rFonts w:ascii="Times New Roman" w:hAnsi="Times New Roman" w:cs="Times New Roman"/>
          <w:sz w:val="22"/>
        </w:rPr>
        <w:t xml:space="preserve">43(3) (2015), pp. 1007-1010. </w:t>
      </w:r>
    </w:p>
  </w:endnote>
  <w:endnote w:id="4">
    <w:p w14:paraId="529F614D"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Lacatus, Schade, and Yao, ‘</w:t>
      </w:r>
      <w:r w:rsidRPr="00B067FA">
        <w:rPr>
          <w:rFonts w:ascii="Times New Roman" w:hAnsi="Times New Roman" w:cs="Times New Roman"/>
          <w:i/>
          <w:sz w:val="22"/>
        </w:rPr>
        <w:t>Quo Vadis</w:t>
      </w:r>
      <w:r w:rsidRPr="00B067FA">
        <w:rPr>
          <w:rFonts w:ascii="Times New Roman" w:hAnsi="Times New Roman" w:cs="Times New Roman"/>
          <w:sz w:val="22"/>
        </w:rPr>
        <w:t xml:space="preserve"> IR’.</w:t>
      </w:r>
    </w:p>
  </w:endnote>
  <w:endnote w:id="5">
    <w:p w14:paraId="4764A1B6" w14:textId="084BC2B6"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See for instance Gary King, Robert Keohane and Sidney Verba, D</w:t>
      </w:r>
      <w:r w:rsidRPr="00B067FA">
        <w:rPr>
          <w:rFonts w:ascii="Times New Roman" w:hAnsi="Times New Roman" w:cs="Times New Roman"/>
          <w:i/>
          <w:sz w:val="22"/>
        </w:rPr>
        <w:t>esigning Social Inquiry: Scientific Inference in Qualitative Research</w:t>
      </w:r>
      <w:r w:rsidRPr="00B067FA">
        <w:rPr>
          <w:rFonts w:ascii="Times New Roman" w:hAnsi="Times New Roman" w:cs="Times New Roman"/>
          <w:sz w:val="22"/>
        </w:rPr>
        <w:t xml:space="preserve"> (Princeton University Press, 1994).</w:t>
      </w:r>
    </w:p>
  </w:endnote>
  <w:endnote w:id="6">
    <w:p w14:paraId="650D56DF"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Samuel J. Barkin and Laura Sjoberg (Eds.), </w:t>
      </w:r>
      <w:r w:rsidRPr="00B067FA">
        <w:rPr>
          <w:rFonts w:ascii="Times New Roman" w:hAnsi="Times New Roman" w:cs="Times New Roman"/>
          <w:i/>
          <w:sz w:val="22"/>
        </w:rPr>
        <w:t xml:space="preserve">Interpretive Quantification. Methodological Explanations for Critical and Constructivist IR </w:t>
      </w:r>
      <w:r w:rsidRPr="00B067FA">
        <w:rPr>
          <w:rFonts w:ascii="Times New Roman" w:hAnsi="Times New Roman" w:cs="Times New Roman"/>
          <w:sz w:val="22"/>
        </w:rPr>
        <w:t xml:space="preserve">(Ann Arbor: University of Michigan Press, 2017). </w:t>
      </w:r>
    </w:p>
  </w:endnote>
  <w:endnote w:id="7">
    <w:p w14:paraId="4BCAA22C" w14:textId="77777777" w:rsidR="00B067FA" w:rsidRPr="00B067FA" w:rsidRDefault="00B067FA" w:rsidP="00B067FA">
      <w:pPr>
        <w:pStyle w:val="EndnoteText"/>
        <w:spacing w:after="120"/>
        <w:jc w:val="both"/>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r w:rsidRPr="00B067FA">
        <w:rPr>
          <w:rFonts w:ascii="Times New Roman" w:hAnsi="Times New Roman" w:cs="Times New Roman"/>
          <w:sz w:val="22"/>
        </w:rPr>
        <w:t xml:space="preserve">, p. 21. See also the symposium on Jackson’s book (and the author’s replies) at </w:t>
      </w:r>
      <w:r w:rsidRPr="00B067FA">
        <w:rPr>
          <w:rFonts w:ascii="Times New Roman" w:hAnsi="Times New Roman" w:cs="Times New Roman"/>
          <w:i/>
          <w:sz w:val="22"/>
        </w:rPr>
        <w:t>The Disorder of Things</w:t>
      </w:r>
      <w:r w:rsidRPr="00B067FA">
        <w:rPr>
          <w:rFonts w:ascii="Times New Roman" w:hAnsi="Times New Roman" w:cs="Times New Roman"/>
          <w:sz w:val="22"/>
        </w:rPr>
        <w:t xml:space="preserve">, available online at &lt;http://thedisorderofthings.com/symposia/&gt; and the forum on </w:t>
      </w:r>
      <w:r w:rsidRPr="00B067FA">
        <w:rPr>
          <w:rFonts w:ascii="Times New Roman" w:hAnsi="Times New Roman" w:cs="Times New Roman"/>
          <w:i/>
          <w:sz w:val="22"/>
        </w:rPr>
        <w:t>Millennium</w:t>
      </w:r>
      <w:r w:rsidRPr="00B067FA">
        <w:rPr>
          <w:rFonts w:ascii="Times New Roman" w:hAnsi="Times New Roman" w:cs="Times New Roman"/>
          <w:sz w:val="22"/>
        </w:rPr>
        <w:t xml:space="preserve"> 41(2) 2013.</w:t>
      </w:r>
    </w:p>
  </w:endnote>
  <w:endnote w:id="8">
    <w:p w14:paraId="6923C164" w14:textId="122DE549"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Richard Price and Christian Reus-Smit, ‘Dangerous Liaisons? Critical International Theory and Constructivism’, </w:t>
      </w:r>
      <w:r w:rsidRPr="00B067FA">
        <w:rPr>
          <w:rFonts w:ascii="Times New Roman" w:hAnsi="Times New Roman" w:cs="Times New Roman"/>
          <w:i/>
          <w:sz w:val="22"/>
        </w:rPr>
        <w:t xml:space="preserve">European Journal of International Relations, </w:t>
      </w:r>
      <w:r w:rsidRPr="00B067FA">
        <w:rPr>
          <w:rFonts w:ascii="Times New Roman" w:hAnsi="Times New Roman" w:cs="Times New Roman"/>
          <w:sz w:val="22"/>
        </w:rPr>
        <w:t>4(3), 1998, pp. 259-294.</w:t>
      </w:r>
    </w:p>
  </w:endnote>
  <w:endnote w:id="9">
    <w:p w14:paraId="06B7EDF4"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See Barkin and Sjoberg, ‘Calculating Critique’, p. 863. </w:t>
      </w:r>
    </w:p>
  </w:endnote>
  <w:endnote w:id="10">
    <w:p w14:paraId="4099130D" w14:textId="547310A1"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See the following section, as well as the section on the ‘addenda’ for a more comprehensive discussion.</w:t>
      </w:r>
    </w:p>
  </w:endnote>
  <w:endnote w:id="11">
    <w:p w14:paraId="19D55A77"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r w:rsidRPr="00B067FA">
        <w:rPr>
          <w:rFonts w:ascii="Times New Roman" w:hAnsi="Times New Roman" w:cs="Times New Roman"/>
          <w:sz w:val="22"/>
        </w:rPr>
        <w:t>, see the typology on p. 37 and Chapter 6.</w:t>
      </w:r>
    </w:p>
  </w:endnote>
  <w:endnote w:id="12">
    <w:p w14:paraId="2D924C79" w14:textId="3886DB7A"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r w:rsidRPr="00B067FA">
        <w:rPr>
          <w:rFonts w:ascii="Times New Roman" w:hAnsi="Times New Roman" w:cs="Times New Roman"/>
          <w:sz w:val="22"/>
        </w:rPr>
        <w:t xml:space="preserve"> pp. 182-187. </w:t>
      </w:r>
    </w:p>
  </w:endnote>
  <w:endnote w:id="13">
    <w:p w14:paraId="4BB95F4D" w14:textId="5BB3608A"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See Jackson, </w:t>
      </w:r>
      <w:r w:rsidRPr="00B067FA">
        <w:rPr>
          <w:rFonts w:ascii="Times New Roman" w:hAnsi="Times New Roman" w:cs="Times New Roman"/>
          <w:i/>
          <w:sz w:val="22"/>
        </w:rPr>
        <w:t>The Conduct of Inquiry</w:t>
      </w:r>
      <w:r w:rsidRPr="00B067FA">
        <w:rPr>
          <w:rFonts w:ascii="Times New Roman" w:hAnsi="Times New Roman" w:cs="Times New Roman"/>
          <w:sz w:val="22"/>
        </w:rPr>
        <w:t xml:space="preserve">; and Brooke A. Ackerly, Maria Stern and Jacqui True, </w:t>
      </w:r>
      <w:r w:rsidRPr="00B067FA">
        <w:rPr>
          <w:rFonts w:ascii="Times New Roman" w:hAnsi="Times New Roman" w:cs="Times New Roman"/>
          <w:i/>
          <w:sz w:val="22"/>
        </w:rPr>
        <w:t>Feminist Methodologies for International Relations (</w:t>
      </w:r>
      <w:r w:rsidRPr="00B067FA">
        <w:rPr>
          <w:rFonts w:ascii="Times New Roman" w:hAnsi="Times New Roman" w:cs="Times New Roman"/>
          <w:sz w:val="22"/>
        </w:rPr>
        <w:t xml:space="preserve">Cambridge: Cambridge University Press, 2006). </w:t>
      </w:r>
    </w:p>
  </w:endnote>
  <w:endnote w:id="14">
    <w:p w14:paraId="18A49335" w14:textId="0FFE80FE"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Hansen, </w:t>
      </w:r>
      <w:r w:rsidRPr="00B067FA">
        <w:rPr>
          <w:rFonts w:ascii="Times New Roman" w:hAnsi="Times New Roman" w:cs="Times New Roman"/>
          <w:i/>
          <w:sz w:val="22"/>
        </w:rPr>
        <w:t>Security as Practice</w:t>
      </w:r>
      <w:r w:rsidRPr="00B067FA">
        <w:rPr>
          <w:rFonts w:ascii="Times New Roman" w:hAnsi="Times New Roman" w:cs="Times New Roman"/>
          <w:i/>
          <w:iCs/>
          <w:sz w:val="22"/>
        </w:rPr>
        <w:t>: Discourse Analysis and the Bosnian War</w:t>
      </w:r>
      <w:r w:rsidRPr="00B067FA">
        <w:rPr>
          <w:rFonts w:ascii="Times New Roman" w:hAnsi="Times New Roman" w:cs="Times New Roman"/>
          <w:i/>
          <w:sz w:val="22"/>
        </w:rPr>
        <w:t xml:space="preserve"> (London: Routledge, 2006)</w:t>
      </w:r>
      <w:r w:rsidRPr="00B067FA">
        <w:rPr>
          <w:rFonts w:ascii="Times New Roman" w:hAnsi="Times New Roman" w:cs="Times New Roman"/>
          <w:sz w:val="22"/>
        </w:rPr>
        <w:t xml:space="preserve">, p. 1. </w:t>
      </w:r>
    </w:p>
  </w:endnote>
  <w:endnote w:id="15">
    <w:p w14:paraId="22734B29" w14:textId="6394295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Barkin and Sjoberg, </w:t>
      </w:r>
      <w:r w:rsidRPr="00B067FA">
        <w:rPr>
          <w:rFonts w:ascii="Times New Roman" w:hAnsi="Times New Roman" w:cs="Times New Roman"/>
          <w:i/>
          <w:sz w:val="22"/>
        </w:rPr>
        <w:t>Interpretive Quantification</w:t>
      </w:r>
      <w:r w:rsidRPr="00B067FA">
        <w:rPr>
          <w:rFonts w:ascii="Times New Roman" w:hAnsi="Times New Roman" w:cs="Times New Roman"/>
          <w:sz w:val="22"/>
        </w:rPr>
        <w:t xml:space="preserve">, p. 4. </w:t>
      </w:r>
    </w:p>
  </w:endnote>
  <w:endnote w:id="16">
    <w:p w14:paraId="77A33B2C" w14:textId="0D341865"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Barkin and Sjoberg, </w:t>
      </w:r>
      <w:r w:rsidRPr="00B067FA">
        <w:rPr>
          <w:rFonts w:ascii="Times New Roman" w:hAnsi="Times New Roman" w:cs="Times New Roman"/>
          <w:i/>
          <w:sz w:val="22"/>
        </w:rPr>
        <w:t>Interpretive Quantification</w:t>
      </w:r>
      <w:r w:rsidRPr="00B067FA">
        <w:rPr>
          <w:rFonts w:ascii="Times New Roman" w:hAnsi="Times New Roman" w:cs="Times New Roman"/>
          <w:sz w:val="22"/>
        </w:rPr>
        <w:t xml:space="preserve">, p. 9. </w:t>
      </w:r>
    </w:p>
  </w:endnote>
  <w:endnote w:id="17">
    <w:p w14:paraId="37313556"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r w:rsidRPr="00B067FA">
        <w:rPr>
          <w:rFonts w:ascii="Times New Roman" w:hAnsi="Times New Roman" w:cs="Times New Roman"/>
          <w:sz w:val="22"/>
        </w:rPr>
        <w:t>, pp. 32-40.</w:t>
      </w:r>
    </w:p>
  </w:endnote>
  <w:endnote w:id="18">
    <w:p w14:paraId="400F8AFB" w14:textId="32698A33" w:rsidR="00B067FA" w:rsidRPr="00B067FA" w:rsidRDefault="00B067FA" w:rsidP="00B067FA">
      <w:pPr>
        <w:pStyle w:val="EndnoteText"/>
        <w:spacing w:after="120"/>
        <w:jc w:val="both"/>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However, it is not a misnomer within the terminology adopted by Burawoy, who explicitly defines what here we call methodologies as methods, and what here are methods as techniques. See Burawoy, ‘The Extended Case Method’, p. 6.</w:t>
      </w:r>
    </w:p>
  </w:endnote>
  <w:endnote w:id="19">
    <w:p w14:paraId="23735824"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These are best characterised as tendencies rather than approaches: the second one developed from the first, and researchers often adopt elements of both.</w:t>
      </w:r>
    </w:p>
  </w:endnote>
  <w:endnote w:id="20">
    <w:p w14:paraId="280483B8" w14:textId="5BA5B8FB"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Gerring, ‘What is a Case Study’, p. 343.</w:t>
      </w:r>
    </w:p>
  </w:endnote>
  <w:endnote w:id="21">
    <w:p w14:paraId="503DEAA8" w14:textId="7A13B3E3"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Arend Lijphart, ‘Comparative Politics and the Comparative Method’, </w:t>
      </w:r>
      <w:r w:rsidRPr="00B067FA">
        <w:rPr>
          <w:rFonts w:ascii="Times New Roman" w:hAnsi="Times New Roman" w:cs="Times New Roman"/>
          <w:i/>
          <w:iCs/>
          <w:sz w:val="22"/>
        </w:rPr>
        <w:t>American Political Science Review</w:t>
      </w:r>
      <w:r w:rsidRPr="00B067FA">
        <w:rPr>
          <w:rFonts w:ascii="Times New Roman" w:hAnsi="Times New Roman" w:cs="Times New Roman"/>
          <w:iCs/>
          <w:sz w:val="22"/>
        </w:rPr>
        <w:t>,</w:t>
      </w:r>
      <w:r w:rsidRPr="00B067FA">
        <w:rPr>
          <w:rFonts w:ascii="Times New Roman" w:hAnsi="Times New Roman" w:cs="Times New Roman"/>
          <w:sz w:val="22"/>
        </w:rPr>
        <w:t xml:space="preserve"> </w:t>
      </w:r>
      <w:r w:rsidRPr="00B067FA">
        <w:rPr>
          <w:rFonts w:ascii="Times New Roman" w:hAnsi="Times New Roman" w:cs="Times New Roman"/>
          <w:i/>
          <w:iCs/>
          <w:sz w:val="22"/>
        </w:rPr>
        <w:t>65</w:t>
      </w:r>
      <w:r w:rsidRPr="00B067FA">
        <w:rPr>
          <w:rFonts w:ascii="Times New Roman" w:hAnsi="Times New Roman" w:cs="Times New Roman"/>
          <w:sz w:val="22"/>
        </w:rPr>
        <w:t>:03 (1971), pp. 691-692.</w:t>
      </w:r>
    </w:p>
  </w:endnote>
  <w:endnote w:id="22">
    <w:p w14:paraId="72600D70" w14:textId="21EBD1B2"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Andrew Bennet and Colin Elman, ‘Qualitative Research: Recent Developments in Case Study Methods’, </w:t>
      </w:r>
      <w:r w:rsidRPr="00B067FA">
        <w:rPr>
          <w:rFonts w:ascii="Times New Roman" w:hAnsi="Times New Roman" w:cs="Times New Roman"/>
          <w:i/>
          <w:sz w:val="22"/>
        </w:rPr>
        <w:t>Annual Review of Political Science</w:t>
      </w:r>
      <w:r w:rsidRPr="00B067FA">
        <w:rPr>
          <w:rFonts w:ascii="Times New Roman" w:hAnsi="Times New Roman" w:cs="Times New Roman"/>
          <w:sz w:val="22"/>
        </w:rPr>
        <w:t xml:space="preserve"> 9(1) (2006), pp. 455-476; Henry E. Brady, ‘Models of Causal Inference: Going Beyond the Neyman-Rubin-Holland Theory’, Paper prepared for the Midwest Political Science Association Annual Meetings, Chicago, Illinois, 30 March 2003, available at &lt;http://www-personal.umich.edu/~wmebane/midx2003.pdf&gt;;  Gerring, ‘What is a Case Study’. This first approach is also supported by King, Keohane and Verba (</w:t>
      </w:r>
      <w:r w:rsidRPr="00B067FA">
        <w:rPr>
          <w:rFonts w:ascii="Times New Roman" w:hAnsi="Times New Roman" w:cs="Times New Roman"/>
          <w:i/>
          <w:sz w:val="22"/>
        </w:rPr>
        <w:t>Designing Social Inquiry</w:t>
      </w:r>
      <w:r w:rsidRPr="00B067FA">
        <w:rPr>
          <w:rFonts w:ascii="Times New Roman" w:hAnsi="Times New Roman" w:cs="Times New Roman"/>
          <w:sz w:val="22"/>
        </w:rPr>
        <w:t xml:space="preserve">), and is the one that mirrors quantitative logic into qualitative research. </w:t>
      </w:r>
    </w:p>
  </w:endnote>
  <w:endnote w:id="23">
    <w:p w14:paraId="69F07CCB" w14:textId="7F600B08"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Bennet and Elman, ‘Qualitative Research’, pp. 457-458. </w:t>
      </w:r>
    </w:p>
  </w:endnote>
  <w:endnote w:id="24">
    <w:p w14:paraId="49F0625E" w14:textId="02480352"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Bennet and Elman, ‘Qualitative Research’, pp. 460-462; as an example, see Michael E. Ross, ‘How do Natural Resources Influence Civil War? Evidence from Thirteen Cases’, </w:t>
      </w:r>
      <w:r w:rsidRPr="00B067FA">
        <w:rPr>
          <w:rFonts w:ascii="Times New Roman" w:hAnsi="Times New Roman" w:cs="Times New Roman"/>
          <w:i/>
          <w:sz w:val="22"/>
        </w:rPr>
        <w:t>International Organization</w:t>
      </w:r>
      <w:r w:rsidRPr="00B067FA">
        <w:rPr>
          <w:rFonts w:ascii="Times New Roman" w:hAnsi="Times New Roman" w:cs="Times New Roman"/>
          <w:sz w:val="22"/>
        </w:rPr>
        <w:t>, 58(1) (2004), pp. 35-67.</w:t>
      </w:r>
    </w:p>
  </w:endnote>
  <w:endnote w:id="25">
    <w:p w14:paraId="25FA9C32" w14:textId="4E09D5E1"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Mark Hoffmann, ‘Critical Theory and the Inter-Paradigm Debate’, </w:t>
      </w:r>
      <w:r w:rsidRPr="00B067FA">
        <w:rPr>
          <w:rFonts w:ascii="Times New Roman" w:hAnsi="Times New Roman" w:cs="Times New Roman"/>
          <w:i/>
          <w:sz w:val="22"/>
        </w:rPr>
        <w:t>Millennium</w:t>
      </w:r>
      <w:r w:rsidRPr="00B067FA">
        <w:rPr>
          <w:rFonts w:ascii="Times New Roman" w:hAnsi="Times New Roman" w:cs="Times New Roman"/>
          <w:sz w:val="22"/>
        </w:rPr>
        <w:t>, 16(2) (1987), p. 233.</w:t>
      </w:r>
    </w:p>
  </w:endnote>
  <w:endnote w:id="26">
    <w:p w14:paraId="1A470129"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233.</w:t>
      </w:r>
    </w:p>
  </w:endnote>
  <w:endnote w:id="27">
    <w:p w14:paraId="310430F3" w14:textId="066AA26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Ackerly, Stern and True, </w:t>
      </w:r>
      <w:r w:rsidRPr="00B067FA">
        <w:rPr>
          <w:rFonts w:ascii="Times New Roman" w:hAnsi="Times New Roman" w:cs="Times New Roman"/>
          <w:i/>
          <w:sz w:val="22"/>
        </w:rPr>
        <w:t>Feminist Methodologies</w:t>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r w:rsidRPr="00B067FA">
        <w:rPr>
          <w:rFonts w:ascii="Times New Roman" w:hAnsi="Times New Roman" w:cs="Times New Roman"/>
          <w:sz w:val="22"/>
        </w:rPr>
        <w:t>, p. 185.</w:t>
      </w:r>
    </w:p>
  </w:endnote>
  <w:endnote w:id="28">
    <w:p w14:paraId="08D6B6D1" w14:textId="0A0F2CE3"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Ann J. Tickner, ‘What is Your Research Program? Some Feminist Answers to International Relations Methodological Questions’, </w:t>
      </w:r>
      <w:r w:rsidRPr="00B067FA">
        <w:rPr>
          <w:rFonts w:ascii="Times New Roman" w:hAnsi="Times New Roman" w:cs="Times New Roman"/>
          <w:i/>
          <w:sz w:val="22"/>
        </w:rPr>
        <w:t xml:space="preserve">International Studies Quarterly </w:t>
      </w:r>
      <w:r w:rsidRPr="00B067FA">
        <w:rPr>
          <w:rFonts w:ascii="Times New Roman" w:hAnsi="Times New Roman" w:cs="Times New Roman"/>
          <w:sz w:val="22"/>
        </w:rPr>
        <w:t xml:space="preserve">49(1) (2005), pp. 1-21.  </w:t>
      </w:r>
    </w:p>
  </w:endnote>
  <w:endnote w:id="29">
    <w:p w14:paraId="30302FEA" w14:textId="48C3EC59"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Peregrine Schwartz-Shea and Dora Yanow, </w:t>
      </w:r>
      <w:r w:rsidRPr="00B067FA">
        <w:rPr>
          <w:rFonts w:ascii="Times New Roman" w:hAnsi="Times New Roman" w:cs="Times New Roman"/>
          <w:i/>
          <w:sz w:val="22"/>
        </w:rPr>
        <w:t>Interpretive Research Design: Concepts and Processes</w:t>
      </w:r>
      <w:r w:rsidRPr="00B067FA">
        <w:rPr>
          <w:rFonts w:ascii="Times New Roman" w:hAnsi="Times New Roman" w:cs="Times New Roman"/>
          <w:sz w:val="22"/>
        </w:rPr>
        <w:t xml:space="preserve"> (London: Routledge, 2013), pp. 72-74.</w:t>
      </w:r>
    </w:p>
  </w:endnote>
  <w:endnote w:id="30">
    <w:p w14:paraId="43AB027E" w14:textId="2CE584B6"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141.</w:t>
      </w:r>
    </w:p>
  </w:endnote>
  <w:endnote w:id="31">
    <w:p w14:paraId="128B777D" w14:textId="511D4295"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Barkin and Sjoberg, ‘Calculating Critique’, p. 863.</w:t>
      </w:r>
    </w:p>
  </w:endnote>
  <w:endnote w:id="32">
    <w:p w14:paraId="0B73B67A" w14:textId="5BE08D71"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Price and Reus-Smit, ‘Dangerous Liaisons’. </w:t>
      </w:r>
    </w:p>
  </w:endnote>
  <w:endnote w:id="33">
    <w:p w14:paraId="712C2568" w14:textId="2D36CA95"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Barkin, ‘Translatable?’; Barkin and Sjoberg, ‘Calculating Critique’; Sjoberg, ‘What’s Lost in Translation?’. </w:t>
      </w:r>
    </w:p>
  </w:endnote>
  <w:endnote w:id="34">
    <w:p w14:paraId="13C60B27"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Schwartz-Shea and Yanow, </w:t>
      </w:r>
      <w:r w:rsidRPr="00B067FA">
        <w:rPr>
          <w:rFonts w:ascii="Times New Roman" w:hAnsi="Times New Roman" w:cs="Times New Roman"/>
          <w:i/>
          <w:sz w:val="22"/>
        </w:rPr>
        <w:t>Interpretive Research Design.</w:t>
      </w:r>
    </w:p>
  </w:endnote>
  <w:endnote w:id="35">
    <w:p w14:paraId="5D67DD71" w14:textId="48CC3D20"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Srdjan Vucetic, ‘Genealogy as a Research Tool in International Relations’, </w:t>
      </w:r>
      <w:r w:rsidRPr="00B067FA">
        <w:rPr>
          <w:rFonts w:ascii="Times New Roman" w:hAnsi="Times New Roman" w:cs="Times New Roman"/>
          <w:i/>
          <w:sz w:val="22"/>
        </w:rPr>
        <w:t xml:space="preserve">Review of International Studies, </w:t>
      </w:r>
      <w:r w:rsidRPr="00B067FA">
        <w:rPr>
          <w:rFonts w:ascii="Times New Roman" w:hAnsi="Times New Roman" w:cs="Times New Roman"/>
          <w:sz w:val="22"/>
        </w:rPr>
        <w:t xml:space="preserve">37(3), 2011, 1295-1312; Marieke De Goede, </w:t>
      </w:r>
      <w:r w:rsidRPr="00B067FA">
        <w:rPr>
          <w:rFonts w:ascii="Times New Roman" w:hAnsi="Times New Roman" w:cs="Times New Roman"/>
          <w:i/>
          <w:sz w:val="22"/>
        </w:rPr>
        <w:t>Virtue, Fortune, and Faith: A Genealogy of Finance</w:t>
      </w:r>
      <w:r w:rsidRPr="00B067FA">
        <w:rPr>
          <w:rFonts w:ascii="Times New Roman" w:hAnsi="Times New Roman" w:cs="Times New Roman"/>
          <w:sz w:val="22"/>
        </w:rPr>
        <w:t xml:space="preserve">, 2005, University of Minnesota Press; Jens Bartelson, </w:t>
      </w:r>
      <w:r w:rsidRPr="00B067FA">
        <w:rPr>
          <w:rFonts w:ascii="Times New Roman" w:hAnsi="Times New Roman" w:cs="Times New Roman"/>
          <w:i/>
          <w:sz w:val="22"/>
        </w:rPr>
        <w:t xml:space="preserve">A Genealogy of Sovereignty, </w:t>
      </w:r>
      <w:r w:rsidRPr="00B067FA">
        <w:rPr>
          <w:rFonts w:ascii="Times New Roman" w:hAnsi="Times New Roman" w:cs="Times New Roman"/>
          <w:sz w:val="22"/>
        </w:rPr>
        <w:t>1995, Cambridge University Press.</w:t>
      </w:r>
    </w:p>
  </w:endnote>
  <w:endnote w:id="36">
    <w:p w14:paraId="794771F7" w14:textId="3F418442"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Burawoy himself is an ethnographer. On the uses of ethnography in IR, see Wanda Vrasti ‘The Strange Case of Ethnography and International Relations’, </w:t>
      </w:r>
      <w:r w:rsidRPr="00B067FA">
        <w:rPr>
          <w:rFonts w:ascii="Times New Roman" w:hAnsi="Times New Roman" w:cs="Times New Roman"/>
          <w:i/>
          <w:iCs/>
          <w:sz w:val="22"/>
        </w:rPr>
        <w:t>Millennium</w:t>
      </w:r>
      <w:r w:rsidRPr="00B067FA">
        <w:rPr>
          <w:rFonts w:ascii="Times New Roman" w:hAnsi="Times New Roman" w:cs="Times New Roman"/>
          <w:iCs/>
          <w:sz w:val="22"/>
        </w:rPr>
        <w:t xml:space="preserve"> 37(2) (2008), pp.</w:t>
      </w:r>
      <w:r w:rsidRPr="00B067FA">
        <w:rPr>
          <w:rFonts w:ascii="Times New Roman" w:hAnsi="Times New Roman" w:cs="Times New Roman"/>
          <w:sz w:val="22"/>
        </w:rPr>
        <w:t xml:space="preserve"> 279-301.</w:t>
      </w:r>
    </w:p>
  </w:endnote>
  <w:endnote w:id="37">
    <w:p w14:paraId="4B3F9227" w14:textId="7030BA5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See for instance Ruben Andersson, ‘Here Be Dragons. Mapping an Ethnography of Global Danger’, </w:t>
      </w:r>
      <w:r w:rsidRPr="00B067FA">
        <w:rPr>
          <w:rFonts w:ascii="Times New Roman" w:hAnsi="Times New Roman" w:cs="Times New Roman"/>
          <w:i/>
          <w:sz w:val="22"/>
        </w:rPr>
        <w:t xml:space="preserve">Current Anthropology, </w:t>
      </w:r>
      <w:r w:rsidRPr="00B067FA">
        <w:rPr>
          <w:rFonts w:ascii="Times New Roman" w:hAnsi="Times New Roman" w:cs="Times New Roman"/>
          <w:sz w:val="22"/>
        </w:rPr>
        <w:t xml:space="preserve">57(6), 2016, 707-731.  </w:t>
      </w:r>
    </w:p>
  </w:endnote>
  <w:endnote w:id="38">
    <w:p w14:paraId="528C8BE2" w14:textId="6F2CFF2A"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r w:rsidRPr="00B067FA">
        <w:rPr>
          <w:rFonts w:ascii="Times New Roman" w:hAnsi="Times New Roman" w:cs="Times New Roman"/>
          <w:sz w:val="22"/>
        </w:rPr>
        <w:t>, p. 186</w:t>
      </w:r>
    </w:p>
  </w:endnote>
  <w:endnote w:id="39">
    <w:p w14:paraId="34007991" w14:textId="4DC4F3A2"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Hansen, </w:t>
      </w:r>
      <w:r w:rsidRPr="00B067FA">
        <w:rPr>
          <w:rFonts w:ascii="Times New Roman" w:hAnsi="Times New Roman" w:cs="Times New Roman"/>
          <w:i/>
          <w:sz w:val="22"/>
        </w:rPr>
        <w:t>Security as Practice</w:t>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r w:rsidRPr="00B067FA">
        <w:rPr>
          <w:rFonts w:ascii="Times New Roman" w:hAnsi="Times New Roman" w:cs="Times New Roman"/>
          <w:sz w:val="22"/>
        </w:rPr>
        <w:t>.</w:t>
      </w:r>
    </w:p>
  </w:endnote>
  <w:endnote w:id="40">
    <w:p w14:paraId="0B6DF4DF" w14:textId="614A792B"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Claudia Aradau and Jef Huysmans, ‘Critical methods in International Relations: The politics of techniques, devices and acts’, </w:t>
      </w:r>
      <w:r w:rsidRPr="00B067FA">
        <w:rPr>
          <w:rFonts w:ascii="Times New Roman" w:hAnsi="Times New Roman" w:cs="Times New Roman"/>
          <w:i/>
          <w:iCs/>
          <w:sz w:val="22"/>
        </w:rPr>
        <w:t>European Journal of International Relations</w:t>
      </w:r>
      <w:r w:rsidRPr="00B067FA">
        <w:rPr>
          <w:rFonts w:ascii="Times New Roman" w:hAnsi="Times New Roman" w:cs="Times New Roman"/>
          <w:iCs/>
          <w:sz w:val="22"/>
        </w:rPr>
        <w:t>, 20</w:t>
      </w:r>
      <w:r w:rsidRPr="00B067FA">
        <w:rPr>
          <w:rFonts w:ascii="Times New Roman" w:hAnsi="Times New Roman" w:cs="Times New Roman"/>
          <w:sz w:val="22"/>
        </w:rPr>
        <w:t>(3) (2014), p. 598.</w:t>
      </w:r>
    </w:p>
  </w:endnote>
  <w:endnote w:id="41">
    <w:p w14:paraId="1457D453" w14:textId="03CAFBDE"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Aradau and Huysmans, ‘Critical Methods’; Robert W. Cox, ‘Social Forces, States, and World Orders: Beyond International Relations Theory’, </w:t>
      </w:r>
      <w:r w:rsidRPr="00B067FA">
        <w:rPr>
          <w:rFonts w:ascii="Times New Roman" w:hAnsi="Times New Roman" w:cs="Times New Roman"/>
          <w:i/>
          <w:sz w:val="22"/>
        </w:rPr>
        <w:t>Millennium</w:t>
      </w:r>
      <w:r w:rsidRPr="00B067FA">
        <w:rPr>
          <w:rFonts w:ascii="Times New Roman" w:hAnsi="Times New Roman" w:cs="Times New Roman"/>
          <w:sz w:val="22"/>
        </w:rPr>
        <w:t xml:space="preserve"> 10(2) (1981), pp. 126-155;  Richard Devetak, ‘Critical Theory’, in Scott Burchill et al. (eds.), </w:t>
      </w:r>
      <w:r w:rsidRPr="00B067FA">
        <w:rPr>
          <w:rFonts w:ascii="Times New Roman" w:hAnsi="Times New Roman" w:cs="Times New Roman"/>
          <w:i/>
          <w:sz w:val="22"/>
        </w:rPr>
        <w:t>Theories of International Relations</w:t>
      </w:r>
      <w:r w:rsidRPr="00B067FA">
        <w:rPr>
          <w:rFonts w:ascii="Times New Roman" w:hAnsi="Times New Roman" w:cs="Times New Roman"/>
          <w:sz w:val="22"/>
        </w:rPr>
        <w:t xml:space="preserve"> (Basingstoke: Palgrave Macmillan, 2005), 137-160; Patti Lather, ‘Critical Inquiry in Qualitative Research: Feminist and Poststructural Perspectives: Science “After Truth.”’, in Kathleen deMarrais and Stephen D. Lapan (eds.),</w:t>
      </w:r>
      <w:r w:rsidRPr="00B067FA">
        <w:rPr>
          <w:rFonts w:ascii="Times New Roman" w:hAnsi="Times New Roman" w:cs="Times New Roman"/>
          <w:i/>
          <w:sz w:val="22"/>
        </w:rPr>
        <w:t xml:space="preserve"> Foundation for Research. Methods of Inquiry in Education and the Social Sciences</w:t>
      </w:r>
      <w:r w:rsidRPr="00B067FA">
        <w:rPr>
          <w:rFonts w:ascii="Times New Roman" w:hAnsi="Times New Roman" w:cs="Times New Roman"/>
          <w:sz w:val="22"/>
        </w:rPr>
        <w:t xml:space="preserve"> (London: Lawrence Erlbaum Associates Publishers, 2004), pp. 203-216; Steven C. Roach, ‘Critical Theory’, in Tim Dunne, Milja Kurki and Steve Smith, </w:t>
      </w:r>
      <w:r w:rsidRPr="00B067FA">
        <w:rPr>
          <w:rFonts w:ascii="Times New Roman" w:hAnsi="Times New Roman" w:cs="Times New Roman"/>
          <w:i/>
          <w:sz w:val="22"/>
        </w:rPr>
        <w:t>International Relations Theories: Discipline and Diversity</w:t>
      </w:r>
      <w:r w:rsidRPr="00B067FA">
        <w:rPr>
          <w:rFonts w:ascii="Times New Roman" w:hAnsi="Times New Roman" w:cs="Times New Roman"/>
          <w:sz w:val="22"/>
        </w:rPr>
        <w:t xml:space="preserve"> (Oxford: Oxford University Press, 2013), pp. 171-186.</w:t>
      </w:r>
    </w:p>
  </w:endnote>
  <w:endnote w:id="42">
    <w:p w14:paraId="0879284E" w14:textId="0703BC74"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Devetak, ‘Critical Theory’; Kurki, ‘Stretching Situated Knowledge’. </w:t>
      </w:r>
    </w:p>
  </w:endnote>
  <w:endnote w:id="43">
    <w:p w14:paraId="2B0BFBFF" w14:textId="22380005"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Lather, ‘Critical Inquiry’; Dora Yanow and Peregrine Schwartz-Shea, </w:t>
      </w:r>
      <w:r w:rsidRPr="00B067FA">
        <w:rPr>
          <w:rFonts w:ascii="Times New Roman" w:hAnsi="Times New Roman" w:cs="Times New Roman"/>
          <w:i/>
          <w:sz w:val="22"/>
        </w:rPr>
        <w:t xml:space="preserve">Interpretation and Method: Research Methods and the Interpretive Turn </w:t>
      </w:r>
      <w:r w:rsidRPr="00B067FA">
        <w:rPr>
          <w:rFonts w:ascii="Times New Roman" w:hAnsi="Times New Roman" w:cs="Times New Roman"/>
          <w:sz w:val="22"/>
        </w:rPr>
        <w:t xml:space="preserve">(London: Routledge, 2015). </w:t>
      </w:r>
    </w:p>
  </w:endnote>
  <w:endnote w:id="44">
    <w:p w14:paraId="05CF404E" w14:textId="2636AD09"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Joe L. Kincheloe and Peter McLaren, ‘Rethinking Critical Theory and Qualitative Research’, In Norman K. Denzin and Yvonna S. Lincoln,</w:t>
      </w:r>
      <w:r w:rsidRPr="00B067FA">
        <w:rPr>
          <w:rFonts w:ascii="Times New Roman" w:hAnsi="Times New Roman" w:cs="Times New Roman"/>
          <w:i/>
          <w:sz w:val="22"/>
        </w:rPr>
        <w:t xml:space="preserve"> The Sage Handbook of Qualitative Research. 3rd Edition. </w:t>
      </w:r>
      <w:r w:rsidRPr="00B067FA">
        <w:rPr>
          <w:rFonts w:ascii="Times New Roman" w:hAnsi="Times New Roman" w:cs="Times New Roman"/>
          <w:sz w:val="22"/>
        </w:rPr>
        <w:t xml:space="preserve">(London: Sage, 2005), pp. 303-342; Lather, ‘Critical Inquiry’. </w:t>
      </w:r>
    </w:p>
  </w:endnote>
  <w:endnote w:id="45">
    <w:p w14:paraId="42B8B239" w14:textId="69F956D2"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Michael Burawoy, ‘The extended case method’, in Burawoy et al. (eds.) </w:t>
      </w:r>
      <w:r w:rsidRPr="00B067FA">
        <w:rPr>
          <w:rFonts w:ascii="Times New Roman" w:hAnsi="Times New Roman" w:cs="Times New Roman"/>
          <w:i/>
          <w:sz w:val="22"/>
        </w:rPr>
        <w:t>Ethnography unbound: Power and resistance in the modern metropolis</w:t>
      </w:r>
      <w:r w:rsidRPr="00B067FA">
        <w:rPr>
          <w:rFonts w:ascii="Times New Roman" w:hAnsi="Times New Roman" w:cs="Times New Roman"/>
          <w:sz w:val="22"/>
        </w:rPr>
        <w:t xml:space="preserve"> (Berkeley, Los Angeles, Oxford: University of California Press, 1991), p. 278.</w:t>
      </w:r>
    </w:p>
  </w:endnote>
  <w:endnote w:id="46">
    <w:p w14:paraId="429A1BA9" w14:textId="4809252C"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r w:rsidRPr="00B067FA">
        <w:rPr>
          <w:rFonts w:ascii="Times New Roman" w:hAnsi="Times New Roman" w:cs="Times New Roman"/>
          <w:sz w:val="22"/>
        </w:rPr>
        <w:t>, p. 156.</w:t>
      </w:r>
    </w:p>
  </w:endnote>
  <w:endnote w:id="47">
    <w:p w14:paraId="2D23EBE7" w14:textId="1D43729A"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Ann J. Tickner, ‘Dealing with Difference: Problems and Possibilities for Dialogue in International Relations’, </w:t>
      </w:r>
      <w:r w:rsidRPr="00B067FA">
        <w:rPr>
          <w:rFonts w:ascii="Times New Roman" w:hAnsi="Times New Roman" w:cs="Times New Roman"/>
          <w:i/>
          <w:sz w:val="22"/>
        </w:rPr>
        <w:t>Millennium</w:t>
      </w:r>
      <w:r w:rsidRPr="00B067FA">
        <w:rPr>
          <w:rFonts w:ascii="Times New Roman" w:hAnsi="Times New Roman" w:cs="Times New Roman"/>
          <w:sz w:val="22"/>
        </w:rPr>
        <w:t xml:space="preserve"> 39(3), p. 616. </w:t>
      </w:r>
    </w:p>
  </w:endnote>
  <w:endnote w:id="48">
    <w:p w14:paraId="561DB7A9" w14:textId="3D218CB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Burawoy, ‘The Extended Case Method’, p. 14.</w:t>
      </w:r>
    </w:p>
  </w:endnote>
  <w:endnote w:id="49">
    <w:p w14:paraId="4D1BB7D1" w14:textId="384C04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15. </w:t>
      </w:r>
    </w:p>
  </w:endnote>
  <w:endnote w:id="50">
    <w:p w14:paraId="3B67BC92" w14:textId="2D0B4A10"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15. </w:t>
      </w:r>
    </w:p>
  </w:endnote>
  <w:endnote w:id="51">
    <w:p w14:paraId="15B9F93E" w14:textId="112934BB"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16.</w:t>
      </w:r>
    </w:p>
  </w:endnote>
  <w:endnote w:id="52">
    <w:p w14:paraId="1A9B8EF3" w14:textId="48592CD1"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pp. 15-21. </w:t>
      </w:r>
    </w:p>
  </w:endnote>
  <w:endnote w:id="53">
    <w:p w14:paraId="5CC7C86F" w14:textId="113CEE85"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18. </w:t>
      </w:r>
    </w:p>
  </w:endnote>
  <w:endnote w:id="54">
    <w:p w14:paraId="643F563B"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The ‘colour bar’ refers to the practice, widespread in the Zambian mining industry during colonial times, of making sure that every black employee fell under the supervision of a white manager.</w:t>
      </w:r>
    </w:p>
  </w:endnote>
  <w:endnote w:id="55">
    <w:p w14:paraId="6CDBFE68" w14:textId="20C2C646"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pp. 18-19.</w:t>
      </w:r>
    </w:p>
  </w:endnote>
  <w:endnote w:id="56">
    <w:p w14:paraId="4EBBC7FA" w14:textId="2F2BA8A0"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20.</w:t>
      </w:r>
    </w:p>
  </w:endnote>
  <w:endnote w:id="57">
    <w:p w14:paraId="14F3A6C0" w14:textId="70BD1B3A"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19.</w:t>
      </w:r>
    </w:p>
  </w:endnote>
  <w:endnote w:id="58">
    <w:p w14:paraId="6250E0ED" w14:textId="57159AD9"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21.</w:t>
      </w:r>
    </w:p>
  </w:endnote>
  <w:endnote w:id="59">
    <w:p w14:paraId="0BF34E76" w14:textId="77FE6425"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21.</w:t>
      </w:r>
    </w:p>
  </w:endnote>
  <w:endnote w:id="60">
    <w:p w14:paraId="498DA9DA"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Michael Burawoy, ‘Working in the Tracks of State Socialism’, </w:t>
      </w:r>
      <w:r w:rsidRPr="00B067FA">
        <w:rPr>
          <w:rFonts w:ascii="Times New Roman" w:hAnsi="Times New Roman" w:cs="Times New Roman"/>
          <w:i/>
          <w:sz w:val="22"/>
        </w:rPr>
        <w:t>Capital &amp; Class</w:t>
      </w:r>
      <w:r w:rsidRPr="00B067FA">
        <w:rPr>
          <w:rFonts w:ascii="Times New Roman" w:hAnsi="Times New Roman" w:cs="Times New Roman"/>
          <w:sz w:val="22"/>
        </w:rPr>
        <w:t xml:space="preserve"> 33(2), p. 36. </w:t>
      </w:r>
    </w:p>
  </w:endnote>
  <w:endnote w:id="61">
    <w:p w14:paraId="5BFBF6F1"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36.</w:t>
      </w:r>
    </w:p>
  </w:endnote>
  <w:endnote w:id="62">
    <w:p w14:paraId="098511E4" w14:textId="5022CE83"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r w:rsidRPr="00B067FA">
        <w:rPr>
          <w:rFonts w:ascii="Times New Roman" w:hAnsi="Times New Roman" w:cs="Times New Roman"/>
          <w:sz w:val="22"/>
        </w:rPr>
        <w:t>; Kurki, ‘Stretching Situated Knowledge’; Neumann, ‘International Studies Must be a Science’;</w:t>
      </w:r>
      <w:r w:rsidRPr="00B067FA">
        <w:rPr>
          <w:rFonts w:ascii="Times New Roman" w:eastAsia="Times New Roman" w:hAnsi="Times New Roman" w:cs="Times New Roman"/>
          <w:color w:val="111111"/>
          <w:sz w:val="28"/>
          <w:szCs w:val="27"/>
          <w:lang w:eastAsia="en-GB"/>
        </w:rPr>
        <w:t xml:space="preserve"> </w:t>
      </w:r>
      <w:r w:rsidRPr="00B067FA">
        <w:rPr>
          <w:rFonts w:ascii="Times New Roman" w:hAnsi="Times New Roman" w:cs="Times New Roman"/>
          <w:sz w:val="22"/>
        </w:rPr>
        <w:t xml:space="preserve">Mark B. Salter, ‘#sorrynotsorry: A Well-meaning Response to PTJ’, </w:t>
      </w:r>
      <w:r w:rsidRPr="00B067FA">
        <w:rPr>
          <w:rFonts w:ascii="Times New Roman" w:hAnsi="Times New Roman" w:cs="Times New Roman"/>
          <w:i/>
          <w:sz w:val="22"/>
        </w:rPr>
        <w:t xml:space="preserve">Millennium </w:t>
      </w:r>
      <w:r w:rsidRPr="00B067FA">
        <w:rPr>
          <w:rFonts w:ascii="Times New Roman" w:hAnsi="Times New Roman" w:cs="Times New Roman"/>
          <w:sz w:val="22"/>
        </w:rPr>
        <w:t>43(3), pp. 970-974.</w:t>
      </w:r>
    </w:p>
  </w:endnote>
  <w:endnote w:id="63">
    <w:p w14:paraId="510C1BCA" w14:textId="5097CF4B"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p>
  </w:endnote>
  <w:endnote w:id="64">
    <w:p w14:paraId="5892E48E" w14:textId="616E2FCD"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158.</w:t>
      </w:r>
    </w:p>
  </w:endnote>
  <w:endnote w:id="65">
    <w:p w14:paraId="19FC0054"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Michael Burawoy, </w:t>
      </w:r>
      <w:r w:rsidRPr="00B067FA">
        <w:rPr>
          <w:rFonts w:ascii="Times New Roman" w:hAnsi="Times New Roman" w:cs="Times New Roman"/>
          <w:sz w:val="22"/>
          <w:lang w:val="en-US"/>
        </w:rPr>
        <w:t>‘</w:t>
      </w:r>
      <w:r w:rsidRPr="00B067FA">
        <w:rPr>
          <w:rFonts w:ascii="Times New Roman" w:hAnsi="Times New Roman" w:cs="Times New Roman"/>
          <w:sz w:val="22"/>
        </w:rPr>
        <w:t xml:space="preserve">Revisits: An Outline of a Theory of Reflexive Ethnography. </w:t>
      </w:r>
      <w:r w:rsidRPr="00B067FA">
        <w:rPr>
          <w:rFonts w:ascii="Times New Roman" w:hAnsi="Times New Roman" w:cs="Times New Roman"/>
          <w:i/>
          <w:sz w:val="22"/>
        </w:rPr>
        <w:t>American Sociological Review</w:t>
      </w:r>
      <w:r w:rsidRPr="00B067FA">
        <w:rPr>
          <w:rFonts w:ascii="Times New Roman" w:hAnsi="Times New Roman" w:cs="Times New Roman"/>
          <w:sz w:val="22"/>
        </w:rPr>
        <w:t xml:space="preserve"> 68(5) (2003), p. 668.</w:t>
      </w:r>
    </w:p>
  </w:endnote>
  <w:endnote w:id="66">
    <w:p w14:paraId="16570311" w14:textId="247E148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Ibid., p. 175 and p. 184. </w:t>
      </w:r>
    </w:p>
  </w:endnote>
  <w:endnote w:id="67">
    <w:p w14:paraId="231D50BC" w14:textId="00EC975B"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And it is worthwhile recalling Horkheimer’s suggestion that traditional theory fears contradictions while critical theory feeds on them. Max Horkeheimer, </w:t>
      </w:r>
      <w:r w:rsidRPr="00B067FA">
        <w:rPr>
          <w:rFonts w:ascii="Times New Roman" w:hAnsi="Times New Roman" w:cs="Times New Roman"/>
          <w:i/>
          <w:sz w:val="22"/>
        </w:rPr>
        <w:t>Critical Theory: Selected Essays</w:t>
      </w:r>
      <w:r w:rsidRPr="00B067FA">
        <w:rPr>
          <w:rFonts w:ascii="Times New Roman" w:hAnsi="Times New Roman" w:cs="Times New Roman"/>
          <w:sz w:val="22"/>
        </w:rPr>
        <w:t xml:space="preserve"> (New York: Continuum, 1937), pp. 227-239. </w:t>
      </w:r>
    </w:p>
  </w:endnote>
  <w:endnote w:id="68">
    <w:p w14:paraId="36AF008F" w14:textId="131DB28E"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Jackson,</w:t>
      </w:r>
      <w:r w:rsidRPr="00B067FA">
        <w:rPr>
          <w:rFonts w:ascii="Times New Roman" w:hAnsi="Times New Roman" w:cs="Times New Roman"/>
          <w:i/>
          <w:sz w:val="22"/>
        </w:rPr>
        <w:t xml:space="preserve"> The Conduct of Inquiry</w:t>
      </w:r>
      <w:r w:rsidRPr="00B067FA">
        <w:rPr>
          <w:rFonts w:ascii="Times New Roman" w:hAnsi="Times New Roman" w:cs="Times New Roman"/>
          <w:sz w:val="22"/>
        </w:rPr>
        <w:t>, p. 185.</w:t>
      </w:r>
    </w:p>
  </w:endnote>
  <w:endnote w:id="69">
    <w:p w14:paraId="0FEC9B57"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Oliver P. Richmond, ‘</w:t>
      </w:r>
      <w:r w:rsidRPr="00B067FA">
        <w:rPr>
          <w:rFonts w:ascii="Times New Roman" w:hAnsi="Times New Roman" w:cs="Times New Roman"/>
          <w:sz w:val="22"/>
          <w:lang w:val="en-US"/>
        </w:rPr>
        <w:t xml:space="preserve">Critical Agency, Resistance and a Post-Colonial Civil Society’, </w:t>
      </w:r>
      <w:r w:rsidRPr="00B067FA">
        <w:rPr>
          <w:rFonts w:ascii="Times New Roman" w:hAnsi="Times New Roman" w:cs="Times New Roman"/>
          <w:i/>
          <w:sz w:val="22"/>
          <w:lang w:val="en-US"/>
        </w:rPr>
        <w:t>Cooperation and Conflict</w:t>
      </w:r>
      <w:r w:rsidRPr="00B067FA">
        <w:rPr>
          <w:rFonts w:ascii="Times New Roman" w:hAnsi="Times New Roman" w:cs="Times New Roman"/>
          <w:sz w:val="22"/>
          <w:lang w:val="en-US"/>
        </w:rPr>
        <w:t>, 46(4) (2011), pp. 419-440.</w:t>
      </w:r>
    </w:p>
  </w:endnote>
  <w:endnote w:id="70">
    <w:p w14:paraId="124E8F04"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Joe Hoover, ‘The Human Right to Housing and Community Empowerment: Home Occupation, Eviction Defence and Community Land Trusts’, </w:t>
      </w:r>
      <w:r w:rsidRPr="00B067FA">
        <w:rPr>
          <w:rFonts w:ascii="Times New Roman" w:hAnsi="Times New Roman" w:cs="Times New Roman"/>
          <w:i/>
          <w:sz w:val="22"/>
        </w:rPr>
        <w:t>Third World Quarterly</w:t>
      </w:r>
      <w:r w:rsidRPr="00B067FA">
        <w:rPr>
          <w:rFonts w:ascii="Times New Roman" w:hAnsi="Times New Roman" w:cs="Times New Roman"/>
          <w:sz w:val="22"/>
        </w:rPr>
        <w:t>, 36(6) (2015), pp. 1092-1109; Rahul Rao,</w:t>
      </w:r>
      <w:r w:rsidRPr="00B067FA">
        <w:rPr>
          <w:rFonts w:ascii="Times New Roman" w:hAnsi="Times New Roman" w:cs="Times New Roman"/>
          <w:sz w:val="22"/>
          <w:lang w:val="en-US"/>
        </w:rPr>
        <w:t xml:space="preserve"> </w:t>
      </w:r>
      <w:r w:rsidRPr="00B067FA">
        <w:rPr>
          <w:rFonts w:ascii="Times New Roman" w:hAnsi="Times New Roman" w:cs="Times New Roman"/>
          <w:i/>
          <w:sz w:val="22"/>
          <w:lang w:val="en-US"/>
        </w:rPr>
        <w:t>Third World Protest: Between Home and the World</w:t>
      </w:r>
      <w:r w:rsidRPr="00B067FA">
        <w:rPr>
          <w:rFonts w:ascii="Times New Roman" w:hAnsi="Times New Roman" w:cs="Times New Roman"/>
          <w:sz w:val="22"/>
          <w:lang w:val="en-US"/>
        </w:rPr>
        <w:t xml:space="preserve"> (Oxford: Oxford University Press,</w:t>
      </w:r>
      <w:r w:rsidRPr="00B067FA">
        <w:rPr>
          <w:rFonts w:ascii="Times New Roman" w:hAnsi="Times New Roman" w:cs="Times New Roman"/>
          <w:sz w:val="22"/>
        </w:rPr>
        <w:t xml:space="preserve"> 2010).</w:t>
      </w:r>
    </w:p>
  </w:endnote>
  <w:endnote w:id="71">
    <w:p w14:paraId="601E0BDF" w14:textId="29642EB0"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Saturnino M. Borras Jr., Ruth Hall, Ian Scoones, Ben White, and Wendy Wolford, ‘Towards a Better Understanding of Global Land Grabbing: An Editorial Introduction’, </w:t>
      </w:r>
      <w:r w:rsidRPr="00B067FA">
        <w:rPr>
          <w:rFonts w:ascii="Times New Roman" w:hAnsi="Times New Roman" w:cs="Times New Roman"/>
          <w:i/>
          <w:iCs/>
          <w:sz w:val="22"/>
        </w:rPr>
        <w:t>The Journal of Peasant Studies</w:t>
      </w:r>
      <w:r w:rsidRPr="00B067FA">
        <w:rPr>
          <w:rFonts w:ascii="Times New Roman" w:hAnsi="Times New Roman" w:cs="Times New Roman"/>
          <w:iCs/>
          <w:sz w:val="22"/>
        </w:rPr>
        <w:t>,</w:t>
      </w:r>
      <w:r w:rsidRPr="00B067FA">
        <w:rPr>
          <w:rFonts w:ascii="Times New Roman" w:hAnsi="Times New Roman" w:cs="Times New Roman"/>
          <w:sz w:val="22"/>
        </w:rPr>
        <w:t xml:space="preserve"> </w:t>
      </w:r>
      <w:r w:rsidRPr="00B067FA">
        <w:rPr>
          <w:rFonts w:ascii="Times New Roman" w:hAnsi="Times New Roman" w:cs="Times New Roman"/>
          <w:iCs/>
          <w:sz w:val="22"/>
        </w:rPr>
        <w:t>38</w:t>
      </w:r>
      <w:r w:rsidRPr="00B067FA">
        <w:rPr>
          <w:rFonts w:ascii="Times New Roman" w:hAnsi="Times New Roman" w:cs="Times New Roman"/>
          <w:sz w:val="22"/>
        </w:rPr>
        <w:t>(2) (2011), pp. 209-216.</w:t>
      </w:r>
    </w:p>
  </w:endnote>
  <w:endnote w:id="72">
    <w:p w14:paraId="7BBA4C3D"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Sre</w:t>
      </w:r>
      <w:r w:rsidRPr="00B067FA">
        <w:rPr>
          <w:rFonts w:ascii="Times New Roman" w:hAnsi="Times New Roman" w:cs="Times New Roman"/>
          <w:sz w:val="22"/>
          <w:lang w:val="hr-HR"/>
        </w:rPr>
        <w:t xml:space="preserve">čko </w:t>
      </w:r>
      <w:r w:rsidRPr="00B067FA">
        <w:rPr>
          <w:rFonts w:ascii="Times New Roman" w:hAnsi="Times New Roman" w:cs="Times New Roman"/>
          <w:sz w:val="22"/>
        </w:rPr>
        <w:t xml:space="preserve">Horvat and Igor Štiks (Eds), </w:t>
      </w:r>
      <w:r w:rsidRPr="00B067FA">
        <w:rPr>
          <w:rFonts w:ascii="Times New Roman" w:hAnsi="Times New Roman" w:cs="Times New Roman"/>
          <w:i/>
          <w:iCs/>
          <w:sz w:val="22"/>
        </w:rPr>
        <w:t>Welcome to the Desert of Post-socialism: Radical Politics After Yugoslavia</w:t>
      </w:r>
      <w:r w:rsidRPr="00B067FA">
        <w:rPr>
          <w:rFonts w:ascii="Times New Roman" w:hAnsi="Times New Roman" w:cs="Times New Roman"/>
          <w:iCs/>
          <w:sz w:val="22"/>
        </w:rPr>
        <w:t xml:space="preserve"> (</w:t>
      </w:r>
      <w:r w:rsidRPr="00B067FA">
        <w:rPr>
          <w:rFonts w:ascii="Times New Roman" w:hAnsi="Times New Roman" w:cs="Times New Roman"/>
          <w:sz w:val="22"/>
        </w:rPr>
        <w:t>London: Verso Books, 2015).</w:t>
      </w:r>
    </w:p>
  </w:endnote>
  <w:endnote w:id="73">
    <w:p w14:paraId="26EEC3CB" w14:textId="759B1E93"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See for instance Julia Gallagher, ‘Interviews as Catastrophic Encounters: An Object Relations Methodology for IR Research’, </w:t>
      </w:r>
      <w:r w:rsidRPr="00B067FA">
        <w:rPr>
          <w:rFonts w:ascii="Times New Roman" w:hAnsi="Times New Roman" w:cs="Times New Roman"/>
          <w:i/>
          <w:sz w:val="22"/>
        </w:rPr>
        <w:t>International Studies Perspectives</w:t>
      </w:r>
      <w:r w:rsidRPr="00B067FA">
        <w:rPr>
          <w:rFonts w:ascii="Times New Roman" w:hAnsi="Times New Roman" w:cs="Times New Roman"/>
          <w:sz w:val="22"/>
        </w:rPr>
        <w:t>, online first version, DOI: 10.1111/insp.12099 (2015).</w:t>
      </w:r>
    </w:p>
  </w:endnote>
  <w:endnote w:id="74">
    <w:p w14:paraId="5E22C3C0" w14:textId="0CFC82D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Burawoy, ‘The Extended Case Method’, p. 12.</w:t>
      </w:r>
    </w:p>
  </w:endnote>
  <w:endnote w:id="75">
    <w:p w14:paraId="39D0317D" w14:textId="2C45F3A2"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Burawoy for instance explicitly reflects on the implications of his position as a white educated Western man from a privileged background for his research on Russia and Zambia, respectively in Burawoy, ‘Working in the Tracks of State Socialism’, pp. 58-59, and Burawoy, ‘The Extended Case Method’, pp. 22-23.</w:t>
      </w:r>
    </w:p>
  </w:endnote>
  <w:endnote w:id="76">
    <w:p w14:paraId="77DEC5A2" w14:textId="31D93E5C"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Barkin and Sjoberg, </w:t>
      </w:r>
      <w:r w:rsidRPr="00B067FA">
        <w:rPr>
          <w:rFonts w:ascii="Times New Roman" w:hAnsi="Times New Roman" w:cs="Times New Roman"/>
          <w:i/>
          <w:sz w:val="22"/>
        </w:rPr>
        <w:t xml:space="preserve">Interpretive Quantification. </w:t>
      </w:r>
    </w:p>
  </w:endnote>
  <w:endnote w:id="77">
    <w:p w14:paraId="4D59E040" w14:textId="56D887B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See Bennet and Elman, ‘Qualitative Research’; Gerring, ‘What is a case study’. </w:t>
      </w:r>
    </w:p>
  </w:endnote>
  <w:endnote w:id="78">
    <w:p w14:paraId="0BFCCDF2" w14:textId="41E50BA4"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Burawoy, ‘The Extended Case Method’. </w:t>
      </w:r>
    </w:p>
  </w:endnote>
  <w:endnote w:id="79">
    <w:p w14:paraId="7C757675" w14:textId="74C7E1DA"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See especially: Nancy Fraser, ‘From Redistribution to Recognition? Dilemmas of Justice in a ‘Post-Socialist’ Age’, </w:t>
      </w:r>
      <w:r w:rsidRPr="00B067FA">
        <w:rPr>
          <w:rFonts w:ascii="Times New Roman" w:hAnsi="Times New Roman" w:cs="Times New Roman"/>
          <w:i/>
          <w:sz w:val="22"/>
        </w:rPr>
        <w:t>New Left Review</w:t>
      </w:r>
      <w:r w:rsidRPr="00B067FA">
        <w:rPr>
          <w:rFonts w:ascii="Times New Roman" w:hAnsi="Times New Roman" w:cs="Times New Roman"/>
          <w:sz w:val="22"/>
        </w:rPr>
        <w:t xml:space="preserve"> I/212 (July–August 1995), pp. 68–93; Nancy Fraser, ‘Social Justice in the Age of Identity Politics: Redistribution, Recognition and Participation’, in Nancy Fraser and Axel Honneth, </w:t>
      </w:r>
      <w:r w:rsidRPr="00B067FA">
        <w:rPr>
          <w:rFonts w:ascii="Times New Roman" w:hAnsi="Times New Roman" w:cs="Times New Roman"/>
          <w:i/>
          <w:iCs/>
          <w:sz w:val="22"/>
        </w:rPr>
        <w:t>Redistribution or Recognition? A Political-Philosophical Exchange</w:t>
      </w:r>
      <w:r w:rsidRPr="00B067FA">
        <w:rPr>
          <w:rFonts w:ascii="Times New Roman" w:hAnsi="Times New Roman" w:cs="Times New Roman"/>
          <w:sz w:val="22"/>
        </w:rPr>
        <w:t xml:space="preserve"> (London: Verso, 2003). </w:t>
      </w:r>
    </w:p>
  </w:endnote>
  <w:endnote w:id="80">
    <w:p w14:paraId="414E5386" w14:textId="498D046D"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See Fraser, ‘From Redistribution to Recognition?’, pp. 71-74; and Fraser, ‘Social Justice’, p. 13. </w:t>
      </w:r>
    </w:p>
  </w:endnote>
  <w:endnote w:id="81">
    <w:p w14:paraId="74E7209B" w14:textId="1D19CEC1"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See for instance: Timothy Donais, </w:t>
      </w:r>
      <w:r w:rsidRPr="00B067FA">
        <w:rPr>
          <w:rFonts w:ascii="Times New Roman" w:hAnsi="Times New Roman" w:cs="Times New Roman"/>
          <w:i/>
          <w:sz w:val="22"/>
        </w:rPr>
        <w:t xml:space="preserve">The Political Economy of Peacebuilding in Post-Dayton Bosnia’ </w:t>
      </w:r>
      <w:r w:rsidRPr="00B067FA">
        <w:rPr>
          <w:rFonts w:ascii="Times New Roman" w:hAnsi="Times New Roman" w:cs="Times New Roman"/>
          <w:sz w:val="22"/>
        </w:rPr>
        <w:t xml:space="preserve">(London: Routledge, 2005); Michael Pugh and Neil Cooper, </w:t>
      </w:r>
      <w:r w:rsidRPr="00B067FA">
        <w:rPr>
          <w:rFonts w:ascii="Times New Roman" w:hAnsi="Times New Roman" w:cs="Times New Roman"/>
          <w:i/>
          <w:sz w:val="22"/>
        </w:rPr>
        <w:t>War Economies in a Regional Context: Challenges of Transformation</w:t>
      </w:r>
      <w:r w:rsidRPr="00B067FA">
        <w:rPr>
          <w:rFonts w:ascii="Times New Roman" w:hAnsi="Times New Roman" w:cs="Times New Roman"/>
          <w:sz w:val="22"/>
        </w:rPr>
        <w:t xml:space="preserve"> (Boulder, London: Lynne Rienner Publishers, 2004).</w:t>
      </w:r>
    </w:p>
  </w:endnote>
  <w:endnote w:id="82">
    <w:p w14:paraId="61DACDD9" w14:textId="2D7D893D"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Burawoy, ‘The Extended Case Method’, p. 18. </w:t>
      </w:r>
    </w:p>
  </w:endnote>
  <w:endnote w:id="83">
    <w:p w14:paraId="0843ACF4" w14:textId="3CE72CFF"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Schwartz-Shea and Yanow, </w:t>
      </w:r>
      <w:r w:rsidRPr="00B067FA">
        <w:rPr>
          <w:rFonts w:ascii="Times New Roman" w:hAnsi="Times New Roman" w:cs="Times New Roman"/>
          <w:i/>
          <w:sz w:val="22"/>
        </w:rPr>
        <w:t>Interpretive Research Design</w:t>
      </w:r>
      <w:r w:rsidRPr="00B067FA">
        <w:rPr>
          <w:rFonts w:ascii="Times New Roman" w:hAnsi="Times New Roman" w:cs="Times New Roman"/>
          <w:sz w:val="22"/>
        </w:rPr>
        <w:t xml:space="preserve">. </w:t>
      </w:r>
    </w:p>
  </w:endnote>
  <w:endnote w:id="84">
    <w:p w14:paraId="274EB9AD" w14:textId="04106F9C"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In addition to other works cited, see: Nancy Fraser, </w:t>
      </w:r>
      <w:r w:rsidRPr="00B067FA">
        <w:rPr>
          <w:rFonts w:ascii="Times New Roman" w:hAnsi="Times New Roman" w:cs="Times New Roman"/>
          <w:i/>
          <w:sz w:val="22"/>
        </w:rPr>
        <w:t xml:space="preserve">Justice Interruptus: Critical Reflections on the “Postsocialist” Condition </w:t>
      </w:r>
      <w:r w:rsidRPr="00B067FA">
        <w:rPr>
          <w:rFonts w:ascii="Times New Roman" w:hAnsi="Times New Roman" w:cs="Times New Roman"/>
          <w:sz w:val="22"/>
        </w:rPr>
        <w:t xml:space="preserve">(London and New York: Routledge, 1997); ‘Rethinking Recognition: Overcoming Displacement and Reification in Cultural Politics’, </w:t>
      </w:r>
      <w:r w:rsidRPr="00B067FA">
        <w:rPr>
          <w:rFonts w:ascii="Times New Roman" w:hAnsi="Times New Roman" w:cs="Times New Roman"/>
          <w:i/>
          <w:sz w:val="22"/>
        </w:rPr>
        <w:t xml:space="preserve">New Left Review </w:t>
      </w:r>
      <w:r w:rsidRPr="00B067FA">
        <w:rPr>
          <w:rFonts w:ascii="Times New Roman" w:hAnsi="Times New Roman" w:cs="Times New Roman"/>
          <w:sz w:val="22"/>
        </w:rPr>
        <w:t xml:space="preserve">3 (May/June 2000), pp. 107-120; </w:t>
      </w:r>
      <w:r w:rsidRPr="00B067FA">
        <w:rPr>
          <w:rFonts w:ascii="Times New Roman" w:hAnsi="Times New Roman" w:cs="Times New Roman"/>
          <w:i/>
          <w:sz w:val="22"/>
        </w:rPr>
        <w:t xml:space="preserve">Scales of Justice. Reimagining Political Space in a Globalizing World </w:t>
      </w:r>
      <w:r w:rsidRPr="00B067FA">
        <w:rPr>
          <w:rFonts w:ascii="Times New Roman" w:hAnsi="Times New Roman" w:cs="Times New Roman"/>
          <w:sz w:val="22"/>
        </w:rPr>
        <w:t xml:space="preserve">(New York: Columbia University Press, 2009).  </w:t>
      </w:r>
    </w:p>
  </w:endnote>
  <w:endnote w:id="85">
    <w:p w14:paraId="1235DBB2" w14:textId="196AE458"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Nancy Fraser, ‘Reframing Justice in a Globalizing World’, </w:t>
      </w:r>
      <w:r w:rsidRPr="00B067FA">
        <w:rPr>
          <w:rFonts w:ascii="Times New Roman" w:hAnsi="Times New Roman" w:cs="Times New Roman"/>
          <w:i/>
          <w:sz w:val="22"/>
        </w:rPr>
        <w:t xml:space="preserve">New Left Review </w:t>
      </w:r>
      <w:r w:rsidRPr="00B067FA">
        <w:rPr>
          <w:rFonts w:ascii="Times New Roman" w:hAnsi="Times New Roman" w:cs="Times New Roman"/>
          <w:sz w:val="22"/>
        </w:rPr>
        <w:t xml:space="preserve">36 (Nov/Dec 1995: 69-88). </w:t>
      </w:r>
    </w:p>
  </w:endnote>
  <w:endnote w:id="86">
    <w:p w14:paraId="3739F7D5" w14:textId="69E42711"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Fraser, ‘From Redistribution to Recognition?’, ‘Social Justice’. </w:t>
      </w:r>
    </w:p>
  </w:endnote>
  <w:endnote w:id="87">
    <w:p w14:paraId="0FA2DF76" w14:textId="5B5E2296"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Kincheloe and MacLaren, ‘Rethinking Critical Theory’.  </w:t>
      </w:r>
    </w:p>
  </w:endnote>
  <w:endnote w:id="88">
    <w:p w14:paraId="76635ED2" w14:textId="6C9FA6EE"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Andrew Gilbert, ‘The Past in Parenthesis: (Non)Post-Socialism in Post-War Bosnia-Herzegovina’, </w:t>
      </w:r>
      <w:r w:rsidRPr="00B067FA">
        <w:rPr>
          <w:rFonts w:ascii="Times New Roman" w:hAnsi="Times New Roman" w:cs="Times New Roman"/>
          <w:i/>
          <w:sz w:val="22"/>
        </w:rPr>
        <w:t xml:space="preserve">Anthropology Today </w:t>
      </w:r>
      <w:r w:rsidRPr="00B067FA">
        <w:rPr>
          <w:rFonts w:ascii="Times New Roman" w:hAnsi="Times New Roman" w:cs="Times New Roman"/>
          <w:sz w:val="22"/>
        </w:rPr>
        <w:t xml:space="preserve">22(4): 14-18. </w:t>
      </w:r>
    </w:p>
  </w:endnote>
  <w:endnote w:id="89">
    <w:p w14:paraId="5D399DE4" w14:textId="5151A0AD"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Fraser, </w:t>
      </w:r>
      <w:r w:rsidRPr="00B067FA">
        <w:rPr>
          <w:rFonts w:ascii="Times New Roman" w:hAnsi="Times New Roman" w:cs="Times New Roman"/>
          <w:i/>
          <w:sz w:val="22"/>
        </w:rPr>
        <w:t>Justice Interruptus,</w:t>
      </w:r>
      <w:r w:rsidRPr="00B067FA">
        <w:rPr>
          <w:rFonts w:ascii="Times New Roman" w:hAnsi="Times New Roman" w:cs="Times New Roman"/>
          <w:sz w:val="22"/>
        </w:rPr>
        <w:t xml:space="preserve"> p. 3 </w:t>
      </w:r>
    </w:p>
  </w:endnote>
  <w:endnote w:id="90">
    <w:p w14:paraId="066B1A8F" w14:textId="64DA5F4A"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John Torpey, </w:t>
      </w:r>
      <w:r w:rsidRPr="00B067FA">
        <w:rPr>
          <w:rFonts w:ascii="Times New Roman" w:hAnsi="Times New Roman" w:cs="Times New Roman"/>
          <w:i/>
          <w:sz w:val="22"/>
        </w:rPr>
        <w:t>Making Whole What Has Smashed. On Reparation Politics</w:t>
      </w:r>
      <w:r w:rsidRPr="00B067FA">
        <w:rPr>
          <w:rFonts w:ascii="Times New Roman" w:hAnsi="Times New Roman" w:cs="Times New Roman"/>
          <w:sz w:val="22"/>
        </w:rPr>
        <w:t xml:space="preserve"> (Cambridge, MA: Harvard University Press); Gilbert, ‘The Past in Parenthesis’. </w:t>
      </w:r>
    </w:p>
  </w:endnote>
  <w:endnote w:id="91">
    <w:p w14:paraId="55E6948C"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Or, more in general, it is not interesting because of the role assigned to it by positivist case selection strategies. </w:t>
      </w:r>
    </w:p>
  </w:endnote>
  <w:endnote w:id="92">
    <w:p w14:paraId="09DDAC55" w14:textId="67CF57B2"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Schwartz-Shea and Yanow, </w:t>
      </w:r>
      <w:r w:rsidRPr="00B067FA">
        <w:rPr>
          <w:rFonts w:ascii="Times New Roman" w:hAnsi="Times New Roman" w:cs="Times New Roman"/>
          <w:i/>
          <w:sz w:val="22"/>
        </w:rPr>
        <w:t>Interpretive Research Design</w:t>
      </w:r>
      <w:r w:rsidRPr="00B067FA">
        <w:rPr>
          <w:rFonts w:ascii="Times New Roman" w:hAnsi="Times New Roman" w:cs="Times New Roman"/>
          <w:sz w:val="22"/>
        </w:rPr>
        <w:t xml:space="preserve">. </w:t>
      </w:r>
    </w:p>
  </w:endnote>
  <w:endnote w:id="93">
    <w:p w14:paraId="663CAB4A" w14:textId="4081BF9C"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Jennifer Milliken, ‘The Study of Discourse in International Relations: A Critique of Research and Methods’, </w:t>
      </w:r>
      <w:r w:rsidRPr="00B067FA">
        <w:rPr>
          <w:rFonts w:ascii="Times New Roman" w:hAnsi="Times New Roman" w:cs="Times New Roman"/>
          <w:i/>
          <w:sz w:val="22"/>
        </w:rPr>
        <w:t xml:space="preserve">European Journal of International Relations </w:t>
      </w:r>
      <w:r w:rsidRPr="00B067FA">
        <w:rPr>
          <w:rFonts w:ascii="Times New Roman" w:hAnsi="Times New Roman" w:cs="Times New Roman"/>
          <w:sz w:val="22"/>
        </w:rPr>
        <w:t>5(2) (1999), p. 228.</w:t>
      </w:r>
    </w:p>
  </w:endnote>
  <w:endnote w:id="94">
    <w:p w14:paraId="40842BF8" w14:textId="7777777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r w:rsidRPr="00B067FA">
        <w:rPr>
          <w:rFonts w:ascii="Times New Roman" w:hAnsi="Times New Roman" w:cs="Times New Roman"/>
          <w:sz w:val="22"/>
        </w:rPr>
        <w:t>, p. 21.</w:t>
      </w:r>
    </w:p>
  </w:endnote>
  <w:endnote w:id="95">
    <w:p w14:paraId="2997AD20" w14:textId="32C04A37"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Milja Kurki, ‘Stretching Situated Knowledge’.</w:t>
      </w:r>
    </w:p>
  </w:endnote>
  <w:endnote w:id="96">
    <w:p w14:paraId="3AD96AE9" w14:textId="138B57CD" w:rsidR="00B067FA" w:rsidRPr="00B067FA" w:rsidRDefault="00B067FA" w:rsidP="00B067FA">
      <w:pPr>
        <w:pStyle w:val="EndnoteText"/>
        <w:spacing w:after="120"/>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Burawoy, ‘Working in the Tracks of State Socialism’ and Burawoy, ‘The Colour of Class Revisited: Four Decades of Postcolonialism in Zambia’, </w:t>
      </w:r>
      <w:r w:rsidRPr="00B067FA">
        <w:rPr>
          <w:rFonts w:ascii="Times New Roman" w:hAnsi="Times New Roman" w:cs="Times New Roman"/>
          <w:i/>
          <w:sz w:val="22"/>
        </w:rPr>
        <w:t xml:space="preserve">Journal of Southern African Studies </w:t>
      </w:r>
      <w:r w:rsidRPr="00B067FA">
        <w:rPr>
          <w:rFonts w:ascii="Times New Roman" w:hAnsi="Times New Roman" w:cs="Times New Roman"/>
          <w:sz w:val="22"/>
        </w:rPr>
        <w:t xml:space="preserve">40(5) (2014), pp. 961-979. </w:t>
      </w:r>
    </w:p>
  </w:endnote>
  <w:endnote w:id="97">
    <w:p w14:paraId="41E72EA8" w14:textId="0C055F9B" w:rsidR="00B067FA" w:rsidRPr="00B067FA" w:rsidRDefault="00B067FA" w:rsidP="00B067FA">
      <w:pPr>
        <w:pStyle w:val="EndnoteText"/>
        <w:spacing w:after="120"/>
        <w:jc w:val="both"/>
        <w:rPr>
          <w:rFonts w:ascii="Times New Roman" w:hAnsi="Times New Roman" w:cs="Times New Roman"/>
          <w:sz w:val="22"/>
        </w:rPr>
      </w:pPr>
      <w:r w:rsidRPr="00B067FA">
        <w:rPr>
          <w:rStyle w:val="EndnoteReference"/>
          <w:rFonts w:ascii="Times New Roman" w:hAnsi="Times New Roman" w:cs="Times New Roman"/>
          <w:sz w:val="22"/>
        </w:rPr>
        <w:endnoteRef/>
      </w:r>
      <w:r w:rsidRPr="00B067FA">
        <w:rPr>
          <w:rFonts w:ascii="Times New Roman" w:hAnsi="Times New Roman" w:cs="Times New Roman"/>
          <w:sz w:val="22"/>
        </w:rPr>
        <w:t xml:space="preserve"> Jackson, </w:t>
      </w:r>
      <w:r w:rsidRPr="00B067FA">
        <w:rPr>
          <w:rFonts w:ascii="Times New Roman" w:hAnsi="Times New Roman" w:cs="Times New Roman"/>
          <w:i/>
          <w:sz w:val="22"/>
        </w:rPr>
        <w:t>The Conduct of Inquiry</w:t>
      </w:r>
      <w:r w:rsidRPr="00B067FA">
        <w:rPr>
          <w:rFonts w:ascii="Times New Roman" w:hAnsi="Times New Roman" w:cs="Times New Roman"/>
          <w:sz w:val="22"/>
        </w:rPr>
        <w:t xml:space="preserve">, pp. 186-187. He suggests considering the following works as a starting point for such reflections: Clifford Geertz, </w:t>
      </w:r>
      <w:r w:rsidRPr="00B067FA">
        <w:rPr>
          <w:rFonts w:ascii="Times New Roman" w:hAnsi="Times New Roman" w:cs="Times New Roman"/>
          <w:i/>
          <w:sz w:val="22"/>
        </w:rPr>
        <w:t>The Interpretation of Cultures</w:t>
      </w:r>
      <w:r w:rsidRPr="00B067FA">
        <w:rPr>
          <w:rFonts w:ascii="Times New Roman" w:hAnsi="Times New Roman" w:cs="Times New Roman"/>
          <w:sz w:val="22"/>
        </w:rPr>
        <w:t xml:space="preserve"> (New York: Basic Books, 1973); Philipp McMichael, ‘Incorporating Comparison Within a World-Historical Perspective: An Alternative Comparative Method’, </w:t>
      </w:r>
      <w:r w:rsidRPr="00B067FA">
        <w:rPr>
          <w:rFonts w:ascii="Times New Roman" w:hAnsi="Times New Roman" w:cs="Times New Roman"/>
          <w:i/>
          <w:sz w:val="22"/>
        </w:rPr>
        <w:t xml:space="preserve">American Sociological Review </w:t>
      </w:r>
      <w:r w:rsidRPr="00B067FA">
        <w:rPr>
          <w:rFonts w:ascii="Times New Roman" w:hAnsi="Times New Roman" w:cs="Times New Roman"/>
          <w:sz w:val="22"/>
        </w:rPr>
        <w:t>55(3) (1990), pp.  385-397.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69EA" w14:textId="77777777" w:rsidR="00AE17B6" w:rsidRDefault="00AE1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1626457852"/>
      <w:docPartObj>
        <w:docPartGallery w:val="Page Numbers (Bottom of Page)"/>
        <w:docPartUnique/>
      </w:docPartObj>
    </w:sdtPr>
    <w:sdtEndPr>
      <w:rPr>
        <w:noProof/>
      </w:rPr>
    </w:sdtEndPr>
    <w:sdtContent>
      <w:p w14:paraId="70EA3EAE" w14:textId="1C366743" w:rsidR="00AE17B6" w:rsidRPr="00AE17B6" w:rsidRDefault="00AE17B6">
        <w:pPr>
          <w:pStyle w:val="Footer"/>
          <w:jc w:val="center"/>
          <w:rPr>
            <w:rFonts w:ascii="Book Antiqua" w:hAnsi="Book Antiqua"/>
          </w:rPr>
        </w:pPr>
        <w:r w:rsidRPr="00AE17B6">
          <w:rPr>
            <w:rFonts w:ascii="Book Antiqua" w:hAnsi="Book Antiqua"/>
          </w:rPr>
          <w:fldChar w:fldCharType="begin"/>
        </w:r>
        <w:r w:rsidRPr="00AE17B6">
          <w:rPr>
            <w:rFonts w:ascii="Book Antiqua" w:hAnsi="Book Antiqua"/>
          </w:rPr>
          <w:instrText xml:space="preserve"> PAGE   \* MERGEFORMAT </w:instrText>
        </w:r>
        <w:r w:rsidRPr="00AE17B6">
          <w:rPr>
            <w:rFonts w:ascii="Book Antiqua" w:hAnsi="Book Antiqua"/>
          </w:rPr>
          <w:fldChar w:fldCharType="separate"/>
        </w:r>
        <w:r w:rsidRPr="00AE17B6">
          <w:rPr>
            <w:rFonts w:ascii="Book Antiqua" w:hAnsi="Book Antiqua"/>
            <w:noProof/>
          </w:rPr>
          <w:t>2</w:t>
        </w:r>
        <w:r w:rsidRPr="00AE17B6">
          <w:rPr>
            <w:rFonts w:ascii="Book Antiqua" w:hAnsi="Book Antiqua"/>
            <w:noProof/>
          </w:rPr>
          <w:fldChar w:fldCharType="end"/>
        </w:r>
      </w:p>
    </w:sdtContent>
  </w:sdt>
  <w:p w14:paraId="0D7FAA6E" w14:textId="4C8FA557" w:rsidR="004A0086" w:rsidRPr="00AE17B6" w:rsidRDefault="004A0086" w:rsidP="000C3991">
    <w:pPr>
      <w:pStyle w:val="Footer"/>
      <w:jc w:val="center"/>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8369" w14:textId="77777777" w:rsidR="00AE17B6" w:rsidRDefault="00AE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85298" w14:textId="77777777" w:rsidR="00D7568D" w:rsidRDefault="00D7568D" w:rsidP="00F80919">
      <w:pPr>
        <w:spacing w:after="0" w:line="240" w:lineRule="auto"/>
      </w:pPr>
      <w:r>
        <w:separator/>
      </w:r>
    </w:p>
  </w:footnote>
  <w:footnote w:type="continuationSeparator" w:id="0">
    <w:p w14:paraId="2FA5389A" w14:textId="77777777" w:rsidR="00D7568D" w:rsidRDefault="00D7568D" w:rsidP="00F80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AD66" w14:textId="77777777" w:rsidR="00AE17B6" w:rsidRDefault="00AE1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C0CA" w14:textId="77777777" w:rsidR="00AE17B6" w:rsidRDefault="00AE1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3D8C" w14:textId="77777777" w:rsidR="00AE17B6" w:rsidRDefault="00AE1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5BF"/>
    <w:multiLevelType w:val="multilevel"/>
    <w:tmpl w:val="D06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D24987"/>
    <w:multiLevelType w:val="hybridMultilevel"/>
    <w:tmpl w:val="FA32E2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A683B"/>
    <w:multiLevelType w:val="hybridMultilevel"/>
    <w:tmpl w:val="342E0EA4"/>
    <w:lvl w:ilvl="0" w:tplc="ACEC4C8E">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86"/>
    <w:rsid w:val="000005F3"/>
    <w:rsid w:val="00014584"/>
    <w:rsid w:val="00014930"/>
    <w:rsid w:val="000205E1"/>
    <w:rsid w:val="00025872"/>
    <w:rsid w:val="00030884"/>
    <w:rsid w:val="00031388"/>
    <w:rsid w:val="00031498"/>
    <w:rsid w:val="0004345A"/>
    <w:rsid w:val="00052367"/>
    <w:rsid w:val="00080172"/>
    <w:rsid w:val="000813C4"/>
    <w:rsid w:val="0008594C"/>
    <w:rsid w:val="000907A4"/>
    <w:rsid w:val="00090DE0"/>
    <w:rsid w:val="000A2858"/>
    <w:rsid w:val="000A3C78"/>
    <w:rsid w:val="000A59F5"/>
    <w:rsid w:val="000A69C1"/>
    <w:rsid w:val="000B026C"/>
    <w:rsid w:val="000C3991"/>
    <w:rsid w:val="000C669E"/>
    <w:rsid w:val="000D3772"/>
    <w:rsid w:val="000F4D64"/>
    <w:rsid w:val="0011077A"/>
    <w:rsid w:val="0011153C"/>
    <w:rsid w:val="00120A25"/>
    <w:rsid w:val="00121DE3"/>
    <w:rsid w:val="0013697F"/>
    <w:rsid w:val="00144CE2"/>
    <w:rsid w:val="00144E75"/>
    <w:rsid w:val="001454B5"/>
    <w:rsid w:val="00151F69"/>
    <w:rsid w:val="00151F82"/>
    <w:rsid w:val="001609CC"/>
    <w:rsid w:val="001623B3"/>
    <w:rsid w:val="001768E2"/>
    <w:rsid w:val="00180A5C"/>
    <w:rsid w:val="0018359A"/>
    <w:rsid w:val="00184CE9"/>
    <w:rsid w:val="001902D2"/>
    <w:rsid w:val="00193768"/>
    <w:rsid w:val="00196717"/>
    <w:rsid w:val="00196B17"/>
    <w:rsid w:val="001972DC"/>
    <w:rsid w:val="001A57F1"/>
    <w:rsid w:val="001A7193"/>
    <w:rsid w:val="001B10E7"/>
    <w:rsid w:val="001B5099"/>
    <w:rsid w:val="001C0ABE"/>
    <w:rsid w:val="001C1753"/>
    <w:rsid w:val="001D1597"/>
    <w:rsid w:val="001D5D03"/>
    <w:rsid w:val="001D6BEB"/>
    <w:rsid w:val="001E5786"/>
    <w:rsid w:val="001F3135"/>
    <w:rsid w:val="001F5629"/>
    <w:rsid w:val="001F7C82"/>
    <w:rsid w:val="00205B96"/>
    <w:rsid w:val="00214230"/>
    <w:rsid w:val="0021635F"/>
    <w:rsid w:val="0022347B"/>
    <w:rsid w:val="00224442"/>
    <w:rsid w:val="00226D24"/>
    <w:rsid w:val="002410C6"/>
    <w:rsid w:val="0025089C"/>
    <w:rsid w:val="00262F86"/>
    <w:rsid w:val="002660FD"/>
    <w:rsid w:val="00272016"/>
    <w:rsid w:val="0027778B"/>
    <w:rsid w:val="0028212B"/>
    <w:rsid w:val="00282DC7"/>
    <w:rsid w:val="00283214"/>
    <w:rsid w:val="00295802"/>
    <w:rsid w:val="002A37C3"/>
    <w:rsid w:val="002A438A"/>
    <w:rsid w:val="002A52FA"/>
    <w:rsid w:val="002A5368"/>
    <w:rsid w:val="002A6D92"/>
    <w:rsid w:val="002B32CE"/>
    <w:rsid w:val="002B42BB"/>
    <w:rsid w:val="002C1614"/>
    <w:rsid w:val="002C2C59"/>
    <w:rsid w:val="002C4462"/>
    <w:rsid w:val="002D5C86"/>
    <w:rsid w:val="002D7C54"/>
    <w:rsid w:val="002E0D64"/>
    <w:rsid w:val="002F1167"/>
    <w:rsid w:val="002F2AEA"/>
    <w:rsid w:val="00320BB4"/>
    <w:rsid w:val="003306D8"/>
    <w:rsid w:val="00335156"/>
    <w:rsid w:val="003528C3"/>
    <w:rsid w:val="003612D4"/>
    <w:rsid w:val="00364F53"/>
    <w:rsid w:val="00371523"/>
    <w:rsid w:val="00374D33"/>
    <w:rsid w:val="00381582"/>
    <w:rsid w:val="003936DA"/>
    <w:rsid w:val="00394A14"/>
    <w:rsid w:val="003979A8"/>
    <w:rsid w:val="003A186B"/>
    <w:rsid w:val="003A3B87"/>
    <w:rsid w:val="003A53DF"/>
    <w:rsid w:val="003A661E"/>
    <w:rsid w:val="003A7496"/>
    <w:rsid w:val="003C0ACC"/>
    <w:rsid w:val="003C432D"/>
    <w:rsid w:val="003D3FE5"/>
    <w:rsid w:val="003D6A1C"/>
    <w:rsid w:val="003D7585"/>
    <w:rsid w:val="003E285C"/>
    <w:rsid w:val="003F16E0"/>
    <w:rsid w:val="003F2DDF"/>
    <w:rsid w:val="004044BE"/>
    <w:rsid w:val="004126CF"/>
    <w:rsid w:val="00412F67"/>
    <w:rsid w:val="00413B64"/>
    <w:rsid w:val="00417D66"/>
    <w:rsid w:val="004250C2"/>
    <w:rsid w:val="00432693"/>
    <w:rsid w:val="004332A8"/>
    <w:rsid w:val="00441AEC"/>
    <w:rsid w:val="004432C9"/>
    <w:rsid w:val="004654AD"/>
    <w:rsid w:val="00470E3D"/>
    <w:rsid w:val="004743FB"/>
    <w:rsid w:val="00474A7F"/>
    <w:rsid w:val="00477227"/>
    <w:rsid w:val="004850E4"/>
    <w:rsid w:val="00485A1A"/>
    <w:rsid w:val="00485A3F"/>
    <w:rsid w:val="00486427"/>
    <w:rsid w:val="0049208B"/>
    <w:rsid w:val="0049491D"/>
    <w:rsid w:val="00495FF2"/>
    <w:rsid w:val="0049607D"/>
    <w:rsid w:val="00497AC4"/>
    <w:rsid w:val="004A0086"/>
    <w:rsid w:val="004A4009"/>
    <w:rsid w:val="004B04BE"/>
    <w:rsid w:val="004B1144"/>
    <w:rsid w:val="004B1D2E"/>
    <w:rsid w:val="004B4632"/>
    <w:rsid w:val="004C07BC"/>
    <w:rsid w:val="004C6ADF"/>
    <w:rsid w:val="004E292B"/>
    <w:rsid w:val="004E2EB4"/>
    <w:rsid w:val="004F0AF1"/>
    <w:rsid w:val="004F7C3E"/>
    <w:rsid w:val="00500384"/>
    <w:rsid w:val="00500DDB"/>
    <w:rsid w:val="0051142E"/>
    <w:rsid w:val="005342AF"/>
    <w:rsid w:val="00536174"/>
    <w:rsid w:val="00536308"/>
    <w:rsid w:val="0054225F"/>
    <w:rsid w:val="00547462"/>
    <w:rsid w:val="00551832"/>
    <w:rsid w:val="005534B1"/>
    <w:rsid w:val="00556FC8"/>
    <w:rsid w:val="005654E3"/>
    <w:rsid w:val="005659BD"/>
    <w:rsid w:val="0057761A"/>
    <w:rsid w:val="00582E7E"/>
    <w:rsid w:val="00584885"/>
    <w:rsid w:val="005850DE"/>
    <w:rsid w:val="005A4377"/>
    <w:rsid w:val="005B40A3"/>
    <w:rsid w:val="005B4DAE"/>
    <w:rsid w:val="005D1BF5"/>
    <w:rsid w:val="005D6DF3"/>
    <w:rsid w:val="005E1E93"/>
    <w:rsid w:val="005F3227"/>
    <w:rsid w:val="005F6D30"/>
    <w:rsid w:val="0060185B"/>
    <w:rsid w:val="00610083"/>
    <w:rsid w:val="00616A71"/>
    <w:rsid w:val="006202E4"/>
    <w:rsid w:val="00621356"/>
    <w:rsid w:val="006254F7"/>
    <w:rsid w:val="00627D27"/>
    <w:rsid w:val="0063188C"/>
    <w:rsid w:val="0063260E"/>
    <w:rsid w:val="00634057"/>
    <w:rsid w:val="00640A6C"/>
    <w:rsid w:val="00645118"/>
    <w:rsid w:val="00647F1C"/>
    <w:rsid w:val="00651AAB"/>
    <w:rsid w:val="00651D27"/>
    <w:rsid w:val="006554D7"/>
    <w:rsid w:val="006558A4"/>
    <w:rsid w:val="00656A3D"/>
    <w:rsid w:val="00660933"/>
    <w:rsid w:val="00672C15"/>
    <w:rsid w:val="00675209"/>
    <w:rsid w:val="00675DF5"/>
    <w:rsid w:val="00676F7B"/>
    <w:rsid w:val="00683CCF"/>
    <w:rsid w:val="0068596D"/>
    <w:rsid w:val="00691A17"/>
    <w:rsid w:val="006928FC"/>
    <w:rsid w:val="00693C4D"/>
    <w:rsid w:val="006A6D44"/>
    <w:rsid w:val="006B157A"/>
    <w:rsid w:val="006B6E95"/>
    <w:rsid w:val="006C77F3"/>
    <w:rsid w:val="006D3016"/>
    <w:rsid w:val="006D3C2E"/>
    <w:rsid w:val="006E4890"/>
    <w:rsid w:val="006F3D1F"/>
    <w:rsid w:val="006F60E5"/>
    <w:rsid w:val="00702F98"/>
    <w:rsid w:val="00705AAF"/>
    <w:rsid w:val="00707028"/>
    <w:rsid w:val="00715DAF"/>
    <w:rsid w:val="0072715A"/>
    <w:rsid w:val="00735546"/>
    <w:rsid w:val="0074139C"/>
    <w:rsid w:val="00744B6A"/>
    <w:rsid w:val="0074585C"/>
    <w:rsid w:val="00746730"/>
    <w:rsid w:val="00747CE5"/>
    <w:rsid w:val="007514FD"/>
    <w:rsid w:val="0075492A"/>
    <w:rsid w:val="007679CA"/>
    <w:rsid w:val="00767F50"/>
    <w:rsid w:val="00770DAC"/>
    <w:rsid w:val="00771BD9"/>
    <w:rsid w:val="00773AA3"/>
    <w:rsid w:val="007826C2"/>
    <w:rsid w:val="007903C6"/>
    <w:rsid w:val="0079165D"/>
    <w:rsid w:val="007A453C"/>
    <w:rsid w:val="007B33A4"/>
    <w:rsid w:val="007C65F9"/>
    <w:rsid w:val="007D0DE2"/>
    <w:rsid w:val="007F2655"/>
    <w:rsid w:val="007F3634"/>
    <w:rsid w:val="007F4BAD"/>
    <w:rsid w:val="007F4EFD"/>
    <w:rsid w:val="007F7026"/>
    <w:rsid w:val="007F7E3C"/>
    <w:rsid w:val="008053F6"/>
    <w:rsid w:val="00810875"/>
    <w:rsid w:val="0081130A"/>
    <w:rsid w:val="00812D37"/>
    <w:rsid w:val="00813BAF"/>
    <w:rsid w:val="00833369"/>
    <w:rsid w:val="008408A7"/>
    <w:rsid w:val="00841187"/>
    <w:rsid w:val="00841930"/>
    <w:rsid w:val="00844290"/>
    <w:rsid w:val="00873A17"/>
    <w:rsid w:val="00891022"/>
    <w:rsid w:val="00891FE1"/>
    <w:rsid w:val="00895D11"/>
    <w:rsid w:val="008A1A9D"/>
    <w:rsid w:val="008C2D6D"/>
    <w:rsid w:val="008C519B"/>
    <w:rsid w:val="008D2F9B"/>
    <w:rsid w:val="008D3961"/>
    <w:rsid w:val="008D7A51"/>
    <w:rsid w:val="008E1343"/>
    <w:rsid w:val="008E409C"/>
    <w:rsid w:val="008E45DA"/>
    <w:rsid w:val="008E56E2"/>
    <w:rsid w:val="008E7896"/>
    <w:rsid w:val="008F58A3"/>
    <w:rsid w:val="00900301"/>
    <w:rsid w:val="00912584"/>
    <w:rsid w:val="009134FD"/>
    <w:rsid w:val="00921E63"/>
    <w:rsid w:val="0093273F"/>
    <w:rsid w:val="009362EC"/>
    <w:rsid w:val="00940F25"/>
    <w:rsid w:val="00944E8C"/>
    <w:rsid w:val="0094680D"/>
    <w:rsid w:val="00956961"/>
    <w:rsid w:val="009768CB"/>
    <w:rsid w:val="00977992"/>
    <w:rsid w:val="00977D3E"/>
    <w:rsid w:val="009811EB"/>
    <w:rsid w:val="00984DFE"/>
    <w:rsid w:val="00991C0A"/>
    <w:rsid w:val="00992547"/>
    <w:rsid w:val="009A00C6"/>
    <w:rsid w:val="009B7041"/>
    <w:rsid w:val="009C184A"/>
    <w:rsid w:val="009C1A78"/>
    <w:rsid w:val="009D5545"/>
    <w:rsid w:val="009E1CC1"/>
    <w:rsid w:val="009E49D7"/>
    <w:rsid w:val="009F16EE"/>
    <w:rsid w:val="009F1EF8"/>
    <w:rsid w:val="00A003EF"/>
    <w:rsid w:val="00A0417D"/>
    <w:rsid w:val="00A057F2"/>
    <w:rsid w:val="00A103C9"/>
    <w:rsid w:val="00A16AC1"/>
    <w:rsid w:val="00A21BB4"/>
    <w:rsid w:val="00A22C06"/>
    <w:rsid w:val="00A22E37"/>
    <w:rsid w:val="00A43132"/>
    <w:rsid w:val="00A436EE"/>
    <w:rsid w:val="00A45DFC"/>
    <w:rsid w:val="00A51F30"/>
    <w:rsid w:val="00A665E2"/>
    <w:rsid w:val="00A66916"/>
    <w:rsid w:val="00A677C0"/>
    <w:rsid w:val="00A70067"/>
    <w:rsid w:val="00A7374D"/>
    <w:rsid w:val="00A83255"/>
    <w:rsid w:val="00A846AD"/>
    <w:rsid w:val="00A84B69"/>
    <w:rsid w:val="00A85307"/>
    <w:rsid w:val="00A921B4"/>
    <w:rsid w:val="00A970F8"/>
    <w:rsid w:val="00AA1220"/>
    <w:rsid w:val="00AB1CA3"/>
    <w:rsid w:val="00AC426B"/>
    <w:rsid w:val="00AC528E"/>
    <w:rsid w:val="00AD1BD9"/>
    <w:rsid w:val="00AD2CFF"/>
    <w:rsid w:val="00AD74E4"/>
    <w:rsid w:val="00AE17B6"/>
    <w:rsid w:val="00AE380E"/>
    <w:rsid w:val="00AE5E62"/>
    <w:rsid w:val="00AF2B14"/>
    <w:rsid w:val="00AF4622"/>
    <w:rsid w:val="00AF62D6"/>
    <w:rsid w:val="00B037B0"/>
    <w:rsid w:val="00B067FA"/>
    <w:rsid w:val="00B127DE"/>
    <w:rsid w:val="00B158E3"/>
    <w:rsid w:val="00B15C09"/>
    <w:rsid w:val="00B30AD1"/>
    <w:rsid w:val="00B31784"/>
    <w:rsid w:val="00B35754"/>
    <w:rsid w:val="00B4035C"/>
    <w:rsid w:val="00B416C5"/>
    <w:rsid w:val="00B42AFE"/>
    <w:rsid w:val="00B4733D"/>
    <w:rsid w:val="00B51315"/>
    <w:rsid w:val="00B53173"/>
    <w:rsid w:val="00B67E97"/>
    <w:rsid w:val="00B7640F"/>
    <w:rsid w:val="00B768DB"/>
    <w:rsid w:val="00B770CF"/>
    <w:rsid w:val="00BB221E"/>
    <w:rsid w:val="00BB5240"/>
    <w:rsid w:val="00BC3D1C"/>
    <w:rsid w:val="00BC7A7B"/>
    <w:rsid w:val="00BD0665"/>
    <w:rsid w:val="00BD4909"/>
    <w:rsid w:val="00BF6782"/>
    <w:rsid w:val="00BF701D"/>
    <w:rsid w:val="00C114B9"/>
    <w:rsid w:val="00C1290B"/>
    <w:rsid w:val="00C144A7"/>
    <w:rsid w:val="00C152FC"/>
    <w:rsid w:val="00C20B63"/>
    <w:rsid w:val="00C224C7"/>
    <w:rsid w:val="00C42C18"/>
    <w:rsid w:val="00C439FF"/>
    <w:rsid w:val="00C47447"/>
    <w:rsid w:val="00C5077C"/>
    <w:rsid w:val="00C51412"/>
    <w:rsid w:val="00C62669"/>
    <w:rsid w:val="00C65406"/>
    <w:rsid w:val="00C65C50"/>
    <w:rsid w:val="00C70BCC"/>
    <w:rsid w:val="00C76A8C"/>
    <w:rsid w:val="00C76B50"/>
    <w:rsid w:val="00C87FAB"/>
    <w:rsid w:val="00CA0781"/>
    <w:rsid w:val="00CA266A"/>
    <w:rsid w:val="00CB3D26"/>
    <w:rsid w:val="00CB41FC"/>
    <w:rsid w:val="00CB6591"/>
    <w:rsid w:val="00CB7104"/>
    <w:rsid w:val="00CB7891"/>
    <w:rsid w:val="00CC197A"/>
    <w:rsid w:val="00CC598F"/>
    <w:rsid w:val="00CC768F"/>
    <w:rsid w:val="00CD0185"/>
    <w:rsid w:val="00CD42AA"/>
    <w:rsid w:val="00CE0030"/>
    <w:rsid w:val="00CE19EC"/>
    <w:rsid w:val="00CE3ACD"/>
    <w:rsid w:val="00CE418E"/>
    <w:rsid w:val="00CE6340"/>
    <w:rsid w:val="00D00627"/>
    <w:rsid w:val="00D00B16"/>
    <w:rsid w:val="00D0571B"/>
    <w:rsid w:val="00D14051"/>
    <w:rsid w:val="00D219B5"/>
    <w:rsid w:val="00D23CD3"/>
    <w:rsid w:val="00D26CE3"/>
    <w:rsid w:val="00D3038D"/>
    <w:rsid w:val="00D33196"/>
    <w:rsid w:val="00D40227"/>
    <w:rsid w:val="00D411E7"/>
    <w:rsid w:val="00D5566E"/>
    <w:rsid w:val="00D55E41"/>
    <w:rsid w:val="00D7568D"/>
    <w:rsid w:val="00D960E4"/>
    <w:rsid w:val="00DA3936"/>
    <w:rsid w:val="00DA7141"/>
    <w:rsid w:val="00DB614C"/>
    <w:rsid w:val="00DB6899"/>
    <w:rsid w:val="00DC54AF"/>
    <w:rsid w:val="00DD5E4A"/>
    <w:rsid w:val="00DD6D02"/>
    <w:rsid w:val="00DE3521"/>
    <w:rsid w:val="00DE41FB"/>
    <w:rsid w:val="00DF6395"/>
    <w:rsid w:val="00E35FC4"/>
    <w:rsid w:val="00E37522"/>
    <w:rsid w:val="00E40A0F"/>
    <w:rsid w:val="00E41E0F"/>
    <w:rsid w:val="00E51379"/>
    <w:rsid w:val="00E5458D"/>
    <w:rsid w:val="00E5694C"/>
    <w:rsid w:val="00E61E80"/>
    <w:rsid w:val="00E65D5D"/>
    <w:rsid w:val="00E66D77"/>
    <w:rsid w:val="00E731FE"/>
    <w:rsid w:val="00E739BA"/>
    <w:rsid w:val="00E7571C"/>
    <w:rsid w:val="00E874E2"/>
    <w:rsid w:val="00E87FBD"/>
    <w:rsid w:val="00E94E09"/>
    <w:rsid w:val="00EB0B8A"/>
    <w:rsid w:val="00EB275C"/>
    <w:rsid w:val="00F0200C"/>
    <w:rsid w:val="00F049BB"/>
    <w:rsid w:val="00F078C6"/>
    <w:rsid w:val="00F10087"/>
    <w:rsid w:val="00F16C97"/>
    <w:rsid w:val="00F23288"/>
    <w:rsid w:val="00F25B76"/>
    <w:rsid w:val="00F35900"/>
    <w:rsid w:val="00F411FC"/>
    <w:rsid w:val="00F4178D"/>
    <w:rsid w:val="00F4611F"/>
    <w:rsid w:val="00F46D10"/>
    <w:rsid w:val="00F543E0"/>
    <w:rsid w:val="00F55107"/>
    <w:rsid w:val="00F75971"/>
    <w:rsid w:val="00F80919"/>
    <w:rsid w:val="00F80CC2"/>
    <w:rsid w:val="00F91266"/>
    <w:rsid w:val="00FA42AB"/>
    <w:rsid w:val="00FA6471"/>
    <w:rsid w:val="00FA7F44"/>
    <w:rsid w:val="00FB3554"/>
    <w:rsid w:val="00FB5811"/>
    <w:rsid w:val="00FC4F1B"/>
    <w:rsid w:val="00FD2178"/>
    <w:rsid w:val="00FF06E7"/>
    <w:rsid w:val="00FF39BF"/>
    <w:rsid w:val="00FF5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D1F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91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091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F80919"/>
    <w:rPr>
      <w:sz w:val="20"/>
      <w:szCs w:val="20"/>
    </w:rPr>
  </w:style>
  <w:style w:type="character" w:styleId="FootnoteReference">
    <w:name w:val="footnote reference"/>
    <w:basedOn w:val="DefaultParagraphFont"/>
    <w:uiPriority w:val="99"/>
    <w:semiHidden/>
    <w:unhideWhenUsed/>
    <w:rsid w:val="00F80919"/>
    <w:rPr>
      <w:vertAlign w:val="superscript"/>
    </w:rPr>
  </w:style>
  <w:style w:type="character" w:styleId="Hyperlink">
    <w:name w:val="Hyperlink"/>
    <w:basedOn w:val="DefaultParagraphFont"/>
    <w:uiPriority w:val="99"/>
    <w:unhideWhenUsed/>
    <w:rsid w:val="00F80919"/>
    <w:rPr>
      <w:color w:val="0563C1" w:themeColor="hyperlink"/>
      <w:u w:val="single"/>
    </w:rPr>
  </w:style>
  <w:style w:type="character" w:styleId="CommentReference">
    <w:name w:val="annotation reference"/>
    <w:basedOn w:val="DefaultParagraphFont"/>
    <w:uiPriority w:val="99"/>
    <w:semiHidden/>
    <w:unhideWhenUsed/>
    <w:rsid w:val="001609CC"/>
    <w:rPr>
      <w:sz w:val="16"/>
      <w:szCs w:val="16"/>
    </w:rPr>
  </w:style>
  <w:style w:type="paragraph" w:styleId="CommentText">
    <w:name w:val="annotation text"/>
    <w:basedOn w:val="Normal"/>
    <w:link w:val="CommentTextChar"/>
    <w:uiPriority w:val="99"/>
    <w:semiHidden/>
    <w:unhideWhenUsed/>
    <w:rsid w:val="001609CC"/>
    <w:pPr>
      <w:spacing w:line="240" w:lineRule="auto"/>
    </w:pPr>
    <w:rPr>
      <w:sz w:val="20"/>
      <w:szCs w:val="20"/>
    </w:rPr>
  </w:style>
  <w:style w:type="character" w:customStyle="1" w:styleId="CommentTextChar">
    <w:name w:val="Comment Text Char"/>
    <w:basedOn w:val="DefaultParagraphFont"/>
    <w:link w:val="CommentText"/>
    <w:uiPriority w:val="99"/>
    <w:semiHidden/>
    <w:rsid w:val="001609CC"/>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609CC"/>
    <w:rPr>
      <w:b/>
      <w:bCs/>
    </w:rPr>
  </w:style>
  <w:style w:type="character" w:customStyle="1" w:styleId="CommentSubjectChar">
    <w:name w:val="Comment Subject Char"/>
    <w:basedOn w:val="CommentTextChar"/>
    <w:link w:val="CommentSubject"/>
    <w:uiPriority w:val="99"/>
    <w:semiHidden/>
    <w:rsid w:val="001609CC"/>
    <w:rPr>
      <w:rFonts w:eastAsiaTheme="minorEastAsia"/>
      <w:b/>
      <w:bCs/>
      <w:sz w:val="20"/>
      <w:szCs w:val="20"/>
      <w:lang w:eastAsia="zh-CN"/>
    </w:rPr>
  </w:style>
  <w:style w:type="paragraph" w:styleId="BalloonText">
    <w:name w:val="Balloon Text"/>
    <w:basedOn w:val="Normal"/>
    <w:link w:val="BalloonTextChar"/>
    <w:uiPriority w:val="99"/>
    <w:semiHidden/>
    <w:unhideWhenUsed/>
    <w:rsid w:val="00160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9CC"/>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0C3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991"/>
    <w:rPr>
      <w:rFonts w:eastAsiaTheme="minorEastAsia"/>
      <w:lang w:eastAsia="zh-CN"/>
    </w:rPr>
  </w:style>
  <w:style w:type="paragraph" w:styleId="Footer">
    <w:name w:val="footer"/>
    <w:basedOn w:val="Normal"/>
    <w:link w:val="FooterChar"/>
    <w:uiPriority w:val="99"/>
    <w:unhideWhenUsed/>
    <w:rsid w:val="000C3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991"/>
    <w:rPr>
      <w:rFonts w:eastAsiaTheme="minorEastAsia"/>
      <w:lang w:eastAsia="zh-CN"/>
    </w:rPr>
  </w:style>
  <w:style w:type="character" w:customStyle="1" w:styleId="Mention1">
    <w:name w:val="Mention1"/>
    <w:basedOn w:val="DefaultParagraphFont"/>
    <w:uiPriority w:val="99"/>
    <w:semiHidden/>
    <w:unhideWhenUsed/>
    <w:rsid w:val="00645118"/>
    <w:rPr>
      <w:color w:val="2B579A"/>
      <w:shd w:val="clear" w:color="auto" w:fill="E6E6E6"/>
    </w:rPr>
  </w:style>
  <w:style w:type="paragraph" w:styleId="Revision">
    <w:name w:val="Revision"/>
    <w:hidden/>
    <w:uiPriority w:val="99"/>
    <w:semiHidden/>
    <w:rsid w:val="00DF6395"/>
    <w:pPr>
      <w:spacing w:after="0" w:line="240" w:lineRule="auto"/>
    </w:pPr>
    <w:rPr>
      <w:rFonts w:eastAsiaTheme="minorEastAsia"/>
      <w:lang w:eastAsia="zh-CN"/>
    </w:rPr>
  </w:style>
  <w:style w:type="paragraph" w:styleId="EndnoteText">
    <w:name w:val="endnote text"/>
    <w:basedOn w:val="Normal"/>
    <w:link w:val="EndnoteTextChar"/>
    <w:uiPriority w:val="99"/>
    <w:semiHidden/>
    <w:unhideWhenUsed/>
    <w:rsid w:val="00B06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67FA"/>
    <w:rPr>
      <w:rFonts w:eastAsiaTheme="minorEastAsia"/>
      <w:sz w:val="20"/>
      <w:szCs w:val="20"/>
      <w:lang w:eastAsia="zh-CN"/>
    </w:rPr>
  </w:style>
  <w:style w:type="character" w:styleId="EndnoteReference">
    <w:name w:val="endnote reference"/>
    <w:basedOn w:val="DefaultParagraphFont"/>
    <w:uiPriority w:val="99"/>
    <w:semiHidden/>
    <w:unhideWhenUsed/>
    <w:rsid w:val="00B067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6788">
      <w:bodyDiv w:val="1"/>
      <w:marLeft w:val="0"/>
      <w:marRight w:val="0"/>
      <w:marTop w:val="0"/>
      <w:marBottom w:val="0"/>
      <w:divBdr>
        <w:top w:val="none" w:sz="0" w:space="0" w:color="auto"/>
        <w:left w:val="none" w:sz="0" w:space="0" w:color="auto"/>
        <w:bottom w:val="none" w:sz="0" w:space="0" w:color="auto"/>
        <w:right w:val="none" w:sz="0" w:space="0" w:color="auto"/>
      </w:divBdr>
    </w:div>
    <w:div w:id="14662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4BCF-BE68-4F81-9EFB-51058238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8299</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2018-09-27T11:00:00Z</dcterms:created>
  <dcterms:modified xsi:type="dcterms:W3CDTF">2018-11-19T11:24:00Z</dcterms:modified>
</cp:coreProperties>
</file>