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FDE368" w14:textId="4375335D" w:rsidR="00FC7164" w:rsidRPr="002B6873" w:rsidRDefault="004A5167" w:rsidP="00084CB9">
      <w:pPr>
        <w:pStyle w:val="Arttitle"/>
        <w:spacing w:line="480" w:lineRule="auto"/>
        <w:jc w:val="center"/>
      </w:pPr>
      <w:bookmarkStart w:id="0" w:name="_GoBack"/>
      <w:bookmarkEnd w:id="0"/>
      <w:r w:rsidRPr="002B6873">
        <w:t xml:space="preserve">Reconstructing </w:t>
      </w:r>
      <w:proofErr w:type="spellStart"/>
      <w:r w:rsidRPr="002B6873">
        <w:t>Tonian</w:t>
      </w:r>
      <w:proofErr w:type="spellEnd"/>
      <w:r w:rsidR="006A6891" w:rsidRPr="002B6873">
        <w:t xml:space="preserve"> seawater</w:t>
      </w:r>
      <w:r w:rsidR="0084476D" w:rsidRPr="002B6873">
        <w:t xml:space="preserve"> </w:t>
      </w:r>
      <w:r w:rsidR="00F67444" w:rsidRPr="002B6873">
        <w:rPr>
          <w:vertAlign w:val="superscript"/>
        </w:rPr>
        <w:t>87</w:t>
      </w:r>
      <w:r w:rsidR="00F67444" w:rsidRPr="002B6873">
        <w:t>Sr/</w:t>
      </w:r>
      <w:r w:rsidR="00F67444" w:rsidRPr="002B6873">
        <w:rPr>
          <w:vertAlign w:val="superscript"/>
        </w:rPr>
        <w:t>86</w:t>
      </w:r>
      <w:r w:rsidR="00F67444" w:rsidRPr="002B6873">
        <w:t>S</w:t>
      </w:r>
      <w:r w:rsidR="002C6FEB" w:rsidRPr="002B6873">
        <w:t>r</w:t>
      </w:r>
      <w:r w:rsidR="008B72B1" w:rsidRPr="002B6873">
        <w:t xml:space="preserve"> using calcite </w:t>
      </w:r>
      <w:proofErr w:type="spellStart"/>
      <w:r w:rsidR="008B72B1" w:rsidRPr="002B6873">
        <w:t>microspar</w:t>
      </w:r>
      <w:proofErr w:type="spellEnd"/>
    </w:p>
    <w:p w14:paraId="1E1E1495" w14:textId="77777777" w:rsidR="002311CE" w:rsidRPr="002B6873" w:rsidRDefault="002311CE" w:rsidP="002311CE">
      <w:pPr>
        <w:pStyle w:val="Author"/>
        <w:spacing w:line="480" w:lineRule="auto"/>
      </w:pPr>
      <w:r w:rsidRPr="002B6873">
        <w:t>Ying Zhou</w:t>
      </w:r>
      <w:r w:rsidRPr="002B6873">
        <w:rPr>
          <w:vertAlign w:val="superscript"/>
        </w:rPr>
        <w:t>1</w:t>
      </w:r>
      <w:r w:rsidRPr="002B6873">
        <w:t xml:space="preserve">, Philip A.E. </w:t>
      </w:r>
      <w:proofErr w:type="spellStart"/>
      <w:r w:rsidRPr="002B6873">
        <w:t>Pogge</w:t>
      </w:r>
      <w:proofErr w:type="spellEnd"/>
      <w:r w:rsidRPr="002B6873">
        <w:t xml:space="preserve"> von Strandmann</w:t>
      </w:r>
      <w:r w:rsidRPr="002B6873">
        <w:rPr>
          <w:vertAlign w:val="superscript"/>
        </w:rPr>
        <w:t>1</w:t>
      </w:r>
      <w:r w:rsidRPr="002B6873">
        <w:t xml:space="preserve">, </w:t>
      </w:r>
      <w:proofErr w:type="spellStart"/>
      <w:r w:rsidRPr="002B6873">
        <w:t>Maoyan</w:t>
      </w:r>
      <w:proofErr w:type="spellEnd"/>
      <w:r w:rsidRPr="002B6873">
        <w:t xml:space="preserve"> Zhu</w:t>
      </w:r>
      <w:r w:rsidRPr="002B6873">
        <w:rPr>
          <w:vertAlign w:val="superscript"/>
        </w:rPr>
        <w:t>2,3</w:t>
      </w:r>
      <w:r w:rsidRPr="002B6873">
        <w:t xml:space="preserve">, </w:t>
      </w:r>
      <w:proofErr w:type="spellStart"/>
      <w:r w:rsidRPr="002B6873">
        <w:t>Hongfei</w:t>
      </w:r>
      <w:proofErr w:type="spellEnd"/>
      <w:r w:rsidRPr="002B6873">
        <w:t xml:space="preserve"> Ling</w:t>
      </w:r>
      <w:r w:rsidRPr="002B6873">
        <w:rPr>
          <w:vertAlign w:val="superscript"/>
        </w:rPr>
        <w:t>4</w:t>
      </w:r>
      <w:r w:rsidRPr="002B6873">
        <w:t>, Christina Manning</w:t>
      </w:r>
      <w:r w:rsidRPr="002B6873">
        <w:rPr>
          <w:vertAlign w:val="superscript"/>
        </w:rPr>
        <w:t>5</w:t>
      </w:r>
      <w:r w:rsidRPr="002B6873">
        <w:t>, Da Li</w:t>
      </w:r>
      <w:r w:rsidRPr="002B6873">
        <w:rPr>
          <w:vertAlign w:val="superscript"/>
        </w:rPr>
        <w:t>4</w:t>
      </w:r>
      <w:r w:rsidRPr="002B6873">
        <w:t xml:space="preserve">, </w:t>
      </w:r>
      <w:proofErr w:type="spellStart"/>
      <w:r w:rsidRPr="002B6873">
        <w:t>Tianchen</w:t>
      </w:r>
      <w:proofErr w:type="spellEnd"/>
      <w:r w:rsidRPr="002B6873">
        <w:t xml:space="preserve"> He</w:t>
      </w:r>
      <w:r w:rsidRPr="002B6873">
        <w:rPr>
          <w:vertAlign w:val="superscript"/>
        </w:rPr>
        <w:t>6</w:t>
      </w:r>
      <w:r w:rsidRPr="002B6873">
        <w:t xml:space="preserve"> and Graham A. Shields</w:t>
      </w:r>
      <w:r w:rsidRPr="002B6873">
        <w:rPr>
          <w:vertAlign w:val="superscript"/>
        </w:rPr>
        <w:t>1</w:t>
      </w:r>
    </w:p>
    <w:p w14:paraId="0308599F" w14:textId="77777777" w:rsidR="002311CE" w:rsidRPr="002B6873" w:rsidRDefault="002311CE" w:rsidP="002311CE">
      <w:pPr>
        <w:pStyle w:val="AuthorAffiliation"/>
        <w:spacing w:line="480" w:lineRule="auto"/>
      </w:pPr>
      <w:r w:rsidRPr="002B6873">
        <w:rPr>
          <w:vertAlign w:val="superscript"/>
        </w:rPr>
        <w:t>1</w:t>
      </w:r>
      <w:r w:rsidRPr="002B6873">
        <w:t xml:space="preserve"> London Geochemistry and Isotope Centre, Institute of Earth and Planetary Sciences, University College London and Birkbeck, University of London, Gower Street, London, WC1E 6BT, UK</w:t>
      </w:r>
    </w:p>
    <w:p w14:paraId="7262D2CB" w14:textId="77777777" w:rsidR="002311CE" w:rsidRPr="002B6873" w:rsidRDefault="002311CE" w:rsidP="002311CE">
      <w:pPr>
        <w:pStyle w:val="AuthorAffiliation"/>
        <w:spacing w:line="480" w:lineRule="auto"/>
      </w:pPr>
      <w:r w:rsidRPr="002B6873">
        <w:rPr>
          <w:vertAlign w:val="superscript"/>
        </w:rPr>
        <w:t xml:space="preserve"> 2</w:t>
      </w:r>
      <w:r w:rsidRPr="002B6873">
        <w:t xml:space="preserve"> State Key Laboratory of </w:t>
      </w:r>
      <w:proofErr w:type="spellStart"/>
      <w:r w:rsidRPr="002B6873">
        <w:t>Palaeobiology</w:t>
      </w:r>
      <w:proofErr w:type="spellEnd"/>
      <w:r w:rsidRPr="002B6873">
        <w:t xml:space="preserve"> and Stratigraphy and Center for Excellence in Life and Paleoenvironment, Nanjing Institute of Geology and </w:t>
      </w:r>
      <w:proofErr w:type="spellStart"/>
      <w:r w:rsidRPr="002B6873">
        <w:t>Palaeontology</w:t>
      </w:r>
      <w:proofErr w:type="spellEnd"/>
      <w:r w:rsidRPr="002B6873">
        <w:t>, Chinese Academy of Sciences, Nanjing 210008, China</w:t>
      </w:r>
    </w:p>
    <w:p w14:paraId="543DB221" w14:textId="77777777" w:rsidR="002311CE" w:rsidRPr="002B6873" w:rsidRDefault="002311CE" w:rsidP="002311CE">
      <w:pPr>
        <w:pStyle w:val="AuthorAffiliation"/>
        <w:spacing w:line="480" w:lineRule="auto"/>
      </w:pPr>
      <w:r w:rsidRPr="002B6873">
        <w:rPr>
          <w:vertAlign w:val="superscript"/>
        </w:rPr>
        <w:t>3</w:t>
      </w:r>
      <w:r w:rsidRPr="002B6873">
        <w:t>College of Earth and Planetary Sciences, University of Chinese Academy of Sciences, Beijing 100049, China</w:t>
      </w:r>
    </w:p>
    <w:p w14:paraId="5DE77A9F" w14:textId="77777777" w:rsidR="002311CE" w:rsidRPr="002B6873" w:rsidRDefault="002311CE" w:rsidP="002311CE">
      <w:pPr>
        <w:pStyle w:val="AuthorAffiliation"/>
        <w:spacing w:line="480" w:lineRule="auto"/>
      </w:pPr>
      <w:r w:rsidRPr="002B6873">
        <w:rPr>
          <w:vertAlign w:val="superscript"/>
        </w:rPr>
        <w:t>4</w:t>
      </w:r>
      <w:r w:rsidRPr="002B6873">
        <w:t>School of Earth Sciences, Nanjing University, Nanjing, 210023</w:t>
      </w:r>
    </w:p>
    <w:p w14:paraId="14580F6A" w14:textId="77777777" w:rsidR="002311CE" w:rsidRPr="002B6873" w:rsidRDefault="002311CE" w:rsidP="002311CE">
      <w:pPr>
        <w:pStyle w:val="AuthorAffiliation"/>
        <w:spacing w:line="480" w:lineRule="auto"/>
      </w:pPr>
      <w:r w:rsidRPr="002B6873">
        <w:rPr>
          <w:vertAlign w:val="superscript"/>
        </w:rPr>
        <w:t>5</w:t>
      </w:r>
      <w:r w:rsidRPr="002B6873">
        <w:t xml:space="preserve">Department of Earth Sciences, Royal Holloway, University of London, </w:t>
      </w:r>
      <w:proofErr w:type="spellStart"/>
      <w:r w:rsidRPr="002B6873">
        <w:t>Egham</w:t>
      </w:r>
      <w:proofErr w:type="spellEnd"/>
      <w:r w:rsidRPr="002B6873">
        <w:t>, TW20 0EX</w:t>
      </w:r>
    </w:p>
    <w:p w14:paraId="11540D55" w14:textId="77777777" w:rsidR="002311CE" w:rsidRPr="002B6873" w:rsidRDefault="002311CE" w:rsidP="002311CE">
      <w:pPr>
        <w:pStyle w:val="AuthorAffiliation"/>
        <w:spacing w:line="480" w:lineRule="auto"/>
      </w:pPr>
      <w:r w:rsidRPr="002B6873">
        <w:rPr>
          <w:vertAlign w:val="superscript"/>
        </w:rPr>
        <w:t>6</w:t>
      </w:r>
      <w:r w:rsidRPr="002B6873">
        <w:t xml:space="preserve">School of Earth and Environment, University of Leeds, Leeds, LS2 9JT </w:t>
      </w:r>
    </w:p>
    <w:p w14:paraId="66A4B549" w14:textId="77777777" w:rsidR="00013F85" w:rsidRPr="002B6873" w:rsidRDefault="00013F85" w:rsidP="002129F4">
      <w:pPr>
        <w:pStyle w:val="AbstractHead"/>
        <w:spacing w:line="480" w:lineRule="auto"/>
      </w:pPr>
    </w:p>
    <w:p w14:paraId="57CB8ECE" w14:textId="77777777" w:rsidR="001A6DC4" w:rsidRPr="002B6873" w:rsidRDefault="001A6DC4" w:rsidP="002129F4">
      <w:pPr>
        <w:pStyle w:val="AbstractHead"/>
        <w:spacing w:line="480" w:lineRule="auto"/>
      </w:pPr>
      <w:r w:rsidRPr="002B6873">
        <w:t>ABSTRACT</w:t>
      </w:r>
    </w:p>
    <w:p w14:paraId="37325425" w14:textId="3AB9DDC4" w:rsidR="005F449A" w:rsidRPr="002B6873" w:rsidRDefault="00224CE2" w:rsidP="00C251D0">
      <w:pPr>
        <w:pStyle w:val="Abstract"/>
        <w:spacing w:line="480" w:lineRule="auto"/>
        <w:ind w:firstLine="709"/>
        <w:jc w:val="both"/>
      </w:pPr>
      <w:r w:rsidRPr="002B6873">
        <w:t xml:space="preserve">The </w:t>
      </w:r>
      <w:proofErr w:type="spellStart"/>
      <w:r w:rsidRPr="002B6873">
        <w:t>Tonian</w:t>
      </w:r>
      <w:proofErr w:type="spellEnd"/>
      <w:r w:rsidRPr="002B6873">
        <w:t xml:space="preserve"> Period </w:t>
      </w:r>
      <w:r w:rsidR="00C251D0" w:rsidRPr="002B6873">
        <w:t>follows</w:t>
      </w:r>
      <w:r w:rsidR="005E76D6" w:rsidRPr="002B6873">
        <w:t xml:space="preserve"> a long interval of relative stasis and </w:t>
      </w:r>
      <w:r w:rsidR="00C251D0" w:rsidRPr="002B6873">
        <w:t xml:space="preserve">leads into </w:t>
      </w:r>
      <w:r w:rsidR="005E76D6" w:rsidRPr="002B6873">
        <w:t>the climatic extremes</w:t>
      </w:r>
      <w:r w:rsidR="00151CF2" w:rsidRPr="002B6873">
        <w:t xml:space="preserve"> and biological radiations of </w:t>
      </w:r>
      <w:r w:rsidR="002311CE" w:rsidRPr="002B6873">
        <w:t xml:space="preserve">multicellular life during </w:t>
      </w:r>
      <w:r w:rsidR="00151CF2" w:rsidRPr="002B6873">
        <w:t>the Cryogenian and Ediacaran periods</w:t>
      </w:r>
      <w:r w:rsidR="00C251D0" w:rsidRPr="002B6873">
        <w:t xml:space="preserve">, respectively. However, despite its pivotal situation, it </w:t>
      </w:r>
      <w:r w:rsidR="00671F19" w:rsidRPr="002B6873">
        <w:t xml:space="preserve">remains </w:t>
      </w:r>
      <w:r w:rsidR="00C251D0" w:rsidRPr="002B6873">
        <w:t>relatively understudied, in large part due to the lack of robust age constraints</w:t>
      </w:r>
      <w:r w:rsidR="0084476D" w:rsidRPr="002B6873">
        <w:t xml:space="preserve">. </w:t>
      </w:r>
      <w:r w:rsidR="008E5E77" w:rsidRPr="002B6873">
        <w:t xml:space="preserve">A combination of fossil </w:t>
      </w:r>
      <w:r w:rsidR="00F54233" w:rsidRPr="002B6873">
        <w:t>evidence</w:t>
      </w:r>
      <w:r w:rsidR="00150BB1" w:rsidRPr="002B6873">
        <w:t xml:space="preserve">, </w:t>
      </w:r>
      <w:r w:rsidR="00ED0C2A" w:rsidRPr="002B6873">
        <w:t>radiometric ages</w:t>
      </w:r>
      <w:r w:rsidR="00F54233" w:rsidRPr="002B6873">
        <w:t xml:space="preserve"> </w:t>
      </w:r>
      <w:r w:rsidR="00150BB1" w:rsidRPr="002B6873">
        <w:t xml:space="preserve">and isotopic constraints </w:t>
      </w:r>
      <w:r w:rsidR="008E5E77" w:rsidRPr="002B6873">
        <w:t xml:space="preserve">reveal </w:t>
      </w:r>
      <w:r w:rsidR="00F54233" w:rsidRPr="002B6873">
        <w:t xml:space="preserve">that </w:t>
      </w:r>
      <w:r w:rsidR="00A65874" w:rsidRPr="002B6873">
        <w:t xml:space="preserve">carbonate </w:t>
      </w:r>
      <w:r w:rsidR="0084476D" w:rsidRPr="002B6873">
        <w:t xml:space="preserve">strata </w:t>
      </w:r>
      <w:r w:rsidR="004D33CF" w:rsidRPr="002B6873">
        <w:t xml:space="preserve">on </w:t>
      </w:r>
      <w:r w:rsidR="0084476D" w:rsidRPr="002B6873">
        <w:t>the North China craton</w:t>
      </w:r>
      <w:r w:rsidR="009B3201" w:rsidRPr="002B6873">
        <w:t xml:space="preserve"> (NCC)</w:t>
      </w:r>
      <w:r w:rsidR="00F6307C" w:rsidRPr="002B6873">
        <w:t xml:space="preserve"> </w:t>
      </w:r>
      <w:r w:rsidR="002325B3" w:rsidRPr="002B6873">
        <w:t xml:space="preserve">were </w:t>
      </w:r>
      <w:r w:rsidR="0084476D" w:rsidRPr="002B6873">
        <w:t xml:space="preserve">deposited between </w:t>
      </w:r>
      <w:r w:rsidR="00502F30" w:rsidRPr="002B6873">
        <w:t>c.</w:t>
      </w:r>
      <w:r w:rsidR="0084476D" w:rsidRPr="002B6873">
        <w:t xml:space="preserve">980 and </w:t>
      </w:r>
      <w:r w:rsidR="00502F30" w:rsidRPr="002B6873">
        <w:t>c.</w:t>
      </w:r>
      <w:r w:rsidR="0084476D" w:rsidRPr="002B6873">
        <w:t>920 Ma</w:t>
      </w:r>
      <w:r w:rsidR="00741BF1" w:rsidRPr="002B6873">
        <w:t>,</w:t>
      </w:r>
      <w:r w:rsidR="004279F1" w:rsidRPr="002B6873">
        <w:t xml:space="preserve"> </w:t>
      </w:r>
      <w:r w:rsidR="00AA38A2" w:rsidRPr="002B6873">
        <w:t xml:space="preserve">thereby </w:t>
      </w:r>
      <w:r w:rsidR="00741BF1" w:rsidRPr="002B6873">
        <w:t>filling</w:t>
      </w:r>
      <w:r w:rsidR="002325B3" w:rsidRPr="002B6873">
        <w:t xml:space="preserve"> </w:t>
      </w:r>
      <w:r w:rsidR="00150BB1" w:rsidRPr="002B6873">
        <w:t xml:space="preserve">a </w:t>
      </w:r>
      <w:r w:rsidR="002325B3" w:rsidRPr="002B6873">
        <w:t xml:space="preserve">gap in </w:t>
      </w:r>
      <w:r w:rsidR="00151CF2" w:rsidRPr="002B6873">
        <w:t xml:space="preserve">marine archives. </w:t>
      </w:r>
      <w:r w:rsidR="002325B3" w:rsidRPr="002B6873">
        <w:t xml:space="preserve">Here we present </w:t>
      </w:r>
      <w:r w:rsidR="00064AA0" w:rsidRPr="002B6873">
        <w:rPr>
          <w:vertAlign w:val="superscript"/>
        </w:rPr>
        <w:t>87</w:t>
      </w:r>
      <w:r w:rsidR="00064AA0" w:rsidRPr="002B6873">
        <w:t>Sr/</w:t>
      </w:r>
      <w:r w:rsidR="00064AA0" w:rsidRPr="002B6873">
        <w:rPr>
          <w:vertAlign w:val="superscript"/>
        </w:rPr>
        <w:t>86</w:t>
      </w:r>
      <w:r w:rsidR="00064AA0" w:rsidRPr="002B6873">
        <w:t xml:space="preserve">Sr </w:t>
      </w:r>
      <w:r w:rsidR="009E16C9" w:rsidRPr="002B6873">
        <w:t xml:space="preserve">data </w:t>
      </w:r>
      <w:r w:rsidR="00CB1FBF" w:rsidRPr="002B6873">
        <w:t xml:space="preserve">from </w:t>
      </w:r>
      <w:r w:rsidR="00411DE4" w:rsidRPr="002B6873">
        <w:t xml:space="preserve">selected </w:t>
      </w:r>
      <w:r w:rsidR="00076365" w:rsidRPr="002B6873">
        <w:t xml:space="preserve">calcite </w:t>
      </w:r>
      <w:proofErr w:type="spellStart"/>
      <w:r w:rsidR="002325B3" w:rsidRPr="002B6873">
        <w:t>microspar</w:t>
      </w:r>
      <w:proofErr w:type="spellEnd"/>
      <w:r w:rsidR="002325B3" w:rsidRPr="002B6873">
        <w:t xml:space="preserve"> cements</w:t>
      </w:r>
      <w:r w:rsidR="00A845E0" w:rsidRPr="002B6873">
        <w:t xml:space="preserve"> (CMC</w:t>
      </w:r>
      <w:r w:rsidR="008D130D" w:rsidRPr="002B6873">
        <w:t>)</w:t>
      </w:r>
      <w:r w:rsidR="00096C16" w:rsidRPr="002B6873">
        <w:t xml:space="preserve">, </w:t>
      </w:r>
      <w:r w:rsidR="00FA324D" w:rsidRPr="002B6873">
        <w:t>which filled</w:t>
      </w:r>
      <w:r w:rsidR="00096C16" w:rsidRPr="002B6873">
        <w:t xml:space="preserve"> </w:t>
      </w:r>
      <w:r w:rsidR="00EF6D56" w:rsidRPr="002B6873">
        <w:t xml:space="preserve">early diagenetic </w:t>
      </w:r>
      <w:r w:rsidR="008D130D" w:rsidRPr="002B6873">
        <w:t>‘</w:t>
      </w:r>
      <w:r w:rsidR="00096C16" w:rsidRPr="002B6873">
        <w:t>molar tooth</w:t>
      </w:r>
      <w:r w:rsidR="008D130D" w:rsidRPr="002B6873">
        <w:t>’</w:t>
      </w:r>
      <w:r w:rsidR="00096C16" w:rsidRPr="002B6873">
        <w:t xml:space="preserve"> </w:t>
      </w:r>
      <w:r w:rsidR="008D130D" w:rsidRPr="002B6873">
        <w:t>cracks</w:t>
      </w:r>
      <w:r w:rsidR="00AA314F" w:rsidRPr="002B6873">
        <w:t xml:space="preserve">, </w:t>
      </w:r>
      <w:r w:rsidR="00EF6D56" w:rsidRPr="002B6873">
        <w:t>along</w:t>
      </w:r>
      <w:r w:rsidR="00CB1FBF" w:rsidRPr="002B6873">
        <w:t xml:space="preserve"> with data from</w:t>
      </w:r>
      <w:r w:rsidR="00AA314F" w:rsidRPr="002B6873">
        <w:t xml:space="preserve"> </w:t>
      </w:r>
      <w:r w:rsidR="006E5FF8" w:rsidRPr="002B6873">
        <w:t xml:space="preserve">demonstrably </w:t>
      </w:r>
      <w:r w:rsidR="003B2B03" w:rsidRPr="002B6873">
        <w:t>well-preserved bulk carbonate</w:t>
      </w:r>
      <w:r w:rsidR="00CB1FBF" w:rsidRPr="002B6873">
        <w:t xml:space="preserve"> samples</w:t>
      </w:r>
      <w:r w:rsidR="00AA314F" w:rsidRPr="002B6873">
        <w:t xml:space="preserve">. </w:t>
      </w:r>
      <w:r w:rsidR="00A561B1" w:rsidRPr="002B6873">
        <w:lastRenderedPageBreak/>
        <w:t>These</w:t>
      </w:r>
      <w:r w:rsidR="009F5D8B" w:rsidRPr="002B6873">
        <w:t xml:space="preserve"> </w:t>
      </w:r>
      <w:r w:rsidR="00CB1FBF" w:rsidRPr="002B6873">
        <w:t xml:space="preserve">new </w:t>
      </w:r>
      <w:r w:rsidR="00C05336" w:rsidRPr="002B6873">
        <w:t>data</w:t>
      </w:r>
      <w:r w:rsidR="0084476D" w:rsidRPr="002B6873">
        <w:t xml:space="preserve"> </w:t>
      </w:r>
      <w:r w:rsidR="00AE3D83" w:rsidRPr="002B6873">
        <w:t xml:space="preserve">show that seawater </w:t>
      </w:r>
      <w:r w:rsidR="00AE3D83" w:rsidRPr="002B6873">
        <w:rPr>
          <w:vertAlign w:val="superscript"/>
        </w:rPr>
        <w:t>87</w:t>
      </w:r>
      <w:r w:rsidR="00AE3D83" w:rsidRPr="002B6873">
        <w:t>Sr/</w:t>
      </w:r>
      <w:r w:rsidR="00AE3D83" w:rsidRPr="002B6873">
        <w:rPr>
          <w:vertAlign w:val="superscript"/>
        </w:rPr>
        <w:t>87</w:t>
      </w:r>
      <w:r w:rsidR="00AE3D83" w:rsidRPr="002B6873">
        <w:t xml:space="preserve">Sr </w:t>
      </w:r>
      <w:r w:rsidR="00AE3D83" w:rsidRPr="002B6873">
        <w:rPr>
          <w:lang w:eastAsia="zh-CN"/>
        </w:rPr>
        <w:t>rose</w:t>
      </w:r>
      <w:r w:rsidR="0084476D" w:rsidRPr="002B6873">
        <w:t xml:space="preserve"> </w:t>
      </w:r>
      <w:r w:rsidR="00C54A4F" w:rsidRPr="002B6873">
        <w:t xml:space="preserve">in stages </w:t>
      </w:r>
      <w:r w:rsidR="0084476D" w:rsidRPr="002B6873">
        <w:t xml:space="preserve">from </w:t>
      </w:r>
      <w:r w:rsidR="00AF1581" w:rsidRPr="002B6873">
        <w:t>~</w:t>
      </w:r>
      <w:r w:rsidR="00057732" w:rsidRPr="002B6873">
        <w:t xml:space="preserve">0.7052 </w:t>
      </w:r>
      <w:r w:rsidR="000D31A9" w:rsidRPr="002B6873">
        <w:t xml:space="preserve">at c.980 Ma </w:t>
      </w:r>
      <w:r w:rsidR="00057732" w:rsidRPr="002B6873">
        <w:t xml:space="preserve">to ~0.7063 by c.920 Ma, </w:t>
      </w:r>
      <w:r w:rsidR="001A410F" w:rsidRPr="002B6873">
        <w:t xml:space="preserve">after </w:t>
      </w:r>
      <w:r w:rsidR="00057732" w:rsidRPr="002B6873">
        <w:t xml:space="preserve">which </w:t>
      </w:r>
      <w:r w:rsidR="002D724A" w:rsidRPr="002B6873">
        <w:t>a return</w:t>
      </w:r>
      <w:r w:rsidR="001A410F" w:rsidRPr="002B6873">
        <w:t xml:space="preserve"> to low values </w:t>
      </w:r>
      <w:r w:rsidR="002D724A" w:rsidRPr="002B6873">
        <w:t xml:space="preserve">coincided </w:t>
      </w:r>
      <w:r w:rsidR="00057732" w:rsidRPr="002B6873">
        <w:t xml:space="preserve">with </w:t>
      </w:r>
      <w:r w:rsidR="00941F4A" w:rsidRPr="002B6873">
        <w:t xml:space="preserve">the </w:t>
      </w:r>
      <w:r w:rsidR="001A410F" w:rsidRPr="002B6873">
        <w:t xml:space="preserve">eruption of </w:t>
      </w:r>
      <w:r w:rsidR="00057732" w:rsidRPr="002B6873">
        <w:t xml:space="preserve">the </w:t>
      </w:r>
      <w:proofErr w:type="spellStart"/>
      <w:r w:rsidR="00057732" w:rsidRPr="002B6873">
        <w:t>Dashigou</w:t>
      </w:r>
      <w:proofErr w:type="spellEnd"/>
      <w:r w:rsidR="00057732" w:rsidRPr="002B6873">
        <w:t xml:space="preserve"> </w:t>
      </w:r>
      <w:r w:rsidR="00637621" w:rsidRPr="002B6873">
        <w:t>large igneous province</w:t>
      </w:r>
      <w:r w:rsidR="004063CA" w:rsidRPr="002B6873">
        <w:t xml:space="preserve"> </w:t>
      </w:r>
      <w:r w:rsidR="00B42F8F" w:rsidRPr="002B6873">
        <w:t xml:space="preserve">(LIP) </w:t>
      </w:r>
      <w:r w:rsidR="004063CA" w:rsidRPr="002B6873">
        <w:t>across the NCC</w:t>
      </w:r>
      <w:r w:rsidR="00057732" w:rsidRPr="002B6873">
        <w:t xml:space="preserve">. </w:t>
      </w:r>
      <w:r w:rsidR="00843417" w:rsidRPr="002B6873">
        <w:t>We also</w:t>
      </w:r>
      <w:r w:rsidR="0061062F" w:rsidRPr="002B6873">
        <w:t xml:space="preserve"> present a new</w:t>
      </w:r>
      <w:r w:rsidR="00210DD3" w:rsidRPr="002B6873">
        <w:t xml:space="preserve"> </w:t>
      </w:r>
      <w:r w:rsidR="00EF6D56" w:rsidRPr="002B6873">
        <w:t xml:space="preserve">Neoproterozoic </w:t>
      </w:r>
      <w:r w:rsidR="00210DD3" w:rsidRPr="002B6873">
        <w:t xml:space="preserve">seawater </w:t>
      </w:r>
      <w:r w:rsidR="00210DD3" w:rsidRPr="002B6873">
        <w:rPr>
          <w:vertAlign w:val="superscript"/>
        </w:rPr>
        <w:t>87</w:t>
      </w:r>
      <w:r w:rsidR="00210DD3" w:rsidRPr="002B6873">
        <w:t>Sr/</w:t>
      </w:r>
      <w:r w:rsidR="00210DD3" w:rsidRPr="002B6873">
        <w:rPr>
          <w:vertAlign w:val="superscript"/>
        </w:rPr>
        <w:t>86</w:t>
      </w:r>
      <w:r w:rsidR="00210DD3" w:rsidRPr="002B6873">
        <w:t>Sr curve</w:t>
      </w:r>
      <w:r w:rsidR="0061062F" w:rsidRPr="002B6873">
        <w:t xml:space="preserve">, which </w:t>
      </w:r>
      <w:r w:rsidR="0055126D" w:rsidRPr="002B6873">
        <w:t>reveals</w:t>
      </w:r>
      <w:r w:rsidR="00D34ACA" w:rsidRPr="002B6873">
        <w:t xml:space="preserve"> </w:t>
      </w:r>
      <w:r w:rsidR="00EF6D56" w:rsidRPr="002B6873">
        <w:t xml:space="preserve">that </w:t>
      </w:r>
      <w:r w:rsidR="00147451" w:rsidRPr="002B6873">
        <w:t xml:space="preserve">the general trend towards higher </w:t>
      </w:r>
      <w:r w:rsidR="00D34ACA" w:rsidRPr="002B6873">
        <w:rPr>
          <w:vertAlign w:val="superscript"/>
        </w:rPr>
        <w:t>87</w:t>
      </w:r>
      <w:r w:rsidR="00D34ACA" w:rsidRPr="002B6873">
        <w:t>Sr/</w:t>
      </w:r>
      <w:r w:rsidR="00D34ACA" w:rsidRPr="002B6873">
        <w:rPr>
          <w:vertAlign w:val="superscript"/>
        </w:rPr>
        <w:t>87</w:t>
      </w:r>
      <w:r w:rsidR="00D34ACA" w:rsidRPr="002B6873">
        <w:t xml:space="preserve">Sr </w:t>
      </w:r>
      <w:r w:rsidR="00DF4A4A" w:rsidRPr="002B6873">
        <w:t xml:space="preserve">during the </w:t>
      </w:r>
      <w:proofErr w:type="spellStart"/>
      <w:r w:rsidR="00DF4A4A" w:rsidRPr="002B6873">
        <w:t>Tonian</w:t>
      </w:r>
      <w:proofErr w:type="spellEnd"/>
      <w:r w:rsidR="00DF4A4A" w:rsidRPr="002B6873">
        <w:t xml:space="preserve"> Period </w:t>
      </w:r>
      <w:r w:rsidR="00147451" w:rsidRPr="002B6873">
        <w:t xml:space="preserve">was checked repeatedly </w:t>
      </w:r>
      <w:r w:rsidR="00D34ACA" w:rsidRPr="002B6873">
        <w:t>by</w:t>
      </w:r>
      <w:r w:rsidR="00CE5A6E" w:rsidRPr="002B6873">
        <w:t xml:space="preserve"> </w:t>
      </w:r>
      <w:r w:rsidR="00A970C0" w:rsidRPr="002B6873">
        <w:t xml:space="preserve">the </w:t>
      </w:r>
      <w:r w:rsidR="000A6D6A" w:rsidRPr="002B6873">
        <w:t>input of less radiogenic strontium from a</w:t>
      </w:r>
      <w:r w:rsidR="00863CAC" w:rsidRPr="002B6873">
        <w:t xml:space="preserve"> </w:t>
      </w:r>
      <w:r w:rsidR="007E194A" w:rsidRPr="002B6873">
        <w:t xml:space="preserve">series of </w:t>
      </w:r>
      <w:r w:rsidR="00CB1FBF" w:rsidRPr="002B6873">
        <w:t xml:space="preserve">eruptive </w:t>
      </w:r>
      <w:r w:rsidR="0046453C" w:rsidRPr="002B6873">
        <w:t>events</w:t>
      </w:r>
      <w:r w:rsidR="00D34ACA" w:rsidRPr="002B6873">
        <w:t xml:space="preserve">, </w:t>
      </w:r>
      <w:r w:rsidR="00A845E0" w:rsidRPr="002B6873">
        <w:t xml:space="preserve">both coincident with and prior to the main </w:t>
      </w:r>
      <w:r w:rsidR="003B11F1" w:rsidRPr="002B6873">
        <w:t xml:space="preserve">breakup of </w:t>
      </w:r>
      <w:proofErr w:type="spellStart"/>
      <w:r w:rsidR="003B11F1" w:rsidRPr="002B6873">
        <w:t>Rodinia</w:t>
      </w:r>
      <w:proofErr w:type="spellEnd"/>
      <w:r w:rsidR="00B259DD" w:rsidRPr="002B6873">
        <w:t xml:space="preserve">. </w:t>
      </w:r>
      <w:r w:rsidR="00A475C1" w:rsidRPr="002B6873">
        <w:t>T</w:t>
      </w:r>
      <w:r w:rsidR="00A65874" w:rsidRPr="002B6873">
        <w:t xml:space="preserve">he </w:t>
      </w:r>
      <w:r w:rsidR="008F284C" w:rsidRPr="002B6873">
        <w:t>weather</w:t>
      </w:r>
      <w:r w:rsidR="00651E33" w:rsidRPr="002B6873">
        <w:t>ing</w:t>
      </w:r>
      <w:r w:rsidR="008F284C" w:rsidRPr="002B6873">
        <w:t xml:space="preserve"> </w:t>
      </w:r>
      <w:r w:rsidR="00A65874" w:rsidRPr="002B6873">
        <w:t xml:space="preserve">of </w:t>
      </w:r>
      <w:proofErr w:type="spellStart"/>
      <w:r w:rsidR="00E333B3" w:rsidRPr="002B6873">
        <w:t>Tonian</w:t>
      </w:r>
      <w:proofErr w:type="spellEnd"/>
      <w:r w:rsidR="00E333B3" w:rsidRPr="002B6873">
        <w:t xml:space="preserve"> </w:t>
      </w:r>
      <w:r w:rsidR="00A65874" w:rsidRPr="002B6873">
        <w:t xml:space="preserve">volcanic provinces </w:t>
      </w:r>
      <w:r w:rsidR="00A475C1" w:rsidRPr="002B6873">
        <w:t xml:space="preserve">has </w:t>
      </w:r>
      <w:r w:rsidR="00A65874" w:rsidRPr="002B6873">
        <w:t xml:space="preserve">been </w:t>
      </w:r>
      <w:r w:rsidR="006E5FF8" w:rsidRPr="002B6873">
        <w:t xml:space="preserve">linked </w:t>
      </w:r>
      <w:r w:rsidR="00A65874" w:rsidRPr="002B6873">
        <w:t xml:space="preserve">to </w:t>
      </w:r>
      <w:r w:rsidR="00381B2B" w:rsidRPr="002B6873">
        <w:t xml:space="preserve">higher carbon burial, </w:t>
      </w:r>
      <w:r w:rsidR="00A475C1" w:rsidRPr="002B6873">
        <w:t>glaciation</w:t>
      </w:r>
      <w:r w:rsidR="00A65874" w:rsidRPr="002B6873">
        <w:t xml:space="preserve"> and oxygenation</w:t>
      </w:r>
      <w:r w:rsidR="00A475C1" w:rsidRPr="002B6873">
        <w:t xml:space="preserve"> </w:t>
      </w:r>
      <w:r w:rsidR="008F284C" w:rsidRPr="002B6873">
        <w:t xml:space="preserve">due to </w:t>
      </w:r>
      <w:r w:rsidR="00381B2B" w:rsidRPr="002B6873">
        <w:t>the</w:t>
      </w:r>
      <w:r w:rsidR="008F284C" w:rsidRPr="002B6873">
        <w:t xml:space="preserve"> high phosphorus content of </w:t>
      </w:r>
      <w:r w:rsidR="00651E33" w:rsidRPr="002B6873">
        <w:t>flood basalts</w:t>
      </w:r>
      <w:r w:rsidR="00EF6D56" w:rsidRPr="002B6873">
        <w:t xml:space="preserve">. </w:t>
      </w:r>
      <w:r w:rsidR="00250791" w:rsidRPr="002B6873">
        <w:t>Here we show that</w:t>
      </w:r>
      <w:r w:rsidR="00EF6D56" w:rsidRPr="002B6873">
        <w:t xml:space="preserve"> </w:t>
      </w:r>
      <w:r w:rsidR="00194BE0" w:rsidRPr="002B6873">
        <w:t xml:space="preserve">the weathering of </w:t>
      </w:r>
      <w:r w:rsidR="002B6985" w:rsidRPr="002B6873">
        <w:t xml:space="preserve">major </w:t>
      </w:r>
      <w:r w:rsidR="00194BE0" w:rsidRPr="002B6873">
        <w:t>volcanic provinces</w:t>
      </w:r>
      <w:r w:rsidR="00A475C1" w:rsidRPr="002B6873">
        <w:t xml:space="preserve"> </w:t>
      </w:r>
      <w:r w:rsidR="00194BE0" w:rsidRPr="002B6873">
        <w:t>affected material fluxes and ocean chemistry</w:t>
      </w:r>
      <w:r w:rsidR="00A475C1" w:rsidRPr="002B6873">
        <w:t xml:space="preserve"> </w:t>
      </w:r>
      <w:r w:rsidR="00700E12" w:rsidRPr="002B6873">
        <w:t xml:space="preserve">much earlier than </w:t>
      </w:r>
      <w:r w:rsidR="00320CF0" w:rsidRPr="002B6873">
        <w:t xml:space="preserve">previously </w:t>
      </w:r>
      <w:r w:rsidR="00700E12" w:rsidRPr="002B6873">
        <w:t>envisaged</w:t>
      </w:r>
      <w:r w:rsidR="00411DE4" w:rsidRPr="002B6873">
        <w:t xml:space="preserve">. </w:t>
      </w:r>
    </w:p>
    <w:p w14:paraId="20D2EB15" w14:textId="77777777" w:rsidR="00553FE4" w:rsidRPr="002B6873" w:rsidRDefault="00553FE4" w:rsidP="0084476D">
      <w:pPr>
        <w:pStyle w:val="Abstract"/>
        <w:spacing w:line="480" w:lineRule="auto"/>
        <w:jc w:val="both"/>
      </w:pPr>
    </w:p>
    <w:p w14:paraId="56913DB9" w14:textId="77777777" w:rsidR="001A6DC4" w:rsidRPr="002B6873" w:rsidRDefault="001A6DC4" w:rsidP="002129F4">
      <w:pPr>
        <w:pStyle w:val="Head1"/>
        <w:spacing w:line="480" w:lineRule="auto"/>
      </w:pPr>
      <w:r w:rsidRPr="002B6873">
        <w:t>INTRODUCTION</w:t>
      </w:r>
      <w:r w:rsidR="00272387" w:rsidRPr="002B6873">
        <w:t xml:space="preserve"> </w:t>
      </w:r>
    </w:p>
    <w:p w14:paraId="7E45DB6B" w14:textId="56AC76BB" w:rsidR="00DF7576" w:rsidRPr="002B6873" w:rsidRDefault="00F84634" w:rsidP="00A105D8">
      <w:pPr>
        <w:pStyle w:val="Abstract"/>
        <w:spacing w:line="480" w:lineRule="auto"/>
        <w:jc w:val="both"/>
      </w:pPr>
      <w:r w:rsidRPr="002B6873">
        <w:t xml:space="preserve">The strontium isotopic composition of seawater is </w:t>
      </w:r>
      <w:r w:rsidR="00A14EE6" w:rsidRPr="002B6873">
        <w:t>homogeneous</w:t>
      </w:r>
      <w:r w:rsidRPr="002B6873">
        <w:t xml:space="preserve"> </w:t>
      </w:r>
      <w:r w:rsidR="00EB1BE2" w:rsidRPr="002B6873">
        <w:t xml:space="preserve">around </w:t>
      </w:r>
      <w:r w:rsidRPr="002B6873">
        <w:t xml:space="preserve">the globe within analytical precision </w:t>
      </w:r>
      <w:r w:rsidRPr="002B6873">
        <w:fldChar w:fldCharType="begin" w:fldLock="1"/>
      </w:r>
      <w:r w:rsidR="00B6451A" w:rsidRPr="002B6873">
        <w:instrText>ADDIN CSL_CITATION {"citationItems":[{"id":"ITEM-1","itemData":{"DOI":"10.1111/j.1365-3121.1994.tb00507.x","ISBN":"1365-3121","ISSN":"0954-4879","abstract":"An introduction to Sr-isotope stratigraphy can be obtained from several recent reviews (Elderfield, 1986; Veizer, 1989; McArthur, 1991, 1992a). The purpose of this article is not to repeat these reviews but to give to those not expert in the field, but who may be prospective users, a summary of aspects of the method not covered elsewhere, and some examples of recent applications of the technique and the problems that affect it. Highlighting problems inevitably means highlighting the publications in which they occur; I hope the authors will forgive me for spotlighting their work. Neither is this article intended to be a review of all that has been written on the use of Sr isotopes in low-temperature geochemistry; it concentrates on their use in stratigraphy and dating, rather than how they may be used to elucidate geochemical processes. Many excellent papers are thereby excluded from consideration. Implicit in this article is the view that the successful application of strontium isotope stratigraphy requires an application of good methodology in both geochemistry and stratigraphy.","author":[{"dropping-particle":"","family":"McArthur","given":"J M","non-dropping-particle":"","parse-names":false,"suffix":""}],"container-title":"Terra Nova","id":"ITEM-1","issue":"4","issued":{"date-parts":[["1994"]]},"page":"331-358","title":"Recent trends in strontium isotope stratigraphy","type":"article-journal","volume":"6"},"uris":["http://www.mendeley.com/documents/?uuid=5fed6274-c62c-4eb4-b7a8-79bdfadc6000"]},{"id":"ITEM-2","itemData":{"DOI":"10.1134/S0869593812060044","ISBN":"0869-5938","ISSN":"0869-5938","abstract":"We studied the Sr isotope composition of shells of modern shallowwater mollusks and coral frag ments. Twenty five of the studied samples were collected in beach zones of open oceans and marginal seas; twelve and eight additional samples are from saline and freshened inland seas respectively. The 87Sr/86Sr ratio in samples from the Atlantic, Indian, and Pacific oceans and their marginal seas corresponds on average to 0.709202 ± 0.000003 and coincides with the average ratio in the standard USGS EN1 sample. The average 87Sr/86Sr ratio in inner parts of evaporite subbasins of the Mediterranean and Red seas is identical to that of the oceanic water. In shells of shallowwater mollusks from the Black Sea and Sea of Azov, where the degree of seawater dilution by riverine runoff is as high as 50 to 70%, the 87Sr/86Sr ratio is lower than that in the oceans by only a value of 0.00002 on average. As oceanic waters penetrated into these freshwater basins no earlier than in the Holocene, we conclude that the Sr isotopic equilibration with the oceanic water is realized very rapidly in the epicontinental seas even under conditions of restricted water exchange with the World Ocean. The established uniformity of the Sr isotope composition in all geographic types of currently existing sea basins open to the World Ocean proves the efficiency of the Sr isotope stratigraphy in correlation of con temporaneous chemogenic sediments.","author":[{"dropping-particle":"","family":"Kuznetsov","given":"a. B.","non-dropping-particle":"","parse-names":false,"suffix":""},{"dropping-particle":"","family":"Semikhatov","given":"M. a.","non-dropping-particle":"","parse-names":false,"suffix":""},{"dropping-particle":"","family":"Gorokhov","given":"I. M.","non-dropping-particle":"","parse-names":false,"suffix":""}],"container-title":"Stratigraphy and Geological Correlation","id":"ITEM-2","issue":"6","issued":{"date-parts":[["2012"]]},"page":"501-515","title":"The Sr isotope composition of the world ocean, marginal and inland seas: Implications for the Sr isotope stratigraphy","type":"article-journal","volume":"20"},"uris":["http://www.mendeley.com/documents/?uuid=bb6f4816-9827-4e7b-ad63-e4f0462c6652"]}],"mendeley":{"formattedCitation":"(McArthur, 1994; Kuznetsov et al., 2012)","plainTextFormattedCitation":"(McArthur, 1994; Kuznetsov et al., 2012)","previouslyFormattedCitation":"(McArthur, 1994; Kuznetsov et al., 2012)"},"properties":{"noteIndex":0},"schema":"https://github.com/citation-style-language/schema/raw/master/csl-citation.json"}</w:instrText>
      </w:r>
      <w:r w:rsidRPr="002B6873">
        <w:fldChar w:fldCharType="separate"/>
      </w:r>
      <w:r w:rsidR="000115AD" w:rsidRPr="002B6873">
        <w:rPr>
          <w:noProof/>
        </w:rPr>
        <w:t>(McArthur, 1994; Kuznetsov et al., 2012)</w:t>
      </w:r>
      <w:r w:rsidRPr="002B6873">
        <w:fldChar w:fldCharType="end"/>
      </w:r>
      <w:r w:rsidRPr="002B6873">
        <w:t xml:space="preserve"> and </w:t>
      </w:r>
      <w:r w:rsidR="003620FC" w:rsidRPr="002B6873">
        <w:t>varies over time</w:t>
      </w:r>
      <w:r w:rsidRPr="002B6873">
        <w:t xml:space="preserve"> in response to the balance between </w:t>
      </w:r>
      <w:r w:rsidR="00911D76" w:rsidRPr="002B6873">
        <w:t>two distinct sources of strontium</w:t>
      </w:r>
      <w:r w:rsidR="00210EA4" w:rsidRPr="002B6873">
        <w:t>: 1)</w:t>
      </w:r>
      <w:r w:rsidR="00911D76" w:rsidRPr="002B6873">
        <w:t xml:space="preserve"> </w:t>
      </w:r>
      <w:r w:rsidR="00F0391D" w:rsidRPr="002B6873">
        <w:t xml:space="preserve">less radiogenic Sr </w:t>
      </w:r>
      <w:r w:rsidR="00911D76" w:rsidRPr="002B6873">
        <w:t xml:space="preserve">that enters the oceans via </w:t>
      </w:r>
      <w:r w:rsidR="00F034B4" w:rsidRPr="002B6873">
        <w:t xml:space="preserve">Sr </w:t>
      </w:r>
      <w:r w:rsidRPr="002B6873">
        <w:t xml:space="preserve">exchange </w:t>
      </w:r>
      <w:r w:rsidR="00E648E4" w:rsidRPr="002B6873">
        <w:t xml:space="preserve">between seawater and </w:t>
      </w:r>
      <w:r w:rsidRPr="002B6873">
        <w:t xml:space="preserve">ocean </w:t>
      </w:r>
      <w:r w:rsidR="00B259DD" w:rsidRPr="002B6873">
        <w:t>lithosphere</w:t>
      </w:r>
      <w:r w:rsidR="00F0391D" w:rsidRPr="002B6873">
        <w:t xml:space="preserve"> </w:t>
      </w:r>
      <w:r w:rsidR="00911D76" w:rsidRPr="002B6873">
        <w:t xml:space="preserve">and </w:t>
      </w:r>
      <w:r w:rsidR="00210EA4" w:rsidRPr="002B6873">
        <w:t>2)</w:t>
      </w:r>
      <w:r w:rsidR="00292FC9" w:rsidRPr="002B6873">
        <w:t xml:space="preserve"> </w:t>
      </w:r>
      <w:r w:rsidR="00210EA4" w:rsidRPr="002B6873">
        <w:t>isotopically variable but generally more radiogenic</w:t>
      </w:r>
      <w:r w:rsidR="00F0391D" w:rsidRPr="002B6873">
        <w:t xml:space="preserve"> </w:t>
      </w:r>
      <w:r w:rsidRPr="002B6873">
        <w:t xml:space="preserve">riverine Sr derived from </w:t>
      </w:r>
      <w:r w:rsidR="00210EA4" w:rsidRPr="002B6873">
        <w:t xml:space="preserve">the </w:t>
      </w:r>
      <w:r w:rsidRPr="002B6873">
        <w:t>weathering</w:t>
      </w:r>
      <w:r w:rsidR="0042450C" w:rsidRPr="002B6873">
        <w:t xml:space="preserve"> of differentiated continental crust</w:t>
      </w:r>
      <w:r w:rsidRPr="002B6873">
        <w:t xml:space="preserve"> </w:t>
      </w:r>
      <w:r w:rsidR="00DD2481" w:rsidRPr="002B6873">
        <w:fldChar w:fldCharType="begin" w:fldLock="1"/>
      </w:r>
      <w:r w:rsidR="006C649E" w:rsidRPr="002B6873">
        <w:instrText>ADDIN CSL_CITATION {"citationItems":[{"id":"ITEM-1","itemData":{"author":[{"dropping-particle":"","family":"Brass","given":"Garrett W.","non-dropping-particle":"","parse-names":false,"suffix":""}],"container-title":"Geochimica et Cosmochimica Acta","id":"ITEM-1","issue":"1976","issued":{"date-parts":[["1976"]]},"page":"721-730","title":"The variation of the marine 87Sr/86Sr ratio during Phanerozoic time: interpretation using a flux model","type":"article-journal","volume":"40"},"uris":["http://www.mendeley.com/documents/?uuid=486755f9-d79f-4e72-b514-ba4894ced873"]},{"id":"ITEM-2","itemData":{"DOI":"10.1016/B978-0-08-095975-7.00507-6","ISBN":"9780080959757","author":[{"dropping-particle":"","family":"Gaillardet","given":"J","non-dropping-particle":"","parse-names":false,"suffix":""},{"dropping-particle":"","family":"Viers","given":"J","non-dropping-particle":"","parse-names":false,"suffix":""},{"dropping-particle":"","family":"Dupre","given":"B","non-dropping-particle":"","parse-names":false,"suffix":""}],"id":"ITEM-2","issued":{"date-parts":[["2014"]]},"title":"Trace Elements in River Waters","type":"book"},"uris":["http://www.mendeley.com/documents/?uuid=dbbd119c-dc20-4086-9e6f-5cbcae7e2f80","http://www.mendeley.com/documents/?uuid=4ed0a477-e6d9-4fe8-8dee-c5dcc78396f6"]},{"id":"ITEM-3","itemData":{"DOI":"10.1016/B978-0-444-59425-9.00007-X","ISBN":"9780444594259","ISSN":"00310182","abstract":"The 87Sr/86Sr value of Sr dissolved in the world’s oceans varied though time in a known way, facts that allow 87Sr/86Sr to be used to date and to correlate marine sedimentary rocks worldwide. In this work, the variation in 87Sr/86Sr is displayed graphically and the theory and practice of the methodology is discussed.","author":[{"dropping-particle":"","family":"McArthur","given":"J.M.","non-dropping-particle":"","parse-names":false,"suffix":""},{"dropping-particle":"","family":"Howarth","given":"R.J.","non-dropping-particle":"","parse-names":false,"suffix":""},{"dropping-particle":"","family":"Shields","given":"G.A.","non-dropping-particle":"","parse-names":false,"suffix":""}],"container-title":"The Geologic Time Scale","id":"ITEM-3","issued":{"date-parts":[["2012"]]},"page":"127-144","title":"Strontium Isotope Stratigraphy","type":"article-journal"},"uris":["http://www.mendeley.com/documents/?uuid=642f59f3-0f49-4a79-b124-717855f6e477"]}],"mendeley":{"formattedCitation":"(Brass, 1976; Gaillardet et al., 2014; McArthur et al., 2012)","plainTextFormattedCitation":"(Brass, 1976; Gaillardet et al., 2014; McArthur et al., 2012)","previouslyFormattedCitation":"(Brass, 1976; Gaillardet et al., 2014; McArthur et al., 2012)"},"properties":{"noteIndex":0},"schema":"https://github.com/citation-style-language/schema/raw/master/csl-citation.json"}</w:instrText>
      </w:r>
      <w:r w:rsidR="00DD2481" w:rsidRPr="002B6873">
        <w:fldChar w:fldCharType="separate"/>
      </w:r>
      <w:r w:rsidR="00F3476B" w:rsidRPr="002B6873">
        <w:rPr>
          <w:noProof/>
          <w:lang w:val="en-GB"/>
        </w:rPr>
        <w:t>(Brass, 1976; Gaillardet et al., 2014; McArthur et al., 2012)</w:t>
      </w:r>
      <w:r w:rsidR="00DD2481" w:rsidRPr="002B6873">
        <w:fldChar w:fldCharType="end"/>
      </w:r>
      <w:r w:rsidR="00210EA4" w:rsidRPr="002B6873">
        <w:rPr>
          <w:lang w:val="en-GB"/>
        </w:rPr>
        <w:t>.</w:t>
      </w:r>
      <w:r w:rsidR="00DD2481" w:rsidRPr="002B6873">
        <w:rPr>
          <w:lang w:val="en-GB"/>
        </w:rPr>
        <w:t xml:space="preserve"> </w:t>
      </w:r>
      <w:r w:rsidR="00210EA4" w:rsidRPr="002B6873">
        <w:rPr>
          <w:lang w:val="en-GB"/>
        </w:rPr>
        <w:t>The</w:t>
      </w:r>
      <w:r w:rsidR="00DD2481" w:rsidRPr="002B6873">
        <w:rPr>
          <w:lang w:val="en-GB"/>
        </w:rPr>
        <w:t xml:space="preserve"> isotopic composition of rivers </w:t>
      </w:r>
      <w:r w:rsidR="00911D76" w:rsidRPr="002B6873">
        <w:t xml:space="preserve">can vary considerably depending on the relative contribution from </w:t>
      </w:r>
      <w:r w:rsidR="00763536" w:rsidRPr="002B6873">
        <w:t xml:space="preserve">older, more radiogenic terrains versus less radiogenic </w:t>
      </w:r>
      <w:r w:rsidR="00911D76" w:rsidRPr="002B6873">
        <w:t>mantle-derived igneous rocks, such as basalt.</w:t>
      </w:r>
      <w:r w:rsidR="00DD2481" w:rsidRPr="002B6873">
        <w:rPr>
          <w:lang w:val="en-GB"/>
        </w:rPr>
        <w:t xml:space="preserve"> </w:t>
      </w:r>
      <w:r w:rsidR="002F7929" w:rsidRPr="002B6873">
        <w:t>S</w:t>
      </w:r>
      <w:r w:rsidRPr="002B6873">
        <w:t>tro</w:t>
      </w:r>
      <w:r w:rsidR="00A14EE6" w:rsidRPr="002B6873">
        <w:t>ntium isotope stratigraphy (SIS)</w:t>
      </w:r>
      <w:r w:rsidRPr="002B6873">
        <w:t xml:space="preserve"> </w:t>
      </w:r>
      <w:r w:rsidR="000A3833" w:rsidRPr="002B6873">
        <w:t xml:space="preserve">can </w:t>
      </w:r>
      <w:r w:rsidR="002F7929" w:rsidRPr="002B6873">
        <w:t xml:space="preserve">therefore </w:t>
      </w:r>
      <w:r w:rsidR="000A3833" w:rsidRPr="002B6873">
        <w:t>help to constrain</w:t>
      </w:r>
      <w:r w:rsidR="002F7929" w:rsidRPr="002B6873">
        <w:t xml:space="preserve"> </w:t>
      </w:r>
      <w:r w:rsidR="00811F60" w:rsidRPr="002B6873">
        <w:t xml:space="preserve">not only </w:t>
      </w:r>
      <w:r w:rsidR="002F7929" w:rsidRPr="002B6873">
        <w:t>the age</w:t>
      </w:r>
      <w:r w:rsidR="000C2BC6" w:rsidRPr="002B6873">
        <w:t>s</w:t>
      </w:r>
      <w:r w:rsidR="002F7929" w:rsidRPr="002B6873">
        <w:t xml:space="preserve"> of sedimentary successions </w:t>
      </w:r>
      <w:r w:rsidR="00811F60" w:rsidRPr="002B6873">
        <w:t>but also</w:t>
      </w:r>
      <w:r w:rsidR="002F7929" w:rsidRPr="002B6873">
        <w:t xml:space="preserve"> the relative influence of tectonic factors</w:t>
      </w:r>
      <w:r w:rsidR="00811F60" w:rsidRPr="002B6873">
        <w:t>, such as sea-floor spreading</w:t>
      </w:r>
      <w:r w:rsidR="00CD1682" w:rsidRPr="002B6873">
        <w:t xml:space="preserve">, emplacement of </w:t>
      </w:r>
      <w:r w:rsidR="00010EC7" w:rsidRPr="002B6873">
        <w:t>juvenile</w:t>
      </w:r>
      <w:r w:rsidR="00CD1682" w:rsidRPr="002B6873">
        <w:t xml:space="preserve"> </w:t>
      </w:r>
      <w:r w:rsidR="00010EC7" w:rsidRPr="002B6873">
        <w:t xml:space="preserve">volcanic </w:t>
      </w:r>
      <w:r w:rsidR="00CD1682" w:rsidRPr="002B6873">
        <w:t>provinces</w:t>
      </w:r>
      <w:r w:rsidR="00811F60" w:rsidRPr="002B6873">
        <w:t xml:space="preserve"> and </w:t>
      </w:r>
      <w:r w:rsidR="00751EE4" w:rsidRPr="002B6873">
        <w:t xml:space="preserve">continental </w:t>
      </w:r>
      <w:r w:rsidR="00811F60" w:rsidRPr="002B6873">
        <w:t>weathering</w:t>
      </w:r>
      <w:r w:rsidR="00010EC7" w:rsidRPr="002B6873">
        <w:t xml:space="preserve"> rates</w:t>
      </w:r>
      <w:r w:rsidR="0042450C" w:rsidRPr="002B6873">
        <w:t>,</w:t>
      </w:r>
      <w:r w:rsidR="00811F60" w:rsidRPr="002B6873">
        <w:t xml:space="preserve"> </w:t>
      </w:r>
      <w:r w:rsidR="002F7929" w:rsidRPr="002B6873">
        <w:t>on ocean composition</w:t>
      </w:r>
      <w:r w:rsidR="00A83634" w:rsidRPr="002B6873">
        <w:t xml:space="preserve"> </w:t>
      </w:r>
      <w:r w:rsidR="00A83634" w:rsidRPr="002B6873">
        <w:fldChar w:fldCharType="begin" w:fldLock="1"/>
      </w:r>
      <w:r w:rsidR="00A83634" w:rsidRPr="002B6873">
        <w:instrText>ADDIN CSL_CITATION {"citationItems":[{"id":"ITEM-1","itemData":{"author":[{"dropping-particle":"","family":"Veizer","given":"Jan","non-dropping-particle":"","parse-names":false,"suffix":""}],"container-title":"Annual Review of Earth and Planetary Sciences","id":"ITEM-1","issue":"3","issued":{"date-parts":[["1989"]]},"page":"141-167","title":"Strontium Isotopes in Seawater through Time","type":"article-journal","volume":"17"},"uris":["http://www.mendeley.com/documents/?uuid=ef22bc1e-cc4c-4171-a2da-07cef2739f5f"]},{"id":"ITEM-2","itemData":{"DOI":"10.1111/j.1365-3121.1994.tb00507.x","ISBN":"1365-3121","ISSN":"0954-4879","abstract":"An introduction to Sr-isotope stratigraphy can be obtained from several recent reviews (Elderfield, 1986; Veizer, 1989; McArthur, 1991, 1992a). The purpose of this article is not to repeat these reviews but to give to those not expert in the field, but who may be prospective users, a summary of aspects of the method not covered elsewhere, and some examples of recent applications of the technique and the problems that affect it. Highlighting problems inevitably means highlighting the publications in which they occur; I hope the authors will forgive me for spotlighting their work. Neither is this article intended to be a review of all that has been written on the use of Sr isotopes in low-temperature geochemistry; it concentrates on their use in stratigraphy and dating, rather than how they may be used to elucidate geochemical processes. Many excellent papers are thereby excluded from consideration. Implicit in this article is the view that the successful application of strontium isotope stratigraphy requires an application of good methodology in both geochemistry and stratigraphy.","author":[{"dropping-particle":"","family":"McArthur","given":"J M","non-dropping-particle":"","parse-names":false,"suffix":""}],"container-title":"Terra Nova","id":"ITEM-2","issue":"4","issued":{"date-parts":[["1994"]]},"page":"331-358","title":"Recent trends in strontium isotope stratigraphy","type":"article-journal","volume":"6"},"uris":["http://www.mendeley.com/documents/?uuid=5fed6274-c62c-4eb4-b7a8-79bdfadc6000"]}],"mendeley":{"formattedCitation":"(Veizer, 1989; McArthur, 1994)","plainTextFormattedCitation":"(Veizer, 1989; McArthur, 1994)","previouslyFormattedCitation":"(Veizer, 1989; McArthur, 1994)"},"properties":{"noteIndex":0},"schema":"https://github.com/citation-style-language/schema/raw/master/csl-citation.json"}</w:instrText>
      </w:r>
      <w:r w:rsidR="00A83634" w:rsidRPr="002B6873">
        <w:fldChar w:fldCharType="separate"/>
      </w:r>
      <w:r w:rsidR="00A83634" w:rsidRPr="002B6873">
        <w:rPr>
          <w:noProof/>
        </w:rPr>
        <w:t>(Veizer, 1989; McArthur, 1994)</w:t>
      </w:r>
      <w:r w:rsidR="00A83634" w:rsidRPr="002B6873">
        <w:fldChar w:fldCharType="end"/>
      </w:r>
      <w:r w:rsidR="002F7929" w:rsidRPr="002B6873">
        <w:t xml:space="preserve">. Although SIS is </w:t>
      </w:r>
      <w:r w:rsidRPr="002B6873">
        <w:t>well</w:t>
      </w:r>
      <w:r w:rsidR="00B259DD" w:rsidRPr="002B6873">
        <w:t xml:space="preserve"> </w:t>
      </w:r>
      <w:r w:rsidRPr="002B6873">
        <w:t>established in Phanerozoic studies</w:t>
      </w:r>
      <w:r w:rsidR="00BE06C2" w:rsidRPr="002B6873">
        <w:t xml:space="preserve"> </w:t>
      </w:r>
      <w:r w:rsidR="002F7929" w:rsidRPr="002B6873">
        <w:t>because of</w:t>
      </w:r>
      <w:r w:rsidR="00BE06C2" w:rsidRPr="002B6873">
        <w:t xml:space="preserve"> the </w:t>
      </w:r>
      <w:r w:rsidR="00BE06C2" w:rsidRPr="002B6873">
        <w:lastRenderedPageBreak/>
        <w:t xml:space="preserve">abundance of </w:t>
      </w:r>
      <w:r w:rsidR="002F7929" w:rsidRPr="002B6873">
        <w:t xml:space="preserve">mineralogically stable </w:t>
      </w:r>
      <w:r w:rsidR="00BE06C2" w:rsidRPr="002B6873">
        <w:t>biogenic materials</w:t>
      </w:r>
      <w:r w:rsidR="002F7929" w:rsidRPr="002B6873">
        <w:t xml:space="preserve"> such as low-Mg calcite shells</w:t>
      </w:r>
      <w:r w:rsidRPr="002B6873">
        <w:t>,</w:t>
      </w:r>
      <w:r w:rsidR="00BE06C2" w:rsidRPr="002B6873">
        <w:t xml:space="preserve"> </w:t>
      </w:r>
      <w:r w:rsidRPr="002B6873">
        <w:t xml:space="preserve">its application to </w:t>
      </w:r>
      <w:r w:rsidR="000444CA" w:rsidRPr="002B6873">
        <w:t xml:space="preserve">Proterozoic strata </w:t>
      </w:r>
      <w:r w:rsidRPr="002B6873">
        <w:t xml:space="preserve">is still </w:t>
      </w:r>
      <w:r w:rsidR="00317322" w:rsidRPr="002B6873">
        <w:t>dependent</w:t>
      </w:r>
      <w:r w:rsidR="002F7929" w:rsidRPr="002B6873">
        <w:t xml:space="preserve"> </w:t>
      </w:r>
      <w:r w:rsidR="00FB1C5C" w:rsidRPr="002B6873">
        <w:t>upon</w:t>
      </w:r>
      <w:r w:rsidR="002F7929" w:rsidRPr="002B6873">
        <w:t xml:space="preserve"> variably preserved bulk carbonate rock.</w:t>
      </w:r>
      <w:r w:rsidR="00F3476B" w:rsidRPr="002B6873">
        <w:t xml:space="preserve"> </w:t>
      </w:r>
    </w:p>
    <w:p w14:paraId="360B8EE0" w14:textId="7716CA68" w:rsidR="0007450E" w:rsidRPr="002B6873" w:rsidRDefault="00BE7ACE" w:rsidP="00AB2EE6">
      <w:pPr>
        <w:pStyle w:val="Abstract"/>
        <w:spacing w:line="480" w:lineRule="auto"/>
        <w:jc w:val="both"/>
      </w:pPr>
      <w:r w:rsidRPr="002B6873">
        <w:t xml:space="preserve">Despite </w:t>
      </w:r>
      <w:r w:rsidR="00F76568" w:rsidRPr="002B6873">
        <w:t xml:space="preserve">inherent </w:t>
      </w:r>
      <w:r w:rsidRPr="002B6873">
        <w:t xml:space="preserve">challenges, significant progress has been made towards </w:t>
      </w:r>
      <w:r w:rsidR="00317322" w:rsidRPr="002B6873">
        <w:t xml:space="preserve">constructing </w:t>
      </w:r>
      <w:r w:rsidR="0038384C" w:rsidRPr="002B6873">
        <w:t xml:space="preserve">a </w:t>
      </w:r>
      <w:r w:rsidRPr="002B6873">
        <w:t xml:space="preserve">Neoproterozoic seawater </w:t>
      </w:r>
      <w:r w:rsidRPr="002B6873">
        <w:rPr>
          <w:vertAlign w:val="superscript"/>
        </w:rPr>
        <w:t>87</w:t>
      </w:r>
      <w:r w:rsidRPr="002B6873">
        <w:t>Sr/</w:t>
      </w:r>
      <w:r w:rsidRPr="002B6873">
        <w:rPr>
          <w:vertAlign w:val="superscript"/>
        </w:rPr>
        <w:t>86</w:t>
      </w:r>
      <w:r w:rsidRPr="002B6873">
        <w:t xml:space="preserve">Sr curve </w:t>
      </w:r>
      <w:r w:rsidR="00591E19" w:rsidRPr="002B6873">
        <w:t xml:space="preserve">using bulk carbonate samples </w:t>
      </w:r>
      <w:r w:rsidR="00AD6F3D" w:rsidRPr="002B6873">
        <w:fldChar w:fldCharType="begin" w:fldLock="1"/>
      </w:r>
      <w:r w:rsidR="00AD6F3D" w:rsidRPr="002B6873">
        <w:instrText xml:space="preserve">ADDIN CSL_CITATION {"citationItems":[{"id":"ITEM-1","itemData":{"author":[{"dropping-particle":"","family":"Derry","given":"L A","non-dropping-particle":"","parse-names":false,"suffix":""},{"dropping-particle":"","family":"Kaufman","given":"A J","non-dropping-particle":"","parse-names":false,"suffix":""},{"dropping-particle":"","family":"Jacobsen","given":"S B","non-dropping-particle":"","parse-names":false,"suffix":""}],"container-title":"Geochimica et Cosmochimica Acta","id":"ITEM-1","issued":{"date-parts":[["1992"]]},"page":"1317-1329","title":"Sedimentary cycling and environmental change in the late Proterozoic: evidence from stable isotopes","type":"article-journal","volume":"56"},"uris":["http://www.mendeley.com/documents/?uuid=3180df4e-330f-4ec4-991f-4b428e2d8de5"]},{"id":"ITEM-2","itemData":{"author":[{"dropping-particle":"","family":"Shields","given":"Graham A.","non-dropping-particle":"","parse-names":false,"suffix":""}],"container-title":"ECLOGAE GEOLOGICAE HELVETIAE","id":"ITEM-2","issue":"2","issued":{"date-parts":[["1999"]]},"page":"221-233","title":"Working towards a new stratigraphic calibration scheme for the Neoproterozoic-Cambrian","type":"article-journal","volume":"92"},"uris":["http://www.mendeley.com/documents/?uuid=d3a1439d-8732-4faf-a847-965953c7c1c8"]},{"id":"ITEM-3","itemData":{"DOI":"10.1016/j.palaeo.2007.02.028","ISSN":"00310182","abstract":"The limited availability and low resolution of biostratigraphic and radiometric data in the Precambrian necessitate using marine chemostratigraphy to correlate and integrate the fragmentary stratigraphic record. We present a new composite record of the strontium isotope composition of seawater during the Neoproterozoic (1000–542 Ma) Era that is linked to a high-resolution δ13C (carbonate) compilation. The 87Sr/86Sr record consists predominantly of new and previously published data from carbonate-rich successions in northwest Canada, Svalbard, and northern Namibia. Published data from other late Neoproterozoic successions are conservatively included to fill in the Ediacaran Period (635–542 Ma). Consistent with previous compilations, the resulting strontium isotope record shows a systematic rise in 87Sr/86Sr throughout the Neoproterozoic, from as low as 0.7055 at the beginning of the era to greater than 0.7085 towards the end. Though the record remains poorly resolved and time-calibrated, it appears that declines, inflections, and rapid changes in 87Sr/86Sr all correspond to major biogeochemical or climatic events. However, this record supports neither a tight coupling between δ13C and 87Sr/86Sr via continental erosion nor widespread mountain-building as the main driver for increasing 87Sr/86Sr compositions during the Neoproterozoic. Rather, the steady rise in 87Sr/86Sr during the Neoproterozoic corresponded to the break-up of the supercontinent Rodinia.","author":[{"dropping-particle":"","family":"Halverson","given":"Galen P.","non-dropping-particle":"","parse-names":false,"suffix":""},{"dropping-particle":"","family":"Dudás","given":"Francis Ö.","non-dropping-particle":"","parse-names":false,"suffix":""},{"dropping-particle":"","family":"Maloof","given":"Adam C.","non-dropping-particle":"","parse-names":false,"suffix":""},{"dropping-particle":"","family":"Bowring","given":"Samuel A.","non-dropping-particle":"","parse-names":false,"suffix":""}],"container-title":"Palaeogeography, Palaeoclimatology, Palaeoecology","id":"ITEM-3","issue":"3-4","issued":{"date-parts":[["2007","12"]]},"page":"103-129","title":"Evolution of the &lt;sup&gt;87&lt;/sup&gt;Sr/&lt;sup&gt;86&lt;/sup&gt;Sr composition of Neoproterozoic seawater","type":"article-journal","volume":"256"},"uris":["http://www.mendeley.com/documents/?uuid=53bbba4d-54b9-45d8-bc28-620bf0b06fb4"]},{"id":"ITEM-4","itemData":{"DOI":"10.1016/j.precamres.2017.06.011","ISSN":"03019268","abstract":"Neoproterozoic sedimentary records reveal a poorly documented, </w:instrText>
      </w:r>
      <w:r w:rsidR="00AD6F3D" w:rsidRPr="002B6873">
        <w:rPr>
          <w:rFonts w:ascii="Cambria Math" w:hAnsi="Cambria Math" w:cs="Cambria Math"/>
        </w:rPr>
        <w:instrText>∼</w:instrText>
      </w:r>
      <w:r w:rsidR="00AD6F3D" w:rsidRPr="002B6873">
        <w:instrText xml:space="preserve">150 m.y. time interval, between </w:instrText>
      </w:r>
      <w:r w:rsidR="00AD6F3D" w:rsidRPr="002B6873">
        <w:rPr>
          <w:rFonts w:ascii="Cambria Math" w:hAnsi="Cambria Math" w:cs="Cambria Math"/>
        </w:rPr>
        <w:instrText>∼</w:instrText>
      </w:r>
      <w:r w:rsidR="00AD6F3D" w:rsidRPr="002B6873">
        <w:instrText>1000 and 850 Ma, that limit our understanding of C and Sr isotope variations in seawater and thus operation of the biogeochemical carbon cycle, changes in surface redox state, and fluctuations in continental vs. hydrothermal fluxes to the oceans following assembly of the supercontinent Rodinia. Carbon and Sr isotope data for carbonates from the Karatau Group of the Southern Ural Mountains in Russia provides a record partially covering the younger portion of this time interval. The lower part of the Karatau Group (LKG) contains well-preserved carbonate strata of the Katav, Inzer, and Min'yar formations that are focus of this study. Pb-Pb isochron ages for carbonates from the Inzer and Min'yar formations are 844 ± 24 and 820 ± 77 Ma, respectively, establishing an early Tonian age. Carbon isotope data for unaltered carbonates in the LKG show a range of moderately positive to negative values from −2.8 to +5.9‰, with the majority below +3.0‰.87Sr/86Sr values range from 0.70522 to 0.70534 in the Lower Inzer Member, increasing in the overlying Upper Inzer Member and Min'yar Formation, from 0.70555 to 0.70600. The Sr isotope range of the Lower Inzer Member is similar to that typical for the 1.03–0.95 Ga seawater (0.70519–0.70554), suggesting that the Sr isotope composition of seawater in the aftermath of Rodinian assembly was unradiogenic for 150 m.y. This pattern indicates that supercontinent-scale orogenic events do not result in an enhanced, long-term flux of radiogenic Sr from continents once the supercontinent assembled. To account for the prolonged period characterized by unradiogenic Sr seawater composition and moderate-amplitude C isotope variations, we suggest a supercontinent configuration ringed by continental arcs and with predominantly internal runoff. In this model, accompanying supercontinent blanketing resulted in thermal perturbation in the mantle, emplacement of multiple Large Igneous Provinces, and high continental freeboard. Weathering of juvenile arcs would have provided unradiogenic Sr and a high flux of sediments to the oceans, enhancing organic carbon burial and progressive oxygenation of surface environments and contributing to instability in the biogeochemical carbon cycle. Mass anomalies induced by protracted mantle plume activity led to True Polar Wander and brought the supercontinent, covered with juvenile mafic volcanics and segmented b…","author":[{"dropping-particle":"","family":"Kuznetsov","given":"A. B.","non-dropping-particle":"","parse-names":false,"suffix":""},{"dropping-particle":"","family":"Bekker","given":"A.","non-dropping-particle":"","parse-names":false,"suffix":""},{"dropping-particle":"V.","family":"Ovchinnikova","given":"G.","non-dropping-particle":"","parse-names":false,"suffix":""},{"dropping-particle":"","family":"Gorokhov","given":"I. M.","non-dropping-particle":"","parse-names":false,"suffix":""},{"dropping-particle":"","family":"Vasilyeva","given":"I. M.","non-dropping-particle":"","parse-names":false,"suffix":""}],"container-title":"Precambrian Research","id":"ITEM-4","issued":{"date-parts":[["2017"]]},"page":"157-173","publisher":"Elsevier B.V.","title":"Unradiogenic strontium and moderate-amplitude carbon isotope variations in early Tonian seawater after the assembly of Rodinia and before the Bitter Springs Excursion","type":"article-journal","volume":"298"},"uris":["http://www.mendeley.com/documents/?uuid=397239df-25b9-421e-8478-5259ae601c39"]}],"mendeley":{"formattedCitation":"(Derry et al., 1992; Shields, 1999; Halverson et al., 2007; Kuznetsov et al., 2017)","plainTextFormattedCitation":"(Derry et al., 1992; Shields, 1999; Halverson et al., 2007; Kuznetsov et al., 2017)","previouslyFormattedCitation":"(Derry et al., 1992; Shields, 1999; Halverson et al., 2007; Kuznetsov et al., 2017)"},"properties":{"noteIndex":0},"schema":"https://github.com/citation-style-language/schema/raw/master/csl-citation.json"}</w:instrText>
      </w:r>
      <w:r w:rsidR="00AD6F3D" w:rsidRPr="002B6873">
        <w:fldChar w:fldCharType="separate"/>
      </w:r>
      <w:r w:rsidR="00AD6F3D" w:rsidRPr="002B6873">
        <w:rPr>
          <w:noProof/>
        </w:rPr>
        <w:t>(Derry et al., 1992; Shields, 1999; Halverson et al., 2007; Kuznetsov et al., 2017)</w:t>
      </w:r>
      <w:r w:rsidR="00AD6F3D" w:rsidRPr="002B6873">
        <w:fldChar w:fldCharType="end"/>
      </w:r>
      <w:r w:rsidR="00AD6F3D" w:rsidRPr="002B6873">
        <w:t xml:space="preserve">, and </w:t>
      </w:r>
      <w:r w:rsidR="00A66647" w:rsidRPr="002B6873">
        <w:rPr>
          <w:lang w:val="en-GB"/>
        </w:rPr>
        <w:t>recently</w:t>
      </w:r>
      <w:r w:rsidR="00B60380" w:rsidRPr="002B6873">
        <w:rPr>
          <w:lang w:val="en-GB"/>
        </w:rPr>
        <w:t xml:space="preserve"> </w:t>
      </w:r>
      <w:r w:rsidR="00553FE4" w:rsidRPr="002B6873">
        <w:rPr>
          <w:lang w:val="en-GB"/>
        </w:rPr>
        <w:t xml:space="preserve">Cox et al. </w:t>
      </w:r>
      <w:r w:rsidR="00553FE4" w:rsidRPr="002B6873">
        <w:rPr>
          <w:lang w:val="de-DE"/>
        </w:rPr>
        <w:fldChar w:fldCharType="begin" w:fldLock="1"/>
      </w:r>
      <w:r w:rsidR="00553FE4" w:rsidRPr="002B6873">
        <w:rPr>
          <w:lang w:val="en-GB"/>
        </w:rPr>
        <w:instrText>ADDIN CSL_CITATION {"citationItems":[{"id":"ITEM-1","itemData":{"DOI":"10.1016/j.epsl.2016.04.016","ISSN":"0012821X","author":[{"dropping-particle":"","family":"Cox","given":"Grant M.","non-dropping-particle":"","parse-names":false,"suffix":""},{"dropping-particle":"","family":"Halverson","given":"Galen P.","non-dropping-particle":"","parse-names":false,"suffix":""},{"dropping-particle":"","family":"Stevenson","given":"Ross K.","non-dropping-particle":"","parse-names":false,"suffix":""},{"dropping-particle":"","family":"Vokaty","given":"Michelle","non-dropping-particle":"","parse-names":false,"suffix":""},{"dropping-particle":"","family":"Poirier","given":"André","non-dropping-particle":"","parse-names":false,"suffix":""},{"dropping-particle":"","family":"Kunzmann","given":"Marcus","non-dropping-particle":"","parse-names":false,"suffix":""},{"dropping-particle":"","family":"Li","given":"Zheng-Xiang","non-dropping-particle":"","parse-names":false,"suffix":""},{"dropping-particle":"","family":"Denyszyn","given":"Steven W.","non-dropping-particle":"","parse-names":false,"suffix":""},{"dropping-particle":"V.","family":"Strauss","given":"Justin","non-dropping-particle":"","parse-names":false,"suffix":""},{"dropping-particle":"","family":"Macdonald","given":"Francis A.","non-dropping-particle":"","parse-names":false,"suffix":""}],"container-title":"Earth and Planetary Science Letters","id":"ITEM-1","issued":{"date-parts":[["2016"]]},"page":"89-99","publisher":"Elsevier B.V.","title":"Continental flood basalt weathering as a trigger for Neoproterozoic Snowball Earth","type":"article-journal","volume":"446"},"suppress-author":1,"uris":["http://www.mendeley.com/documents/?uuid=65000289-9478-4d66-8374-04a39b6f4266"]}],"mendeley":{"formattedCitation":"(2016)","plainTextFormattedCitation":"(2016)","previouslyFormattedCitation":"(2016)"},"properties":{"noteIndex":0},"schema":"https://github.com/citation-style-language/schema/raw/master/csl-citation.json"}</w:instrText>
      </w:r>
      <w:r w:rsidR="00553FE4" w:rsidRPr="002B6873">
        <w:rPr>
          <w:lang w:val="de-DE"/>
        </w:rPr>
        <w:fldChar w:fldCharType="separate"/>
      </w:r>
      <w:r w:rsidR="00553FE4" w:rsidRPr="002B6873">
        <w:rPr>
          <w:noProof/>
          <w:lang w:val="en-GB"/>
        </w:rPr>
        <w:t>(2016)</w:t>
      </w:r>
      <w:r w:rsidR="00553FE4" w:rsidRPr="002B6873">
        <w:rPr>
          <w:lang w:val="de-DE"/>
        </w:rPr>
        <w:fldChar w:fldCharType="end"/>
      </w:r>
      <w:r w:rsidR="00553FE4" w:rsidRPr="002B6873">
        <w:rPr>
          <w:lang w:val="en-GB"/>
        </w:rPr>
        <w:t xml:space="preserve"> </w:t>
      </w:r>
      <w:r w:rsidR="00591E19" w:rsidRPr="002B6873">
        <w:rPr>
          <w:lang w:val="en-GB"/>
        </w:rPr>
        <w:t xml:space="preserve">extended </w:t>
      </w:r>
      <w:r w:rsidR="00AD6F3D" w:rsidRPr="002B6873">
        <w:rPr>
          <w:lang w:val="en-GB"/>
        </w:rPr>
        <w:t xml:space="preserve">their </w:t>
      </w:r>
      <w:r w:rsidR="00910D16" w:rsidRPr="002B6873">
        <w:rPr>
          <w:lang w:val="en-GB"/>
        </w:rPr>
        <w:t>compilation to 1050 Ma</w:t>
      </w:r>
      <w:r w:rsidR="004C2DA9" w:rsidRPr="002B6873">
        <w:rPr>
          <w:lang w:val="en-GB"/>
        </w:rPr>
        <w:t xml:space="preserve"> (see SI for more details). </w:t>
      </w:r>
      <w:r w:rsidR="00317780" w:rsidRPr="002B6873">
        <w:rPr>
          <w:lang w:val="en-GB"/>
        </w:rPr>
        <w:t xml:space="preserve">All </w:t>
      </w:r>
      <w:r w:rsidR="007636FD" w:rsidRPr="002B6873">
        <w:rPr>
          <w:lang w:val="en-GB"/>
        </w:rPr>
        <w:t xml:space="preserve">previous studies </w:t>
      </w:r>
      <w:r w:rsidR="00317780" w:rsidRPr="002B6873">
        <w:rPr>
          <w:lang w:val="en-GB"/>
        </w:rPr>
        <w:t>document</w:t>
      </w:r>
      <w:r w:rsidR="00F84634" w:rsidRPr="002B6873">
        <w:rPr>
          <w:lang w:val="en-GB"/>
        </w:rPr>
        <w:t xml:space="preserve"> a </w:t>
      </w:r>
      <w:r w:rsidR="007636FD" w:rsidRPr="002B6873">
        <w:rPr>
          <w:lang w:val="en-GB"/>
        </w:rPr>
        <w:t>general increase</w:t>
      </w:r>
      <w:r w:rsidR="00F84634" w:rsidRPr="002B6873">
        <w:rPr>
          <w:lang w:val="en-GB"/>
        </w:rPr>
        <w:t xml:space="preserve"> in seawater </w:t>
      </w:r>
      <w:r w:rsidR="004861F7" w:rsidRPr="002B6873">
        <w:rPr>
          <w:vertAlign w:val="superscript"/>
          <w:lang w:val="en-GB"/>
        </w:rPr>
        <w:t>87</w:t>
      </w:r>
      <w:r w:rsidR="004861F7" w:rsidRPr="002B6873">
        <w:rPr>
          <w:lang w:val="en-GB"/>
        </w:rPr>
        <w:t>Sr/</w:t>
      </w:r>
      <w:r w:rsidR="004861F7" w:rsidRPr="002B6873">
        <w:rPr>
          <w:vertAlign w:val="superscript"/>
          <w:lang w:val="en-GB"/>
        </w:rPr>
        <w:t>86</w:t>
      </w:r>
      <w:r w:rsidR="004861F7" w:rsidRPr="002B6873">
        <w:rPr>
          <w:lang w:val="en-GB"/>
        </w:rPr>
        <w:t>Sr</w:t>
      </w:r>
      <w:r w:rsidR="00FA336F" w:rsidRPr="002B6873">
        <w:rPr>
          <w:lang w:val="en-GB"/>
        </w:rPr>
        <w:t>, from about 0.705 to 0.709</w:t>
      </w:r>
      <w:r w:rsidR="00F84634" w:rsidRPr="002B6873">
        <w:rPr>
          <w:lang w:val="en-GB"/>
        </w:rPr>
        <w:t xml:space="preserve">, </w:t>
      </w:r>
      <w:r w:rsidR="00AD6F3D" w:rsidRPr="002B6873">
        <w:rPr>
          <w:lang w:val="en-GB"/>
        </w:rPr>
        <w:t>over the course of the Neoproterozoic</w:t>
      </w:r>
      <w:r w:rsidR="00776C4E" w:rsidRPr="002B6873">
        <w:rPr>
          <w:lang w:val="en-GB"/>
        </w:rPr>
        <w:t>. However,</w:t>
      </w:r>
      <w:r w:rsidR="00AD6F3D" w:rsidRPr="002B6873" w:rsidDel="007636FD">
        <w:rPr>
          <w:lang w:val="en-GB"/>
        </w:rPr>
        <w:t xml:space="preserve"> </w:t>
      </w:r>
      <w:r w:rsidR="00AD6F3D" w:rsidRPr="002B6873">
        <w:rPr>
          <w:lang w:val="en-GB"/>
        </w:rPr>
        <w:t xml:space="preserve">details </w:t>
      </w:r>
      <w:r w:rsidR="00317780" w:rsidRPr="002B6873">
        <w:rPr>
          <w:lang w:val="en-GB"/>
        </w:rPr>
        <w:t>remain</w:t>
      </w:r>
      <w:r w:rsidR="00F84634" w:rsidRPr="002B6873">
        <w:rPr>
          <w:lang w:val="en-GB"/>
        </w:rPr>
        <w:t xml:space="preserve"> speculative</w:t>
      </w:r>
      <w:r w:rsidR="00776C4E" w:rsidRPr="002B6873">
        <w:rPr>
          <w:lang w:val="en-GB"/>
        </w:rPr>
        <w:t xml:space="preserve"> because most</w:t>
      </w:r>
      <w:r w:rsidR="007656DA" w:rsidRPr="002B6873">
        <w:t xml:space="preserve"> </w:t>
      </w:r>
      <w:r w:rsidR="00776C4E" w:rsidRPr="002B6873">
        <w:t>published</w:t>
      </w:r>
      <w:r w:rsidR="000115AD" w:rsidRPr="002B6873">
        <w:t xml:space="preserve"> data</w:t>
      </w:r>
      <w:r w:rsidR="003A7390" w:rsidRPr="002B6873">
        <w:t xml:space="preserve"> suffer from</w:t>
      </w:r>
      <w:r w:rsidR="00A66EC8" w:rsidRPr="002B6873">
        <w:t xml:space="preserve"> poor age control</w:t>
      </w:r>
      <w:r w:rsidR="000115AD" w:rsidRPr="002B6873">
        <w:t xml:space="preserve">, such as </w:t>
      </w:r>
      <w:proofErr w:type="spellStart"/>
      <w:r w:rsidR="00F76568" w:rsidRPr="002B6873">
        <w:t>Tonian</w:t>
      </w:r>
      <w:proofErr w:type="spellEnd"/>
      <w:r w:rsidR="00F76568" w:rsidRPr="002B6873">
        <w:t xml:space="preserve"> data </w:t>
      </w:r>
      <w:r w:rsidR="007656DA" w:rsidRPr="002B6873">
        <w:t xml:space="preserve">from </w:t>
      </w:r>
      <w:r w:rsidR="000115AD" w:rsidRPr="002B6873">
        <w:t xml:space="preserve">Siberia and the Urals </w:t>
      </w:r>
      <w:r w:rsidR="000115AD" w:rsidRPr="002B6873">
        <w:fldChar w:fldCharType="begin" w:fldLock="1"/>
      </w:r>
      <w:r w:rsidR="003A354A" w:rsidRPr="002B6873">
        <w:instrText xml:space="preserve">ADDIN CSL_CITATION {"citationItems":[{"id":"ITEM-1","itemData":{"DOI":"10.1134/S0869593806060025","ISSN":"0869-5938","author":[{"dropping-particle":"","family":"Kuznetsov","given":"a. B.","non-dropping-particle":"","parse-names":false,"suffix":""},{"dropping-particle":"","family":"Semikhatov","given":"M. a.","non-dropping-particle":"","parse-names":false,"suffix":""},{"dropping-particle":"V.","family":"Maslov","given":"a.","non-dropping-particle":"","parse-names":false,"suffix":""},{"dropping-particle":"","family":"Gorokhov","given":"I. M.","non-dropping-particle":"","parse-names":false,"suffix":""},{"dropping-particle":"","family":"Prasolov","given":"E. M.","non-dropping-particle":"","parse-names":false,"suffix":""},{"dropping-particle":"","family":"Krupenin","given":"M. T.","non-dropping-particle":"","parse-names":false,"suffix":""},{"dropping-particle":"V.","family":"Kislova","given":"I.","non-dropping-particle":"","parse-names":false,"suffix":""}],"container-title":"Stratigraphy and Geological Correlation","id":"ITEM-1","issue":"6","issued":{"date-parts":[["2006"]]},"page":"602-628","title":"New data on Sr-and C-isotopic chemostratigraphy of the Upper Riphean type section (Southern Urals)","type":"article-journal","volume":"14"},"prefix":"e.g.","uris":["http://www.mendeley.com/documents/?uuid=91404f96-a13a-4a33-8068-8e3bc7ae8464"]},{"id":"ITEM-2","itemData":{"DOI":"10.1016/j.precamres.2017.06.011","ISSN":"03019268","abstract":"Neoproterozoic sedimentary records reveal a poorly documented, </w:instrText>
      </w:r>
      <w:r w:rsidR="003A354A" w:rsidRPr="002B6873">
        <w:rPr>
          <w:rFonts w:ascii="Cambria Math" w:hAnsi="Cambria Math" w:cs="Cambria Math"/>
        </w:rPr>
        <w:instrText>∼</w:instrText>
      </w:r>
      <w:r w:rsidR="003A354A" w:rsidRPr="002B6873">
        <w:instrText xml:space="preserve">150 m.y. time interval, between </w:instrText>
      </w:r>
      <w:r w:rsidR="003A354A" w:rsidRPr="002B6873">
        <w:rPr>
          <w:rFonts w:ascii="Cambria Math" w:hAnsi="Cambria Math" w:cs="Cambria Math"/>
        </w:rPr>
        <w:instrText>∼</w:instrText>
      </w:r>
      <w:r w:rsidR="003A354A" w:rsidRPr="002B6873">
        <w:instrText>1000 and 850 Ma, that limit our understanding of C and Sr isotope variations in seawater and thus operation of the biogeochemical carbon cycle, changes in surface redox state, and fluctuations in continental vs. hydrothermal fluxes to the oceans following assembly of the supercontinent Rodinia. Carbon and Sr isotope data for carbonates from the Karatau Group of the Southern Ural Mountains in Russia provides a record partially covering the younger portion of this time interval. The lower part of the Karatau Group (LKG) contains well-preserved carbonate strata of the Katav, Inzer, and Min'yar formations that are focus of this study. Pb-Pb isochron ages for carbonates from the Inzer and Min'yar formations are 844 ± 24 and 820 ± 77 Ma, respectively, establishing an early Tonian age. Carbon isotope data for unaltered carbonates in the LKG show a range of moderately positive to negative values from −2.8 to +5.9‰, with the majority below +3.0‰.87Sr/86Sr values range from 0.70522 to 0.70534 in the Lower Inzer Member, increasing in the overlying Upper Inzer Member and Min'yar Formation, from 0.70555 to 0.70600. The Sr isotope range of the Lower Inzer Member is similar to that typical for the 1.03–0.95 Ga seawater (0.70519–0.70554), suggesting that the Sr isotope composition of seawater in the aftermath of Rodinian assembly was unradiogenic for 150 m.y. This pattern indicates that supercontinent-scale orogenic events do not result in an enhanced, long-term flux of radiogenic Sr from continents once the supercontinent assembled. To account for the prolonged period characterized by unradiogenic Sr seawater composition and moderate-amplitude C isotope variations, we suggest a supercontinent configuration ringed by continental arcs and with predominantly internal runoff. In this model, accompanying supercontinent blanketing resulted in thermal perturbation in the mantle, emplacement of multiple Large Igneous Provinces, and high continental freeboard. Weathering of juvenile arcs would have provided unradiogenic Sr and a high flux of sediments to the oceans, enhancing organic carbon burial and progressive oxygenation of surface environments and contributing to instability in the biogeochemical carbon cycle. Mass anomalies induced by protracted mantle plume activity led to True Polar Wander and brought the supercontinent, covered with juvenile mafic volcanics and segmented b…","author":[{"dropping-particle":"","family":"Kuznetsov","given":"A. B.","non-dropping-particle":"","parse-names":false,"suffix":""},{"dropping-particle":"","family":"Bekker","given":"A.","non-dropping-particle":"","parse-names":false,"suffix":""},{"dropping-particle":"V.","family":"Ovchinnikova","given":"G.","non-dropping-particle":"","parse-names":false,"suffix":""},{"dropping-particle":"","family":"Gorokhov","given":"I. M.","non-dropping-particle":"","parse-names":false,"suffix":""},{"dropping-particle":"","family":"Vasilyeva","given":"I. M.","non-dropping-particle":"","parse-names":false,"suffix":""}],"container-title":"Precambrian Research","id":"ITEM-2","issued":{"date-parts":[["2017"]]},"page":"157-173","publisher":"Elsevier B.V.","title":"Unradiogenic strontium and moderate-amplitude carbon isotope variations in early Tonian seawater after the assembly of Rodinia and before the Bitter Springs Excursion","type":"article-journal","volume":"298"},"uris":["http://www.mendeley.com/documents/?uuid=397239df-25b9-421e-8478-5259ae601c39"]}],"mendeley":{"formattedCitation":"(e.g. Kuznetsov et al., 2006, 2017)","plainTextFormattedCitation":"(e.g. Kuznetsov et al., 2006, 2017)","previouslyFormattedCitation":"(e.g. Kuznetsov et al., 2006, 2017)"},"properties":{"noteIndex":0},"schema":"https://github.com/citation-style-language/schema/raw/master/csl-citation.json"}</w:instrText>
      </w:r>
      <w:r w:rsidR="000115AD" w:rsidRPr="002B6873">
        <w:fldChar w:fldCharType="separate"/>
      </w:r>
      <w:r w:rsidR="003A354A" w:rsidRPr="002B6873">
        <w:rPr>
          <w:noProof/>
        </w:rPr>
        <w:t>(e.g. Kuznetsov et al., 2006, 2017)</w:t>
      </w:r>
      <w:r w:rsidR="000115AD" w:rsidRPr="002B6873">
        <w:fldChar w:fldCharType="end"/>
      </w:r>
      <w:r w:rsidR="0042450C" w:rsidRPr="002B6873">
        <w:t>,</w:t>
      </w:r>
      <w:r w:rsidR="000115AD" w:rsidRPr="002B6873">
        <w:t xml:space="preserve"> </w:t>
      </w:r>
      <w:r w:rsidR="00776C4E" w:rsidRPr="002B6873">
        <w:t>and/or</w:t>
      </w:r>
      <w:r w:rsidR="003A7390" w:rsidRPr="002B6873">
        <w:t xml:space="preserve"> </w:t>
      </w:r>
      <w:r w:rsidR="000115AD" w:rsidRPr="002B6873">
        <w:t xml:space="preserve">are difficult to correlate </w:t>
      </w:r>
      <w:r w:rsidR="003A7390" w:rsidRPr="002B6873">
        <w:t>globally</w:t>
      </w:r>
      <w:r w:rsidR="003A354A" w:rsidRPr="002B6873">
        <w:t xml:space="preserve"> </w:t>
      </w:r>
      <w:r w:rsidR="00776C4E" w:rsidRPr="002B6873">
        <w:fldChar w:fldCharType="begin" w:fldLock="1"/>
      </w:r>
      <w:r w:rsidR="00776C4E" w:rsidRPr="002B6873">
        <w:instrText>ADDIN CSL_CITATION {"citationItems":[{"id":"ITEM-1","itemData":{"DOI":"10.1016/j.epsl.2016.04.016","ISSN":"0012821X","author":[{"dropping-particle":"","family":"Cox","given":"Grant M.","non-dropping-particle":"","parse-names":false,"suffix":""},{"dropping-particle":"","family":"Halverson","given":"Galen P.","non-dropping-particle":"","parse-names":false,"suffix":""},{"dropping-particle":"","family":"Stevenson","given":"Ross K.","non-dropping-particle":"","parse-names":false,"suffix":""},{"dropping-particle":"","family":"Vokaty","given":"Michelle","non-dropping-particle":"","parse-names":false,"suffix":""},{"dropping-particle":"","family":"Poirier","given":"André","non-dropping-particle":"","parse-names":false,"suffix":""},{"dropping-particle":"","family":"Kunzmann","given":"Marcus","non-dropping-particle":"","parse-names":false,"suffix":""},{"dropping-particle":"","family":"Li","given":"Zheng-Xiang","non-dropping-particle":"","parse-names":false,"suffix":""},{"dropping-particle":"","family":"Denyszyn","given":"Steven W.","non-dropping-particle":"","parse-names":false,"suffix":""},{"dropping-particle":"V.","family":"Strauss","given":"Justin","non-dropping-particle":"","parse-names":false,"suffix":""},{"dropping-particle":"","family":"Macdonald","given":"Francis A.","non-dropping-particle":"","parse-names":false,"suffix":""}],"container-title":"Earth and Planetary Science Letters","id":"ITEM-1","issued":{"date-parts":[["2016"]]},"page":"89-99","publisher":"Elsevier B.V.","title":"Continental flood basalt weathering as a trigger for Neoproterozoic Snowball Earth","type":"article-journal","volume":"446"},"prefix":"cf.","uris":["http://www.mendeley.com/documents/?uuid=65000289-9478-4d66-8374-04a39b6f4266"]}],"mendeley":{"formattedCitation":"(cf. Cox et al., 2016)","plainTextFormattedCitation":"(cf. Cox et al., 2016)","previouslyFormattedCitation":"(cf. Cox et al., 2016)"},"properties":{"noteIndex":0},"schema":"https://github.com/citation-style-language/schema/raw/master/csl-citation.json"}</w:instrText>
      </w:r>
      <w:r w:rsidR="00776C4E" w:rsidRPr="002B6873">
        <w:fldChar w:fldCharType="separate"/>
      </w:r>
      <w:r w:rsidR="00776C4E" w:rsidRPr="002B6873">
        <w:rPr>
          <w:noProof/>
        </w:rPr>
        <w:t>(cf. Cox et al., 2016)</w:t>
      </w:r>
      <w:r w:rsidR="00776C4E" w:rsidRPr="002B6873">
        <w:fldChar w:fldCharType="end"/>
      </w:r>
      <w:r w:rsidR="00776C4E" w:rsidRPr="002B6873">
        <w:t xml:space="preserve"> due to lack of biostratigraphic control and</w:t>
      </w:r>
      <w:r w:rsidR="007656DA" w:rsidRPr="002B6873">
        <w:t xml:space="preserve"> the non-uniqueness of carbon isotope trends</w:t>
      </w:r>
      <w:r w:rsidR="00776C4E" w:rsidRPr="002B6873">
        <w:t xml:space="preserve"> </w:t>
      </w:r>
      <w:r w:rsidR="007656DA" w:rsidRPr="002B6873">
        <w:fldChar w:fldCharType="begin" w:fldLock="1"/>
      </w:r>
      <w:r w:rsidR="007656DA" w:rsidRPr="002B6873">
        <w:instrText>ADDIN CSL_CITATION {"citationItems":[{"id":"ITEM-1","itemData":{"DOI":"10.1016/j.precamres.2015.02.015","ISBN":"0301-9268","ISSN":"03019268","abstract":"Carbon and strontium isotope chemostratigraphy (52 ??13Ccarb and ??18O, and 50 87Sr/86Sr analyses of carbonate components in whole-rock samples) was applied for constraining an apparent depositional age of the carbonate protolith to amphibolite-grade, calcite marbles occurring in siliciclastic sedimentary sequences hosting iron formations (the Dunderlandsdalen type iron ores) of previously unknown age in the R??dingsfj??llet Nappe Complex of the Rana region, Nordland, Norway. The least altered 87Sr/86Sr (0.70676) and ??13C (+2.5 to +5.6???) values of the marbles (Dunderland Marble 2a) in the hanging wall sequence of the Stensundtjern iron formation in the Rana region are consistent with seawater composition in the time interval 800-730Ma, hence the Middle Cryogenian (pre-Sturtian). The least altered Sr- and C-isotopic values obtained from two other marbles units (Marble 3 and 4) of the R??dningsfj??llet Nappe Complex are consistent with the Late Cryogenian (c. 660 and 670-700Ma, respectively). The ages obtained provide the first insight into the depositional time of sediment-hosted iron formations of the Uppermost Allochthon in the North-Central Norwegian Caledonides. The Middle Cryogenian-age of marbles associated with iron formations in the Rana region and those located c. 250km to the north (the H??fjellet iron ore horizon) share similar 87Sr/86Sr and ??13C ratios and hence similar chemostratigraphic ages. These iron formations were originally accumulated outside of Baltica, on a glacially influenced carbonate-siliciclastic shelf, apparently on a margin of an unknown microcontinent. The Scandinavian Dunderlandsdalen and the H??fjellet iron ores of Middle Cryogenian age (800-730Ma) were accumulated in an open marine environment distant from volcanic centres, and hence represent an outstanding exception to other reported Neoproterozoic iron formations which were all accumulated in volcanically active continental rift settings.","author":[{"dropping-particle":"","family":"Melezhik","given":"V. A.","non-dropping-particle":"","parse-names":false,"suffix":""},{"dropping-particle":"","family":"Ihlen","given":"P. M.","non-dropping-particle":"","parse-names":false,"suffix":""},{"dropping-particle":"","family":"Kuznetsov","given":"A. B.","non-dropping-particle":"","parse-names":false,"suffix":""},{"dropping-particle":"","family":"Gjelle","given":"S.","non-dropping-particle":"","parse-names":false,"suffix":""},{"dropping-particle":"","family":"Solli","given":"A.","non-dropping-particle":"","parse-names":false,"suffix":""},{"dropping-particle":"","family":"Gorokhov","given":"I. M.","non-dropping-particle":"","parse-names":false,"suffix":""},{"dropping-particle":"","family":"Fallick","given":"A. E.","non-dropping-particle":"","parse-names":false,"suffix":""},{"dropping-particle":"","family":"Sandstad","given":"J. S.","non-dropping-particle":"","parse-names":false,"suffix":""},{"dropping-particle":"","family":"Bjerkgård","given":"T.","non-dropping-particle":"","parse-names":false,"suffix":""}],"container-title":"Precambrian Research","id":"ITEM-1","issued":{"date-parts":[["2015"]]},"page":"272-299","publisher":"Elsevier B.V.","title":"Pre-Sturtian (800-730Ma) depositional age of carbonates in sedimentary sequences hosting stratiform iron ores in the Uppermost Allochthon of the Norwegian Caledonides: A chemostratigraphic approach","type":"article-journal","volume":"261"},"uris":["http://www.mendeley.com/documents/?uuid=062a7a39-0935-4b04-9be8-fde61969be88"]}],"mendeley":{"formattedCitation":"(Melezhik et al., 2015)","plainTextFormattedCitation":"(Melezhik et al., 2015)","previouslyFormattedCitation":"(Melezhik et al., 2015)"},"properties":{"noteIndex":0},"schema":"https://github.com/citation-style-language/schema/raw/master/csl-citation.json"}</w:instrText>
      </w:r>
      <w:r w:rsidR="007656DA" w:rsidRPr="002B6873">
        <w:fldChar w:fldCharType="separate"/>
      </w:r>
      <w:r w:rsidR="007656DA" w:rsidRPr="002B6873">
        <w:rPr>
          <w:noProof/>
        </w:rPr>
        <w:t>(Melezhik et al., 2015)</w:t>
      </w:r>
      <w:r w:rsidR="007656DA" w:rsidRPr="002B6873">
        <w:fldChar w:fldCharType="end"/>
      </w:r>
      <w:r w:rsidR="007656DA" w:rsidRPr="002B6873">
        <w:t xml:space="preserve">. </w:t>
      </w:r>
      <w:r w:rsidR="00A66EC8" w:rsidRPr="002B6873">
        <w:t>Nevertheless</w:t>
      </w:r>
      <w:r w:rsidR="000115AD" w:rsidRPr="002B6873">
        <w:t xml:space="preserve">, </w:t>
      </w:r>
      <w:r w:rsidR="005518B9" w:rsidRPr="002B6873">
        <w:t xml:space="preserve">previous studies suggest that </w:t>
      </w:r>
      <w:r w:rsidR="00A66EC8" w:rsidRPr="002B6873">
        <w:t xml:space="preserve">SIS </w:t>
      </w:r>
      <w:r w:rsidR="00A72EA9" w:rsidRPr="002B6873">
        <w:t xml:space="preserve">has </w:t>
      </w:r>
      <w:r w:rsidR="005518B9" w:rsidRPr="002B6873">
        <w:t xml:space="preserve">potential </w:t>
      </w:r>
      <w:r w:rsidR="008742FA" w:rsidRPr="002B6873">
        <w:t>for both</w:t>
      </w:r>
      <w:r w:rsidR="00A66EC8" w:rsidRPr="002B6873">
        <w:t xml:space="preserve"> </w:t>
      </w:r>
      <w:r w:rsidR="008742FA" w:rsidRPr="002B6873">
        <w:t xml:space="preserve">stratigraphic correlation </w:t>
      </w:r>
      <w:r w:rsidR="00A66EC8" w:rsidRPr="002B6873">
        <w:t xml:space="preserve">and </w:t>
      </w:r>
      <w:r w:rsidR="00355F57" w:rsidRPr="002B6873">
        <w:t>environmental</w:t>
      </w:r>
      <w:r w:rsidR="008742FA" w:rsidRPr="002B6873">
        <w:t xml:space="preserve"> interpretation of Neoproterozoic</w:t>
      </w:r>
      <w:r w:rsidR="00F60811" w:rsidRPr="002B6873">
        <w:t xml:space="preserve"> events</w:t>
      </w:r>
      <w:r w:rsidR="00F84634" w:rsidRPr="002B6873">
        <w:t xml:space="preserve">, provided that </w:t>
      </w:r>
      <w:r w:rsidR="00A14EE6" w:rsidRPr="002B6873">
        <w:t>well-</w:t>
      </w:r>
      <w:r w:rsidR="00F84634" w:rsidRPr="002B6873">
        <w:t xml:space="preserve">preserved </w:t>
      </w:r>
      <w:r w:rsidR="007D5BFE" w:rsidRPr="002B6873">
        <w:t xml:space="preserve">marine </w:t>
      </w:r>
      <w:r w:rsidR="00FE5F01" w:rsidRPr="002B6873">
        <w:t xml:space="preserve">carbonate </w:t>
      </w:r>
      <w:r w:rsidR="00F84634" w:rsidRPr="002B6873">
        <w:t xml:space="preserve">samples can be placed within the improving, global stratigraphic framework. </w:t>
      </w:r>
    </w:p>
    <w:p w14:paraId="7474EB55" w14:textId="32AE7AA4" w:rsidR="0007450E" w:rsidRPr="002B6873" w:rsidRDefault="0044323D" w:rsidP="000D14BC">
      <w:pPr>
        <w:pStyle w:val="Abstract"/>
        <w:spacing w:line="480" w:lineRule="auto"/>
        <w:jc w:val="both"/>
      </w:pPr>
      <w:r w:rsidRPr="002B6873">
        <w:t xml:space="preserve">This study </w:t>
      </w:r>
      <w:r w:rsidR="007115D1" w:rsidRPr="002B6873">
        <w:t xml:space="preserve">improves </w:t>
      </w:r>
      <w:r w:rsidR="0007450E" w:rsidRPr="002B6873">
        <w:t xml:space="preserve">Neoproterozoic SIS by </w:t>
      </w:r>
      <w:r w:rsidR="009376E6" w:rsidRPr="002B6873">
        <w:t xml:space="preserve">specifically </w:t>
      </w:r>
      <w:r w:rsidR="00205496" w:rsidRPr="002B6873">
        <w:t xml:space="preserve">targeting </w:t>
      </w:r>
      <w:r w:rsidR="00491765" w:rsidRPr="002B6873">
        <w:t>demonstrably well-preserved</w:t>
      </w:r>
      <w:r w:rsidR="00205496" w:rsidRPr="002B6873">
        <w:t xml:space="preserve"> </w:t>
      </w:r>
      <w:r w:rsidR="00CD1682" w:rsidRPr="002B6873">
        <w:t xml:space="preserve">and age-constrained </w:t>
      </w:r>
      <w:r w:rsidR="00205496" w:rsidRPr="002B6873">
        <w:t xml:space="preserve">examples of </w:t>
      </w:r>
      <w:r w:rsidR="00D14CED" w:rsidRPr="002B6873">
        <w:t xml:space="preserve">calcite </w:t>
      </w:r>
      <w:proofErr w:type="spellStart"/>
      <w:r w:rsidR="00D14CED" w:rsidRPr="002B6873">
        <w:t>microspar</w:t>
      </w:r>
      <w:proofErr w:type="spellEnd"/>
      <w:r w:rsidR="00D14CED" w:rsidRPr="002B6873">
        <w:t xml:space="preserve"> cements </w:t>
      </w:r>
      <w:r w:rsidR="002F6233" w:rsidRPr="002B6873">
        <w:t>(</w:t>
      </w:r>
      <w:r w:rsidR="00B259DD" w:rsidRPr="002B6873">
        <w:t>CMC</w:t>
      </w:r>
      <w:r w:rsidR="00A72EA9" w:rsidRPr="002B6873">
        <w:t xml:space="preserve">), </w:t>
      </w:r>
      <w:r w:rsidR="00E97DBD" w:rsidRPr="002B6873">
        <w:t xml:space="preserve">which </w:t>
      </w:r>
      <w:r w:rsidR="00A72EA9" w:rsidRPr="002B6873">
        <w:t>fill</w:t>
      </w:r>
      <w:r w:rsidR="00205496" w:rsidRPr="002B6873">
        <w:t xml:space="preserve"> </w:t>
      </w:r>
      <w:r w:rsidR="00A72EA9" w:rsidRPr="002B6873">
        <w:t xml:space="preserve">early diagenetic cracks, </w:t>
      </w:r>
      <w:r w:rsidR="00C21798" w:rsidRPr="002B6873">
        <w:t xml:space="preserve">commonly </w:t>
      </w:r>
      <w:r w:rsidR="00205496" w:rsidRPr="002B6873">
        <w:t xml:space="preserve">referred to as </w:t>
      </w:r>
      <w:r w:rsidR="00A72EA9" w:rsidRPr="002B6873">
        <w:t>‘</w:t>
      </w:r>
      <w:r w:rsidR="00205496" w:rsidRPr="002B6873">
        <w:t>molar tooth structure</w:t>
      </w:r>
      <w:r w:rsidR="00A72EA9" w:rsidRPr="002B6873">
        <w:t>’</w:t>
      </w:r>
      <w:r w:rsidR="007D5BFE" w:rsidRPr="002B6873">
        <w:t>, and other cavities</w:t>
      </w:r>
      <w:r w:rsidR="00A72EA9" w:rsidRPr="002B6873">
        <w:t>. Our new data for</w:t>
      </w:r>
      <w:r w:rsidR="00CD1682" w:rsidRPr="002B6873">
        <w:t xml:space="preserve"> the North China craton </w:t>
      </w:r>
      <w:r w:rsidR="0034335C" w:rsidRPr="002B6873">
        <w:t xml:space="preserve">fill </w:t>
      </w:r>
      <w:r w:rsidR="00322B3A" w:rsidRPr="002B6873">
        <w:t>a</w:t>
      </w:r>
      <w:r w:rsidR="0034335C" w:rsidRPr="002B6873">
        <w:t xml:space="preserve"> gap in </w:t>
      </w:r>
      <w:r w:rsidR="00E1524C" w:rsidRPr="002B6873">
        <w:t xml:space="preserve">the </w:t>
      </w:r>
      <w:r w:rsidR="0052275F" w:rsidRPr="002B6873">
        <w:t>record</w:t>
      </w:r>
      <w:r w:rsidR="00CD1682" w:rsidRPr="002B6873">
        <w:t xml:space="preserve"> between c.980 to c.920 Ma</w:t>
      </w:r>
      <w:r w:rsidR="0052275F" w:rsidRPr="002B6873">
        <w:t xml:space="preserve"> towards </w:t>
      </w:r>
      <w:r w:rsidR="0034335C" w:rsidRPr="002B6873">
        <w:t xml:space="preserve">a new Sr isotope curve for Neoproterozoic </w:t>
      </w:r>
      <w:r w:rsidR="00C046FD" w:rsidRPr="002B6873">
        <w:t>seawater</w:t>
      </w:r>
      <w:r w:rsidR="0034335C" w:rsidRPr="002B6873">
        <w:t>.</w:t>
      </w:r>
    </w:p>
    <w:p w14:paraId="1D563478" w14:textId="77777777" w:rsidR="00CD1682" w:rsidRPr="002B6873" w:rsidRDefault="00CD1682" w:rsidP="000D14BC">
      <w:pPr>
        <w:pStyle w:val="Abstract"/>
        <w:spacing w:line="480" w:lineRule="auto"/>
        <w:jc w:val="both"/>
      </w:pPr>
    </w:p>
    <w:p w14:paraId="4475126A" w14:textId="49268991" w:rsidR="00696CDC" w:rsidRPr="002B6873" w:rsidRDefault="00FC7590" w:rsidP="002129F4">
      <w:pPr>
        <w:pStyle w:val="Head1"/>
        <w:spacing w:line="480" w:lineRule="auto"/>
      </w:pPr>
      <w:r w:rsidRPr="002B6873">
        <w:t>G</w:t>
      </w:r>
      <w:r w:rsidR="00613DCE" w:rsidRPr="002B6873">
        <w:t>EOLOGICAL BACKGROUND AND AGE MODEL</w:t>
      </w:r>
    </w:p>
    <w:p w14:paraId="56B87E35" w14:textId="16EF2328" w:rsidR="005445FB" w:rsidRPr="002B6873" w:rsidRDefault="00D523E4">
      <w:pPr>
        <w:pStyle w:val="Abstract"/>
        <w:spacing w:line="480" w:lineRule="auto"/>
        <w:jc w:val="both"/>
      </w:pPr>
      <w:r w:rsidRPr="002B6873">
        <w:t xml:space="preserve">The North China Craton (NCC) </w:t>
      </w:r>
      <w:r w:rsidR="00E40D66" w:rsidRPr="002B6873">
        <w:t>has an Archean to Paleoproterozoic basement a</w:t>
      </w:r>
      <w:r w:rsidR="00637987" w:rsidRPr="002B6873">
        <w:t>nd</w:t>
      </w:r>
      <w:r w:rsidR="00E40D66" w:rsidRPr="002B6873">
        <w:t xml:space="preserve"> </w:t>
      </w:r>
      <w:proofErr w:type="spellStart"/>
      <w:r w:rsidR="0076158F" w:rsidRPr="002B6873">
        <w:t>unmetamorphosed</w:t>
      </w:r>
      <w:proofErr w:type="spellEnd"/>
      <w:r w:rsidR="00E40D66" w:rsidRPr="002B6873">
        <w:t xml:space="preserve"> Mesoproterozoic to Neoproterozoic sedimentary cover</w:t>
      </w:r>
      <w:r w:rsidR="0076158F" w:rsidRPr="002B6873">
        <w:t xml:space="preserve"> that was</w:t>
      </w:r>
      <w:r w:rsidR="006F3708" w:rsidRPr="002B6873">
        <w:t xml:space="preserve"> deposited in a </w:t>
      </w:r>
      <w:r w:rsidR="006F3708" w:rsidRPr="002B6873">
        <w:lastRenderedPageBreak/>
        <w:t xml:space="preserve">shallow marine environment. </w:t>
      </w:r>
      <w:r w:rsidR="000B5198" w:rsidRPr="002B6873">
        <w:t xml:space="preserve">The </w:t>
      </w:r>
      <w:r w:rsidR="00775D19" w:rsidRPr="002B6873">
        <w:t>Huaibei</w:t>
      </w:r>
      <w:r w:rsidR="002B19BE" w:rsidRPr="002B6873">
        <w:t xml:space="preserve"> region</w:t>
      </w:r>
      <w:r w:rsidR="000B5198" w:rsidRPr="002B6873">
        <w:t xml:space="preserve">, </w:t>
      </w:r>
      <w:r w:rsidR="002B19BE" w:rsidRPr="002B6873">
        <w:t xml:space="preserve">the </w:t>
      </w:r>
      <w:r w:rsidR="00317322" w:rsidRPr="002B6873">
        <w:t xml:space="preserve">research area </w:t>
      </w:r>
      <w:r w:rsidR="002B19BE" w:rsidRPr="002B6873">
        <w:t xml:space="preserve">of the present study, </w:t>
      </w:r>
      <w:r w:rsidR="00B46EBF" w:rsidRPr="002B6873">
        <w:t>is situated</w:t>
      </w:r>
      <w:r w:rsidR="002B19BE" w:rsidRPr="002B6873">
        <w:t xml:space="preserve"> </w:t>
      </w:r>
      <w:r w:rsidR="00ED5D45" w:rsidRPr="002B6873">
        <w:t xml:space="preserve">on the southern margin of </w:t>
      </w:r>
      <w:r w:rsidR="001D2585" w:rsidRPr="002B6873">
        <w:t xml:space="preserve">this </w:t>
      </w:r>
      <w:r w:rsidR="00ED5D45" w:rsidRPr="002B6873">
        <w:t>eastern NCC</w:t>
      </w:r>
      <w:r w:rsidR="001D2585" w:rsidRPr="002B6873">
        <w:t xml:space="preserve"> block</w:t>
      </w:r>
      <w:r w:rsidR="002533C9" w:rsidRPr="002B6873">
        <w:t xml:space="preserve"> (Fig. 1)</w:t>
      </w:r>
      <w:r w:rsidR="00924118" w:rsidRPr="002B6873">
        <w:t xml:space="preserve"> </w:t>
      </w:r>
      <w:r w:rsidR="001F52CE" w:rsidRPr="002B6873">
        <w:t>and contains a</w:t>
      </w:r>
      <w:r w:rsidR="00924118" w:rsidRPr="002B6873">
        <w:t xml:space="preserve"> thick succession of </w:t>
      </w:r>
      <w:r w:rsidR="00322C3D" w:rsidRPr="002B6873">
        <w:t xml:space="preserve">largely </w:t>
      </w:r>
      <w:r w:rsidR="00924118" w:rsidRPr="002B6873">
        <w:t>carbonate strata</w:t>
      </w:r>
      <w:r w:rsidR="001F52CE" w:rsidRPr="002B6873">
        <w:t xml:space="preserve"> that </w:t>
      </w:r>
      <w:r w:rsidR="000850AA" w:rsidRPr="002B6873">
        <w:t xml:space="preserve">correlate with the </w:t>
      </w:r>
      <w:proofErr w:type="spellStart"/>
      <w:r w:rsidR="000850AA" w:rsidRPr="002B6873">
        <w:t>Jinxian</w:t>
      </w:r>
      <w:proofErr w:type="spellEnd"/>
      <w:r w:rsidR="000850AA" w:rsidRPr="002B6873">
        <w:t xml:space="preserve"> Group in </w:t>
      </w:r>
      <w:r w:rsidR="009F0C0F" w:rsidRPr="002B6873">
        <w:t xml:space="preserve">the </w:t>
      </w:r>
      <w:r w:rsidR="000850AA" w:rsidRPr="002B6873">
        <w:t xml:space="preserve">Dalian area. </w:t>
      </w:r>
    </w:p>
    <w:p w14:paraId="56E8C8A5" w14:textId="17A80D85" w:rsidR="00392CFD" w:rsidRPr="002B6873" w:rsidRDefault="00B24BD0" w:rsidP="002311CE">
      <w:pPr>
        <w:pStyle w:val="Abstract"/>
        <w:spacing w:line="480" w:lineRule="auto"/>
        <w:ind w:firstLine="0"/>
        <w:jc w:val="both"/>
      </w:pPr>
      <w:r w:rsidRPr="002B6873">
        <w:t xml:space="preserve">Detrital zircon and </w:t>
      </w:r>
      <w:r w:rsidR="005445FB" w:rsidRPr="002B6873">
        <w:t xml:space="preserve">intrusive </w:t>
      </w:r>
      <w:r w:rsidRPr="002B6873">
        <w:t xml:space="preserve">diabase zircon and baddeleyite </w:t>
      </w:r>
      <w:r w:rsidR="005445FB" w:rsidRPr="002B6873">
        <w:t xml:space="preserve">U-Pb </w:t>
      </w:r>
      <w:r w:rsidRPr="002B6873">
        <w:t xml:space="preserve">ages </w:t>
      </w:r>
      <w:r w:rsidR="005E314A" w:rsidRPr="002B6873">
        <w:t xml:space="preserve">indicate </w:t>
      </w:r>
      <w:r w:rsidRPr="002B6873">
        <w:t>an early Neoproterozoic</w:t>
      </w:r>
      <w:r w:rsidR="00C71D44" w:rsidRPr="002B6873">
        <w:t xml:space="preserve"> </w:t>
      </w:r>
      <w:r w:rsidRPr="002B6873">
        <w:t>age</w:t>
      </w:r>
      <w:r w:rsidR="00C1084B" w:rsidRPr="002B6873">
        <w:t xml:space="preserve"> </w:t>
      </w:r>
      <w:r w:rsidR="005445FB" w:rsidRPr="002B6873">
        <w:t xml:space="preserve">for </w:t>
      </w:r>
      <w:r w:rsidR="007101E7" w:rsidRPr="002B6873">
        <w:t xml:space="preserve">the Huaibei and </w:t>
      </w:r>
      <w:proofErr w:type="spellStart"/>
      <w:r w:rsidR="007101E7" w:rsidRPr="002B6873">
        <w:t>Jinxian</w:t>
      </w:r>
      <w:proofErr w:type="spellEnd"/>
      <w:r w:rsidR="00796E82" w:rsidRPr="002B6873">
        <w:t xml:space="preserve"> </w:t>
      </w:r>
      <w:r w:rsidR="005C5B4C" w:rsidRPr="002B6873">
        <w:t>succession</w:t>
      </w:r>
      <w:r w:rsidR="00796E82" w:rsidRPr="002B6873">
        <w:t>s</w:t>
      </w:r>
      <w:r w:rsidR="000365C9" w:rsidRPr="002B6873">
        <w:t xml:space="preserve"> </w:t>
      </w:r>
      <w:r w:rsidR="000365C9" w:rsidRPr="002B6873">
        <w:fldChar w:fldCharType="begin" w:fldLock="1"/>
      </w:r>
      <w:r w:rsidR="00875CB4" w:rsidRPr="002B6873">
        <w:instrText>ADDIN CSL_CITATION {"citationItems":[{"id":"ITEM-1","itemData":{"DOI":"10.1007/s11434-006-2114-0","ISSN":"10016538","author":[{"dropping-particle":"","family":"Liu","given":"Yongqing","non-dropping-particle":"","parse-names":false,"suffix":""},{"dropping-particle":"","family":"Gao","given":"Linzhi","non-dropping-particle":"","parse-names":false,"suffix":""},{"dropping-particle":"","family":"Liu","given":"Yanxue","non-dropping-particle":"","parse-names":false,"suffix":""},{"dropping-particle":"","family":"Song","given":"Biao","non-dropping-particle":"","parse-names":false,"suffix":""},{"dropping-particle":"","family":"Wang","given":"Zongxiu","non-dropping-particle":"","parse-names":false,"suffix":""}],"container-title":"Chinese Science Bulletin","id":"ITEM-1","issue":"19","issued":{"date-parts":[["2006"]]},"page":"2375-2382","title":"Zircon U-Pb dating for the earliest Neoproterozoic mafic magmatism in the southern margin of the North China Block","type":"article-journal","volume":"51"},"uris":["http://www.mendeley.com/documents/?uuid=bb58a321-1a99-4b29-91aa-a899d8b1fa05"]},{"id":"ITEM-2","itemData":{"author":[{"dropping-particle":"","family":"Gao","given":"Linzhi","non-dropping-particle":"","parse-names":false,"suffix":""},{"dropping-particle":"","family":"Zhang","given":"Chuanheng","non-dropping-particle":"","parse-names":false,"suffix":""},{"dropping-particle":"","family":"Liu","given":"Pengju","non-dropping-particle":"","parse-names":false,"suffix":""},{"dropping-particle":"","family":"Tang","given":"Feng","non-dropping-particle":"","parse-names":false,"suffix":""},{"dropping-particle":"","family":"Song","given":"Biao","non-dropping-particle":"","parse-names":false,"suffix":""},{"dropping-particle":"","family":"Ding","given":"Xiaozhong","non-dropping-p</w:instrText>
      </w:r>
      <w:r w:rsidR="00875CB4" w:rsidRPr="002B6873">
        <w:rPr>
          <w:rFonts w:hint="eastAsia"/>
        </w:rPr>
        <w:instrText>article":"","parse-names":false,"suffix":""}],"container-title":"Acta Geologica Sinica - English Edition","id":"ITEM-2","issue":"6","issued":{"date-parts":[["2009"]]},"page":"1074-1084","title":"Reclassification of the Meso</w:instrText>
      </w:r>
      <w:r w:rsidR="00875CB4" w:rsidRPr="002B6873">
        <w:rPr>
          <w:rFonts w:hint="eastAsia"/>
        </w:rPr>
        <w:instrText>‐</w:instrText>
      </w:r>
      <w:r w:rsidR="00875CB4" w:rsidRPr="002B6873">
        <w:rPr>
          <w:rFonts w:hint="eastAsia"/>
        </w:rPr>
        <w:instrText>and Neoproterozoic chronostrati</w:instrText>
      </w:r>
      <w:r w:rsidR="00875CB4" w:rsidRPr="002B6873">
        <w:instrText>graphy of North China by SHRIMP zircon ages","type":"article-journal","volume":"83"},"uris":["http://www.mendeley.com/documents/?uuid=0870d321-fa09-4bbb-81e8-1b2868b55714"]},{"id":"ITEM-3","itemData":{"DOI":"10.1016/j.precamres.2012.07.002","ISBN":"0301-9268","ISSN":"03019268","abstract":"The tectonic evolution of the North China Craton (NCC) from the Late Mesoproterozoic to the Neoproterozoic has been unclear. This paper reports the results of LA-ICP-MS U-Pb dating and in situ Hf isotope analysis of detrital zircons from Neoproterozoic strata in the northern Jiangsu and southern Liaoning provinces of southeastern NCC, and we go onto discuss how these results help constrain the Late Precambrian evolution of the NCC. Most analyzed zircon grains exhibit oscillatory growth zoning, and they have relatively high Th/U ratios (&gt;0.4) and positive Ce anomalies as well as negative Eu anomalies, all of which suggests a magmatic origin. The detrital zircons from the Xinxing and Jinshanzhai formations in northern Jiangsu Province give weighted mean ages of 1753, 1635, 1486, and 1121Ma, and 2515, 2305, 1856, 925, and 825Ma, respectively, and the detrital zircons from the Diaoyutai and Xingmincun formations in southern Liaoning Province give ages of 1745, 1619, 1484, 1175, and 1077Ma, and 1798, 1623, 1150, 1020, and 934Ma, respectively. These results, together with previously published ages, indicate that (1) the Neoproterozoic strata in the northern Jiangsu and southern Liaoning provinces were deposited during a period from the Late Mesoproterozoic to Neoproterozoic, and (2) the sediments in the Neoproterozoic strata were sourced mainly from igneous rocks of Late Paleoproterozoic, Mesoproterozoic, and Early Neoproterozoic age, as well as from the ancient Precambrian basement of the NCC. The concordia plots for 291 detrital zircon grains give three prominent age groups of 1.86-2.5, 1.5-1.8, and 0.9-1.2Ga. The detrital zircon ages of 1.86-2.5Ga in the Neoproterozoic strata tie in with most of the Precambrian tectonic-magmatic-thermal events that occurred in the NCC. Zircon ages of 1.6-1.8Ga can be linked to rift magmatism of Late Paleoproterozoic age in the NCC. The detrital zircon ages of 0.9-1.2Ga can be related to Grenville-aged magmatism in the southeastern NCC. The zircons show negative e{open} Hf (t) values (-8.8 to -0.1), suggesting that the source rocks were dominated by reworked ancient Precambrian crust. The positive e{open} Hf (t) values (+0.3 to +10.8) and Hf model ages indicate that growth of continental crustal occurred at ~2.7Ga, ~1.9Ga, and ~1.5Ga in the southeastern NCC. ?? 2012 Elsevier B.V.","author":[{"dropping-particle":"Bin","family":"Yang","given":"De","non-dropping-particle":"","parse-names":false,"suffix":""},{"dropping-particle":"","family":"Xu","given":"Wen Liang","non-dropping-particle":"","parse-names":false,"suffix":""},{"dropping-particle":"","family":"Xu","given":"Yi Gang","non-dropping-particle":"","parse-names":false,"suffix":""},{"dropping-particle":"","family":"Wang","given":"Qing Hai","non-dropping-particle":"","parse-names":false,"suffix":""},{"dropping-particle":"","family":"Pei","given":"Fu Ping","non-dropping-particle":"","parse-names":false,"suffix":""},{"dropping-particle":"","family":"Wang","given":"Feng","non-dropping-particle":"","parse-names":false,"suffix":""}],"container-title":"Precambrian Research","id":"ITEM-3","issued":{"date-parts":[["2012"]]},"page":"162-176","publisher":"Elsevier B.V.","title":"U-Pb ages and Hf isotope data from detrital zircons in the Neoproterozoic sandstones of northern Jiangsu and southern Liaoning Provinces, China: Implications for the Late Precambrian evolution of the southeastern North China Craton","type":"article-journal","volume":"216-219"},"uris":["http://www.mendeley.com/documents/?uuid=eeb3273a-5f83-4768-9807-f9b4220c6535"]},{"id":"ITEM-4","itemData":{"DOI":"10.1007/s11430-011-4237-7","ISBN":"1674-7313","ISSN":"16747313","author":[{"dropping-particle":"","family":"Wang","given":"QingHai","non-dropping-particle":"","parse-names":false,"suffix":""},{"dropping-particle":"","family":"Yang","given":"DeBin","non-dropping-particle":"","parse-names":false,"suffix":""},{"dropping-particle":"","family":"Xu","given":"WenLiang","non-dropping-particle":"","parse-names":false,"suffix":""}],"container-title":"Science China Earth Sciences","id":"ITEM-4","issue":"9","issued":{"date-parts":[["2012"]]},"page":"1461-1479","title":"Neoproterozoic basic magmatism in the southeast margin of North China Craton: Evidence from whole-rock geochemistry, U-Pb and Hf isotopic study of zircons from diabase swarms in the Xuzhou-Huaibei area of China","type":"article-journal","volume":"55"},"uris":["http://www.mendeley.com/documents/?uuid=01738407-2eb9-47be-a6cb-7d1144f3b2c6"]}],"mendeley":{"formattedCitation":"(Liu et al., 2006; Gao et al., 2009; Yang et al., 2012; Wang et al., 2012)","plainTextFormattedCitation":"(Liu et al., 2006; Gao et al., 2009; Yang et al., 2012; Wang et al., 2012)","previouslyFormattedCitation":"(Liu et al., 2006; Gao et al., 2009, 2010; Yang et al., 2012; Wang et al., 2012)"},"properties":{"noteIndex":0},"schema":"https://github.com/citation-style-language/schema/raw/master/csl-citation.json"}</w:instrText>
      </w:r>
      <w:r w:rsidR="000365C9" w:rsidRPr="002B6873">
        <w:fldChar w:fldCharType="separate"/>
      </w:r>
      <w:r w:rsidR="00875CB4" w:rsidRPr="002B6873">
        <w:rPr>
          <w:noProof/>
        </w:rPr>
        <w:t>(Liu et al., 2006; Gao et al., 2009; Yang et al., 2012; Wang et al., 2012)</w:t>
      </w:r>
      <w:r w:rsidR="000365C9" w:rsidRPr="002B6873">
        <w:fldChar w:fldCharType="end"/>
      </w:r>
      <w:r w:rsidR="003A4656" w:rsidRPr="002B6873">
        <w:t xml:space="preserve">. A </w:t>
      </w:r>
      <w:proofErr w:type="spellStart"/>
      <w:r w:rsidR="003A4656" w:rsidRPr="002B6873">
        <w:t>Tonian</w:t>
      </w:r>
      <w:proofErr w:type="spellEnd"/>
      <w:r w:rsidR="003A4656" w:rsidRPr="002B6873">
        <w:t xml:space="preserve"> age </w:t>
      </w:r>
      <w:r w:rsidR="007101E7" w:rsidRPr="002B6873">
        <w:t xml:space="preserve">is also </w:t>
      </w:r>
      <w:r w:rsidRPr="002B6873">
        <w:t xml:space="preserve">supported by </w:t>
      </w:r>
      <w:r w:rsidR="003A4656" w:rsidRPr="002B6873">
        <w:t xml:space="preserve">age </w:t>
      </w:r>
      <w:r w:rsidR="00283C68" w:rsidRPr="002B6873">
        <w:t xml:space="preserve">suggestive </w:t>
      </w:r>
      <w:r w:rsidR="003A4656" w:rsidRPr="002B6873">
        <w:t>macrofossils</w:t>
      </w:r>
      <w:r w:rsidR="006246B6" w:rsidRPr="002B6873">
        <w:t xml:space="preserve"> </w:t>
      </w:r>
      <w:r w:rsidR="006246B6" w:rsidRPr="002B6873">
        <w:fldChar w:fldCharType="begin" w:fldLock="1"/>
      </w:r>
      <w:r w:rsidR="00B6451A" w:rsidRPr="002B6873">
        <w:instrText>ADDIN CSL_CITATION {"citationItems":[{"id":"ITEM-1","itemData":{"DOI":"10.1016/j.palaeo.2007.05.019","ISSN":"00310182","abstract":"The carbonaceous compression fossils Protoarenicola baiguashanensis Wang, 1982, Pararenicola huaiyuanensis Wang, 1982, and Sinosabellidites huainanensis Zheng, 1980, from the early Neoproterozoic Liulaobei and Jiuliqiao formations in northern Anhui, North China, were previously interpreted as worm-like metazoans, largely on the basis of transverse annulations and purported proboscis structures. If correct, these would be some of the earliest known bilaterian animals and would provide a key paleontological calibration to molecular clock analyses. In this study, we examine a large population of these carbonaceous fossils, clarify their taxonomy, and provide new insights into their morphological, paleoecological, and phylogenetic interpretations. Although all three species are characterized by annulated tubes, P. baiguashanensis bears a bulbous terminal structure at one end of its tube. P. huaiyuanensis is characterized by a constricted opening at one end and a closed termination at the other. The two ends of S. huainanensis tubes are both closed and round. The bulbous terminal structure in P. baiguashanensis was previously interpreted as an animal proboscis, but new observations suggest that it was more likely a holdfast structure analogous to discoidal holdfast structures of the Mesoproterozoic Tawuia-like fossil Radhakrishnania Kumar, 2001, and the frondose Ediacara fossil Charniodiscus Ford, 1958. Furthermore, it is possible that at least P. baiguashanensis and P. huaiyuanensis may represent reproductive or taphonomic fragments of the same organism. This reinterpretation weakens the previous interpretation that P. baiguashanensis and P. huaiyuanensis were worm-like bilaterian animals. Instead, they can be alternatively interpreted as erect epibenthic organisms, possibly coenocytic algae reaching a tiering height of 30??mm. The predominance of discoidal holdfasts, as opposed to rhizoidal holdfasts, in pre-Ediacaran epibenthic organisms was probably related to more stable substrates in the presence of microbial mats and in the absence of bioturbating animals. ?? 2007 Elsevier B.V. All rights reserved.","author":[{"dropping-particle":"","family":"Dong","given":"Lin","non-dropping-particle":"","parse-names":false,"suffix":""},{"dropping-particle":"","family":"Xiao","given":"Shuhai","non-dropping-particle":"","parse-names":false,"suffix":""},{"dropping-particle":"","family":"Shen","given":"Bing","non-dropping-particle":"","parse-names":false,"suffix":""},{"dropping-particle":"","family":"Yuan","given":"Xunlai","non-dropping-particle":"","parse-names":false,"suffix":""},{"dropping-particle":"","family":"Yan","given":"Xianqin","non-dropping-particle":"","parse-names":false,"suffix":""},{"dropping-particle":"","family":"Peng","given":"Yongbo","non-dropping-particle":"","parse-names":false,"suffix":""}],"container-title":"Palaeogeography, Palaeoclimatology, Palaeoecology","id":"ITEM-1","issue":"3","issued":{"date-parts":[["2008"]]},"page":"138-161","title":"Restudy of the worm-like carbonaceous compression fossils Protoarenicola, Pararenicola, and Sinosabellidites from early Neoproterozoic successions in North China","type":"article-journal","volume":"258"},"uris":["http://www.mendeley.com/documents/?uuid=cb23c028-0531-4aac-9df4-c3285b3bbb59"]},{"id":"ITEM-2","itemData":{"DOI":"10.1016/j.precamres.2014.03.004","ISBN":"5402311366","ISSN":"03019268","abstract":"Thick carbonate successions of Proterozoic age were deposited in the Huaibei and Huainan regions along the southern margin of the North China Block. These successions, including the Huaibei Group in the Huaibei region and the Huainan and Feishui groups in the Huainan region, have been correlated with the Qingbaikou Group, which outcrops in the Jixian area of North China and is the eponymous succession of the Qingbaikouan System (traditionally regarded as 1000-800Ma). Recently, it has been shown that lower Qingbaikouan strata in the Jixian area may be as old as 1300-1400Ma. By correlation, the Huaibei, Huainan, and Feishui groups may include Mesoproterozoic strata, but these units have also been interpreted as Tonian or Cryogenian-Ediacaran-Cambrian in age. These contradictory age interpretations hamper our ability to explore the rich paleontological and sedimentary records preserved in these rocks and to assess paleogeographic reconstructions. In this report, we describe new microfossils and stable isotope data (??13Ccarb, ??18Ocarb, ??34SCAS) from the Huaibei, Huainan, and Feishui groups. Possible vase-shaped microfossils from the Jiayuan Formation of the lower Huaibei Group and characteristic early Neoproterozoic acritarchs (particularly Trachyhystrichosphaera aimika) from the Gouhou and Liulaobei formations are consistent with a Tonian age for the Huaibei and Huainan groups. Similarly, carbon isotope trends in the Huaibei, Huainan, and Feishui groups are comparable with Tonian ??13Ccarb patterns in South Australia and Laurentia, with a plateau of moderately positive (1-5???) values followed by pronounced negative ??13Ccarb excursion in the Gouhou Formation, which may be equivalent to the Bitter Springs anomaly in South Australia. ??34SCAS values of the Huaibei Group are mostly 25-40???, similar to values from the stratigraphically equivalent Jingeryu Formation in the Jixian area. Overall, the combination of biostratigraphic, chemostratigraphic, and available radiometric data suggests that the Huaibei, Huainan, and Feishui groups are early Neoproterozoic (Tonian) in age. ?? 2014 Elsevier B.V.","author":[{"dropping-particle":"","family":"Xiao","given":"Shuhai","non-dropping-particle":"","parse-names":false,"suffix":""},{"dropping-particle":"","family":"Shen","given":"Bing","non-dropping-particle":"","parse-names":false,"suffix":""},{"dropping-particle":"","family":"Tang","given":"Qing","non-dropping-particle":"","parse-names":false,"suffix":""},{"dropping-particle":"","family":"Kaufman","given":"Alan J.","non-dropping-particle":"","parse-names":false,"suffix":""},{"dropping-particle":"","family":"Yuan","given":"Xunlai","non-dropping-particle":"","parse-names":false,"suffix":""},{"dropping-particle":"","family":"Li","given":"Jianhua","non-dropping-particle":"","parse-names":false,"suffix":""},{"dropping-particle":"","family":"Qian","given":"Maiping","non-dropping-particle":"","parse-names":false,"suffix":""}],"container-title":"Precambrian Research","id":"ITEM-2","issued":{"date-parts":[["2014"]]},"page":"208-225","publisher":"Elsevier B.V.","title":"Biostratigraphic and chemostratigraphic constraints on the age of early Neoproterozoic carbonate successions in North China","type":"article-journal","volume":"246"},"uris":["http://www.mendeley.com/documents/?uuid=a86e342d-bce8-4617-9b37-aad683476bde"]}],"mendeley":{"formattedCitation":"(Dong et al., 2008; Xiao et al., 2014)","plainTextFormattedCitation":"(Dong et al., 2008; Xiao et al., 2014)","previouslyFormattedCitation":"(Dong et al., 2008; Xiao et al., 2014)"},"properties":{"noteIndex":0},"schema":"https://github.com/citation-style-language/schema/raw/master/csl-citation.json"}</w:instrText>
      </w:r>
      <w:r w:rsidR="006246B6" w:rsidRPr="002B6873">
        <w:fldChar w:fldCharType="separate"/>
      </w:r>
      <w:r w:rsidR="006246B6" w:rsidRPr="002B6873">
        <w:rPr>
          <w:noProof/>
        </w:rPr>
        <w:t>(Dong et al., 2008; Xiao et al., 2014)</w:t>
      </w:r>
      <w:r w:rsidR="006246B6" w:rsidRPr="002B6873">
        <w:fldChar w:fldCharType="end"/>
      </w:r>
      <w:r w:rsidR="003A4656" w:rsidRPr="002B6873">
        <w:t>,</w:t>
      </w:r>
      <w:r w:rsidR="00796E82" w:rsidRPr="002B6873">
        <w:t xml:space="preserve"> </w:t>
      </w:r>
      <w:r w:rsidR="00283C68" w:rsidRPr="002B6873">
        <w:t xml:space="preserve">age diagnostic </w:t>
      </w:r>
      <w:proofErr w:type="spellStart"/>
      <w:r w:rsidR="003A4656" w:rsidRPr="002B6873">
        <w:t>acritarchs</w:t>
      </w:r>
      <w:proofErr w:type="spellEnd"/>
      <w:r w:rsidR="007101E7" w:rsidRPr="002B6873">
        <w:t xml:space="preserve"> </w:t>
      </w:r>
      <w:r w:rsidR="003A4656" w:rsidRPr="002B6873">
        <w:fldChar w:fldCharType="begin" w:fldLock="1"/>
      </w:r>
      <w:r w:rsidR="003A4656" w:rsidRPr="002B6873">
        <w:instrText>ADDIN CSL_CITATION {"citationItems":[{"id":"ITEM-1","itemData":{"DOI":"10.1016/j.precamres.2013.07.019","ISBN":"5402311366","ISSN":"03019268","abstract":"Biostratigraphic subdivision and correlation of early Neoproterozoic strata is hampered by the limited number of widely distributed and age diagnostic fossils. The acanthomorphic acritarch Trachyhystrichosphaera aimika, among a few other microfossil taxa, has emerged as a potential early Neoproterozoic index fossil, but its temporal and spatial ranges have not been thoroughly documented. To improve our knowledge about early Neoproterozoic biodiversity, we carried out a micropaleontological investigation of the early Neoproterozoic Liulaobei Formation in northern Anhui of North China. Our investigation using a low-manipulation maceration technique revealed a diverse assemblage of organic-walled microfossils dominated by sphaeromorphs and filaments, with relatively few acanthomorph taxa. A total of 23 taxa were recovered, including three new species (Eotylotopalla? grandis n. sp., Siphonophycus gigas n. sp., and Trachyhystrichosphaera botula n. sp.). Also present in the Liulaobei Formation are Trachyhystrichosphaera aimika (a species widely present in pre-Cryogenian Neoproterozoic and latest Mesoproterozoic rocks) and Pololeptus rugosus (a species characterized by an ellipsoidal vesicle with transverse annulations). The new data add to the growing diversity of early Neoproterozoic fossils and strengthen the basis for improved biostratigraphic correlation of early Neoproterozoic strata. Correlation with other geochronologically dated successions that contain Trachyhystrichosphaera confirms Trachyhystrichosphaera and T. aimika as promising index fossils to define and subdivide the pre-Cryogenian Neoproterozoic Era in terms of Global Boundary Stratotype Section and Point (GSSP), as opposed to current system using Global Standard Stratigraphic Age (GSSA). Available biostratigraphic data, including the occurrence of Trachyhystrichosphaera, Chuaria, Tawuia, and Sinosabellidites, suggest that the Liulaobei Formation is of pre-Cryogenian Neoproterozoic age, not Cryogenian-Ediacaran age as some have suggested in the past. ?? 2013 Elsevier B.V.","author":[{"dropping-particle":"","family":"Tang","given":"Qing","non-dropping-particle":"","parse-names":false,"suffix":""},{"dropping-particle":"","family":"Pang","given":"Ke","non-dropping-particle":"","parse-names":false,"suffix":""},{"dropping-particle":"","family":"Xiao","given":"Shuhai","non-dropping-particle":"","parse-names":false,"suffix":""},{"dropping-particle":"","family":"Yuan","given":"Xunlai","non-dropping-particle":"","parse-names":false,"suffix":""},{"dropping-particle":"","family":"Ou","given":"Zhiji","non-dropping-particle":"","parse-names":false,"suffix":""},{"dropping-particle":"","family":"Wan","given":"Bin","non-dropping-particle":"","parse-names":false,"suffix":""}],"container-title":"Precambrian Research","id":"ITEM-1","issued":{"date-parts":[["2013"]]},"page":"157-181","publisher":"Elsevier B.V.","title":"Organic-walled microfossils from the early Neoproterozoic Liulaobei Formation in the Huainan region of North China and their biostratigraphic significance","type":"article-journal","volume":"236"},"uris":["http://www.mendeley.com/documents/?uuid=c7d94b49-6177-49e5-af66-617313373df4"]},{"id":"ITEM-2","itemData":{"DOI":"http://dx.doi.org/10.1016/j.precamres.2015.05.025","ISBN":"0301-9268","author":[{"dropping-particle":"","family":"Tang","given":"Qing","non-dropping-particle":"","parse-names":false,"suffix":""},{"dropping-particle":"","family":"Pang","given":"Ke","non-dropping-particle":"","parse-names":false,"suffix":""},{"dropping-particle":"","family":"Yuan","given":"Xunlai","non-dropping-particle":"","parse-names":false,"suffix":""},{"dropping-particle":"","family":"Wan","given":"Bin","non-dropping-particle":"","parse-names":false,"suffix":""},{"dropping-particle":"","family":"Xiao","given":"Shuhai","non-dropping-particle":"","parse-names":false,"suffix":""}],"container-title":"Precambrian Research","id":"ITEM-2","issued":{"date-parts":[["2015"]]},"page":"296-318","title":"Organic-walled microfossils from the Tonian Gouhou Formation, Huaibei region, North China Craton, and their biostratigraphic implications","type":"article-journal","volume":"266"},"uris":["http://www.mendeley.com/documents/?uuid=1f5cd206-0cde-49c2-ab43-544a42d7e6bf"]}],"mendeley":{"formattedCitation":"(Tang et al., 2013, 2015)","plainTextFormattedCitation":"(Tang et al., 2013, 2015)","previouslyFormattedCitation":"(Tang et al., 2013, 2015)"},"properties":{"noteIndex":0},"schema":"https://github.com/citation-style-language/schema/raw/master/csl-citation.json"}</w:instrText>
      </w:r>
      <w:r w:rsidR="003A4656" w:rsidRPr="002B6873">
        <w:fldChar w:fldCharType="separate"/>
      </w:r>
      <w:r w:rsidR="003A4656" w:rsidRPr="002B6873">
        <w:rPr>
          <w:noProof/>
        </w:rPr>
        <w:t>(Tang et al., 2013, 2015)</w:t>
      </w:r>
      <w:r w:rsidR="003A4656" w:rsidRPr="002B6873">
        <w:fldChar w:fldCharType="end"/>
      </w:r>
      <w:r w:rsidR="003A4656" w:rsidRPr="002B6873">
        <w:t xml:space="preserve"> and limited </w:t>
      </w:r>
      <w:r w:rsidR="007D4F65" w:rsidRPr="002B6873">
        <w:t xml:space="preserve">published </w:t>
      </w:r>
      <w:r w:rsidR="003A4656" w:rsidRPr="002B6873">
        <w:t xml:space="preserve">C-isotope </w:t>
      </w:r>
      <w:r w:rsidR="00756A23" w:rsidRPr="002B6873">
        <w:fldChar w:fldCharType="begin" w:fldLock="1"/>
      </w:r>
      <w:r w:rsidR="00B6451A" w:rsidRPr="002B6873">
        <w:instrText>ADDIN CSL_CITATION {"citationItems":[{"id":"ITEM-1","itemData":{"abstract":"The Upper Proterozoic in northern Anhui and Jiangsu Provinces, central-eastern China, is in a region of complex struc- ture on the southern margin of the North China Platform. It consists of the Huainan Group to the south, and Huaibei Group to the north of the Huaihe River. The Huainan Group underlies glacial diamictite of the Fengtai Formation. Both groups yield abundant microfossils, carbonaceous megafossils, stromatolites and putative non-skeletal metazoan fossils. Recently this region has been investigated intensively, in the expectation that it will provide the evidence needed to cor- relate the sequences of the North and South China Platforms. This study is directed at that problem. There is considerable interest in the Liulaobei Formation of the Huainan Group, because it contains worm-like possible metazoan fossils. It has been considered by various workers to be pre-Sinian, Sinian or Early Cambrian. The greatest abundance and diversity of microfossils occurs in the lower part of the formation, which is interpreted as having been deposited in relatively deep water. The Chuaria-Tawuia assemblage which occurs in the Liulaobei Formation has been considered biostratigraphically useful, but current evidence is that the assemblage is long-ranging with limited biostrati- graphic value. The Liulaobei acritarch assemblage is dominated by spheroidal forms but there are some complex forms of more use in biostratigraphy; the formation is most likely to be Sinian. Acritarchs have also been recovered from other units. The Gouhou Formation was previously considered to be late Sinian, but here is interpreted as Early Cambrian. The microfossil assemblages from the shale of the upper Sinian Shijia Formation and the silty carbonates of the upper Sinian Zhaowei and Jiayuan Formations have also been investigated. Evidence for the ages of the Groups is not definitive, but on balance suggests that all but the uppermost formations are Sinian. Substantial differences between the groups are most easily explained as the result of deposition in separate basins. Seven major lithofacies can be recognised in this region. Outcrop observations combined with a study of thin sections, stable isotope analyses and microfossils indicate a range of marine shelfal environments from relatively deep and below wave base across a shallow inner shelf to peritidal and fluviatile environments. Palaeoecological study suggests the abun- dance and diversity of microfossils increase from the near…","author":[{"dropping-particle":"","family":"Zang","given":"Wen-Long","non-dropping-particle":"","parse-names":false,"suffix":""},{"dropping-particle":"","family":"Walter","given":"M.R.","non-dropping-particle":"","parse-names":false,"suffix":""}],"container-title":"Precambrian Research,","id":"ITEM-1","issued":{"date-parts":[["1992"]]},"page":"243-323","title":"Late Proterozoic and Early Cambrian microfossils and biostratiraphy, Northern Anhui and Jiangsu","type":"article-journal","volume":"57"},"uris":["http://www.mendeley.com/documents/?uuid=c397a04b-8874-420a-8d62-f1bbeae1e9c4"]},{"id":"ITEM-2","itemData":{"abstract":"The carbonate samples were systematically collected f rom the Upper Precambrian System of northern Jiangsu-Anhui. The leachate was used for Sr isotopic analysis af ter acid-leaching treatment and the whole rock samples for C isotopic analysis. Compared with evolut ion curve of Sr and C isotopes of the Neopr oterozoic seawater presented by Shields ( 1999) , the results show that the Upper Precambrian Sys- tem of northern Jiangsu-Anhui is a set of cont inuous str ata between the Qingbaikou System in North China and the Sinian System in South China, ranging in age f rom 850 Ma to 700 Ma. T his study further confirms the view——the Huainan biota belongs to the pre-Ediacarian t ime.","author":[{"dropping-particle":"","family":"Yang","given":"Jiedong","non-dropping-particle":"","parse-names":false,"suffix":""},{"dropping-particle":"","family":"Zheng","given":"Wenwu","non-dropping-particle":"","parse-names":false,"suffix":""},{"dropping-particle":"","family":"Wang","given":"Zongzhe","non-dropping-particle":"","parse-names":false,"suffix":""},{"dropping-particle":"","family":"Tao","given":"Xiancong","non-dropping-particle":"","parse-names":false,"suffix":""}],"container-title":"Journal of Statigraphy (in Chinese)","id":"ITEM-2","issue":"1","issued":{"date-parts":[["2001"]]},"page":"44-47","title":"Age determining of the uppe Precambrian system of Northern Jiangsu-Anhui by using Sr and C isotopes","type":"article-journal","volume":"25"},"uris":["http://www.mendeley.com/documents/?uuid=2bf039fa-a033-4fb6-ae4b-695faa703e46"]},{"id":"ITEM-3","itemData":{"abstract":"According to the methods of Sr and C isotopic stratigraphy, limestone samples were systemat-i cally collected from the Neoproterozoic successions in northern Jiangsu, northern Anhui and southern Liaoning Provinces. New findings, such as the physical sequences of the strata, the depositional ages, and the choice of the isotopic geochronologic data of the study area, were obtained by comparing the Sr and C isotope compositions with the evolution curves of the Sr and C isotopes for the Neoproterozoic and Cambrian seawater. The findings suggested that the Huainan Group, the Xihe Group and theWuxingshan Group in the studied regions were all formed 900Ma to 700Ma ago, a period before the Nantuo ice per-i od or the Sturtian ice period, and it is proved further that theHuainan Biota should be one important life explosion that belongs to the pre -Ediacaran period.","author":[{"dropping-particle":"","family":"Zheng","given":"Wenwu","non-dropping-particle":"","parse-names":false,"suffix":""},{"dropping-particle":"","family":"Yang","given":"Jiedong","non-dropping-particle":"","parse-names":false,"suffix":""},{"dropping-particle":"","family":"Hong","given":"Tianqiu","non-dropping-particle":"","parse-names":false,"suffix":""},{"dropping-particle":"","family":"Tao","given":"Xiancong","non-dropping-particle":"","parse-names":false,"suffix":""},{"dropping-particle":"","family":"Wang","given":"Zongzhe","non-dropping-particle":"","parse-names":false,"suffix":""}],"container-title":"Geological Journal of China Universit ies (in Chinese)","id":"ITEM-3","issue":"2","issued":{"date-parts":[["2004"]]},"title":"Sr and C Isotopic Correlation and the Age Boundary Determination for the Neoproterozoic in the Southern Liaoning and Northern Jiangsu Northern Anhui Provinces","type":"article-journal","volume":"10"},"uris":["http://www.mendeley.com/documents/?uuid=c5a41e44-912b-453c-8169-80a283333cf4"]},{"id":"ITEM-4","itemData":{"DOI":"10.1016/j.precamres.2014.03.004","ISBN":"5402311366","ISSN":"03019268","abstract":"Thick carbonate successions of Proterozoic age were deposited in the Huaibei and Huainan regions along the southern margin of the North China Block. These successions, including the Huaibei Group in the Huaibei region and the Huainan and Feishui groups in the Huainan region, have been correlated with the Qingbaikou Group, which outcrops in the Jixian area of North China and is the eponymous succession of the Qingbaikouan System (traditionally regarded as 1000-800Ma). Recently, it has been shown that lower Qingbaikouan strata in the Jixian area may be as old as 1300-1400Ma. By correlation, the Huaibei, Huainan, and Feishui groups may include Mesoproterozoic strata, but these units have also been interpreted as Tonian or Cryogenian-Ediacaran-Cambrian in age. These contradictory age interpretations hamper our ability to explore the rich paleontological and sedimentary records preserved in these rocks and to assess paleogeographic reconstructions. In this report, we describe new microfossils and stable isotope data (??13Ccarb, ??18Ocarb, ??34SCAS) from the Huaibei, Huainan, and Feishui groups. Possible vase-shaped microfossils from the Jiayuan Formation of the lower Huaibei Group and characteristic early Neoproterozoic acritarchs (particularly Trachyhystrichosphaera aimika) from the Gouhou and Liulaobei formations are consistent with a Tonian age for the Huaibei and Huainan groups. Similarly, carbon isotope trends in the Huaibei, Huainan, and Feishui groups are comparable with Tonian ??13Ccarb patterns in South Australia and Laurentia, with a plateau of moderately positive (1-5???) values followed by pronounced negative ??13Ccarb excursion in the Gouhou Formation, which may be equivalent to the Bitter Springs anomaly in South Australia. ??34SCAS values of the Huaibei Group are mostly 25-40???, similar to values from the stratigraphically equivalent Jingeryu Formation in the Jixian area. Overall, the combination of biostratigraphic, chemostratigraphic, and available radiometric data suggests that the Huaibei, Huainan, and Feishui groups are early Neoproterozoic (Tonian) in age. ?? 2014 Elsevier B.V.","author":[{"dropping-particle":"","family":"Xiao","given":"Shuhai","non-dropping-particle":"","parse-names":false,"suffix":""},{"dropping-particle":"","family":"Shen","given":"Bing","non-dropping-particle":"","parse-names":false,"suffix":""},{"dropping-particle":"","family":"Tang","given":"Qing","non-dropping-particle":"","parse-names":false,"suffix":""},{"dropping-particle":"","family":"Kaufman","given":"Alan J.","non-dropping-particle":"","parse-names":false,"suffix":""},{"dropping-particle":"","family":"Yuan","given":"Xunlai","non-dropping-particle":"","parse-names":false,"suffix":""},{"dropping-particle":"","family":"Li","given":"Jianhua","non-dropping-particle":"","parse-names":false,"suffix":""},{"dropping-particle":"","family":"Qian","given":"Maiping","non-dropping-particle":"","parse-names":false,"suffix":""}],"container-title":"Precambrian Research","id":"ITEM-4","issued":{"date-parts":[["2014"]]},"page":"208-225","publisher":"Elsevier B.V.","title":"Biostratigraphic and chemostratigraphic constraints on the age of early Neoproterozoic carbonate successions in North China","type":"article-journal","volume":"246"},"uris":["http://www.mendeley.com/documents/?uuid=a86e342d-bce8-4617-9b37-aad683476bde"]}],"mendeley":{"formattedCitation":"(Zang and Walter, 1992; Yang et al., 2001; Zheng et al., 2004; Xiao et al., 2014)","plainTextFormattedCitation":"(Zang and Walter, 1992; Yang et al., 2001; Zheng et al., 2004; Xiao et al., 2014)","previouslyFormattedCitation":"(Zang and Walter, 1992; Yang et al., 2001; Zheng et al., 2004; Xiao et al., 2014)"},"properties":{"noteIndex":0},"schema":"https://github.com/citation-style-language/schema/raw/master/csl-citation.json"}</w:instrText>
      </w:r>
      <w:r w:rsidR="00756A23" w:rsidRPr="002B6873">
        <w:fldChar w:fldCharType="separate"/>
      </w:r>
      <w:r w:rsidR="00756A23" w:rsidRPr="002B6873">
        <w:rPr>
          <w:noProof/>
        </w:rPr>
        <w:t>(Zang and Walter, 1992; Yang et al., 2001; Zheng et al., 2004; Xiao et al., 2014)</w:t>
      </w:r>
      <w:r w:rsidR="00756A23" w:rsidRPr="002B6873">
        <w:fldChar w:fldCharType="end"/>
      </w:r>
      <w:r w:rsidR="00E04168" w:rsidRPr="002B6873">
        <w:t xml:space="preserve"> and </w:t>
      </w:r>
      <w:r w:rsidR="003A4656" w:rsidRPr="002B6873">
        <w:t>Sr-isotope</w:t>
      </w:r>
      <w:r w:rsidR="006B20E6" w:rsidRPr="002B6873">
        <w:t xml:space="preserve"> </w:t>
      </w:r>
      <w:r w:rsidR="00756A23" w:rsidRPr="002B6873">
        <w:fldChar w:fldCharType="begin" w:fldLock="1"/>
      </w:r>
      <w:r w:rsidR="006C649E" w:rsidRPr="002B6873">
        <w:instrText>ADDIN CSL_CITATION {"citationItems":[{"id":"ITEM-1","itemData":{"author":[{"dropping-particle":"","family":"Fairchild","given":"Ian J.","non-dropping-particle":"","parse-names":false,"suffix":""},{"dropping-particle":"","family":"Herrington","given":"Paul M.","non-dropping-particle":"","parse-names":false,"suffix":""},{"dropping-particle":"","family":"Song","given":"Tianrui","non-dropping-particle":"","parse-names":false,"suffix":""}],"container-title":"Special Publications of SEPM","id":"ITEM-1","issued":{"date-parts":[["2000"]]},"page":"297-313","title":"Controls on Sr and C isotope compositions of Neoproterozoic Sr-rich limestones of East Greenland and North China","type":"article-journal","volume":"67"},"uris":["http://www.mendeley.com/documents/?uuid=e06ac200-5182-41eb-911a-7ef756e86d8e"]},{"id":"ITEM-2","itemData":{"abstract":"The carbonate samples were systematically collected f rom the Upper Precambrian System of northern Jiangsu-Anhui. The leachate was used for Sr isotopic analysis af ter acid-leaching treatment and the whole rock samples for C isotopic analysis. Compared with evolut ion curve of Sr and C isotopes of the Neopr oterozoic seawater presented by Shields ( 1999) , the results show that the Upper Precambrian Sys- tem of northern Jiangsu-Anhui is a set of cont inuous str ata between the Qingbaikou System in North China and the Sinian System in South China, ranging in age f rom 850 Ma to 700 Ma. T his study further confirms the view——the Huainan biota belongs to the pre-Ediacarian t ime.","author":[{"dropping-particle":"","family":"Yang","given":"Jiedong","non-dropping-particle":"","parse-names":false,"suffix":""},{"dropping-particle":"","family":"Zheng","given":"Wenwu","non-dropping-particle":"","parse-names":false,"suffix":""},{"dropping-particle":"","family":"Wang","given":"Zongzhe","non-dropping-particle":"","parse-names":false,"suffix":""},{"dropping-particle":"","family":"Tao","given":"Xiancong","non-dropping-particle":"","parse-names":false,"suffix":""}],"container-title":"Journal of Statigraphy (in Chinese)","id":"ITEM-2","issue":"1","issued":{"date-parts":[["2001"]]},"page":"44-47","title":"Age determining of the uppe Precambrian system of Northern Jiangsu-Anhui by using Sr and C isotopes","type":"article-journal","volume":"25"},"uris":["http://www.mendeley.com/documents/?uuid=2bf039fa-a033-4fb6-ae4b-695faa703e46"]},{"id":"ITEM-3","itemData":{"DOI":"10.1016/j.precamres.2014.03.004","ISBN":"5402311366","ISSN":"03019268","abstract":"Thick carbonate successions of Proterozoic age were deposited in the Huaibei and Huainan regions along the southern margin of the North China Block. These successions, including the Huaibei Group in the Huaibei region and the Huainan and Feishui groups in the Huainan region, have been correlated with the Qingbaikou Group, which outcrops in the Jixian area of North China and is the eponymous succession of the Qingbaikouan System (traditionally regarded as 1000-800Ma). Recently, it has been shown that lower Qingbaikouan strata in the Jixian area may be as old as 1300-1400Ma. By correlation, the Huaibei, Huainan, and Feishui groups may include Mesoproterozoic strata, but these units have also been interpreted as Tonian or Cryogenian-Ediacaran-Cambrian in age. These contradictory age interpretations hamper our ability to explore the rich paleontological and sedimentary records preserved in these rocks and to assess paleogeographic reconstructions. In this report, we describe new microfossils and stable isotope data (??13Ccarb, ??18Ocarb, ??34SCAS) from the Huaibei, Huainan, and Feishui groups. Possible vase-shaped microfossils from the Jiayuan Formation of the lower Huaibei Group and characteristic early Neoproterozoic acritarchs (particularly Trachyhystrichosphaera aimika) from the Gouhou and Liulaobei formations are consistent with a Tonian age for the Huaibei and Huainan groups. Similarly, carbon isotope trends in the Huaibei, Huainan, and Feishui groups are comparable with Tonian ??13Ccarb patterns in South Australia and Laurentia, with a plateau of moderately positive (1-5???) values followed by pronounced negative ??13Ccarb excursion in the Gouhou Formation, which may be equivalent to the Bitter Springs anomaly in South Australia. ??34SCAS values of the Huaibei Group are mostly 25-40???, similar to values from the stratigraphically equivalent Jingeryu Formation in the Jixian area. Overall, the combination of biostratigraphic, chemostratigraphic, and available radiometric data suggests that the Huaibei, Huainan, and Feishui groups are early Neoproterozoic (Tonian) in age. ?? 2014 Elsevier B.V.","author":[{"dropping-particle":"","family":"Xiao","given":"Shuhai","non-dropping-particle":"","parse-names":false,"suffix":""},{"dropping-particle":"","family":"Shen","given":"Bing","non-dropping-particle":"","parse-names":false,"suffix":""},{"dropping-particle":"","family":"Tang","given":"Qing","non-dropping-particle":"","parse-names":false,"suffix":""},{"dropping-particle":"","family":"Kaufman","given":"Alan J.","non-dropping-particle":"","parse-names":false,"suffix":""},{"dropping-particle":"","family":"Yuan","given":"Xunlai","non-dropping-particle":"","parse-names":false,"suffix":""},{"dropping-particle":"","family":"Li","given":"Jianhua","non-dropping-particle":"","parse-names":false,"suffix":""},{"dropping-particle":"","family":"Qian","given":"Maiping","non-dropping-particle":"","parse-names":false,"suffix":""}],"container-title":"Precambrian Research","id":"ITEM-3","issued":{"date-parts":[["2014"]]},"page":"208-225","publisher":"Elsevier B.V.","title":"Biostratigraphic and chemostratigraphic constraints on the age of early Neoproterozoic carbonate successions in North China","type":"article-journal","volume":"246"},"uris":["http://www.mendeley.com/documents/?uuid=a86e342d-bce8-4617-9b37-aad683476bde"]},{"id":"ITEM-4","itemData":{"author":[{"dropping-particle":"","family":"Kuang","given":"Hongwei","non-dropping-particle":"","parse-names":false,"suffix":""},{"dropping-particle":"","family":"Yongqing","given":"Liu","non-dropping-particle":"","parse-names":false,"suffix":""},{"dropping-particle":"","family":"Peng","given":"Nan","non-dropping-particle":"","parse-names":false,"suffix":""},{"dropping-particle":"","family":"Liu","given":"Lijun","non-dropping-particle":"","parse-names":false,"suffix":""}],"container-title":"Earth Science Frontiers","id":"ITEM-4","issue":"4","issued":{"date-parts":[["2011"]]},"page":"25-40","title":"Geochemistry of the Neoproterozoic molartooth carbonates in Dalian, eastern Liaoning, China, and its geological implications","type":"article-journal","volume":"18"},"uris":["http://www.mendeley.com/documents/?uuid=b6d95ed3-4ffc-4fe6-8f56-83eb9d3ab5e8"]}],"mendeley":{"formattedCitation":"(Fairchild et al., 2000; Yang et al., 2001; Xiao et al., 2014; Kuang et al., 2011)","plainTextFormattedCitation":"(Fairchild et al., 2000; Yang et al., 2001; Xiao et al., 2014; Kuang et al., 2011)","previouslyFormattedCitation":"(Fairchild et al., 2000; Yang et al., 2001; Xiao et al., 2014; Kuang et al., 2011)"},"properties":{"noteIndex":0},"schema":"https://github.com/citation-style-language/schema/raw/master/csl-citation.json"}</w:instrText>
      </w:r>
      <w:r w:rsidR="00756A23" w:rsidRPr="002B6873">
        <w:fldChar w:fldCharType="separate"/>
      </w:r>
      <w:r w:rsidR="00A00A69" w:rsidRPr="002B6873">
        <w:rPr>
          <w:noProof/>
          <w:lang w:val="en-GB"/>
        </w:rPr>
        <w:t>(Fairchild et al., 2000; Yang et al., 2001; Xiao et al., 2014; Kuang et al., 2011)</w:t>
      </w:r>
      <w:r w:rsidR="00756A23" w:rsidRPr="002B6873">
        <w:fldChar w:fldCharType="end"/>
      </w:r>
      <w:r w:rsidR="006D2A2A" w:rsidRPr="002B6873">
        <w:t xml:space="preserve"> </w:t>
      </w:r>
      <w:r w:rsidR="003A4656" w:rsidRPr="002B6873">
        <w:t>data</w:t>
      </w:r>
      <w:r w:rsidR="00327D5A" w:rsidRPr="002B6873">
        <w:rPr>
          <w:lang w:val="en-GB"/>
        </w:rPr>
        <w:t>.</w:t>
      </w:r>
      <w:r w:rsidR="009A0316" w:rsidRPr="002B6873">
        <w:t xml:space="preserve"> </w:t>
      </w:r>
      <w:r w:rsidR="006D7D67" w:rsidRPr="002B6873">
        <w:t>Dike swarms and sills</w:t>
      </w:r>
      <w:r w:rsidR="002468B8" w:rsidRPr="002B6873">
        <w:t>,</w:t>
      </w:r>
      <w:r w:rsidR="006D7D67" w:rsidRPr="002B6873">
        <w:t xml:space="preserve"> </w:t>
      </w:r>
      <w:r w:rsidR="002468B8" w:rsidRPr="002B6873">
        <w:t>intruded along the southeastern margin of the NCC</w:t>
      </w:r>
      <w:r w:rsidR="006D7D67" w:rsidRPr="002B6873">
        <w:t xml:space="preserve"> between about </w:t>
      </w:r>
      <w:r w:rsidR="0062103D" w:rsidRPr="002B6873">
        <w:t>920</w:t>
      </w:r>
      <w:r w:rsidR="006A6633" w:rsidRPr="002B6873">
        <w:t xml:space="preserve"> </w:t>
      </w:r>
      <w:r w:rsidR="006D7D67" w:rsidRPr="002B6873">
        <w:t xml:space="preserve">and </w:t>
      </w:r>
      <w:r w:rsidR="0062103D" w:rsidRPr="002B6873">
        <w:t>900</w:t>
      </w:r>
      <w:r w:rsidR="00983A51" w:rsidRPr="002B6873">
        <w:t xml:space="preserve"> </w:t>
      </w:r>
      <w:r w:rsidR="0062103D" w:rsidRPr="002B6873">
        <w:t>Ma</w:t>
      </w:r>
      <w:r w:rsidR="002468B8" w:rsidRPr="002B6873">
        <w:t xml:space="preserve">, provide a minimum age for the successions </w:t>
      </w:r>
      <w:r w:rsidR="0062103D" w:rsidRPr="002B6873">
        <w:t xml:space="preserve">and </w:t>
      </w:r>
      <w:r w:rsidR="009A0316" w:rsidRPr="002B6873">
        <w:t xml:space="preserve">are </w:t>
      </w:r>
      <w:r w:rsidR="002D7D75" w:rsidRPr="002B6873">
        <w:t xml:space="preserve">named </w:t>
      </w:r>
      <w:r w:rsidR="0089003F" w:rsidRPr="002B6873">
        <w:t xml:space="preserve">the </w:t>
      </w:r>
      <w:proofErr w:type="spellStart"/>
      <w:r w:rsidR="002D7D75" w:rsidRPr="002B6873">
        <w:t>Dashigou</w:t>
      </w:r>
      <w:proofErr w:type="spellEnd"/>
      <w:r w:rsidR="0062103D" w:rsidRPr="002B6873">
        <w:t>-CDS</w:t>
      </w:r>
      <w:r w:rsidR="002D7D75" w:rsidRPr="002B6873">
        <w:t xml:space="preserve"> </w:t>
      </w:r>
      <w:r w:rsidR="0089003F" w:rsidRPr="002B6873">
        <w:t>large igneous province or LIP</w:t>
      </w:r>
      <w:r w:rsidR="0062103D" w:rsidRPr="002B6873">
        <w:t xml:space="preserve"> </w:t>
      </w:r>
      <w:r w:rsidR="0062103D" w:rsidRPr="002B6873">
        <w:fldChar w:fldCharType="begin" w:fldLock="1"/>
      </w:r>
      <w:r w:rsidR="0062103D" w:rsidRPr="002B6873">
        <w:instrText>ADDIN CSL_CITATION {"citationItems":[{"id":"ITEM-1","itemData":{"DOI":"10.1016/j.lithos.2011.08.018","ISSN":"00244937","abstract":"Numerous Neoproterozoic mafic dykes, referred to as the Dashigou swarm, are identified in the central and southeastern parts of the North China craton (NCC). They are 305–010° trending dykes, with widths of ~10–100m and exposed lengths of several to &gt;10km. Precise U–Pb isotope dilution thermal ionization mass spectrometry (ID-TIMS) measurements on baddeleyite grains separated from three dykes yield 207Pb/206Pb average ages of 924.0±3.7Ma (Dashigou dyke), 921.8±2.6Ma (Yangjiaogou dyke) and 925.8±1.7Ma (Taohuagou dyke). Baddeleyite grains from a late-stage pegmatite vein in the Dashigou dyke were analyzed by secondary ion mass spectrometry (SIMS) methods. These yield a 207Pb/206Pb average age of 920.4±5.7Ma. The Dashigou dyke swarm exhibits an overall radiating geometry (the overall fan angle is about 60°), with a focal point located along the southern margin of the eastern NCC, where a large ca. 900Ma sill swarm was previously recognized. The rift system hosting these slightly younger sills, named the Xu–Huai Rift System, could represent two breakup-parallel arms of a rift–rift–rift triple junction related to the initiation of the magma center that produced the Dashigou dykes. The sills have similar characteristics and could be cogenetic with the Dashigou dykes. The Dashigou dykes are coarse-grained, composed mainly of clinopyroxene and plagioclase feldspar, with or without olivine. One of the most primitive dykes has 47.79wt.% SiO2, 6.41wt.% MgO, 1.38wt.% TiO2, 17.77wt.% Al2O3, 10.47wt.% CaO and 0.62wt.% K2O. It shows slight enrichment in light rare earth elements and a slightly positiveEu/Eu* anomaly (1.1), and is slightly depleted in high field-strength elements compared to neighboring elements on a primitive mantle-normalized spidergram. The Dashigou dykes show some similarities with enriched-mid ocean ridge basalts (E-MORB) or ocean island basalts (OIB) and have εNdt values of +1.8 to +3.1 and 87Sr/86Srt values of 0.7019–0.7047 (t=920Ma). All these characteristics indicate that they are not likely derived from the ancient lithospheric mantle under the NCC, but rather from a mantle source below, in the asthenosphere. This 925–900Ma magmatism represents a second sub-lithospheric mantle upwelling event following the 1780–1730Ma event that occurred shortly (~70Ma) after the formation of the subcontinental lithospheric mantle (SCLM). Therefore the SCLM of the NCC was multiply metasomatized during asthenospheric upwellings (at least at 1780–1730 and 925–9…","author":[{"dropping-particle":"","family":"Peng","given":"Peng","non-dropping-particle":"","parse-names":false,"suffix":""},{"dropping-particle":"","family":"Bleeker","given":"Wouter","non-dropping-particle":"","parse-names":false,"suffix":""},{"dropping-particle":"","family":"Ernst","given":"Richard E.","non-dropping-particle":"","parse-names":false,"suffix":""},{"dropping-particle":"","family":"Söderlund","given":"Ulf","non-dropping-particle":"","parse-names":false,"suffix":""},{"dropping-particle":"","family":"McNicoll","given":"Vicki","non-dropping-particle":"","parse-names":false,"suffix":""}],"container-title":"Lithos","id":"ITEM-1","issue":"1-2","issued":{"date-parts":[["2011","11"]]},"page":"210-221","title":"U–Pb baddeleyite ages, distribution and geochemistry of 925Ma mafic dykes and 900Ma sills in the North China craton: Evidence for a Neoproterozoic mantle plume","type":"article-journal","volume":"127"},"uris":["http://www.mendeley.com/documents/?uuid=58813394-a53b-4ed6-9d05-8ff7517cf2e3"]}],"mendeley":{"formattedCitation":"(Peng et al., 2011)","plainTextFormattedCitation":"(Peng et al., 2011)","previouslyFormattedCitation":"(Peng et al., 2011)"},"properties":{"noteIndex":0},"schema":"https://github.com/citation-style-language/schema/raw/master/csl-citation.json"}</w:instrText>
      </w:r>
      <w:r w:rsidR="0062103D" w:rsidRPr="002B6873">
        <w:fldChar w:fldCharType="separate"/>
      </w:r>
      <w:r w:rsidR="0062103D" w:rsidRPr="002B6873">
        <w:rPr>
          <w:noProof/>
        </w:rPr>
        <w:t>(Peng et al., 2011)</w:t>
      </w:r>
      <w:r w:rsidR="0062103D" w:rsidRPr="002B6873">
        <w:fldChar w:fldCharType="end"/>
      </w:r>
      <w:r w:rsidR="00CD3F88" w:rsidRPr="002B6873">
        <w:t>.</w:t>
      </w:r>
      <w:r w:rsidR="006F2D5D" w:rsidRPr="002B6873">
        <w:t xml:space="preserve"> </w:t>
      </w:r>
      <w:r w:rsidR="002817A4" w:rsidRPr="002B6873">
        <w:t>The similarity in intrusion ages across the NCC (</w:t>
      </w:r>
      <w:r w:rsidR="00312154" w:rsidRPr="002B6873">
        <w:t xml:space="preserve">including </w:t>
      </w:r>
      <w:r w:rsidR="001419BE" w:rsidRPr="002B6873">
        <w:t xml:space="preserve">the </w:t>
      </w:r>
      <w:r w:rsidR="002817A4" w:rsidRPr="002B6873">
        <w:t>Korean peninsula) impl</w:t>
      </w:r>
      <w:r w:rsidR="00E82BE7" w:rsidRPr="002B6873">
        <w:t>ies</w:t>
      </w:r>
      <w:r w:rsidR="002817A4" w:rsidRPr="002B6873">
        <w:t xml:space="preserve"> that </w:t>
      </w:r>
      <w:r w:rsidR="000228FC" w:rsidRPr="002B6873">
        <w:t xml:space="preserve">widespread </w:t>
      </w:r>
      <w:r w:rsidR="00616248" w:rsidRPr="002B6873">
        <w:t xml:space="preserve">crustal </w:t>
      </w:r>
      <w:r w:rsidR="003E1287" w:rsidRPr="002B6873">
        <w:t xml:space="preserve">extension </w:t>
      </w:r>
      <w:r w:rsidR="00616248" w:rsidRPr="002B6873">
        <w:t>and related</w:t>
      </w:r>
      <w:r w:rsidR="000228FC" w:rsidRPr="002B6873">
        <w:t xml:space="preserve"> magmatism </w:t>
      </w:r>
      <w:r w:rsidR="002817A4" w:rsidRPr="002B6873">
        <w:t>occurred shortly after deposition</w:t>
      </w:r>
      <w:r w:rsidR="00744541" w:rsidRPr="002B6873">
        <w:t xml:space="preserve"> </w:t>
      </w:r>
      <w:r w:rsidR="00B342AC" w:rsidRPr="002B6873">
        <w:t xml:space="preserve">had </w:t>
      </w:r>
      <w:r w:rsidR="00E82BE7" w:rsidRPr="002B6873">
        <w:t xml:space="preserve">ceased </w:t>
      </w:r>
      <w:r w:rsidR="00744541" w:rsidRPr="002B6873">
        <w:t xml:space="preserve">at </w:t>
      </w:r>
      <w:proofErr w:type="spellStart"/>
      <w:r w:rsidR="00744541" w:rsidRPr="002B6873">
        <w:t>Jinxian</w:t>
      </w:r>
      <w:proofErr w:type="spellEnd"/>
      <w:r w:rsidR="0062103D" w:rsidRPr="002B6873">
        <w:t xml:space="preserve"> and Huaibei</w:t>
      </w:r>
      <w:r w:rsidR="002817A4" w:rsidRPr="002B6873">
        <w:t xml:space="preserve">, possibly </w:t>
      </w:r>
      <w:r w:rsidR="00744541" w:rsidRPr="002B6873">
        <w:t>due to</w:t>
      </w:r>
      <w:r w:rsidR="002817A4" w:rsidRPr="002B6873">
        <w:t xml:space="preserve"> pre-magmatic regional uplift after ~0.92 Ga </w:t>
      </w:r>
      <w:r w:rsidR="002817A4" w:rsidRPr="002B6873">
        <w:fldChar w:fldCharType="begin" w:fldLock="1"/>
      </w:r>
      <w:r w:rsidR="006C649E" w:rsidRPr="002B6873">
        <w:instrText>ADDIN CSL_CITATION {"citationItems":[{"id":"ITEM-1","itemData":{"DOI":"10.1016/j.precamres.2015.11.005","ISSN":"03019268","abstract":"Diabase sill swarms are widespread within the Neoproterozoic sedimentary rocks in the Liaodong Peninsula (named as the Dalian mafic sill swarms), eastern North China Craton (NCC). Our new zircon LA-ICP-MS U-Pb and baddeleyite SIMS Pb-Pb dating results on five diabase sill samples emplaced into the Qiaotou, Cuijiatun and Xingmincun Formations in the Liaodong Peninsula indicate their emplacement during the early Neoproterozoic (Tonian) period at 0.92-0.89 Ga and pre-magmatic regional uplift prior to ca. 0.92-0.89 Ga. The above results provide important constraints on the upper boundary of the Neoproterozoic strata and their macroscopic carbonaceous fossils and organic-walled microfossils in the eastern and southeastern NCC and indicate they are Tonian in age. The early Neoproterozoic Dalian diabase sills belong to the tholeiitic series and are characterized by low contents of SiO2 and K2O, high contents of TiO2, Fe2O3T and MgO, slight light REE (LREE)-enrichment and no Eu anomalies on chondrite-normalized REE patterns, enrichment of high field strength element (HFSE) and lack of negative Nb, Ta, Zr, Hf, P and Ti anomalies on primitive mantle-normalized spidergrams; and exhibit geochemical characteristics of within plate basalt on discrimination diagrams. The newly identified Dalian diabase sills, together with the previously reported Xu-Huai and Sariwon mafic sills and the Dashigou mafic dykes, constitute an early Neoproterozoic (0.92-0.89 Ga) large igneous province in the NCC (Sino-Korean Craton). Formation of the early Neoproterozoic diabase sill (dyke) swarms in the NCC is probably related to a continental rifting event that have led to breakup of southeastern NCC from some other continents in the Rodinia supercontinent. Breakup of the NCC from the Rodinia supercontinent at around 0.92-0.89 Ga is also supported by pre-magmatic regional uplift of the southeastern NCC prior to ca. 0.92-0.89 Ga and evolution trend of the Dalian diabase sills from within plate basalt to mid-ocean ridge basalt on the Zr/Y vs. Zr discrimination diagram.","author":[{"dropping-particle":"","family":"Zhang","given":"Shuanhong","non-dropping-particle":"","parse-names":false,"suffix":""},{"dropping-particle":"","family":"Zhao","given":"Yue","non-dropping-particle":"","parse-names":false,"suffix":""},{"dropping-particle":"","family":"Ye","given":"Hao","non-dropping-particle":"","parse-names":false,"suffix":""},{"dropping-particle":"","family":"Hu","given":"Guo Hui","non-dropping-particle":"","parse-names":false,"suffix":""}],"container-title":"Precambrian Research","id":"ITEM-1","issued":{"date-parts":[["2016"]]},"page":"203-225","publisher":"Elsevier B.V.","title":"Early Neoproterozoic emplacement of the diabase sill swarms in the Liaodong Peninsula and pre-magmatic uplift of the southeastern North China Craton","type":"article-journal","volume":"272"},"uris":["http://www.mendeley.com/documents/?uuid=1cf8b9d8-2250-4e1f-a4d1-fe9c05ef48f6"]},{"id":"ITEM-2","itemData":{"DOI":"10.1016/j.gr.2018.10.016","ISSN":"1342-937X","author":[{"dropping-particle":"","family":"Zhu","given":"Ren-zhi","non-dropping-particle":"","parse-names":false,"suffix":""},{"dropping-particle":"","family":"Ni","given":"Pei","non-dropping-particle":"","parse-names":false,"suffix":""},{"dropping-particle":"","family":"Wang","given":"Guo-guang","non-dropping-particle":"","parse-names":false,"suffix":""},{"dropping-particle":"","family":"Ding","given":"Jun-ying","non-dropping-particle":"","parse-names":false,"suffix":""},{"dropping-particle":"","family":"Fan","given":"Ming-sen","non-dropping-particle":"","parse-names":false,"suffix":""},{"dropping-particle":"","family":"Ma","given":"Yu-guang","non-dropping-particle":"","parse-names":false,"suffix":""}],"container-title":"Gondwana Research","id":"ITEM-2","issued":{"date-parts":[["2019"]]},"page":"131-146","publisher":"International Association for Gondwana Research","title":"Geochronology , geochemistry and petrogenesis of the Laozhaishan dolerite sills in the southeastern margin of the North China Craton and their geological implication","type":"article-journal","volume":"67"},"uris":["http://www.mendeley.com/documents/?uuid=9f7dddf0-09ad-4a97-8c83-d4665b436ec9","http://www.mendeley.com/documents/?uuid=d3953dd8-24ef-4ac9-8516-282976e1e591"]}],"mendeley":{"formattedCitation":"(Zhang et al., 2016; Zhu et al., 2019)","plainTextFormattedCitation":"(Zhang et al., 2016; Zhu et al., 2019)","previouslyFormattedCitation":"(Zhang et al., 2016; Zhu et al., 2019)"},"properties":{"noteIndex":0},"schema":"https://github.com/citation-style-language/schema/raw/master/csl-citation.json"}</w:instrText>
      </w:r>
      <w:r w:rsidR="002817A4" w:rsidRPr="002B6873">
        <w:fldChar w:fldCharType="separate"/>
      </w:r>
      <w:r w:rsidR="0062103D" w:rsidRPr="002B6873">
        <w:rPr>
          <w:noProof/>
        </w:rPr>
        <w:t>(Zhang et al., 2016; Zhu et al., 2019)</w:t>
      </w:r>
      <w:r w:rsidR="002817A4" w:rsidRPr="002B6873">
        <w:fldChar w:fldCharType="end"/>
      </w:r>
      <w:r w:rsidR="002817A4" w:rsidRPr="002B6873">
        <w:t xml:space="preserve">. </w:t>
      </w:r>
      <w:r w:rsidR="002468B8" w:rsidRPr="002B6873">
        <w:t xml:space="preserve">Recent detrital zircon (He et al., 2016; Wan et al., 2019) and magmatic </w:t>
      </w:r>
      <w:proofErr w:type="spellStart"/>
      <w:r w:rsidR="002468B8" w:rsidRPr="002B6873">
        <w:t>baddelyite</w:t>
      </w:r>
      <w:proofErr w:type="spellEnd"/>
      <w:r w:rsidR="002468B8" w:rsidRPr="002B6873">
        <w:t xml:space="preserve"> ages for </w:t>
      </w:r>
      <w:proofErr w:type="spellStart"/>
      <w:r w:rsidR="002468B8" w:rsidRPr="002B6873">
        <w:t>Jinxian</w:t>
      </w:r>
      <w:proofErr w:type="spellEnd"/>
      <w:r w:rsidR="002468B8" w:rsidRPr="002B6873">
        <w:t xml:space="preserve"> </w:t>
      </w:r>
      <w:r w:rsidR="002468B8" w:rsidRPr="002B6873">
        <w:fldChar w:fldCharType="begin" w:fldLock="1"/>
      </w:r>
      <w:r w:rsidR="006C649E" w:rsidRPr="002B6873">
        <w:instrText xml:space="preserve">ADDIN CSL_CITATION {"citationItems":[{"id":"ITEM-1","itemData":{"DOI":"10.1016/j.precamres.2015.08.013","ISSN":"03019268","abstract":"New paleomagnetic pole positions are obtained from the Neoproterozoic sills and carbonate rocks of the Huaibei Group in the northern Jiangsu and Anhui Provinces (Xuhuai region), North China. A total of 240 samples are used in statistics after stepwise thermal demagnetization and principal component analysis, including 85 samples from three </w:instrText>
      </w:r>
      <w:r w:rsidR="006C649E" w:rsidRPr="002B6873">
        <w:rPr>
          <w:rFonts w:ascii="Cambria Math" w:hAnsi="Cambria Math" w:cs="Cambria Math"/>
        </w:rPr>
        <w:instrText>∼</w:instrText>
      </w:r>
      <w:r w:rsidR="006C649E" w:rsidRPr="002B6873">
        <w:instrText xml:space="preserve">890Ma mafic sills, 27 samples from the </w:instrText>
      </w:r>
      <w:r w:rsidR="006C649E" w:rsidRPr="002B6873">
        <w:rPr>
          <w:rFonts w:ascii="Cambria Math" w:hAnsi="Cambria Math" w:cs="Cambria Math"/>
        </w:rPr>
        <w:instrText>∼</w:instrText>
      </w:r>
      <w:r w:rsidR="006C649E" w:rsidRPr="002B6873">
        <w:instrText xml:space="preserve">890-Ma-sill-baked rocks of the Wangshan Formation (Fm), 50 samples from unbaked rocks of the Wangshan Fm, 60 samples from unbaked rocks of the Jiayuan Fm and 18 samples from a </w:instrText>
      </w:r>
      <w:r w:rsidR="006C649E" w:rsidRPr="002B6873">
        <w:rPr>
          <w:rFonts w:ascii="Cambria Math" w:hAnsi="Cambria Math" w:cs="Cambria Math"/>
        </w:rPr>
        <w:instrText>∼</w:instrText>
      </w:r>
      <w:r w:rsidR="006C649E" w:rsidRPr="002B6873">
        <w:instrText xml:space="preserve">925Ma mafic sill. For most of these samples, after removing a low unblocking temperature component (LTC) of viscous magnetic remanence acquired in recent geomagnetic field, high unblocking temperature components (HTCs), likely carried by magnetite for the sill and unbaked carbonate samples and by partly oxidized magnetite for baked carbonate samples, were isolated. The HTCs of the </w:instrText>
      </w:r>
      <w:r w:rsidR="006C649E" w:rsidRPr="002B6873">
        <w:rPr>
          <w:rFonts w:ascii="Cambria Math" w:hAnsi="Cambria Math" w:cs="Cambria Math"/>
        </w:rPr>
        <w:instrText>∼</w:instrText>
      </w:r>
      <w:r w:rsidR="006C649E" w:rsidRPr="002B6873">
        <w:instrText xml:space="preserve">890Ma sills passed a reversal test, a fold test, and a baked contact test. It is interpreted as a primary remanence, defining a key pole (Q=7) at 52.6°N, 330.0°E (A95=5.3°) for the North China Craton (NCC). The HTCs of the unbaked carbonate rocks of the Wangshan Fm passed a fold test, the corresponding pole being at 26.1°N, 320.3°E (A95=5.2°). The sample-level mean direction of the </w:instrText>
      </w:r>
      <w:r w:rsidR="006C649E" w:rsidRPr="002B6873">
        <w:rPr>
          <w:rFonts w:ascii="Cambria Math" w:hAnsi="Cambria Math" w:cs="Cambria Math"/>
        </w:rPr>
        <w:instrText>∼</w:instrText>
      </w:r>
      <w:r w:rsidR="006C649E" w:rsidRPr="002B6873">
        <w:instrText xml:space="preserve">925Ma sill provides a virtual geomagnetic pole (VGP) position of 30.9°S, 136.2°E, dm/dp=4.0°/2.4°, being antipodal to the pole of the Wangshan Fm. We interpreted that the two rock units have the same age and their mean pole likely represents the primary remanences. A paleomagnetic pole position of 54.0°S, 107.3°E (A95=4.0°) is obtained from the Jiayuan Fm, by averaging the site-level VGPs. This pole is of dual polarity and consistent with those published poles from this formation and other three carbonate formations in the middle part of Huaibei Group, but differs from any younger poles obtained in the region. We also interpreted it as of a primary remanence. Our new data, together with the published poles, depicted a loop-like segment of apparent polar wander path of the NCC, with an apex at </w:instrText>
      </w:r>
      <w:r w:rsidR="006C649E" w:rsidRPr="002B6873">
        <w:rPr>
          <w:rFonts w:ascii="Cambria Math" w:hAnsi="Cambria Math" w:cs="Cambria Math"/>
        </w:rPr>
        <w:instrText>∼</w:instrText>
      </w:r>
      <w:r w:rsidR="006C649E" w:rsidRPr="002B6873">
        <w:instrText>925Ma. It is termed as the “Huaibei loop” herein. The comparison between the “Huaibei loop” and the “Sveconorweigian loop”, aided by the “right-way up” model of Laurentia–Baltica connection, indicates the paleogeographic proximities of the NCC to Laurentia, and probably to Siberia as well, in the supercontinent Rodinia.","author":[{"dropping-particle":"","family":"Fu","given":"Xingmei","non-dropping-particle":"","parse-names":false,"suffix":""},{"dropping-particle":"","family":"Zhang","given":"Shihong","non-dropping-particle":"","parse-names":false,"suffix":""},{"dropping-particle":"","family":"Li","given":"Haiyan","non-dropping-particle":"","parse-names":false,"suffix":""},{"dropping-particle":"","family":"Ding","given":"Jikai","non-dropping-particle":"","parse-names":false,"suffix":""},{"dropping-particle":"","family":"Li","given":"Huaikun","non-dropping-particle":"","parse-names":false,"suffix":""},{"dropping-particle":"","family":"Yang","given":"Tianshui","non-dropping-particle":"","parse-names":false,"suffix":""},{"dropping-particle":"","family":"Wu","given":"Huaichun","non-dropping-particle":"","parse-names":false,"suffix":""},{"dropping-particle":"","family":"Yuan","given":"Haifan","non-dropping-particle":"","parse-names":false,"suffix":""},{"dropping-particle":"","family":"Lv","given":"Jing","non-dropping-particle":"","parse-names":false,"suffix":""}],"container-title":"Precambrian Research","id":"ITEM-1","issued":{"date-parts":[["2015","10"]]},"page":"90-106","title":"New paleomagnetic results from the Huaibei Group and Neoproterozoic mafic sills in the North China Craton and their paleogeographic implications","type":"article-journal","volume":"269"},"uris":["http://www.mendeley.com/documents/?uuid=bcaca936-e099-40c3-9097-a76e17aed925"]},{"id":"ITEM-2","itemData":{"DOI":"10.1007/s11430-011-4237-7","ISBN":"1674-7313","ISSN":"16747313","author":[{"dropping-particle":"","family":"Wang","given":"QingHai","non-dropping-particle":"","parse-names":false,"suffix":""},{"dropping-particle":"","family":"Yang","given":"DeBin","non-dropping-particle":"","parse-names":false,"suffix":""},{"dropping-particle":"","family":"Xu","given":"WenLiang","non-dropping-particle":"","parse-names":false,"suffix":""}],"container-title":"Science China Earth Sciences","id":"ITEM-2","issue":"9","issued":{"date-parts":[["2012"]]},"page":"1461-1479","title":"Neoproterozoic basic magmatism in the southeast margin of North China Craton: Evidence from whole-rock geochemistry, U-Pb and Hf isotopic study of zircons from diabase swarms in the Xuzhou-Huaibei area of China","type":"article-journal","volume":"55"},"uris":["http://www.mendeley.com/documents/?uuid=01738407-2eb9-47be-a6cb-7d1144f3b2c6"]}],"mendeley":{"formattedCitation":"(Fu et al., 2015; Wang et al., 2012)","plainTextFormattedCitation":"(Fu et al., 2015; Wang et al., 2012)","previouslyFormattedCitation":"(Fu et al., 2015; Wang et al., 2012)"},"properties":{"noteIndex":0},"schema":"https://github.com/citation-style-language/schema/raw/master/csl-citation.json"}</w:instrText>
      </w:r>
      <w:r w:rsidR="002468B8" w:rsidRPr="002B6873">
        <w:fldChar w:fldCharType="separate"/>
      </w:r>
      <w:r w:rsidR="002468B8" w:rsidRPr="002B6873">
        <w:rPr>
          <w:noProof/>
        </w:rPr>
        <w:t>(Fu et al., 2015; Wang et al., 2012)</w:t>
      </w:r>
      <w:r w:rsidR="002468B8" w:rsidRPr="002B6873">
        <w:fldChar w:fldCharType="end"/>
      </w:r>
      <w:r w:rsidR="002468B8" w:rsidRPr="002B6873">
        <w:t xml:space="preserve"> and Huaibei successions </w:t>
      </w:r>
      <w:r w:rsidR="002468B8" w:rsidRPr="002B6873">
        <w:fldChar w:fldCharType="begin" w:fldLock="1"/>
      </w:r>
      <w:r w:rsidR="006C649E" w:rsidRPr="002B6873">
        <w:instrText>ADDIN CSL_CITATION {"citationItems":[{"id":"ITEM-1","itemData":{"DOI":"10.1016/j.gr.2018.10.016","ISSN":"1342-937X","author":[{"dropping-particle":"","family":"Zhu","given":"Ren-zhi","non-dropping-particle":"","parse-names":false,"suffix":""},{"dropping-particle":"","family":"Ni","given":"Pei","non-dropping-particle":"","parse-names":false,"suffix":""},{"dropping-particle":"","family":"Wang","given":"Guo-guang","non-dropping-particle":"","parse-names":false,"suffix":""},{"dropping-particle":"","family":"Ding","given":"Jun-ying","non-dropping-particle":"","parse-names":false,"suffix":""},{"dropping-particle":"","family":"Fan","given":"Ming-sen","non-dropping-particle":"","parse-names":false,"suffix":""},{"dropping-particle":"","family":"Ma","given":"Yu-guang","non-dropping-particle":"","parse-names":false,"suffix":""}],"container-title":"Gondwana Research","id":"ITEM-1","issued":{"date-parts":[["2019"]]},"page":"131-146","publisher":"International Association for Gondwana Research","title":"Geochronology , geochemistry and petrogenesis of the Laozhaishan dolerite sills in the southeastern margin of the North China Craton and their geological implication","type":"article-journal","volume":"67"},"uris":["http://www.mendeley.com/documents/?uuid=d3953dd8-24ef-4ac9-8516-282976e1e591","http://www.mendeley.com/documents/?uuid=9f7dddf0-09ad-4a97-8c83-d4665b436ec9"]}],"mendeley":{"formattedCitation":"(Zhu et al., 2019)","plainTextFormattedCitation":"(Zhu et al., 2019)","previouslyFormattedCitation":"(Zhu et al., 2019)"},"properties":{"noteIndex":0},"schema":"https://github.com/citation-style-language/schema/raw/master/csl-citation.json"}</w:instrText>
      </w:r>
      <w:r w:rsidR="002468B8" w:rsidRPr="002B6873">
        <w:fldChar w:fldCharType="separate"/>
      </w:r>
      <w:r w:rsidR="002468B8" w:rsidRPr="002B6873">
        <w:rPr>
          <w:noProof/>
        </w:rPr>
        <w:t>(Zhu et al., 2019)</w:t>
      </w:r>
      <w:r w:rsidR="002468B8" w:rsidRPr="002B6873">
        <w:fldChar w:fldCharType="end"/>
      </w:r>
      <w:r w:rsidR="002468B8" w:rsidRPr="002B6873">
        <w:t xml:space="preserve"> constrain the </w:t>
      </w:r>
      <w:r w:rsidR="00094D05" w:rsidRPr="002B6873">
        <w:t xml:space="preserve">maximum </w:t>
      </w:r>
      <w:r w:rsidR="002468B8" w:rsidRPr="002B6873">
        <w:t>depositional age of uppermost carbonate successions to ~920 Ma (see SI).</w:t>
      </w:r>
      <w:r w:rsidR="00377614" w:rsidRPr="002B6873">
        <w:t xml:space="preserve"> </w:t>
      </w:r>
      <w:r w:rsidR="002817A4" w:rsidRPr="002B6873">
        <w:t xml:space="preserve">Based on all available geochronological data, </w:t>
      </w:r>
      <w:r w:rsidR="001B5363" w:rsidRPr="002B6873">
        <w:t xml:space="preserve">deposition of </w:t>
      </w:r>
      <w:r w:rsidR="0062103D" w:rsidRPr="002B6873">
        <w:t>the</w:t>
      </w:r>
      <w:r w:rsidR="00035CB6" w:rsidRPr="002B6873">
        <w:t>se</w:t>
      </w:r>
      <w:r w:rsidR="0062103D" w:rsidRPr="002B6873">
        <w:t xml:space="preserve"> </w:t>
      </w:r>
      <w:r w:rsidR="00094D05" w:rsidRPr="002B6873">
        <w:t xml:space="preserve">carbonate </w:t>
      </w:r>
      <w:r w:rsidR="001B5363" w:rsidRPr="002B6873">
        <w:t>strata ranged</w:t>
      </w:r>
      <w:r w:rsidR="002817A4" w:rsidRPr="002B6873">
        <w:t xml:space="preserve"> between ~</w:t>
      </w:r>
      <w:r w:rsidR="00E27FAA" w:rsidRPr="002B6873">
        <w:t xml:space="preserve">980 </w:t>
      </w:r>
      <w:r w:rsidR="002817A4" w:rsidRPr="002B6873">
        <w:t>Ma and ~920 Ma</w:t>
      </w:r>
      <w:r w:rsidR="00720243" w:rsidRPr="002B6873">
        <w:t xml:space="preserve"> </w:t>
      </w:r>
      <w:r w:rsidR="001B5363" w:rsidRPr="002B6873">
        <w:t xml:space="preserve">(see </w:t>
      </w:r>
      <w:r w:rsidR="00CA516E" w:rsidRPr="002B6873">
        <w:t>SI</w:t>
      </w:r>
      <w:r w:rsidR="001B5363" w:rsidRPr="002B6873">
        <w:t>)</w:t>
      </w:r>
      <w:r w:rsidR="00693DB1" w:rsidRPr="002B6873">
        <w:t>.</w:t>
      </w:r>
    </w:p>
    <w:p w14:paraId="3B665841" w14:textId="77777777" w:rsidR="00CD3F88" w:rsidRPr="002B6873" w:rsidRDefault="00CD3F88" w:rsidP="00E85F46">
      <w:pPr>
        <w:pStyle w:val="Body"/>
        <w:spacing w:line="360" w:lineRule="auto"/>
        <w:jc w:val="both"/>
        <w:rPr>
          <w:rFonts w:eastAsia="SimSun" w:cs="Times New Roman"/>
          <w:color w:val="auto"/>
          <w:bdr w:val="none" w:sz="0" w:space="0" w:color="auto"/>
          <w:lang w:val="en-US" w:eastAsia="en-US"/>
        </w:rPr>
      </w:pPr>
    </w:p>
    <w:p w14:paraId="6054882F" w14:textId="77777777" w:rsidR="00696CDC" w:rsidRPr="002B6873" w:rsidRDefault="00613DCE" w:rsidP="00696CDC">
      <w:pPr>
        <w:pStyle w:val="Head1"/>
        <w:spacing w:line="480" w:lineRule="auto"/>
      </w:pPr>
      <w:r w:rsidRPr="002B6873">
        <w:t>METHOD</w:t>
      </w:r>
      <w:r w:rsidR="000228FC" w:rsidRPr="002B6873">
        <w:t>S</w:t>
      </w:r>
    </w:p>
    <w:p w14:paraId="25F9535C" w14:textId="2AF1151A" w:rsidR="00D76294" w:rsidRPr="002B6873" w:rsidRDefault="003B2B03" w:rsidP="00D76294">
      <w:pPr>
        <w:pStyle w:val="Abstract"/>
        <w:spacing w:line="480" w:lineRule="auto"/>
        <w:jc w:val="both"/>
      </w:pPr>
      <w:r w:rsidRPr="002B6873">
        <w:t xml:space="preserve">235 </w:t>
      </w:r>
      <w:r w:rsidR="00D76294" w:rsidRPr="002B6873">
        <w:t xml:space="preserve">carbonate </w:t>
      </w:r>
      <w:r w:rsidR="00816B35" w:rsidRPr="002B6873">
        <w:t xml:space="preserve">samples were collected </w:t>
      </w:r>
      <w:r w:rsidR="00D76294" w:rsidRPr="002B6873">
        <w:t xml:space="preserve">from the </w:t>
      </w:r>
      <w:r w:rsidR="00EB5F63" w:rsidRPr="002B6873">
        <w:t>Huaibei Group</w:t>
      </w:r>
      <w:r w:rsidR="00816B35" w:rsidRPr="002B6873">
        <w:t xml:space="preserve">. </w:t>
      </w:r>
      <w:r w:rsidR="00D76294" w:rsidRPr="002B6873">
        <w:t xml:space="preserve">In order to evaluate their suitability for Sr isotope </w:t>
      </w:r>
      <w:r w:rsidR="006810E9" w:rsidRPr="002B6873">
        <w:t>stratigraphy</w:t>
      </w:r>
      <w:r w:rsidR="00D76294" w:rsidRPr="002B6873">
        <w:t>, all samples u</w:t>
      </w:r>
      <w:r w:rsidR="00094843" w:rsidRPr="002B6873">
        <w:t xml:space="preserve">nderwent </w:t>
      </w:r>
      <w:r w:rsidR="00D76294" w:rsidRPr="002B6873">
        <w:t xml:space="preserve">thorough diagenetic screening using </w:t>
      </w:r>
      <w:r w:rsidR="00D76294" w:rsidRPr="002B6873">
        <w:lastRenderedPageBreak/>
        <w:t xml:space="preserve">a combination of field-based and laboratory-based </w:t>
      </w:r>
      <w:r w:rsidR="006810E9" w:rsidRPr="002B6873">
        <w:t>observations</w:t>
      </w:r>
      <w:r w:rsidR="00D76294" w:rsidRPr="002B6873">
        <w:t xml:space="preserve">. </w:t>
      </w:r>
      <w:r w:rsidR="00094843" w:rsidRPr="002B6873">
        <w:t xml:space="preserve">Samples were initially vetted in the field whereby </w:t>
      </w:r>
      <w:r w:rsidR="004F53B0" w:rsidRPr="002B6873">
        <w:t xml:space="preserve">limestone </w:t>
      </w:r>
      <w:r w:rsidR="00094843" w:rsidRPr="002B6873">
        <w:t xml:space="preserve">examples of early lithified cavity-filling </w:t>
      </w:r>
      <w:r w:rsidR="005755CE" w:rsidRPr="002B6873">
        <w:t>CMC</w:t>
      </w:r>
      <w:r w:rsidR="00094843" w:rsidRPr="002B6873">
        <w:t xml:space="preserve"> were </w:t>
      </w:r>
      <w:proofErr w:type="spellStart"/>
      <w:r w:rsidR="00094843" w:rsidRPr="002B6873">
        <w:t>favoured</w:t>
      </w:r>
      <w:proofErr w:type="spellEnd"/>
      <w:r w:rsidR="00094843" w:rsidRPr="002B6873">
        <w:t>. Sample</w:t>
      </w:r>
      <w:r w:rsidR="00584CA8" w:rsidRPr="002B6873">
        <w:t>s</w:t>
      </w:r>
      <w:r w:rsidR="00094843" w:rsidRPr="002B6873">
        <w:t xml:space="preserve"> </w:t>
      </w:r>
      <w:r w:rsidR="00801E08" w:rsidRPr="002B6873">
        <w:t xml:space="preserve">were </w:t>
      </w:r>
      <w:r w:rsidR="00094843" w:rsidRPr="002B6873">
        <w:t xml:space="preserve">studied petrographically before </w:t>
      </w:r>
      <w:r w:rsidR="00A256A0" w:rsidRPr="002B6873">
        <w:t xml:space="preserve">targeted </w:t>
      </w:r>
      <w:r w:rsidR="00801E08" w:rsidRPr="002B6873">
        <w:t>anal</w:t>
      </w:r>
      <w:r w:rsidR="00A554DB" w:rsidRPr="002B6873">
        <w:t>y</w:t>
      </w:r>
      <w:r w:rsidR="00094843" w:rsidRPr="002B6873">
        <w:t>sis</w:t>
      </w:r>
      <w:r w:rsidR="004F53B0" w:rsidRPr="002B6873">
        <w:t xml:space="preserve"> o</w:t>
      </w:r>
      <w:r w:rsidR="00584CA8" w:rsidRPr="002B6873">
        <w:t>f</w:t>
      </w:r>
      <w:r w:rsidR="00801E08" w:rsidRPr="002B6873">
        <w:t xml:space="preserve"> </w:t>
      </w:r>
      <w:r w:rsidR="004F53B0" w:rsidRPr="002B6873">
        <w:rPr>
          <w:lang w:val="en-GB"/>
        </w:rPr>
        <w:t>micro-drilled powder</w:t>
      </w:r>
      <w:r w:rsidR="004F53B0" w:rsidRPr="002B6873">
        <w:t xml:space="preserve"> for the</w:t>
      </w:r>
      <w:r w:rsidR="00094843" w:rsidRPr="002B6873">
        <w:t>ir trace elemental</w:t>
      </w:r>
      <w:r w:rsidR="00801E08" w:rsidRPr="002B6873">
        <w:t xml:space="preserve"> as well as stable</w:t>
      </w:r>
      <w:r w:rsidR="00245139" w:rsidRPr="002B6873">
        <w:t xml:space="preserve"> C, O</w:t>
      </w:r>
      <w:r w:rsidR="00094843" w:rsidRPr="002B6873">
        <w:t xml:space="preserve"> and </w:t>
      </w:r>
      <w:r w:rsidR="001F4745" w:rsidRPr="002B6873">
        <w:t xml:space="preserve">radiogenic </w:t>
      </w:r>
      <w:r w:rsidR="00094843" w:rsidRPr="002B6873">
        <w:t>Sr isotop</w:t>
      </w:r>
      <w:r w:rsidR="005861C1" w:rsidRPr="002B6873">
        <w:t>ic</w:t>
      </w:r>
      <w:r w:rsidR="00094843" w:rsidRPr="002B6873">
        <w:t xml:space="preserve"> compositions</w:t>
      </w:r>
      <w:r w:rsidR="00801E08" w:rsidRPr="002B6873">
        <w:t>.</w:t>
      </w:r>
    </w:p>
    <w:p w14:paraId="34984533" w14:textId="1096A455" w:rsidR="00C7777F" w:rsidRPr="002B6873" w:rsidRDefault="00C7777F" w:rsidP="00DC5AE0">
      <w:pPr>
        <w:pStyle w:val="Abstract"/>
        <w:spacing w:line="480" w:lineRule="auto"/>
        <w:jc w:val="both"/>
        <w:rPr>
          <w:lang w:val="en-GB"/>
        </w:rPr>
      </w:pPr>
      <w:r w:rsidRPr="002B6873">
        <w:rPr>
          <w:lang w:val="en-GB"/>
        </w:rPr>
        <w:t>Stable isotope</w:t>
      </w:r>
      <w:r w:rsidR="003B5BE1" w:rsidRPr="002B6873">
        <w:rPr>
          <w:lang w:val="en-GB"/>
        </w:rPr>
        <w:t xml:space="preserve">s </w:t>
      </w:r>
      <w:r w:rsidRPr="002B6873">
        <w:rPr>
          <w:lang w:val="en-GB"/>
        </w:rPr>
        <w:t>(δ</w:t>
      </w:r>
      <w:r w:rsidRPr="002B6873">
        <w:rPr>
          <w:vertAlign w:val="superscript"/>
          <w:lang w:val="en-GB"/>
        </w:rPr>
        <w:t>13</w:t>
      </w:r>
      <w:r w:rsidRPr="002B6873">
        <w:rPr>
          <w:lang w:val="en-GB"/>
        </w:rPr>
        <w:t>C and δ</w:t>
      </w:r>
      <w:r w:rsidRPr="002B6873">
        <w:rPr>
          <w:vertAlign w:val="superscript"/>
          <w:lang w:val="en-GB"/>
        </w:rPr>
        <w:t>18</w:t>
      </w:r>
      <w:r w:rsidRPr="002B6873">
        <w:rPr>
          <w:lang w:val="en-GB"/>
        </w:rPr>
        <w:t xml:space="preserve">O) </w:t>
      </w:r>
      <w:r w:rsidR="00486D76" w:rsidRPr="002B6873">
        <w:rPr>
          <w:lang w:val="en-GB"/>
        </w:rPr>
        <w:t xml:space="preserve">were </w:t>
      </w:r>
      <w:r w:rsidR="00096C16" w:rsidRPr="002B6873">
        <w:rPr>
          <w:lang w:val="en-GB"/>
        </w:rPr>
        <w:t>analysed</w:t>
      </w:r>
      <w:r w:rsidR="00486D76" w:rsidRPr="002B6873">
        <w:rPr>
          <w:lang w:val="en-GB"/>
        </w:rPr>
        <w:t xml:space="preserve"> at two laboratories: </w:t>
      </w:r>
      <w:r w:rsidR="00DC5AE0" w:rsidRPr="002B6873">
        <w:rPr>
          <w:lang w:val="en-GB"/>
        </w:rPr>
        <w:t>the</w:t>
      </w:r>
      <w:r w:rsidR="00486D76" w:rsidRPr="002B6873">
        <w:rPr>
          <w:lang w:val="en-GB"/>
        </w:rPr>
        <w:t xml:space="preserve"> Bloomsbury Environmental Isotope Facility (BEIF) at University College London on a </w:t>
      </w:r>
      <w:proofErr w:type="spellStart"/>
      <w:r w:rsidR="00486D76" w:rsidRPr="002B6873">
        <w:rPr>
          <w:lang w:val="en-GB"/>
        </w:rPr>
        <w:t>ThermoFinnigan</w:t>
      </w:r>
      <w:proofErr w:type="spellEnd"/>
      <w:r w:rsidR="00486D76" w:rsidRPr="002B6873">
        <w:rPr>
          <w:lang w:val="en-GB"/>
        </w:rPr>
        <w:t xml:space="preserve"> Delta PLUS </w:t>
      </w:r>
      <w:proofErr w:type="gramStart"/>
      <w:r w:rsidR="00486D76" w:rsidRPr="002B6873">
        <w:rPr>
          <w:lang w:val="en-GB"/>
        </w:rPr>
        <w:t>XP  mass</w:t>
      </w:r>
      <w:proofErr w:type="gramEnd"/>
      <w:r w:rsidR="00486D76" w:rsidRPr="002B6873">
        <w:rPr>
          <w:lang w:val="en-GB"/>
        </w:rPr>
        <w:t xml:space="preserve"> spectrometer attached to a ThermoScientific Gas Bench II device</w:t>
      </w:r>
      <w:r w:rsidR="003D12B4" w:rsidRPr="002B6873">
        <w:rPr>
          <w:lang w:val="en-GB"/>
        </w:rPr>
        <w:t xml:space="preserve">, and </w:t>
      </w:r>
      <w:r w:rsidR="0081623C" w:rsidRPr="002B6873">
        <w:rPr>
          <w:lang w:val="en-GB"/>
        </w:rPr>
        <w:t xml:space="preserve">at </w:t>
      </w:r>
      <w:r w:rsidR="00486D76" w:rsidRPr="002B6873">
        <w:rPr>
          <w:lang w:val="en-GB"/>
        </w:rPr>
        <w:t>the State Key Isotope Laboratory</w:t>
      </w:r>
      <w:r w:rsidR="0081623C" w:rsidRPr="002B6873">
        <w:rPr>
          <w:lang w:val="en-GB"/>
        </w:rPr>
        <w:t xml:space="preserve"> for </w:t>
      </w:r>
      <w:proofErr w:type="spellStart"/>
      <w:r w:rsidR="0081623C" w:rsidRPr="002B6873">
        <w:rPr>
          <w:lang w:val="en-GB"/>
        </w:rPr>
        <w:t>Palaeobiology</w:t>
      </w:r>
      <w:proofErr w:type="spellEnd"/>
      <w:r w:rsidR="0081623C" w:rsidRPr="002B6873">
        <w:rPr>
          <w:lang w:val="en-GB"/>
        </w:rPr>
        <w:t xml:space="preserve"> and Stratigraphy, </w:t>
      </w:r>
      <w:r w:rsidR="00486D76" w:rsidRPr="002B6873">
        <w:rPr>
          <w:lang w:val="en-GB"/>
        </w:rPr>
        <w:t>Nanjing Institute of Geology and Palaeontology</w:t>
      </w:r>
      <w:r w:rsidR="0081623C" w:rsidRPr="002B6873">
        <w:rPr>
          <w:lang w:val="en-GB"/>
        </w:rPr>
        <w:t xml:space="preserve">, </w:t>
      </w:r>
      <w:r w:rsidR="00486D76" w:rsidRPr="002B6873">
        <w:rPr>
          <w:lang w:val="en-GB"/>
        </w:rPr>
        <w:t>Chinese Academy of Sciences (NIGPAS) on a Finnigan MAT-253 mass spectrometer</w:t>
      </w:r>
      <w:r w:rsidR="00E73E8C" w:rsidRPr="002B6873">
        <w:rPr>
          <w:lang w:val="en-GB"/>
        </w:rPr>
        <w:t xml:space="preserve"> fitted with a Kiel IV carbonate device</w:t>
      </w:r>
      <w:r w:rsidR="00486D76" w:rsidRPr="002B6873">
        <w:rPr>
          <w:lang w:val="en-GB"/>
        </w:rPr>
        <w:t>. Both laboratories have controlled temperature</w:t>
      </w:r>
      <w:r w:rsidR="003D12B4" w:rsidRPr="002B6873">
        <w:rPr>
          <w:lang w:val="en-GB"/>
        </w:rPr>
        <w:t>s</w:t>
      </w:r>
      <w:r w:rsidR="00486D76" w:rsidRPr="002B6873">
        <w:rPr>
          <w:lang w:val="en-GB"/>
        </w:rPr>
        <w:t xml:space="preserve"> </w:t>
      </w:r>
      <w:r w:rsidR="003D12B4" w:rsidRPr="002B6873">
        <w:rPr>
          <w:lang w:val="en-GB"/>
        </w:rPr>
        <w:t xml:space="preserve">of </w:t>
      </w:r>
      <w:r w:rsidR="00486D76" w:rsidRPr="002B6873">
        <w:rPr>
          <w:lang w:val="en-GB"/>
        </w:rPr>
        <w:t>22</w:t>
      </w:r>
      <w:r w:rsidR="003D12B4" w:rsidRPr="002B6873">
        <w:rPr>
          <w:lang w:val="en-GB"/>
        </w:rPr>
        <w:t>°</w:t>
      </w:r>
      <w:r w:rsidR="00486D76" w:rsidRPr="002B6873">
        <w:rPr>
          <w:lang w:val="en-GB"/>
        </w:rPr>
        <w:t>C</w:t>
      </w:r>
      <w:r w:rsidR="003D12B4" w:rsidRPr="002B6873">
        <w:rPr>
          <w:lang w:val="en-GB"/>
        </w:rPr>
        <w:t xml:space="preserve"> </w:t>
      </w:r>
      <w:r w:rsidR="00486D76" w:rsidRPr="002B6873">
        <w:rPr>
          <w:lang w:val="en-GB"/>
        </w:rPr>
        <w:t>±</w:t>
      </w:r>
      <w:r w:rsidR="00E24BC5" w:rsidRPr="002B6873">
        <w:rPr>
          <w:lang w:val="en-GB"/>
        </w:rPr>
        <w:t xml:space="preserve"> </w:t>
      </w:r>
      <w:r w:rsidR="00486D76" w:rsidRPr="002B6873">
        <w:rPr>
          <w:lang w:val="en-GB"/>
        </w:rPr>
        <w:t>1</w:t>
      </w:r>
      <w:r w:rsidR="003D12B4" w:rsidRPr="002B6873">
        <w:rPr>
          <w:lang w:val="en-GB"/>
        </w:rPr>
        <w:t>°</w:t>
      </w:r>
      <w:r w:rsidR="00486D76" w:rsidRPr="002B6873">
        <w:rPr>
          <w:lang w:val="en-GB"/>
        </w:rPr>
        <w:t xml:space="preserve">C and humidity </w:t>
      </w:r>
      <w:r w:rsidR="003D12B4" w:rsidRPr="002B6873">
        <w:rPr>
          <w:lang w:val="en-GB"/>
        </w:rPr>
        <w:t xml:space="preserve">of </w:t>
      </w:r>
      <w:r w:rsidR="00486D76" w:rsidRPr="002B6873">
        <w:rPr>
          <w:lang w:val="en-GB"/>
        </w:rPr>
        <w:t>50%</w:t>
      </w:r>
      <w:r w:rsidR="003D12B4" w:rsidRPr="002B6873">
        <w:rPr>
          <w:lang w:val="en-GB"/>
        </w:rPr>
        <w:t xml:space="preserve"> </w:t>
      </w:r>
      <w:r w:rsidR="00486D76" w:rsidRPr="002B6873">
        <w:rPr>
          <w:lang w:val="en-GB"/>
        </w:rPr>
        <w:t>RH ±</w:t>
      </w:r>
      <w:r w:rsidR="00E24BC5" w:rsidRPr="002B6873">
        <w:rPr>
          <w:lang w:val="en-GB"/>
        </w:rPr>
        <w:t xml:space="preserve"> </w:t>
      </w:r>
      <w:r w:rsidR="00486D76" w:rsidRPr="002B6873">
        <w:rPr>
          <w:lang w:val="en-GB"/>
        </w:rPr>
        <w:t xml:space="preserve">5%. </w:t>
      </w:r>
    </w:p>
    <w:p w14:paraId="2B169979" w14:textId="1CB990A7" w:rsidR="00C7777F" w:rsidRPr="002B6873" w:rsidRDefault="00D455EE" w:rsidP="007F1FF8">
      <w:pPr>
        <w:pStyle w:val="Abstract"/>
        <w:spacing w:line="480" w:lineRule="auto"/>
        <w:jc w:val="both"/>
      </w:pPr>
      <w:r w:rsidRPr="002B6873">
        <w:t xml:space="preserve">The use of trace element ratios for </w:t>
      </w:r>
      <w:r w:rsidR="002E7BA3" w:rsidRPr="002B6873">
        <w:t>diagenetic screening</w:t>
      </w:r>
      <w:r w:rsidRPr="002B6873">
        <w:t xml:space="preserve"> has been discussed in many publications </w:t>
      </w:r>
      <w:r w:rsidRPr="002B6873">
        <w:fldChar w:fldCharType="begin" w:fldLock="1"/>
      </w:r>
      <w:r w:rsidR="00084CB9" w:rsidRPr="002B6873">
        <w:instrText>ADDIN CSL_CITATION {"citationItems":[{"id":"ITEM-1","itemData":{"DOI":"10.1111/j.1365-3121.1994.tb00507.x","ISBN":"1365-3121","ISSN":"0954-4879","abstract":"An introduction to Sr-isotope stratigraphy can be obtained from several recent reviews (Elderfield, 1986; Veizer, 1989; McArthur, 1991, 1992a). The purpose of this article is not to repeat these reviews but to give to those not expert in the field, but who may be prospective users, a summary of aspects of the method not covered elsewhere, and some examples of recent applications of the technique and the problems that affect it. Highlighting problems inevitably means highlighting the publications in which they occur; I hope the authors will forgive me for spotlighting their work. Neither is this article intended to be a review of all that has been written on the use of Sr isotopes in low-temperature geochemistry; it concentrates on their use in stratigraphy and dating, rather than how they may be used to elucidate geochemical processes. Many excellent papers are thereby excluded from consideration. Implicit in this article is the view that the successful application of strontium isotope stratigraphy requires an application of good methodology in both geochemistry and stratigraphy.","author":[{"dropping-particle":"","family":"McArthur","given":"J M","non-dropping-particle":"","parse-names":false,"suffix":""}],"container-title":"Terra Nova","id":"ITEM-1","issue":"4","issued":{"date-parts":[["1994"]]},"page":"331-358","title":"Recent trends in strontium isotope stratigraphy","type":"article-journal","volume":"6"},"uris":["http://www.mendeley.com/documents/?uuid=5fed6274-c62c-4eb4-b7a8-79bdfadc6000"]},{"id":"ITEM-2","itemData":{"DOI":"10.1016/0301-9268(94)00070-8","ISBN":"0301-9268 (Print)","ISSN":"03019268","PMID":"11539552","abstract":"The recent proliferation of stratigraphic studies of ??13C variation in carbonates and organic C in later Neoproterozoic and basal Cambrian successions (??? 850-530 Ma) indicates a strong oscillating trend in the C-isotopic composition of surface seawater. Alone, this trend does not adequately characterize discrete intervals in Neoproterozoic time. However, integrated with the vectorial signals provided by fossils and Sr-isotopic variations, C isotope chemostratigraphy facilitates the interbasinal correlation of later Neoproterozoic successions. Results of these studies are evaluated in terms of four stratigraphic intervals: (1) the Precambrian/Cambrian boundary, (2) the post-Varanger terminal Proterozoic, (3) the late Cryogenian, and (4) the early Cryogenian. Where biostratigraphic or radiometric data constrain the age of Neoproterozoic sedimentary sequences, secular variations in C and Sr isotopes can provide a level of stratigraphic resolution exceeding that that provided by fossils alone. Isotopic data place strong constraints on the chemical evolution of seawater, linking it to major tectonic and paleoclimatic events. They also provide a biogeochemical framework for the understanding of the initial radiation of macroscopic metazoans, which is associated stratigraphically, and perhaps causally, with a global increase in the burial of organic C and a concomitant rise of atmospheric O2. ?? 1995 Elsevier Science B.V. All rights reserved.","author":[{"dropping-particle":"","family":"Kaufman","given":"Alan J.","non-dropping-particle":"","parse-names":false,"suffix":""},{"dropping-particle":"","family":"Knoll","given":"Andrew H.","non-dropping-particle":"","parse-names":false,"suffix":""}],"container-title":"Precambrian Research","id":"ITEM-2","issue":"1-4","issued":{"date-parts":[["1995"]]},"page":"27-49","title":"Neoproterozoic variations in the C-isotopic composition of seawater: stratigraphic and biogeochemical implications","type":"article-journal","volume":"73"},"uris":["http://www.mendeley.com/documents/?uuid=30b0c134-4c5c-42da-86a3-0f0827ec71db"]},{"id":"ITEM-3","itemData":{"DOI":"10.1130/0091-7613(1996)024&lt;0917:ISIVAS&gt;2.3.CO","ISSN":"00917613","abstract":"A high-resolution Sr isotope study of Middle to Upper Cambrian platform carbonates of the southern Great Basin significantly refines the structure of the existing seawater Sr isotope curve. Samples were selected using rigorous stratigraphic, petrographic, and geochemical criteria in order to minimize the effects of diagenetic alteration and contamination from noncarbonate components. Highest seawater 87Sr/86Sr values over the past 2 b.y. are constrained to &lt;0.7093 and occurred during the latest Middle Cambrian to earliest Late Cambrian. Integrated with published Cambrian seawater 87Sr/86Sr values, these new data record the culmination of an increasing trend in seawater 87Sr/86Sr beginning in Early Cambrian time. This trend is interpreted to reflect increasing flux and/or isotopic ratio of riverine Sr delivered to Cambrian oceans in response to Pan-African orogenesis and attendant enhanced chemical weathering. High-resolution changes in seawater 87Sr/86Sr values are superimposed on the longer-term trend. Correlation between 87Sr/86Sr values and sea level leads us to propose a model that links changes in weathering rates and riverine Sr flux with variations in exposed continental surface area related to short-term (1–5 m.y.) sea-level events during greenhouse times.","author":[{"dropping-particle":"","family":"Montanez","given":"Isabel P.","non-dropping-particle":"","parse-names":false,"suffix":""},{"dropping-particle":"","family":"Banner","given":"Jay L.","non-dropping-particle":"","parse-names":false,"suffix":""},{"dropping-particle":"","family":"Osleger","given":"David A.","non-dropping-particle":"","parse-names":false,"suffix":""},{"dropping-particle":"","family":"Borg","given":"Lars E.","non-dropping-particle":"","parse-names":false,"suffix":""},{"dropping-particle":"","family":"Bosserman","given":"Paula J.","non-dropping-particle":"","parse-names":false,"suffix":""}],"container-title":"Geology","id":"ITEM-3","issue":"10","issued":{"date-parts":[["1996"]]},"page":"917-920","title":"Integrated Sr isotope variations and sea-level history of middle to Upper Cambrian platform carbonates: Implications for the evolution of Cambrian seawater &lt;sup&gt;87&lt;/sup&gt;Sr/ &lt;sup&gt;86&lt;/sup&gt;Sr","type":"article-journal","volume":"24"},"uris":["http://www.mendeley.com/documents/?uuid=a0e6fad8-7b8f-4185-87d4-7768d803cab0"]},{"id":"ITEM-4","itemData":{"DOI":"10.1016/S0009-2541(01)00268-6","ISBN":"0009-2541","ISSN":"00092541","PMID":"2988","abstract":"Sr and C isotopic data obtained on stratigraphic suites of well-preserved marine limestone from Siberia, Namibia, Canada, Svalbard and East Greenland provide a relatively detailed first-order record of isotopic variation in seawater through the late Neoproterozoic Era. This data is used to revise the Sr-87/Sr-86 and delta(13)C curves of this important interval, during which several discrete global ice ages occurred and the first macroscopic animals evolved. Through this time, the lowest Sr-87/Sr-86 values (ca. 0.7056) characterize the interval between about 750-800 Ma and have been interpreted to reflect a major hydrothermal event. From 750 to 600 Ma, the Sr isotope values oscillate between highs and lows, ranging between 0.7063 and 0.7074. Between 600 Ma and the Early Cambrian (ca. 535 Ma), Sr-87/Sr-86 values rise sharply from 0.7063 to 0.7087. This is thought to reflect enhanced continental input to the oceans associated with a Pan-African continental collision. This small subset of limestone samples (dolomites dominate the Neoproterozoic record) shows the delta(13)C curve rises from values close to 0 prior to 800 Ma to about + 6 parts per thousand at 750 Ma and about +8 parts per thousand for the time between 600 and 730 Ma. During the time between 600 and 542 Ma, the highest values are about +4 parts per thousand (higher values in each interval are preserved in little-altered dolomites). Strong positive-to-negative excursions to values of -5 parts per thousand are associated with both Vendian glaciations estimated at about 575 and 590 Ma and with Sturtian glaciations estimated at about 720 and 740 Ma. In strong contrast, based on our view of least altered samples, there are no distinct changes in Sr-87/Sr-86 across Neoproterozoic glacial intervals. The duration of these global refrigeration events is a subject of considerable debate. However, consideration of Sr residence times based on elemental partitioning, and the relationship between delta(13)C and Sr-87/Sr-86 variations, suggest that these negative carbon isotope excursions would have lasted at least 350,000 years and no more than about one million years, assuming modem diagenetic fluxes of Sr to the oceans and total absence of continental fluxes. (C) 1999 Elsevier Science B.V. All rights reserved.","author":[{"dropping-particle":"","family":"Jacobsen","given":"Stein B.","non-dropping-particle":"","parse-names":false,"suffix":""},{"dropping-particle":"","family":"Kaufman","given":"Alan J.","non-dropping-particle":"","parse-names":false,"suffix":""}],"container-title":"Chemical Geology","id":"ITEM-4","issued":{"date-parts":[["1999"]]},"page":"37-57","title":"The Sr, C and O isotopic evolution of neoproterozoic seawater-comment","type":"article-journal","volume":"161"},"uris":["http://www.mendeley.com/documents/?uuid=41f251c7-92e8-428a-854b-b4c566c64eb0"]},{"id":"ITEM-5","itemData":{"DOI":"10.1016/j.chemgeo.2003.10.013","ISBN":"0009-2541","ISSN":"00092541","PMID":"400","abstract":"Brachiopods, trilobites, cements and whole rock (=matrix) material were evaluated for their reliability as proxies of original seawater carbon, oxygen and strontium isotope chemistry. In this process, coeval material was evaluated from individual horizons of formations spanning the Permian to Cambrian. Unaltered shells of low-Mg calcite articulated brachiopods, retain original seawater oxygen, carbon and strontium isotope compositions, as old as late Ordovician. Assessments of older specimens are hampered by a lack of suitable material (coeval brachiopod-whole rock sets). A definitive assessment of cement marine chemistry is difficult due to the paucity of material, but despite this caveat, cements hold some promise for retaining original carbon and possibly strontium isotope seawater values. In contrast, the potential of whole rock material as a proxy of original seawater chemistry is quite complex. In some, but not all instances, the carbon isotopic composition of whole rock, after detailed scrutiny and evaluation, appears to represent an original seawater chemistry signal. In a few instances, their oxygen isotope compositions reflect original seawater values. Unlike the stable isotope compositions, the strontium isotopes of all studied whole rock material (Permian to upper Cambrian) appear not to reflect original seawater chemistry values. Thus the potential for retaining original seawater isotope chemistry and serving as specific proxies, in order of decreasing reliability, are (1) unaltered low-Mg calcite brachiopods (C, O and Sr isotopes), (2) pristine marine cements (C and Sr isotopes), and (3) whole rock material (C isotopes?). Carbon, oxygen and strontium isotope compositions of Ordovician trilobites mirror those of coeval unaltered brachiopods. Cambrian trilobites hold significant promise as an important proxy of original seawater isotope chemistry but further studies are needed to ascertain their full potential. The survey of isotopes in some Ordovician and Cambrian intermediate/low-Mg calcite trilobites demonstrates their potential as an important proxy of original seawater chemistry. © 2003 Elsevier B.V. All rights reserved.","author":[{"dropping-particle":"","family":"Brand","given":"Uwe","non-dropping-particle":"","parse-names":false,"suffix":""}],"container-title":"Chemical Geology","id":"ITEM-5","issue":"1-2","issued":{"date-parts":[["2004"]]},"page":"23-44","title":"Carbon, oxygen and strontium isotopes in Paleozoic carbonate components: An evaluation of original seawater-chemistry proxies","type":"article-journal","volume":"204"},"uris":["http://www.mendeley.com/documents/?uuid=183986cd-af67-4a50-a88f-3154e5b53d0a"]},{"id":"ITEM-6","itemData":{"DOI":"10.1016/j.chemgeo.2012.03.017","ISBN":"00092541","ISSN":"00092541","abstract":"Diagenetic evaluation of the Pennsylvanian Bird Spring Formation, Arrow Canyon, Nevada (U.S.A.) involved the detailed petrographic and geochemical examination of its brachiopod and whole rock components. δ 13C, δ 18O and 87Sr/ 86Sr of whole rock (WR) statistically (p=0.0001) do not agree with isotope values of coeval brachiopod low-Mg calcite (LMC). More importantly, a detailed investigation of the best preserved, fine-grained whole rock material demonstrates that it does not universally preserve its carbon isotope values, in contrast with hypothetical predictions. Furthermore, lumped trace chemistry or stable isotope tests do not unequivocally identify brachiopod or whole rock (fine- to coarse-grained) samples that carry an 'original' seawater signal. Instead, diagenetic evaluation, involving as many screening tests as possible, on a horizon-by-horizon level to compensate for spatial and temporal variations, is necessary to identify the sample(s) that carries an original seawater signature. Many brachiopods from the Bird Spring Formation are blue- to non-luminescent and carry microstructures and trace element contents similar to those of their modern tropical counterparts. Concurrence of chemical results between well preserved brachiopods and whole rock (if originally low-Mg calcite) is achieved in 22% of coeval samples for {increment} 13C bLMC-WR (with natural limits of ±0.25'), in 20% of samples for {increment} 18O bLMC-WR (with natural limits of ±0.25‰), and in 9% of samples for {increment} 87Sr bLMC-WR (with global limits of ±0.000025). After an adjustment for mineralogical fractionation, if whole rock is considered originally aragonite, the concurrence of {increment} 13C bLMC-WR drops to 0%, and for {increment} 18O bLMC-WR it drops to 6%. Furthermore, comparison of stable isotopes of our well-preserved brachiopods with those of preserved whole rock from the literature, suggests that they are significantly different (p=0.0001), with results of the latter dataset being more negative by about -0.77 (-2.57‰ with mineralogical adjustment) for δ 13C (PDB) and -1.31 (-2.11‰) for δ 18O (PDB). Thus, our integrated screening and comparative tests indicate that: (1) an overwhelming number of the whole rock samples from the Bird Spring Formation carry a diagenetic instead of a primary signal for both carbon and oxygen isotopes, and (2) many of the biogenic low-Mg calcite brachiopods in this succession carry an original chemical signal suitable for the reconst…","author":[{"dropping-particle":"","family":"Brand","given":"Uwe","non-dropping-particle":"","parse-names":false,"suffix":""},{"dropping-particle":"","family":"Jiang","given":"Ganqing","non-dropping-particle":"","parse-names":false,"suffix":""},{"dropping-particle":"","family":"Azmy","given":"Karem","non-dropping-particle":"","parse-names":false,"suffix":""},{"dropping-particle":"","family":"Bishop","given":"James","non-dropping-particle":"","parse-names":false,"suffix":""},{"dropping-particle":"","family":"Montañez","given":"Isabel P.","non-dropping-particle":"","parse-names":false,"suffix":""}],"container-title":"Chemical Geology","id":"ITEM-6","issued":{"date-parts":[["2012"]]},"page":"26-39","publisher":"Elsevier B.V.","title":"Diagenetic evaluation of a Pennsylvanian carbonate succession (Bird Spring Formation, Arrow Canyon, Nevada, U.S.A.) - 1: Brachiopod and whole rock comparison","type":"article-journal","volume":"308-309"},"uris":["http://www.mendeley.com/documents/?uuid=9a697b31-b66e-4663-851d-332c36157e02"]}],"mendeley":{"formattedCitation":"(McArthur, 1994; Kaufman and Knoll, 1995; Montanez et al., 1996; Jacobsen and Kaufman, 1999; Brand, 2004; Brand et al., 2012)","manualFormatting":"(McArthur, 1994; Kaufman and Knoll, 1995; Montañez et al., 1996; Jacobsen and Kaufman, 1999; Brand, 2004; Brand et al., 2012)","plainTextFormattedCitation":"(McArthur, 1994; Kaufman and Knoll, 1995; Montanez et al., 1996; Jacobsen and Kaufman, 1999; Brand, 2004; Brand et al., 2012)","previouslyFormattedCitation":"(McArthur, 1994; Kaufman and Knoll, 1995; Montanez et al., 1996; Jacobsen and Kaufman, 1999; Brand, 2004; Brand et al., 2012)"},"properties":{"noteIndex":0},"schema":"https://github.com/citation-style-language/schema/raw/master/csl-citation.json"}</w:instrText>
      </w:r>
      <w:r w:rsidRPr="002B6873">
        <w:fldChar w:fldCharType="separate"/>
      </w:r>
      <w:r w:rsidR="00B6451A" w:rsidRPr="002B6873">
        <w:rPr>
          <w:noProof/>
        </w:rPr>
        <w:t>(McArthur, 1994; Kaufman and Knoll, 1995; Monta</w:t>
      </w:r>
      <w:r w:rsidR="005E51BA" w:rsidRPr="002B6873">
        <w:rPr>
          <w:noProof/>
        </w:rPr>
        <w:t>ñ</w:t>
      </w:r>
      <w:r w:rsidR="00B6451A" w:rsidRPr="002B6873">
        <w:rPr>
          <w:noProof/>
        </w:rPr>
        <w:t>ez et al., 1996; Jacobsen and Kaufman, 1999; Brand, 2004; Brand et al., 2012)</w:t>
      </w:r>
      <w:r w:rsidRPr="002B6873">
        <w:fldChar w:fldCharType="end"/>
      </w:r>
      <w:r w:rsidR="00BB2396" w:rsidRPr="002B6873">
        <w:t>, although there are no agreed criteria (see Fig. S3)</w:t>
      </w:r>
      <w:r w:rsidRPr="002B6873">
        <w:t xml:space="preserve">. For this study, </w:t>
      </w:r>
      <w:r w:rsidR="00BB2396" w:rsidRPr="002B6873">
        <w:t xml:space="preserve">no cut off criteria have been applied, but </w:t>
      </w:r>
      <w:r w:rsidRPr="002B6873">
        <w:t xml:space="preserve">three simple principles were </w:t>
      </w:r>
      <w:r w:rsidR="005D15CB" w:rsidRPr="002B6873">
        <w:t xml:space="preserve">applied </w:t>
      </w:r>
      <w:r w:rsidRPr="002B6873">
        <w:t xml:space="preserve">for </w:t>
      </w:r>
      <w:r w:rsidR="00261D0B" w:rsidRPr="002B6873">
        <w:t xml:space="preserve">elemental </w:t>
      </w:r>
      <w:r w:rsidRPr="002B6873">
        <w:t xml:space="preserve">screening: (1) low Mn/Sr </w:t>
      </w:r>
      <w:r w:rsidR="00C15DB6" w:rsidRPr="002B6873">
        <w:t xml:space="preserve">mass </w:t>
      </w:r>
      <w:r w:rsidRPr="002B6873">
        <w:t>ratio (in most cases ≤0.5); (2) high Sr</w:t>
      </w:r>
      <w:r w:rsidR="00651733" w:rsidRPr="002B6873">
        <w:t xml:space="preserve"> </w:t>
      </w:r>
      <w:proofErr w:type="spellStart"/>
      <w:r w:rsidR="00651733" w:rsidRPr="002B6873">
        <w:t>concentation</w:t>
      </w:r>
      <w:proofErr w:type="spellEnd"/>
      <w:r w:rsidR="007F1FF8" w:rsidRPr="002B6873">
        <w:t xml:space="preserve"> </w:t>
      </w:r>
      <w:r w:rsidRPr="002B6873">
        <w:t>(in most cases ≥200</w:t>
      </w:r>
      <w:r w:rsidR="003359ED" w:rsidRPr="002B6873">
        <w:t xml:space="preserve"> µg/g</w:t>
      </w:r>
      <w:r w:rsidRPr="002B6873">
        <w:t xml:space="preserve">); (3) Low Mg/Ca </w:t>
      </w:r>
      <w:r w:rsidR="00C15DB6" w:rsidRPr="002B6873">
        <w:t xml:space="preserve">mass </w:t>
      </w:r>
      <w:r w:rsidRPr="002B6873">
        <w:t>ratio (in most cases &lt;0.01).</w:t>
      </w:r>
      <w:r w:rsidR="00C363F1" w:rsidRPr="002B6873">
        <w:t xml:space="preserve"> </w:t>
      </w:r>
      <w:r w:rsidR="002E7BA3" w:rsidRPr="002B6873">
        <w:t>E</w:t>
      </w:r>
      <w:r w:rsidR="00C363F1" w:rsidRPr="002B6873">
        <w:t xml:space="preserve">lemental </w:t>
      </w:r>
      <w:r w:rsidR="002E7BA3" w:rsidRPr="002B6873">
        <w:t xml:space="preserve">analyses </w:t>
      </w:r>
      <w:r w:rsidR="00C363F1" w:rsidRPr="002B6873">
        <w:t>w</w:t>
      </w:r>
      <w:r w:rsidR="005F1765" w:rsidRPr="002B6873">
        <w:t>ere</w:t>
      </w:r>
      <w:r w:rsidR="00C363F1" w:rsidRPr="002B6873">
        <w:t xml:space="preserve"> carried out at University College London, using both ICP-OES</w:t>
      </w:r>
      <w:r w:rsidR="007823D5" w:rsidRPr="002B6873">
        <w:t xml:space="preserve"> (Varian 720-ES)</w:t>
      </w:r>
      <w:r w:rsidR="00C363F1" w:rsidRPr="002B6873">
        <w:t xml:space="preserve"> and </w:t>
      </w:r>
      <w:r w:rsidR="004747BA" w:rsidRPr="002B6873">
        <w:t xml:space="preserve">quadrupole </w:t>
      </w:r>
      <w:r w:rsidR="00C363F1" w:rsidRPr="002B6873">
        <w:t>ICP-MS</w:t>
      </w:r>
      <w:r w:rsidR="007823D5" w:rsidRPr="002B6873">
        <w:t xml:space="preserve"> (Varian 820-MS)</w:t>
      </w:r>
      <w:r w:rsidR="00C363F1" w:rsidRPr="002B6873">
        <w:t xml:space="preserve">. </w:t>
      </w:r>
      <w:r w:rsidR="0067029B" w:rsidRPr="002B6873">
        <w:t xml:space="preserve">For strontium isotope analyses, a sequential leaching technique based on Bailey et al. </w:t>
      </w:r>
      <w:r w:rsidR="0067029B" w:rsidRPr="002B6873">
        <w:fldChar w:fldCharType="begin" w:fldLock="1"/>
      </w:r>
      <w:r w:rsidR="00B6451A" w:rsidRPr="002B6873">
        <w:instrText>ADDIN CSL_CITATION {"citationItems":[{"id":"ITEM-1","itemData":{"DOI":"10.1016/S0009-2541(99)00235-1","ISSN":"00092541","abstract":"The preparation of samples for strontium isotope stratigraphy (SIS) by whole rock dissolution results in contributions of Sr from contaminant phases as well as from the target carbonate phase. Here we highlight and quantify the errors in 87Sr/86Sr values that might result when calcium carbonate is dissolved using an inappropriate method. We report the variation in 87Sr/86Sr value of Sr released from four samples of differing calcite content and degrees of cementation, when subject to different methods of dissolution. We show that errors of up to ??0.000076 in 87Sr/86Sr, which correspond to errors of ??3.68 Ma in age, can be avoided by careful preleaching of the samples. (C) 2000 Elsevier Science B.V. All rights reserved.","author":[{"dropping-particle":"","family":"Bailey","given":"T. R.","non-dropping-particle":"","parse-names":false,"suffix":""},{"dropping-particle":"","family":"McArthur","given":"J. M.","non-dropping-particle":"","parse-names":false,"suffix":""},{"dropping-particle":"","family":"Prince","given":"H.","non-dropping-particle":"","parse-names":false,"suffix":""},{"dropping-particle":"","family":"Thirlwall","given":"M. F.","non-dropping-particle":"","parse-names":false,"suffix":""}],"container-title":"Chemical Geology","id":"ITEM-1","issue":"3-4","issued":{"date-parts":[["2000"]]},"page":"313-319","title":"Dissolution methods for strontium isotope stratigraphy: Whole rock analysis","type":"article-journal","volume":"167"},"suppress-author":1,"uris":["http://www.mendeley.com/documents/?uuid=9229266b-0932-4532-aab3-c68aca5423b2"]}],"mendeley":{"formattedCitation":"(2000)","plainTextFormattedCitation":"(2000)","previouslyFormattedCitation":"(2000)"},"properties":{"noteIndex":0},"schema":"https://github.com/citation-style-language/schema/raw/master/csl-citation.json"}</w:instrText>
      </w:r>
      <w:r w:rsidR="0067029B" w:rsidRPr="002B6873">
        <w:fldChar w:fldCharType="separate"/>
      </w:r>
      <w:r w:rsidR="0067029B" w:rsidRPr="002B6873">
        <w:rPr>
          <w:noProof/>
        </w:rPr>
        <w:t>(2000)</w:t>
      </w:r>
      <w:r w:rsidR="0067029B" w:rsidRPr="002B6873">
        <w:fldChar w:fldCharType="end"/>
      </w:r>
      <w:r w:rsidR="0067029B" w:rsidRPr="002B6873">
        <w:t xml:space="preserve"> </w:t>
      </w:r>
      <w:r w:rsidR="00CD28BF" w:rsidRPr="002B6873">
        <w:t>was</w:t>
      </w:r>
      <w:r w:rsidR="0067029B" w:rsidRPr="002B6873">
        <w:t xml:space="preserve"> applied</w:t>
      </w:r>
      <w:r w:rsidR="00C363F1" w:rsidRPr="002B6873">
        <w:t xml:space="preserve"> before </w:t>
      </w:r>
      <w:r w:rsidR="00CD28BF" w:rsidRPr="002B6873">
        <w:t xml:space="preserve">extraction of </w:t>
      </w:r>
      <w:r w:rsidR="00C363F1" w:rsidRPr="002B6873">
        <w:t xml:space="preserve">Sr </w:t>
      </w:r>
      <w:r w:rsidR="00CD28BF" w:rsidRPr="002B6873">
        <w:t>using</w:t>
      </w:r>
      <w:r w:rsidR="00C363F1" w:rsidRPr="002B6873">
        <w:t xml:space="preserve"> cation exchange column</w:t>
      </w:r>
      <w:r w:rsidR="00CD28BF" w:rsidRPr="002B6873">
        <w:t>s. A</w:t>
      </w:r>
      <w:r w:rsidR="0067029B" w:rsidRPr="002B6873">
        <w:t>nalyses were carried out at Royal Holloway University of London and also at Nanjing University</w:t>
      </w:r>
      <w:r w:rsidR="00CD28BF" w:rsidRPr="002B6873">
        <w:t xml:space="preserve"> by the lead author</w:t>
      </w:r>
      <w:r w:rsidR="0067029B" w:rsidRPr="002B6873">
        <w:t xml:space="preserve">. Samples were leached sequentially </w:t>
      </w:r>
      <w:r w:rsidR="004F4AA0" w:rsidRPr="002B6873">
        <w:t>twice</w:t>
      </w:r>
      <w:r w:rsidR="0067029B" w:rsidRPr="002B6873">
        <w:t xml:space="preserve"> in </w:t>
      </w:r>
      <w:r w:rsidR="00D17F64" w:rsidRPr="002B6873">
        <w:t xml:space="preserve">dilute </w:t>
      </w:r>
      <w:r w:rsidR="0067029B" w:rsidRPr="002B6873">
        <w:t>acetic acid</w:t>
      </w:r>
      <w:r w:rsidR="007823D5" w:rsidRPr="002B6873">
        <w:t xml:space="preserve"> (0.13M in RHUL; 0.05M in Nanjing)</w:t>
      </w:r>
      <w:r w:rsidR="0067029B" w:rsidRPr="002B6873">
        <w:t xml:space="preserve">. Standard ion chromatography was used on the </w:t>
      </w:r>
      <w:r w:rsidR="0067029B" w:rsidRPr="002B6873">
        <w:lastRenderedPageBreak/>
        <w:t xml:space="preserve">second leach </w:t>
      </w:r>
      <w:r w:rsidR="00D17F64" w:rsidRPr="002B6873">
        <w:t>(20-</w:t>
      </w:r>
      <w:r w:rsidR="00A00A69" w:rsidRPr="002B6873">
        <w:t>7</w:t>
      </w:r>
      <w:r w:rsidR="00D17F64" w:rsidRPr="002B6873">
        <w:t>0%</w:t>
      </w:r>
      <w:r w:rsidR="004A3E18" w:rsidRPr="002B6873">
        <w:t xml:space="preserve"> of the total carbonate sample</w:t>
      </w:r>
      <w:r w:rsidR="00D17F64" w:rsidRPr="002B6873">
        <w:t xml:space="preserve">) </w:t>
      </w:r>
      <w:r w:rsidR="0067029B" w:rsidRPr="002B6873">
        <w:t xml:space="preserve">to concentrate Sr and eliminate Rb before analysis by Thermal </w:t>
      </w:r>
      <w:proofErr w:type="spellStart"/>
      <w:r w:rsidR="0067029B" w:rsidRPr="002B6873">
        <w:t>Ionisation</w:t>
      </w:r>
      <w:proofErr w:type="spellEnd"/>
      <w:r w:rsidR="0067029B" w:rsidRPr="002B6873">
        <w:t xml:space="preserve"> Mass Spectrometry (TIMS</w:t>
      </w:r>
      <w:r w:rsidR="004A3E18" w:rsidRPr="002B6873">
        <w:t xml:space="preserve">: Phoenix </w:t>
      </w:r>
      <w:proofErr w:type="spellStart"/>
      <w:r w:rsidR="004A3E18" w:rsidRPr="002B6873">
        <w:t>Isotopx</w:t>
      </w:r>
      <w:proofErr w:type="spellEnd"/>
      <w:r w:rsidR="004A3E18" w:rsidRPr="002B6873">
        <w:t xml:space="preserve"> in RHUL</w:t>
      </w:r>
      <w:r w:rsidR="000948EC" w:rsidRPr="002B6873">
        <w:t xml:space="preserve"> with mean</w:t>
      </w:r>
      <w:r w:rsidR="004A3E18" w:rsidRPr="002B6873">
        <w:t xml:space="preserve"> </w:t>
      </w:r>
      <w:r w:rsidR="000948EC" w:rsidRPr="002B6873">
        <w:t>SRM 987 0.710240±8</w:t>
      </w:r>
      <w:r w:rsidR="0074514B" w:rsidRPr="002B6873">
        <w:t>,</w:t>
      </w:r>
      <w:r w:rsidR="000948EC" w:rsidRPr="002B6873">
        <w:t xml:space="preserve"> 2sd</w:t>
      </w:r>
      <w:r w:rsidR="0074514B" w:rsidRPr="002B6873">
        <w:t xml:space="preserve"> </w:t>
      </w:r>
      <w:r w:rsidR="004A3E18" w:rsidRPr="002B6873">
        <w:t>and Thermo Scientific Triton</w:t>
      </w:r>
      <w:r w:rsidR="000F3AF2" w:rsidRPr="002B6873">
        <w:t xml:space="preserve"> in Nanjing</w:t>
      </w:r>
      <w:r w:rsidR="000948EC" w:rsidRPr="002B6873">
        <w:t xml:space="preserve"> with mean SRM 987 0.710244±3</w:t>
      </w:r>
      <w:r w:rsidR="0074514B" w:rsidRPr="002B6873">
        <w:t>,</w:t>
      </w:r>
      <w:r w:rsidR="000948EC" w:rsidRPr="002B6873">
        <w:t xml:space="preserve"> 2sd</w:t>
      </w:r>
      <w:r w:rsidR="0067029B" w:rsidRPr="002B6873">
        <w:t>).</w:t>
      </w:r>
      <w:r w:rsidR="000F3AF2" w:rsidRPr="002B6873">
        <w:t xml:space="preserve"> </w:t>
      </w:r>
    </w:p>
    <w:p w14:paraId="2AF91777" w14:textId="77777777" w:rsidR="00AE506C" w:rsidRPr="002B6873" w:rsidRDefault="00AE506C" w:rsidP="00084CB9">
      <w:pPr>
        <w:pStyle w:val="FlushParagraph"/>
        <w:keepNext/>
        <w:spacing w:line="480" w:lineRule="auto"/>
      </w:pPr>
      <w:r w:rsidRPr="002B6873">
        <w:rPr>
          <w:noProof/>
        </w:rPr>
        <w:drawing>
          <wp:inline distT="0" distB="0" distL="0" distR="0" wp14:anchorId="051E792E" wp14:editId="3D40E6AA">
            <wp:extent cx="5943542" cy="5482680"/>
            <wp:effectExtent l="0" t="0" r="63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_Huaibei Log with correlation with Jinxian- location-age_version 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542" cy="5482680"/>
                    </a:xfrm>
                    <a:prstGeom prst="rect">
                      <a:avLst/>
                    </a:prstGeom>
                  </pic:spPr>
                </pic:pic>
              </a:graphicData>
            </a:graphic>
          </wp:inline>
        </w:drawing>
      </w:r>
    </w:p>
    <w:p w14:paraId="420421B0" w14:textId="50411793" w:rsidR="00AE506C" w:rsidRPr="002B6873" w:rsidRDefault="00AE506C" w:rsidP="0079436F">
      <w:pPr>
        <w:pStyle w:val="FigureCaption"/>
        <w:spacing w:line="480" w:lineRule="auto"/>
        <w:jc w:val="both"/>
      </w:pPr>
      <w:r w:rsidRPr="002B6873">
        <w:t xml:space="preserve">Figure </w:t>
      </w:r>
      <w:r w:rsidRPr="002B6873">
        <w:fldChar w:fldCharType="begin"/>
      </w:r>
      <w:r w:rsidRPr="002B6873">
        <w:instrText xml:space="preserve"> SEQ Figure \* ARABIC </w:instrText>
      </w:r>
      <w:r w:rsidRPr="002B6873">
        <w:fldChar w:fldCharType="separate"/>
      </w:r>
      <w:r w:rsidR="00074E73" w:rsidRPr="002B6873">
        <w:t>1</w:t>
      </w:r>
      <w:r w:rsidRPr="002B6873">
        <w:fldChar w:fldCharType="end"/>
      </w:r>
      <w:r w:rsidRPr="002B6873">
        <w:t xml:space="preserve">. </w:t>
      </w:r>
      <w:r w:rsidR="0001071F" w:rsidRPr="002B6873">
        <w:t>Carbonate</w:t>
      </w:r>
      <w:r w:rsidRPr="002B6873">
        <w:t xml:space="preserve"> carbon and strontium isotope data for the Huaibei Group in Huaibei Area</w:t>
      </w:r>
      <w:r w:rsidR="00312C25" w:rsidRPr="002B6873">
        <w:t>. Data</w:t>
      </w:r>
      <w:r w:rsidR="00C37D15" w:rsidRPr="002B6873">
        <w:t xml:space="preserve"> are shown alongside the stratigraphic log of Huaibei group, p</w:t>
      </w:r>
      <w:r w:rsidRPr="002B6873">
        <w:t>ublished ages</w:t>
      </w:r>
      <w:r w:rsidR="00C37D15" w:rsidRPr="002B6873">
        <w:t xml:space="preserve"> for the eastern </w:t>
      </w:r>
      <w:r w:rsidR="00C37D15" w:rsidRPr="002B6873">
        <w:lastRenderedPageBreak/>
        <w:t xml:space="preserve">block of the NCC and inferred correlation between Huaibei and </w:t>
      </w:r>
      <w:proofErr w:type="spellStart"/>
      <w:r w:rsidR="00C37D15" w:rsidRPr="002B6873">
        <w:t>Jinxian</w:t>
      </w:r>
      <w:proofErr w:type="spellEnd"/>
      <w:r w:rsidR="00C37D15" w:rsidRPr="002B6873">
        <w:t xml:space="preserve"> groups.</w:t>
      </w:r>
      <w:r w:rsidRPr="002B6873">
        <w:t xml:space="preserve"> </w:t>
      </w:r>
      <w:r w:rsidR="00C37D15" w:rsidRPr="002B6873">
        <w:t>G</w:t>
      </w:r>
      <w:r w:rsidRPr="002B6873">
        <w:t xml:space="preserve">eological map of the </w:t>
      </w:r>
      <w:r w:rsidR="002311CE" w:rsidRPr="002B6873">
        <w:t>e</w:t>
      </w:r>
      <w:r w:rsidRPr="002B6873">
        <w:t>astern block of NCC</w:t>
      </w:r>
      <w:r w:rsidR="00C37D15" w:rsidRPr="002B6873">
        <w:t>.</w:t>
      </w:r>
      <w:r w:rsidR="00A00A69" w:rsidRPr="002B6873">
        <w:t xml:space="preserve"> </w:t>
      </w:r>
      <w:r w:rsidR="00F206EE" w:rsidRPr="002B6873">
        <w:t>D</w:t>
      </w:r>
      <w:r w:rsidR="00A00A69" w:rsidRPr="002B6873">
        <w:t xml:space="preserve">ata points </w:t>
      </w:r>
      <w:r w:rsidR="00F206EE" w:rsidRPr="002B6873">
        <w:t xml:space="preserve">that </w:t>
      </w:r>
      <w:r w:rsidR="00A00A69" w:rsidRPr="002B6873">
        <w:t xml:space="preserve">did not pass the screening </w:t>
      </w:r>
      <w:r w:rsidR="002E2F39" w:rsidRPr="002B6873">
        <w:t>a</w:t>
      </w:r>
      <w:r w:rsidR="00A00A69" w:rsidRPr="002B6873">
        <w:t xml:space="preserve">re not </w:t>
      </w:r>
      <w:r w:rsidR="002E2F39" w:rsidRPr="002B6873">
        <w:t>shown</w:t>
      </w:r>
      <w:r w:rsidR="00A00A69" w:rsidRPr="002B6873">
        <w:t xml:space="preserve">. </w:t>
      </w:r>
    </w:p>
    <w:p w14:paraId="48C0B7C5" w14:textId="77777777" w:rsidR="00AE506C" w:rsidRPr="002B6873" w:rsidRDefault="00AE506C" w:rsidP="00E16050">
      <w:pPr>
        <w:pStyle w:val="Head1"/>
        <w:spacing w:line="480" w:lineRule="auto"/>
      </w:pPr>
    </w:p>
    <w:p w14:paraId="36343862" w14:textId="77777777" w:rsidR="00E16050" w:rsidRPr="002B6873" w:rsidRDefault="004A1715" w:rsidP="00E16050">
      <w:pPr>
        <w:pStyle w:val="Head1"/>
        <w:spacing w:line="480" w:lineRule="auto"/>
      </w:pPr>
      <w:r w:rsidRPr="002B6873">
        <w:t>RESULT</w:t>
      </w:r>
      <w:r w:rsidR="004E776B" w:rsidRPr="002B6873">
        <w:t>S</w:t>
      </w:r>
    </w:p>
    <w:p w14:paraId="6B48C633" w14:textId="0BE079A1" w:rsidR="00865979" w:rsidRPr="002B6873" w:rsidRDefault="004E0ED6" w:rsidP="00283664">
      <w:pPr>
        <w:pStyle w:val="Abstract"/>
        <w:spacing w:line="480" w:lineRule="auto"/>
        <w:ind w:firstLine="709"/>
        <w:jc w:val="both"/>
      </w:pPr>
      <w:r w:rsidRPr="002B6873">
        <w:rPr>
          <w:rFonts w:cs="Calibri"/>
        </w:rPr>
        <w:t>δ</w:t>
      </w:r>
      <w:r w:rsidRPr="002B6873">
        <w:rPr>
          <w:rFonts w:cs="Calibri"/>
          <w:vertAlign w:val="superscript"/>
        </w:rPr>
        <w:t>13</w:t>
      </w:r>
      <w:r w:rsidRPr="002B6873">
        <w:rPr>
          <w:rFonts w:cs="Calibri"/>
        </w:rPr>
        <w:t>C</w:t>
      </w:r>
      <w:r w:rsidRPr="002B6873">
        <w:rPr>
          <w:rFonts w:cs="Calibri"/>
          <w:vertAlign w:val="subscript"/>
        </w:rPr>
        <w:t>carb</w:t>
      </w:r>
      <w:r w:rsidRPr="002B6873">
        <w:rPr>
          <w:rFonts w:cs="Calibri"/>
        </w:rPr>
        <w:t xml:space="preserve"> and </w:t>
      </w:r>
      <w:r w:rsidRPr="002B6873">
        <w:rPr>
          <w:rFonts w:cs="Calibri"/>
          <w:vertAlign w:val="superscript"/>
        </w:rPr>
        <w:t>87</w:t>
      </w:r>
      <w:r w:rsidRPr="002B6873">
        <w:rPr>
          <w:rFonts w:cs="Calibri"/>
        </w:rPr>
        <w:t>Sr/</w:t>
      </w:r>
      <w:r w:rsidRPr="002B6873">
        <w:rPr>
          <w:rFonts w:cs="Calibri"/>
          <w:vertAlign w:val="superscript"/>
        </w:rPr>
        <w:t>86</w:t>
      </w:r>
      <w:r w:rsidRPr="002B6873">
        <w:rPr>
          <w:rFonts w:cs="Calibri"/>
        </w:rPr>
        <w:t xml:space="preserve">Sr </w:t>
      </w:r>
      <w:r w:rsidR="00EE3148" w:rsidRPr="002B6873">
        <w:t>values</w:t>
      </w:r>
      <w:r w:rsidR="007B2F20" w:rsidRPr="002B6873">
        <w:t xml:space="preserve"> </w:t>
      </w:r>
      <w:r w:rsidRPr="002B6873">
        <w:t xml:space="preserve">of </w:t>
      </w:r>
      <w:r w:rsidR="007B2F20" w:rsidRPr="002B6873">
        <w:t>Huaibei Group</w:t>
      </w:r>
      <w:r w:rsidR="00EE3148" w:rsidRPr="002B6873">
        <w:t xml:space="preserve"> samples</w:t>
      </w:r>
      <w:r w:rsidR="005570E6" w:rsidRPr="002B6873">
        <w:t xml:space="preserve"> </w:t>
      </w:r>
      <w:r w:rsidR="00FE2F0F" w:rsidRPr="002B6873">
        <w:t xml:space="preserve">in this study </w:t>
      </w:r>
      <w:r w:rsidR="00EE3148" w:rsidRPr="002B6873">
        <w:t xml:space="preserve">are </w:t>
      </w:r>
      <w:r w:rsidR="006546E0" w:rsidRPr="002B6873">
        <w:t>presented</w:t>
      </w:r>
      <w:r w:rsidR="00EE3148" w:rsidRPr="002B6873">
        <w:t xml:space="preserve"> </w:t>
      </w:r>
      <w:r w:rsidR="00694025" w:rsidRPr="002B6873">
        <w:t>in Fig.</w:t>
      </w:r>
      <w:r w:rsidR="007F1FF8" w:rsidRPr="002B6873">
        <w:t> </w:t>
      </w:r>
      <w:r w:rsidR="00AE506C" w:rsidRPr="002B6873">
        <w:t>1</w:t>
      </w:r>
      <w:r w:rsidR="008A6317" w:rsidRPr="002B6873">
        <w:rPr>
          <w:rFonts w:cs="Calibri"/>
        </w:rPr>
        <w:t xml:space="preserve">. </w:t>
      </w:r>
      <w:r w:rsidR="00AE506C" w:rsidRPr="002B6873">
        <w:rPr>
          <w:rFonts w:cs="Calibri"/>
        </w:rPr>
        <w:t>The</w:t>
      </w:r>
      <w:r w:rsidR="004454D1" w:rsidRPr="002B6873">
        <w:rPr>
          <w:rFonts w:cs="Calibri"/>
        </w:rPr>
        <w:t xml:space="preserve"> data </w:t>
      </w:r>
      <w:r w:rsidR="000E0904" w:rsidRPr="002B6873">
        <w:rPr>
          <w:rFonts w:cs="Calibri"/>
        </w:rPr>
        <w:t xml:space="preserve">show that most </w:t>
      </w:r>
      <w:r w:rsidR="004454D1" w:rsidRPr="002B6873">
        <w:rPr>
          <w:rFonts w:cs="Calibri"/>
        </w:rPr>
        <w:t xml:space="preserve">Huaibei </w:t>
      </w:r>
      <w:r w:rsidR="000E0904" w:rsidRPr="002B6873">
        <w:rPr>
          <w:rFonts w:cs="Calibri"/>
        </w:rPr>
        <w:t>δ</w:t>
      </w:r>
      <w:r w:rsidR="000E0904" w:rsidRPr="002B6873">
        <w:rPr>
          <w:rFonts w:cs="Calibri"/>
          <w:vertAlign w:val="superscript"/>
        </w:rPr>
        <w:t>13</w:t>
      </w:r>
      <w:r w:rsidR="000E0904" w:rsidRPr="002B6873">
        <w:rPr>
          <w:rFonts w:cs="Calibri"/>
        </w:rPr>
        <w:t>C</w:t>
      </w:r>
      <w:r w:rsidR="000E0904" w:rsidRPr="002B6873">
        <w:rPr>
          <w:rFonts w:cs="Calibri"/>
          <w:vertAlign w:val="subscript"/>
        </w:rPr>
        <w:t>carb</w:t>
      </w:r>
      <w:r w:rsidR="000E0904" w:rsidRPr="002B6873">
        <w:rPr>
          <w:rFonts w:cs="Calibri"/>
        </w:rPr>
        <w:t xml:space="preserve"> values </w:t>
      </w:r>
      <w:r w:rsidR="004454D1" w:rsidRPr="002B6873">
        <w:rPr>
          <w:rFonts w:cs="Calibri"/>
        </w:rPr>
        <w:t>lie</w:t>
      </w:r>
      <w:r w:rsidR="000E0904" w:rsidRPr="002B6873">
        <w:rPr>
          <w:rFonts w:cs="Calibri"/>
        </w:rPr>
        <w:t xml:space="preserve"> between ~0‰ and +5‰</w:t>
      </w:r>
      <w:r w:rsidR="00AE506C" w:rsidRPr="002B6873">
        <w:rPr>
          <w:rFonts w:cs="Calibri"/>
        </w:rPr>
        <w:t xml:space="preserve">, </w:t>
      </w:r>
      <w:r w:rsidR="008A6317" w:rsidRPr="002B6873">
        <w:rPr>
          <w:rFonts w:cs="Calibri"/>
        </w:rPr>
        <w:t>averag</w:t>
      </w:r>
      <w:r w:rsidR="003A7E14" w:rsidRPr="002B6873">
        <w:rPr>
          <w:rFonts w:cs="Calibri"/>
        </w:rPr>
        <w:t>ing</w:t>
      </w:r>
      <w:r w:rsidR="004454D1" w:rsidRPr="002B6873">
        <w:rPr>
          <w:rFonts w:cs="Calibri"/>
        </w:rPr>
        <w:t xml:space="preserve"> </w:t>
      </w:r>
      <w:r w:rsidR="008A6317" w:rsidRPr="002B6873">
        <w:rPr>
          <w:rFonts w:cs="Calibri"/>
        </w:rPr>
        <w:t>+2.6‰</w:t>
      </w:r>
      <w:r w:rsidR="006F63B5" w:rsidRPr="002B6873">
        <w:rPr>
          <w:rFonts w:cs="Calibri"/>
        </w:rPr>
        <w:t xml:space="preserve"> (</w:t>
      </w:r>
      <w:r w:rsidR="006F63B5" w:rsidRPr="002B6873">
        <w:t>±</w:t>
      </w:r>
      <w:r w:rsidR="006F63B5" w:rsidRPr="002B6873">
        <w:rPr>
          <w:rFonts w:cs="Calibri"/>
        </w:rPr>
        <w:t>1.4</w:t>
      </w:r>
      <w:r w:rsidR="006F63B5" w:rsidRPr="002B6873">
        <w:t>‰</w:t>
      </w:r>
      <w:r w:rsidR="006F63B5" w:rsidRPr="002B6873">
        <w:rPr>
          <w:rFonts w:cs="Calibri"/>
        </w:rPr>
        <w:t>)</w:t>
      </w:r>
      <w:r w:rsidR="000E0904" w:rsidRPr="002B6873">
        <w:rPr>
          <w:rFonts w:cs="Calibri"/>
        </w:rPr>
        <w:t xml:space="preserve">, </w:t>
      </w:r>
      <w:r w:rsidR="004454D1" w:rsidRPr="002B6873">
        <w:rPr>
          <w:rFonts w:cs="Calibri"/>
        </w:rPr>
        <w:t xml:space="preserve">which is </w:t>
      </w:r>
      <w:r w:rsidR="000E0904" w:rsidRPr="002B6873">
        <w:rPr>
          <w:rFonts w:cs="Calibri"/>
        </w:rPr>
        <w:t xml:space="preserve">similar to previously published </w:t>
      </w:r>
      <w:r w:rsidR="00BD00FE" w:rsidRPr="002B6873">
        <w:rPr>
          <w:rFonts w:cs="Calibri"/>
        </w:rPr>
        <w:t xml:space="preserve">early </w:t>
      </w:r>
      <w:proofErr w:type="spellStart"/>
      <w:r w:rsidR="004454D1" w:rsidRPr="002B6873">
        <w:rPr>
          <w:rFonts w:cs="Calibri"/>
        </w:rPr>
        <w:t>Tonian</w:t>
      </w:r>
      <w:proofErr w:type="spellEnd"/>
      <w:r w:rsidR="004454D1" w:rsidRPr="002B6873">
        <w:rPr>
          <w:rFonts w:cs="Calibri"/>
        </w:rPr>
        <w:t xml:space="preserve"> data</w:t>
      </w:r>
      <w:r w:rsidR="000E0904" w:rsidRPr="002B6873">
        <w:rPr>
          <w:rFonts w:cs="Calibri"/>
        </w:rPr>
        <w:t xml:space="preserve"> from the </w:t>
      </w:r>
      <w:r w:rsidR="002311CE" w:rsidRPr="002B6873">
        <w:rPr>
          <w:rFonts w:cs="Calibri"/>
        </w:rPr>
        <w:t>s</w:t>
      </w:r>
      <w:r w:rsidR="000E0904" w:rsidRPr="002B6873">
        <w:rPr>
          <w:rFonts w:cs="Calibri"/>
        </w:rPr>
        <w:t xml:space="preserve">outhern Urals </w:t>
      </w:r>
      <w:r w:rsidR="000E0904" w:rsidRPr="002B6873">
        <w:rPr>
          <w:rFonts w:cs="Calibri"/>
        </w:rPr>
        <w:fldChar w:fldCharType="begin" w:fldLock="1"/>
      </w:r>
      <w:r w:rsidR="00A83634" w:rsidRPr="002B6873">
        <w:rPr>
          <w:rFonts w:cs="Calibri"/>
        </w:rPr>
        <w:instrText>ADDIN CSL_CITATION {"citationItems":[{"id":"ITEM-1","itemData":{"DOI":"10.1134/S0869593806060025","ISSN":"0869-5938","author":[{"dropping-particle":"","family":"Kuznetsov","given":"a. B.","non-dropping-particle":"","parse-names":false,"suffix":""},{"dropping-particle":"","family":"Semikhatov","given":"M. a.","non-dropping-particle":"","parse-names":false,"suffix":""},{"dropping-particle":"V.","family":"Maslov","given":"a.","non-dropping-particle":"","parse-names":false,"suffix":""},{"dropping-particle":"","family":"Gorokhov","given":"I. M.","non-dropping-particle":"","parse-names":false,"suffix":""},{"dropping-particle":"","family":"Prasolov","given":"E. M.","non-dropping-particle":"","parse-names":false,"suffix":""},{"dropping-particle":"","family":"Krupenin","given":"M. T.","non-dropping-particle":"","parse-names":false,"suffix":""},{"dropping-particle":"V.","family":"Kislova","given":"I.","non-dropping-particle":"","parse-names":false,"suffix":""}],"container-title":"Stratigraphy and Geological Correlation","id":"ITEM-1","issue":"6","issued":{"date-parts":[["2006"]]},"page":"602-628","title":"New data on Sr-and C-isotopic chemostratigraphy of the Upper Riphean type section (Southern Urals)","type":"article-journal","volume":"14"},"uris":["http://www.mendeley.com/documents/?uuid=91404f96-a13a-4a33-8068-8e3bc7ae8464"]}],"mendeley":{"formattedCitation":"(Kuznetsov et al., 2006)","manualFormatting":"(Kuznetsov et al., 2006; 2017)","plainTextFormattedCitation":"(Kuznetsov et al., 2006)","previouslyFormattedCitation":"(Kuznetsov et al., 2006)"},"properties":{"noteIndex":0},"schema":"https://github.com/citation-style-language/schema/raw/master/csl-citation.json"}</w:instrText>
      </w:r>
      <w:r w:rsidR="000E0904" w:rsidRPr="002B6873">
        <w:rPr>
          <w:rFonts w:cs="Calibri"/>
        </w:rPr>
        <w:fldChar w:fldCharType="separate"/>
      </w:r>
      <w:r w:rsidR="000E0904" w:rsidRPr="002B6873">
        <w:rPr>
          <w:rFonts w:cs="Calibri"/>
          <w:noProof/>
        </w:rPr>
        <w:t>(Kuznetsov et al., 2006</w:t>
      </w:r>
      <w:r w:rsidR="004454D1" w:rsidRPr="002B6873">
        <w:rPr>
          <w:rFonts w:cs="Calibri"/>
          <w:noProof/>
        </w:rPr>
        <w:t>; 2017</w:t>
      </w:r>
      <w:r w:rsidR="000E0904" w:rsidRPr="002B6873">
        <w:rPr>
          <w:rFonts w:cs="Calibri"/>
          <w:noProof/>
        </w:rPr>
        <w:t>)</w:t>
      </w:r>
      <w:r w:rsidR="000E0904" w:rsidRPr="002B6873">
        <w:rPr>
          <w:rFonts w:cs="Calibri"/>
        </w:rPr>
        <w:fldChar w:fldCharType="end"/>
      </w:r>
      <w:r w:rsidR="000E0904" w:rsidRPr="002B6873">
        <w:rPr>
          <w:rFonts w:cs="Calibri"/>
        </w:rPr>
        <w:t>.</w:t>
      </w:r>
      <w:r w:rsidR="00BF30F5" w:rsidRPr="002B6873">
        <w:rPr>
          <w:rFonts w:cs="Calibri"/>
        </w:rPr>
        <w:t xml:space="preserve"> </w:t>
      </w:r>
      <w:r w:rsidR="00E773DC" w:rsidRPr="002B6873">
        <w:rPr>
          <w:rFonts w:cs="Calibri"/>
        </w:rPr>
        <w:t>L</w:t>
      </w:r>
      <w:r w:rsidR="007B2F20" w:rsidRPr="002B6873">
        <w:t xml:space="preserve">owermost bulk and </w:t>
      </w:r>
      <w:r w:rsidR="005F1765" w:rsidRPr="002B6873">
        <w:t xml:space="preserve">CMC </w:t>
      </w:r>
      <w:r w:rsidR="00E773DC" w:rsidRPr="002B6873">
        <w:rPr>
          <w:vertAlign w:val="superscript"/>
        </w:rPr>
        <w:t>87</w:t>
      </w:r>
      <w:r w:rsidR="00E773DC" w:rsidRPr="002B6873">
        <w:t>Sr/</w:t>
      </w:r>
      <w:r w:rsidR="00E773DC" w:rsidRPr="002B6873">
        <w:rPr>
          <w:vertAlign w:val="superscript"/>
        </w:rPr>
        <w:t>86</w:t>
      </w:r>
      <w:r w:rsidR="00E773DC" w:rsidRPr="002B6873">
        <w:t xml:space="preserve">Sr </w:t>
      </w:r>
      <w:r w:rsidR="007B2F20" w:rsidRPr="002B6873">
        <w:t xml:space="preserve">values </w:t>
      </w:r>
      <w:r w:rsidR="00650AC2" w:rsidRPr="002B6873">
        <w:t xml:space="preserve">from </w:t>
      </w:r>
      <w:r w:rsidR="007F1FF8" w:rsidRPr="002B6873">
        <w:t>best preserved</w:t>
      </w:r>
      <w:r w:rsidR="00690443" w:rsidRPr="002B6873">
        <w:t xml:space="preserve"> </w:t>
      </w:r>
      <w:r w:rsidR="00F331CB" w:rsidRPr="002B6873">
        <w:t xml:space="preserve">samples </w:t>
      </w:r>
      <w:r w:rsidR="008A6317" w:rsidRPr="002B6873">
        <w:t xml:space="preserve">based on the screening described </w:t>
      </w:r>
      <w:r w:rsidR="002E6E7A" w:rsidRPr="002B6873">
        <w:t>above</w:t>
      </w:r>
      <w:r w:rsidR="00E103FF" w:rsidRPr="002B6873">
        <w:t>,</w:t>
      </w:r>
      <w:r w:rsidR="007B2F20" w:rsidRPr="002B6873">
        <w:t xml:space="preserve"> define a gentle fall from ~0.7058 to ~0.7052 from the </w:t>
      </w:r>
      <w:proofErr w:type="spellStart"/>
      <w:r w:rsidR="007B2F20" w:rsidRPr="002B6873">
        <w:t>Jiayuan</w:t>
      </w:r>
      <w:proofErr w:type="spellEnd"/>
      <w:r w:rsidR="007B2F20" w:rsidRPr="002B6873">
        <w:t xml:space="preserve"> to the </w:t>
      </w:r>
      <w:proofErr w:type="spellStart"/>
      <w:r w:rsidR="007B2F20" w:rsidRPr="002B6873">
        <w:t>Jiudingshan</w:t>
      </w:r>
      <w:proofErr w:type="spellEnd"/>
      <w:r w:rsidR="007B2F20" w:rsidRPr="002B6873">
        <w:t xml:space="preserve"> </w:t>
      </w:r>
      <w:r w:rsidR="004E2C7E" w:rsidRPr="002B6873">
        <w:t>Formation</w:t>
      </w:r>
      <w:r w:rsidR="007B2F20" w:rsidRPr="002B6873">
        <w:t xml:space="preserve">, followed by a </w:t>
      </w:r>
      <w:r w:rsidR="004E2C7E" w:rsidRPr="002B6873">
        <w:t xml:space="preserve">return </w:t>
      </w:r>
      <w:r w:rsidR="007B2F20" w:rsidRPr="002B6873">
        <w:t xml:space="preserve">to ~0.7056, </w:t>
      </w:r>
      <w:r w:rsidR="004E2C7E" w:rsidRPr="002B6873">
        <w:t xml:space="preserve">a </w:t>
      </w:r>
      <w:r w:rsidR="007B2F20" w:rsidRPr="002B6873">
        <w:t xml:space="preserve">slight dip to ~0.7055 and a final rise to ~0.7061 through the </w:t>
      </w:r>
      <w:proofErr w:type="spellStart"/>
      <w:r w:rsidR="007B2F20" w:rsidRPr="002B6873">
        <w:t>Wangshan</w:t>
      </w:r>
      <w:proofErr w:type="spellEnd"/>
      <w:r w:rsidR="007B2F20" w:rsidRPr="002B6873">
        <w:t xml:space="preserve"> </w:t>
      </w:r>
      <w:proofErr w:type="spellStart"/>
      <w:r w:rsidR="007B2F20" w:rsidRPr="002B6873">
        <w:t>Fm</w:t>
      </w:r>
      <w:proofErr w:type="spellEnd"/>
      <w:r w:rsidR="00453226" w:rsidRPr="002B6873">
        <w:t xml:space="preserve"> </w:t>
      </w:r>
      <w:r w:rsidR="009D2571" w:rsidRPr="002B6873">
        <w:t>(Fig. </w:t>
      </w:r>
      <w:r w:rsidR="00BE6C19" w:rsidRPr="002B6873">
        <w:t>1</w:t>
      </w:r>
      <w:r w:rsidR="009D2571" w:rsidRPr="002B6873">
        <w:t>)</w:t>
      </w:r>
      <w:r w:rsidR="007B2F20" w:rsidRPr="002B6873">
        <w:t xml:space="preserve">. The profile described here traces the lowest value for stratigraphic levels for which </w:t>
      </w:r>
      <w:r w:rsidR="00B844A2" w:rsidRPr="002B6873">
        <w:t xml:space="preserve">systematically less radiogenic </w:t>
      </w:r>
      <w:r w:rsidR="005F1765" w:rsidRPr="002B6873">
        <w:t xml:space="preserve">CMC </w:t>
      </w:r>
      <w:r w:rsidR="007B2F20" w:rsidRPr="002B6873">
        <w:t xml:space="preserve">and </w:t>
      </w:r>
      <w:r w:rsidR="009C455B" w:rsidRPr="002B6873">
        <w:t xml:space="preserve">some </w:t>
      </w:r>
      <w:proofErr w:type="gramStart"/>
      <w:r w:rsidR="009C455B" w:rsidRPr="002B6873">
        <w:t>well preserved</w:t>
      </w:r>
      <w:proofErr w:type="gramEnd"/>
      <w:r w:rsidR="00B844A2" w:rsidRPr="002B6873">
        <w:t xml:space="preserve"> </w:t>
      </w:r>
      <w:r w:rsidR="007B2F20" w:rsidRPr="002B6873">
        <w:t xml:space="preserve">bulk samples are </w:t>
      </w:r>
      <w:r w:rsidR="00B844A2" w:rsidRPr="002B6873">
        <w:t xml:space="preserve">both </w:t>
      </w:r>
      <w:r w:rsidR="007B2F20" w:rsidRPr="002B6873">
        <w:t xml:space="preserve">present and </w:t>
      </w:r>
      <w:r w:rsidR="00B844A2" w:rsidRPr="002B6873">
        <w:t xml:space="preserve">to which </w:t>
      </w:r>
      <w:r w:rsidR="007B2F20" w:rsidRPr="002B6873">
        <w:t xml:space="preserve">the strictest screening has been applied. </w:t>
      </w:r>
      <w:r w:rsidR="0014648B" w:rsidRPr="002B6873">
        <w:t>T</w:t>
      </w:r>
      <w:r w:rsidR="008D7BDF" w:rsidRPr="002B6873">
        <w:t>he curve</w:t>
      </w:r>
      <w:r w:rsidR="007B2F20" w:rsidRPr="002B6873">
        <w:t>, therefore, represents a conservative estimate for primary oscillations of the</w:t>
      </w:r>
      <w:r w:rsidR="00FC2B3E" w:rsidRPr="002B6873">
        <w:t xml:space="preserve"> contemporaneous</w:t>
      </w:r>
      <w:r w:rsidR="007B2F20" w:rsidRPr="002B6873">
        <w:t xml:space="preserve"> </w:t>
      </w:r>
      <w:r w:rsidR="00FC2B3E" w:rsidRPr="002B6873">
        <w:t xml:space="preserve">seawater </w:t>
      </w:r>
      <w:r w:rsidR="00FC2B3E" w:rsidRPr="002B6873">
        <w:rPr>
          <w:vertAlign w:val="superscript"/>
        </w:rPr>
        <w:t>87</w:t>
      </w:r>
      <w:r w:rsidR="00FC2B3E" w:rsidRPr="002B6873">
        <w:t>Sr/</w:t>
      </w:r>
      <w:r w:rsidR="00FC2B3E" w:rsidRPr="002B6873">
        <w:rPr>
          <w:vertAlign w:val="superscript"/>
        </w:rPr>
        <w:t>86</w:t>
      </w:r>
      <w:r w:rsidR="00FC2B3E" w:rsidRPr="002B6873">
        <w:t xml:space="preserve">Sr </w:t>
      </w:r>
      <w:r w:rsidR="007B2F20" w:rsidRPr="002B6873">
        <w:t xml:space="preserve">curve. </w:t>
      </w:r>
      <w:r w:rsidR="006B0333" w:rsidRPr="002B6873">
        <w:t xml:space="preserve">Published data from the </w:t>
      </w:r>
      <w:proofErr w:type="spellStart"/>
      <w:r w:rsidR="006B0333" w:rsidRPr="002B6873">
        <w:t>Jinxian</w:t>
      </w:r>
      <w:proofErr w:type="spellEnd"/>
      <w:r w:rsidR="006B0333" w:rsidRPr="002B6873">
        <w:t xml:space="preserve"> Group (Dalian) imply a further rise to ~0.706</w:t>
      </w:r>
      <w:r w:rsidR="00334BCA" w:rsidRPr="002B6873">
        <w:t>4</w:t>
      </w:r>
      <w:r w:rsidR="006B0333" w:rsidRPr="002B6873">
        <w:t xml:space="preserve"> in the uppermost units there (Fairchild et al., 2000; </w:t>
      </w:r>
      <w:proofErr w:type="spellStart"/>
      <w:r w:rsidR="006B0333" w:rsidRPr="002B6873">
        <w:t>Kuang</w:t>
      </w:r>
      <w:proofErr w:type="spellEnd"/>
      <w:r w:rsidR="006B0333" w:rsidRPr="002B6873">
        <w:t xml:space="preserve"> et al., 2011)</w:t>
      </w:r>
      <w:r w:rsidR="00A406F9" w:rsidRPr="002B6873">
        <w:t>, which are dated to c. 920 Ma</w:t>
      </w:r>
      <w:r w:rsidR="00443F9C" w:rsidRPr="002B6873">
        <w:t xml:space="preserve"> </w:t>
      </w:r>
      <w:r w:rsidR="00084CB9" w:rsidRPr="002B6873">
        <w:fldChar w:fldCharType="begin" w:fldLock="1"/>
      </w:r>
      <w:r w:rsidR="006C649E" w:rsidRPr="002B6873">
        <w:instrText>ADDIN CSL_CITATION {"citationItems":[{"id":"ITEM-1","itemData":{"DOI":"10.1016/j.precamres.2012.07.002","ISBN":"0301-9268","ISSN":"03019268","abstract":"The tectonic evolution of the North China Craton (NCC) from the Late Mesoproterozoic to the Neoproterozoic has been unclear. This paper reports the results of LA-ICP-MS U-Pb dating and in situ Hf isotope analysis of detrital zircons from Neoproterozoic strata in the northern Jiangsu and southern Liaoning provinces of southeastern NCC, and we go onto discuss how these results help constrain the Late Precambrian evolution of the NCC. Most analyzed zircon grains exhibit oscillatory growth zoning, and they have relatively high Th/U ratios (&gt;0.4) and positive Ce anomalies as well as negative Eu anomalies, all of which suggests a magmatic origin. The detrital zircons from the Xinxing and Jinshanzhai formations in northern Jiangsu Province give weighted mean ages of 1753, 1635, 1486, and 1121Ma, and 2515, 2305, 1856, 925, and 825Ma, respectively, and the detrital zircons from the Diaoyutai and Xingmincun formations in southern Liaoning Province give ages of 1745, 1619, 1484, 1175, and 1077Ma, and 1798, 1623, 1150, 1020, and 934Ma, respectively. These results, together with previously published ages, indicate that (1) the Neoproterozoic strata in the northern Jiangsu and southern Liaoning provinces were deposited during a period from the Late Mesoproterozoic to Neoproterozoic, and (2) the sediments in the Neoproterozoic strata were sourced mainly from igneous rocks of Late Paleoproterozoic, Mesoproterozoic, and Early Neoproterozoic age, as well as from the ancient Precambrian basement of the NCC. The concordia plots for 291 detrital zircon grains give three prominent age groups of 1.86-2.5, 1.5-1.8, and 0.9-1.2Ga. The detrital zircon ages of 1.86-2.5Ga in the Neoproterozoic strata tie in with most of the Precambrian tectonic-magmatic-thermal events that occurred in the NCC. Zircon ages of 1.6-1.8Ga can be linked to rift magmatism of Late Paleoproterozoic age in the NCC. The detrital zircon ages of 0.9-1.2Ga can be related to Grenville-aged magmatism in the southeastern NCC. The zircons show negative e{open} Hf (t) values (-8.8 to -0.1), suggesting that the source rocks were dominated by reworked ancient Precambrian crust. The positive e{open} Hf (t) values (+0.3 to +10.8) and Hf model ages indicate that growth of continental crustal occurred at ~2.7Ga, ~1.9Ga, and ~1.5Ga in the southeastern NCC. ?? 2012 Elsevier B.V.","author":[{"dropping-particle":"Bin","family":"Yang","given":"De","non-dropping-particle":"","parse-names":false,"suffix":""},{"dropping-particle":"","family":"Xu","given":"Wen Liang","non-dropping-particle":"","parse-names":false,"suffix":""},{"dropping-particle":"","family":"Xu","given":"Yi Gang","non-dropping-particle":"","parse-names":false,"suffix":""},{"dropping-particle":"","family":"Wang","given":"Qing Hai","non-dropping-particle":"","parse-names":false,"suffix":""},{"dropping-particle":"","family":"Pei","given":"Fu Ping","non-dropping-particle":"","parse-names":false,"suffix":""},{"dropping-particle":"","family":"Wang","given":"Feng","non-dropping-particle":"","parse-names":false,"suffix":""}],"container-title":"Precambrian Research","id":"ITEM-1","issued":{"date-parts":[["2012"]]},"page":"162-176","publisher":"Elsevier B.V.","title":"U-Pb ages and Hf isotope data from detrital zircons in the Neoproterozoic sandstones of northern Jiangsu and southern Liaoning Provinces, China: Implications for the Late Precambrian evolution of the southeastern North China Craton","type":"article-journal","volume":"216-219"},"uris":["http://www.mendeley.com/documents/?uuid=eeb3273a-5f83-4768-9807-f9b4220c6535"]},{"id":"ITEM-2","itemData":{"DOI":"10.1016/j.precamres.2015.11.005","ISSN":"03019268","abstract":"Diabase sill swarms are widespread within the Neoproterozoic sedimentary rocks in the Liaodong Peninsula (named as the Dalian mafic sill swarms), eastern North China Craton (NCC). Our new zircon LA-ICP-MS U-Pb and baddeleyite SIMS Pb-Pb dating results on five diabase sill samples emplaced into the Qiaotou, Cuijiatun and Xingmincun Formations in the Liaodong Peninsula indicate their emplacement during the early Neoproterozoic (Tonian) period at 0.92-0.89 Ga and pre-magmatic regional uplift prior to ca. 0.92-0.89 Ga. The above results provide important constraints on the upper boundary of the Neoproterozoic strata and their macroscopic carbonaceous fossils and organic-walled microfossils in the eastern and southeastern NCC and indicate they are Tonian in age. The early Neoproterozoic Dalian diabase sills belong to the tholeiitic series and are characterized by low contents of SiO2 and K2O, high contents of TiO2, Fe2O3T and MgO, slight light REE (LREE)-enrichment and no Eu anomalies on chondrite-normalized REE patterns, enrichment of high field strength element (HFSE) and lack of negative Nb, Ta, Zr, Hf, P and Ti anomalies on primitive mantle-normalized spidergrams; and exhibit geochemical characteristics of within plate basalt on discrimination diagrams. The newly identified Dalian diabase sills, together with the previously reported Xu-Huai and Sariwon mafic sills and the Dashigou mafic dykes, constitute an early Neoproterozoic (0.92-0.89 Ga) large igneous province in the NCC (Sino-Korean Craton). Formation of the early Neoproterozoic diabase sill (dyke) swarms in the NCC is probably related to a continental rifting event that have led to breakup of southeastern NCC from some other continents in the Rodinia supercontinent. Breakup of the NCC from the Rodinia supercontinent at around 0.92-0.89 Ga is also supported by pre-magmatic regional uplift of the southeastern NCC prior to ca. 0.92-0.89 Ga and evolution trend of the Dalian diabase sills from within plate basalt to mid-ocean ridge basalt on the Zr/Y vs. Zr discrimination diagram.","author":[{"dropping-particle":"","family":"Zhang","given":"Shuanhong","non-dropping-particle":"","parse-names":false,"suffix":""},{"dropping-particle":"","family":"Zhao","given":"Yue","non-dropping-particle":"","parse-names":false,"suffix":""},{"dropping-particle":"","family":"Ye","given":"Hao","non-dropping-particle":"","parse-names":false,"suffix":""},{"dropping-particle":"","family":"Hu","given":"Guo Hui","non-dropping-particle":"","parse-names":false,"suffix":""}],"container-title":"Precambrian Research","id":"ITEM-2","issued":{"date-parts":[["2016"]]},"page":"203-225","publisher":"Elsevier B.V.","title":"Early Neoproterozoic emplacement of the diabase sill swarms in the Liaodong Peninsula and pre-magmatic uplift of the southeastern North China Craton","type":"article-journal","volume":"272"},"uris":["http://www.mendeley.com/documents/?uuid=1cf8b9d8-2250-4e1f-a4d1-fe9c05ef48f6"]}],"mendeley":{"formattedCitation":"(Yang et al., 2012; Zhang et al., 2016)","plainTextFormattedCitation":"(Yang et al., 2012; Zhang et al., 2016)","previouslyFormattedCitation":"(Yang et al., 2012; Zhang et al., 2016)"},"properties":{"noteIndex":0},"schema":"https://github.com/citation-style-language/schema/raw/master/csl-citation.json"}</w:instrText>
      </w:r>
      <w:r w:rsidR="00084CB9" w:rsidRPr="002B6873">
        <w:fldChar w:fldCharType="separate"/>
      </w:r>
      <w:r w:rsidR="00084CB9" w:rsidRPr="002B6873">
        <w:rPr>
          <w:noProof/>
        </w:rPr>
        <w:t>(Yang et al., 2012; Zhang et al., 2016)</w:t>
      </w:r>
      <w:r w:rsidR="00084CB9" w:rsidRPr="002B6873">
        <w:fldChar w:fldCharType="end"/>
      </w:r>
      <w:r w:rsidR="00E0458C" w:rsidRPr="002B6873">
        <w:t>.</w:t>
      </w:r>
    </w:p>
    <w:p w14:paraId="1628D8E8" w14:textId="77777777" w:rsidR="00865979" w:rsidRPr="002B6873" w:rsidRDefault="00865979" w:rsidP="00865979">
      <w:pPr>
        <w:pStyle w:val="Head1"/>
        <w:spacing w:line="480" w:lineRule="auto"/>
      </w:pPr>
    </w:p>
    <w:p w14:paraId="3815EBF0" w14:textId="77777777" w:rsidR="00865979" w:rsidRPr="002B6873" w:rsidRDefault="000E0904" w:rsidP="00865979">
      <w:pPr>
        <w:pStyle w:val="AppendixHead"/>
        <w:spacing w:line="480" w:lineRule="auto"/>
      </w:pPr>
      <w:r w:rsidRPr="002B6873">
        <w:t>T</w:t>
      </w:r>
      <w:r w:rsidR="0035627C" w:rsidRPr="002B6873">
        <w:t xml:space="preserve">HE NEOPROTEROZOIC STRONTIUM ISOTOPE CURVE AND </w:t>
      </w:r>
      <w:r w:rsidR="00865979" w:rsidRPr="002B6873">
        <w:t>DISCUSSION</w:t>
      </w:r>
    </w:p>
    <w:p w14:paraId="3C091DBF" w14:textId="7780A4A5" w:rsidR="000E0904" w:rsidRPr="002B6873" w:rsidRDefault="007677FD" w:rsidP="009F0E2D">
      <w:pPr>
        <w:pStyle w:val="Abstract"/>
        <w:spacing w:line="480" w:lineRule="auto"/>
        <w:jc w:val="both"/>
      </w:pPr>
      <w:r w:rsidRPr="002B6873">
        <w:t>Here we use</w:t>
      </w:r>
      <w:r w:rsidR="000E0904" w:rsidRPr="002B6873">
        <w:t xml:space="preserve"> the compilation in Cox et al. (2016) as a foundation for </w:t>
      </w:r>
      <w:r w:rsidRPr="002B6873">
        <w:t xml:space="preserve">a </w:t>
      </w:r>
      <w:r w:rsidR="000E0904" w:rsidRPr="002B6873">
        <w:t xml:space="preserve">new </w:t>
      </w:r>
      <w:r w:rsidRPr="002B6873">
        <w:t xml:space="preserve">seawater </w:t>
      </w:r>
      <w:r w:rsidRPr="002B6873">
        <w:rPr>
          <w:vertAlign w:val="superscript"/>
        </w:rPr>
        <w:t>87</w:t>
      </w:r>
      <w:r w:rsidRPr="002B6873">
        <w:t>Sr/</w:t>
      </w:r>
      <w:r w:rsidRPr="002B6873">
        <w:rPr>
          <w:vertAlign w:val="superscript"/>
        </w:rPr>
        <w:t>86</w:t>
      </w:r>
      <w:r w:rsidRPr="002B6873">
        <w:t>Sr</w:t>
      </w:r>
      <w:r w:rsidR="008638CF" w:rsidRPr="002B6873">
        <w:t xml:space="preserve"> curve</w:t>
      </w:r>
      <w:r w:rsidR="00BE6C19" w:rsidRPr="002B6873">
        <w:t>. The general age models of individual succession</w:t>
      </w:r>
      <w:r w:rsidR="00453226" w:rsidRPr="002B6873">
        <w:t>s</w:t>
      </w:r>
      <w:r w:rsidR="00BE6C19" w:rsidRPr="002B6873">
        <w:t xml:space="preserve"> were con</w:t>
      </w:r>
      <w:r w:rsidR="00453226" w:rsidRPr="002B6873">
        <w:t>s</w:t>
      </w:r>
      <w:r w:rsidR="00BE6C19" w:rsidRPr="002B6873">
        <w:t xml:space="preserve">tructed either </w:t>
      </w:r>
      <w:r w:rsidR="00453226" w:rsidRPr="002B6873">
        <w:t>from</w:t>
      </w:r>
      <w:r w:rsidR="00BE6C19" w:rsidRPr="002B6873">
        <w:t xml:space="preserve"> basic thermal subsidence modeling whe</w:t>
      </w:r>
      <w:r w:rsidR="00453226" w:rsidRPr="002B6873">
        <w:t>re</w:t>
      </w:r>
      <w:r w:rsidR="00BE6C19" w:rsidRPr="002B6873">
        <w:t xml:space="preserve"> possible, or  by linear interpolation between correlated </w:t>
      </w:r>
      <w:r w:rsidR="00BE6C19" w:rsidRPr="002B6873">
        <w:lastRenderedPageBreak/>
        <w:t xml:space="preserve">ages based on the assumption of constant sedimentary rates </w:t>
      </w:r>
      <w:r w:rsidR="00BE6C19" w:rsidRPr="002B6873">
        <w:fldChar w:fldCharType="begin" w:fldLock="1"/>
      </w:r>
      <w:r w:rsidR="005A4C3B" w:rsidRPr="002B6873">
        <w:instrText>ADDIN CSL_CITATION {"citationItems":[{"id":"ITEM-1","itemData":{"DOI":"10.1016/j.epsl.2016.04.016","ISSN":"0012821X","author":[{"dropping-particle":"","family":"Cox","given":"Grant M.","non-dropping-particle":"","parse-names":false,"suffix":""},{"dropping-particle":"","family":"Halverson","given":"Galen P.","non-dropping-particle":"","parse-names":false,"suffix":""},{"dropping-particle":"","family":"Stevenson","given":"Ross K.","non-dropping-particle":"","parse-names":false,"suffix":""},{"dropping-particle":"","family":"Vokaty","given":"Michelle","non-dropping-particle":"","parse-names":false,"suffix":""},{"dropping-particle":"","family":"Poirier","given":"André","non-dropping-particle":"","parse-names":false,"suffix":""},{"dropping-particle":"","family":"Kunzmann","given":"Marcus","non-dropping-particle":"","parse-names":false,"suffix":""},{"dropping-particle":"","family":"Li","given":"Zheng-Xiang","non-dropping-particle":"","parse-names":false,"suffix":""},{"dropping-particle":"","family":"Denyszyn","given":"Steven W.","non-dropping-particle":"","parse-names":false,"suffix":""},{"dropping-particle":"V.","family":"Strauss","given":"Justin","non-dropping-particle":"","parse-names":false,"suffix":""},{"dropping-particle":"","family":"Macdonald","given":"Francis A.","non-dropping-particle":"","parse-names":false,"suffix":""}],"container-title":"Earth and Planetary Science Letters","id":"ITEM-1","issued":{"date-parts":[["2016"]]},"page":"89-99","publisher":"Elsevier B.V.","title":"Continental flood basalt weathering as a trigger for Neoproterozoic Snowball Earth","type":"article-journal","volume":"446"},"uris":["http://www.mendeley.com/documents/?uuid=65000289-9478-4d66-8374-04a39b6f4266"]}],"mendeley":{"formattedCitation":"(Cox et al., 2016)","plainTextFormattedCitation":"(Cox et al., 2016)","previouslyFormattedCitation":"(Cox et al., 2016)"},"properties":{"noteIndex":0},"schema":"https://github.com/citation-style-language/schema/raw/master/csl-citation.json"}</w:instrText>
      </w:r>
      <w:r w:rsidR="00BE6C19" w:rsidRPr="002B6873">
        <w:fldChar w:fldCharType="separate"/>
      </w:r>
      <w:r w:rsidR="00BE6C19" w:rsidRPr="002B6873">
        <w:rPr>
          <w:noProof/>
        </w:rPr>
        <w:t>(Cox et al., 2016)</w:t>
      </w:r>
      <w:r w:rsidR="00BE6C19" w:rsidRPr="002B6873">
        <w:fldChar w:fldCharType="end"/>
      </w:r>
      <w:r w:rsidR="00BE6C19" w:rsidRPr="002B6873">
        <w:t>. The latter is used for the Huaibei data from this study and Xiao et al. (2014)</w:t>
      </w:r>
      <w:r w:rsidR="009C455B" w:rsidRPr="002B6873">
        <w:t xml:space="preserve"> in Fig 2</w:t>
      </w:r>
      <w:r w:rsidR="00E0458C" w:rsidRPr="002B6873">
        <w:t>.</w:t>
      </w:r>
      <w:r w:rsidRPr="002B6873">
        <w:t xml:space="preserve"> The trend outlined in our study is similar to that reported for the Urals by </w:t>
      </w:r>
      <w:proofErr w:type="spellStart"/>
      <w:r w:rsidRPr="002B6873">
        <w:t>Kuznetsov</w:t>
      </w:r>
      <w:proofErr w:type="spellEnd"/>
      <w:r w:rsidRPr="002B6873">
        <w:t xml:space="preserve"> et al (2017), which could indicate that the NCC and Urals successions are of comparable age. This would be in agreement with the approximate ages assigned by Cox et al</w:t>
      </w:r>
      <w:r w:rsidR="00220896" w:rsidRPr="002B6873">
        <w:t>.</w:t>
      </w:r>
      <w:r w:rsidRPr="002B6873">
        <w:t xml:space="preserve"> (2016) to those successions</w:t>
      </w:r>
      <w:r w:rsidR="00E0458C" w:rsidRPr="002B6873">
        <w:t>. Furthermore, it</w:t>
      </w:r>
      <w:r w:rsidRPr="002B6873">
        <w:t xml:space="preserve"> suggests that the </w:t>
      </w:r>
      <w:r w:rsidR="00453226" w:rsidRPr="002B6873">
        <w:t xml:space="preserve">overall </w:t>
      </w:r>
      <w:r w:rsidRPr="002B6873">
        <w:t>rise is followed by a return to less radiogenic values of ~0.705</w:t>
      </w:r>
      <w:r w:rsidR="00783A06" w:rsidRPr="002B6873">
        <w:t>3</w:t>
      </w:r>
      <w:r w:rsidRPr="002B6873">
        <w:t xml:space="preserve">, documented from the Uk </w:t>
      </w:r>
      <w:r w:rsidR="00453226" w:rsidRPr="002B6873">
        <w:t>F</w:t>
      </w:r>
      <w:r w:rsidRPr="002B6873">
        <w:t>ormation (Kuznetsov et al., 2006).</w:t>
      </w:r>
    </w:p>
    <w:p w14:paraId="44C6EDC5" w14:textId="4543C057" w:rsidR="0035627C" w:rsidRPr="002B6873" w:rsidRDefault="0035627C" w:rsidP="0035627C">
      <w:pPr>
        <w:pStyle w:val="Abstract"/>
        <w:spacing w:line="480" w:lineRule="auto"/>
        <w:jc w:val="both"/>
      </w:pPr>
      <w:r w:rsidRPr="002B6873">
        <w:t>The new curve (Fig.</w:t>
      </w:r>
      <w:r w:rsidR="009C455B" w:rsidRPr="002B6873">
        <w:t>2</w:t>
      </w:r>
      <w:r w:rsidR="002311CE" w:rsidRPr="002B6873">
        <w:t xml:space="preserve"> </w:t>
      </w:r>
      <w:r w:rsidRPr="002B6873">
        <w:t xml:space="preserve">B) confirms an overall trend towards increasing seawater </w:t>
      </w:r>
      <w:r w:rsidRPr="002B6873">
        <w:rPr>
          <w:vertAlign w:val="superscript"/>
        </w:rPr>
        <w:t>87</w:t>
      </w:r>
      <w:r w:rsidRPr="002B6873">
        <w:t>Sr/</w:t>
      </w:r>
      <w:r w:rsidRPr="002B6873">
        <w:rPr>
          <w:vertAlign w:val="superscript"/>
        </w:rPr>
        <w:t>86</w:t>
      </w:r>
      <w:r w:rsidRPr="002B6873">
        <w:t xml:space="preserve">Sr values through the whole Neoproterozoic, punctuated by nick points or falls in the curve. </w:t>
      </w:r>
      <w:r w:rsidR="00690443" w:rsidRPr="002B6873">
        <w:t xml:space="preserve">The general trend indicates therefore increasing influence from weathering of radiogenic continental crust relative to hydrothermal input, punctuated by intervals of lower </w:t>
      </w:r>
      <w:r w:rsidR="00690443" w:rsidRPr="002B6873">
        <w:rPr>
          <w:vertAlign w:val="superscript"/>
        </w:rPr>
        <w:t>87</w:t>
      </w:r>
      <w:r w:rsidR="00690443" w:rsidRPr="002B6873">
        <w:t>Sr/</w:t>
      </w:r>
      <w:r w:rsidR="00690443" w:rsidRPr="002B6873">
        <w:rPr>
          <w:vertAlign w:val="superscript"/>
        </w:rPr>
        <w:t>86</w:t>
      </w:r>
      <w:r w:rsidR="00690443" w:rsidRPr="002B6873">
        <w:t xml:space="preserve">Sr when Sr sources to the oceans became less radiogenic. </w:t>
      </w:r>
      <w:r w:rsidRPr="002B6873">
        <w:t>The part of the curve that covers the interval of this study (~980 – 920 Ma), shows a dip from ~0.7058 to ~0.</w:t>
      </w:r>
      <w:r w:rsidR="00334BCA" w:rsidRPr="002B6873">
        <w:t xml:space="preserve">7052 </w:t>
      </w:r>
      <w:r w:rsidRPr="002B6873">
        <w:t>(</w:t>
      </w:r>
      <w:r w:rsidR="00050AF8" w:rsidRPr="002B6873">
        <w:t xml:space="preserve">similar to that </w:t>
      </w:r>
      <w:r w:rsidRPr="002B6873">
        <w:t xml:space="preserve">seen also in the southern Urals), an abrupt rise to ~0.7064, before a sharp </w:t>
      </w:r>
      <w:r w:rsidR="00ED4F9D" w:rsidRPr="002B6873">
        <w:t xml:space="preserve">fall </w:t>
      </w:r>
      <w:r w:rsidRPr="002B6873">
        <w:t>to ~0.</w:t>
      </w:r>
      <w:r w:rsidR="00ED4F9D" w:rsidRPr="002B6873">
        <w:t>7052</w:t>
      </w:r>
      <w:r w:rsidR="00C74CD9" w:rsidRPr="002B6873">
        <w:t xml:space="preserve"> by ~920</w:t>
      </w:r>
      <w:r w:rsidR="005D0A3B" w:rsidRPr="002B6873">
        <w:t xml:space="preserve"> </w:t>
      </w:r>
      <w:r w:rsidR="00C74CD9" w:rsidRPr="002B6873">
        <w:t>Ma</w:t>
      </w:r>
      <w:r w:rsidR="00B42F8F" w:rsidRPr="002B6873">
        <w:t>, which</w:t>
      </w:r>
      <w:r w:rsidRPr="002B6873">
        <w:t xml:space="preserve"> </w:t>
      </w:r>
      <w:r w:rsidR="008638CF" w:rsidRPr="002B6873">
        <w:t xml:space="preserve">approximately </w:t>
      </w:r>
      <w:r w:rsidRPr="002B6873">
        <w:t>coincide</w:t>
      </w:r>
      <w:r w:rsidR="008638CF" w:rsidRPr="002B6873">
        <w:t>s</w:t>
      </w:r>
      <w:r w:rsidRPr="002B6873">
        <w:t xml:space="preserve"> with the eruption of the </w:t>
      </w:r>
      <w:proofErr w:type="spellStart"/>
      <w:r w:rsidRPr="002B6873">
        <w:t>Dashigou</w:t>
      </w:r>
      <w:proofErr w:type="spellEnd"/>
      <w:r w:rsidRPr="002B6873">
        <w:t xml:space="preserve"> LIP (Peng et al., 2011)</w:t>
      </w:r>
      <w:r w:rsidR="00050AF8" w:rsidRPr="002B6873">
        <w:t xml:space="preserve"> that </w:t>
      </w:r>
      <w:r w:rsidR="001E33BB" w:rsidRPr="002B6873">
        <w:t xml:space="preserve">presumably increased </w:t>
      </w:r>
      <w:r w:rsidR="00C74CD9" w:rsidRPr="002B6873">
        <w:t xml:space="preserve">the influx of </w:t>
      </w:r>
      <w:r w:rsidR="001E33BB" w:rsidRPr="002B6873">
        <w:t>less radiogenic Sr</w:t>
      </w:r>
      <w:r w:rsidR="00EB5961" w:rsidRPr="002B6873">
        <w:t xml:space="preserve"> via both hydrothermal input and basalt weathering</w:t>
      </w:r>
      <w:r w:rsidR="00B42F8F" w:rsidRPr="002B6873">
        <w:t xml:space="preserve">. </w:t>
      </w:r>
      <w:r w:rsidR="006C1279" w:rsidRPr="002B6873">
        <w:t>T</w:t>
      </w:r>
      <w:r w:rsidR="00166D3A" w:rsidRPr="002B6873">
        <w:t>his extensional magmatism</w:t>
      </w:r>
      <w:r w:rsidR="00B42F8F" w:rsidRPr="002B6873">
        <w:t xml:space="preserve"> </w:t>
      </w:r>
      <w:r w:rsidR="006C1279" w:rsidRPr="002B6873">
        <w:t xml:space="preserve">could represent </w:t>
      </w:r>
      <w:r w:rsidR="00B42F8F" w:rsidRPr="002B6873">
        <w:t>early</w:t>
      </w:r>
      <w:r w:rsidRPr="002B6873">
        <w:t xml:space="preserve"> signs of </w:t>
      </w:r>
      <w:proofErr w:type="spellStart"/>
      <w:r w:rsidRPr="002B6873">
        <w:t>Rodinia</w:t>
      </w:r>
      <w:proofErr w:type="spellEnd"/>
      <w:r w:rsidRPr="002B6873">
        <w:t xml:space="preserve"> break up</w:t>
      </w:r>
      <w:r w:rsidR="00B42F8F" w:rsidRPr="002B6873">
        <w:t xml:space="preserve"> </w:t>
      </w:r>
      <w:r w:rsidR="006C1279" w:rsidRPr="002B6873">
        <w:t xml:space="preserve">but proximity to contemporaneous arc magmatism </w:t>
      </w:r>
      <w:r w:rsidR="00F52DDC" w:rsidRPr="002B6873">
        <w:t xml:space="preserve">to the East </w:t>
      </w:r>
      <w:r w:rsidR="006C649E" w:rsidRPr="002B6873">
        <w:fldChar w:fldCharType="begin" w:fldLock="1"/>
      </w:r>
      <w:r w:rsidR="006C649E" w:rsidRPr="002B6873">
        <w:instrText>ADDIN CSL_CITATION {"citationItems":[{"id":"ITEM-1","itemData":{"DOI":"10.1016/j.precamres.2019.105498","ISSN":"03019268","abstract":"Neoproterozoic arc magmatism in or around the Korean Peninsula provides important insights into the history of the Rodinia supercontinent. Here we report the petrology, zircon U-Pb ages, geochemistry, and Hf isotope data from the Early Neoproterozoic (ca. 913–895 Ma) igneous complexes (gabbro, diorite and granitic dyke) in the northern part of the Gogunsan Islands along the southwestern margin of the Hongseong–Imjingang Belt in the central–western Korean Peninsula. The gabbro and diorite- yielded zircon U–Pb ages of ca. 913 Ma, and ca. 909–899 Ma, respectively. The granitic dykes within this complex show ages of ca. 903–895 Ma. The gabbro-diorite, and granite belong to the subalkaline series, and are characterized by large ion lithophile element (LILE) enrichments, Nb–Ta troughs, and depletion in P and Ti anomalies similar to magmatism in the continental arc setting. The initial 176Hf/177Hf ratios and εHf(t) values obtained of zircon grains are in the ranges of 0.282132–0.282268 and –2.7 to 2.3 for gabbro, 0.282010–0.282363 and –6.4 to 6.0 for diorite, and 0.282071–0.282285 and –5.0 to 2.6 for granitic dykes, suggesting juvenile crust production with mixing of older crust materials. In combination with previously published U-Pb ages and geochemical features of Late Paleoproterozoic, Mesoproterozoic, and Early Neoproterozoic rift-related rocks in and around the central–western Korean Peninsula, the Early Neoproterozoic arc magmatism reported in this study provides clear evidence for a tectonic transition from the disruption of the Columbia supercontinent to the amalgamation and disruption of Rodinia supercontinent.","author":[{"dropping-particle":"","family":"Kee","given":"Weon Seo","non-dropping-particle":"","parse-names":false,"suffix":""},{"dropping-particle":"","family":"Kim","given":"Sung Won","non-dropping-particle":"","parse-names":false,"suffix":""},{"dropping-particle":"","family":"Kwon","given":"Sanghoon","non-dropping-particle":"","parse-names":false,"suffix":""},{"dropping-particle":"","family":"Santosh","given":"M.","non-dropping-particle":"","parse-names":false,"suffix":""},{"dropping-particle":"","family":"Ko","given":"Kyoungtae","non-dropping-particle":"","parse-names":false,"suffix":""},{"dropping-particle":"","family":"Jeong","given":"Youn Joong","non-dropping-particle":"","parse-names":false,"suffix":""}],"container-title":"Precambrian Research","id":"ITEM-1","issue":"June","issued":{"date-parts":[["2019"]]},"page":"105498","publisher":"Elsevier","title":"Early Neoproterozoic (ca. 913–895 Ma) arc magmatism along the central–western Korean Peninsula: Implications for the amalgamation of Rodinia supercontinent","type":"article-journal","volume":"335"},"uris":["http://www.mendeley.com/documents/?uuid=2515fc45-eb79-4e0f-9f12-8437b9d0f773"]}],"mendeley":{"formattedCitation":"(Kee et al., 2019)","plainTextFormattedCitation":"(Kee et al., 2019)","previouslyFormattedCitation":"(Kee et al., 2019)"},"properties":{"noteIndex":0},"schema":"https://github.com/citation-style-language/schema/raw/master/csl-citation.json"}</w:instrText>
      </w:r>
      <w:r w:rsidR="006C649E" w:rsidRPr="002B6873">
        <w:fldChar w:fldCharType="separate"/>
      </w:r>
      <w:r w:rsidR="006C649E" w:rsidRPr="002B6873">
        <w:rPr>
          <w:noProof/>
        </w:rPr>
        <w:t>(Kee et al., 2019)</w:t>
      </w:r>
      <w:r w:rsidR="006C649E" w:rsidRPr="002B6873">
        <w:fldChar w:fldCharType="end"/>
      </w:r>
      <w:r w:rsidR="005D0A3B" w:rsidRPr="002B6873">
        <w:t xml:space="preserve"> </w:t>
      </w:r>
      <w:r w:rsidR="006C1279" w:rsidRPr="002B6873">
        <w:t xml:space="preserve">implies </w:t>
      </w:r>
      <w:r w:rsidR="00F52DDC" w:rsidRPr="002B6873">
        <w:t xml:space="preserve">lithospheric thinning in a craton interior, </w:t>
      </w:r>
      <w:r w:rsidR="0052271F" w:rsidRPr="002B6873">
        <w:t xml:space="preserve">and </w:t>
      </w:r>
      <w:r w:rsidR="00F52DDC" w:rsidRPr="002B6873">
        <w:t>possibly</w:t>
      </w:r>
      <w:r w:rsidR="00816DCB" w:rsidRPr="002B6873">
        <w:t xml:space="preserve"> a</w:t>
      </w:r>
      <w:r w:rsidR="00F52DDC" w:rsidRPr="002B6873">
        <w:t xml:space="preserve"> back-arc</w:t>
      </w:r>
      <w:r w:rsidR="006C1279" w:rsidRPr="002B6873">
        <w:t xml:space="preserve"> setting instead. </w:t>
      </w:r>
      <w:r w:rsidR="00443414" w:rsidRPr="002B6873">
        <w:t>O</w:t>
      </w:r>
      <w:r w:rsidRPr="002B6873">
        <w:t xml:space="preserve">ther </w:t>
      </w:r>
      <w:r w:rsidR="005D0A3B" w:rsidRPr="002B6873">
        <w:t>falls in</w:t>
      </w:r>
      <w:r w:rsidR="0074514B" w:rsidRPr="002B6873">
        <w:t xml:space="preserve"> </w:t>
      </w:r>
      <w:proofErr w:type="spellStart"/>
      <w:r w:rsidR="00443414" w:rsidRPr="002B6873">
        <w:t>Tonian</w:t>
      </w:r>
      <w:proofErr w:type="spellEnd"/>
      <w:r w:rsidR="00443414" w:rsidRPr="002B6873">
        <w:t xml:space="preserve"> </w:t>
      </w:r>
      <w:r w:rsidR="0074514B" w:rsidRPr="002B6873">
        <w:t xml:space="preserve">seawater </w:t>
      </w:r>
      <w:r w:rsidR="0074514B" w:rsidRPr="002B6873">
        <w:rPr>
          <w:vertAlign w:val="superscript"/>
        </w:rPr>
        <w:t>87</w:t>
      </w:r>
      <w:r w:rsidR="0074514B" w:rsidRPr="002B6873">
        <w:t>Sr/</w:t>
      </w:r>
      <w:r w:rsidR="0074514B" w:rsidRPr="002B6873">
        <w:rPr>
          <w:vertAlign w:val="superscript"/>
        </w:rPr>
        <w:t>86</w:t>
      </w:r>
      <w:r w:rsidR="0074514B" w:rsidRPr="002B6873">
        <w:t xml:space="preserve">Sr </w:t>
      </w:r>
      <w:r w:rsidRPr="002B6873">
        <w:t>were also preceded by LIP eruption</w:t>
      </w:r>
      <w:r w:rsidR="00B42F8F" w:rsidRPr="002B6873">
        <w:t>s</w:t>
      </w:r>
      <w:r w:rsidRPr="002B6873">
        <w:t xml:space="preserve">, e.g. the </w:t>
      </w:r>
      <w:proofErr w:type="spellStart"/>
      <w:r w:rsidRPr="002B6873">
        <w:t>Baish</w:t>
      </w:r>
      <w:proofErr w:type="spellEnd"/>
      <w:r w:rsidRPr="002B6873">
        <w:t xml:space="preserve">, </w:t>
      </w:r>
      <w:proofErr w:type="spellStart"/>
      <w:r w:rsidRPr="002B6873">
        <w:t>Guib</w:t>
      </w:r>
      <w:r w:rsidR="0014648B" w:rsidRPr="002B6873">
        <w:t>e</w:t>
      </w:r>
      <w:r w:rsidRPr="002B6873">
        <w:t>i</w:t>
      </w:r>
      <w:proofErr w:type="spellEnd"/>
      <w:r w:rsidRPr="002B6873">
        <w:t xml:space="preserve">, </w:t>
      </w:r>
      <w:proofErr w:type="spellStart"/>
      <w:r w:rsidRPr="002B6873">
        <w:t>Kangding</w:t>
      </w:r>
      <w:proofErr w:type="spellEnd"/>
      <w:r w:rsidRPr="002B6873">
        <w:t xml:space="preserve">, </w:t>
      </w:r>
      <w:r w:rsidR="0014648B" w:rsidRPr="002B6873">
        <w:t xml:space="preserve">Shaba </w:t>
      </w:r>
      <w:r w:rsidRPr="002B6873">
        <w:t xml:space="preserve">and later Franklin </w:t>
      </w:r>
      <w:r w:rsidR="00166D3A" w:rsidRPr="002B6873">
        <w:t xml:space="preserve">events </w:t>
      </w:r>
      <w:r w:rsidR="00A01E1C" w:rsidRPr="002B6873">
        <w:t xml:space="preserve">(Fig </w:t>
      </w:r>
      <w:r w:rsidR="00117DF1" w:rsidRPr="002B6873">
        <w:t>S</w:t>
      </w:r>
      <w:r w:rsidR="009D2571" w:rsidRPr="002B6873">
        <w:t>3</w:t>
      </w:r>
      <w:r w:rsidR="00A01E1C" w:rsidRPr="002B6873">
        <w:t xml:space="preserve">) </w:t>
      </w:r>
      <w:r w:rsidRPr="002B6873">
        <w:t xml:space="preserve">just before the onset of </w:t>
      </w:r>
      <w:proofErr w:type="spellStart"/>
      <w:r w:rsidRPr="002B6873">
        <w:t>Sturtian</w:t>
      </w:r>
      <w:proofErr w:type="spellEnd"/>
      <w:r w:rsidRPr="002B6873">
        <w:t xml:space="preserve"> ‘Snowball Earth’.</w:t>
      </w:r>
    </w:p>
    <w:p w14:paraId="1E9C800D" w14:textId="7C36549E" w:rsidR="00553FE4" w:rsidRPr="002B6873" w:rsidRDefault="003635AC" w:rsidP="00553FE4">
      <w:pPr>
        <w:pStyle w:val="Abstract"/>
        <w:spacing w:line="480" w:lineRule="auto"/>
        <w:jc w:val="both"/>
      </w:pPr>
      <w:r w:rsidRPr="002B6873">
        <w:rPr>
          <w:lang w:val="en-GB"/>
        </w:rPr>
        <w:t xml:space="preserve"> Although the weathering of LIP basalt may lead initially to a decrease in the seawater </w:t>
      </w:r>
      <w:r w:rsidRPr="002B6873">
        <w:rPr>
          <w:vertAlign w:val="superscript"/>
        </w:rPr>
        <w:t>87</w:t>
      </w:r>
      <w:r w:rsidRPr="002B6873">
        <w:t>Sr/</w:t>
      </w:r>
      <w:r w:rsidRPr="002B6873">
        <w:rPr>
          <w:vertAlign w:val="superscript"/>
        </w:rPr>
        <w:t>86</w:t>
      </w:r>
      <w:r w:rsidRPr="002B6873">
        <w:t>Sr value (flood basalt generally exhibits near-mantle Sr isotope composition)</w:t>
      </w:r>
      <w:r w:rsidR="0035627C" w:rsidRPr="002B6873">
        <w:t xml:space="preserve">, the age </w:t>
      </w:r>
      <w:r w:rsidR="0035627C" w:rsidRPr="002B6873">
        <w:lastRenderedPageBreak/>
        <w:t xml:space="preserve">distribution of </w:t>
      </w:r>
      <w:r w:rsidR="006B424F" w:rsidRPr="002B6873">
        <w:t xml:space="preserve">widespread extension, represented by </w:t>
      </w:r>
      <w:r w:rsidR="0035627C" w:rsidRPr="002B6873">
        <w:t xml:space="preserve">passive margins </w:t>
      </w:r>
      <w:r w:rsidRPr="002B6873">
        <w:t xml:space="preserve">and </w:t>
      </w:r>
      <w:r w:rsidR="006B424F" w:rsidRPr="002B6873">
        <w:t xml:space="preserve">the </w:t>
      </w:r>
      <w:r w:rsidRPr="002B6873">
        <w:t>break-up of supercontinents</w:t>
      </w:r>
      <w:r w:rsidR="006B424F" w:rsidRPr="002B6873">
        <w:t>,</w:t>
      </w:r>
      <w:r w:rsidRPr="002B6873">
        <w:t xml:space="preserve"> </w:t>
      </w:r>
      <w:r w:rsidR="006B424F" w:rsidRPr="002B6873">
        <w:t>correlates well</w:t>
      </w:r>
      <w:r w:rsidR="0035627C" w:rsidRPr="002B6873">
        <w:rPr>
          <w:lang w:val="en-GB"/>
        </w:rPr>
        <w:t xml:space="preserve"> with </w:t>
      </w:r>
      <w:r w:rsidR="006B424F" w:rsidRPr="002B6873">
        <w:rPr>
          <w:lang w:val="en-GB"/>
        </w:rPr>
        <w:t>increasing</w:t>
      </w:r>
      <w:r w:rsidR="0035627C" w:rsidRPr="002B6873">
        <w:rPr>
          <w:lang w:val="en-GB"/>
        </w:rPr>
        <w:t xml:space="preserve"> </w:t>
      </w:r>
      <w:r w:rsidR="00661EA6" w:rsidRPr="002B6873">
        <w:rPr>
          <w:lang w:val="en-GB"/>
        </w:rPr>
        <w:t xml:space="preserve">seawater </w:t>
      </w:r>
      <w:r w:rsidR="0035627C" w:rsidRPr="002B6873">
        <w:rPr>
          <w:vertAlign w:val="superscript"/>
        </w:rPr>
        <w:t>87</w:t>
      </w:r>
      <w:r w:rsidR="0035627C" w:rsidRPr="002B6873">
        <w:t>Sr/</w:t>
      </w:r>
      <w:r w:rsidR="0035627C" w:rsidRPr="002B6873">
        <w:rPr>
          <w:vertAlign w:val="superscript"/>
        </w:rPr>
        <w:t>86</w:t>
      </w:r>
      <w:r w:rsidR="0035627C" w:rsidRPr="002B6873">
        <w:t>Sr</w:t>
      </w:r>
      <w:r w:rsidR="0035627C" w:rsidRPr="002B6873">
        <w:rPr>
          <w:lang w:val="en-GB"/>
        </w:rPr>
        <w:t xml:space="preserve">. </w:t>
      </w:r>
      <w:r w:rsidRPr="002B6873">
        <w:rPr>
          <w:lang w:val="en-GB"/>
        </w:rPr>
        <w:t xml:space="preserve">In this regard, </w:t>
      </w:r>
      <w:r w:rsidR="0035627C" w:rsidRPr="002B6873">
        <w:t xml:space="preserve">the staged breakup of the supercontinent that followed </w:t>
      </w:r>
      <w:r w:rsidR="004E5059" w:rsidRPr="002B6873">
        <w:t xml:space="preserve">later </w:t>
      </w:r>
      <w:proofErr w:type="spellStart"/>
      <w:r w:rsidR="004E5059" w:rsidRPr="002B6873">
        <w:t>Tonian</w:t>
      </w:r>
      <w:proofErr w:type="spellEnd"/>
      <w:r w:rsidR="004E5059" w:rsidRPr="002B6873">
        <w:t xml:space="preserve"> </w:t>
      </w:r>
      <w:r w:rsidR="0035627C" w:rsidRPr="002B6873">
        <w:t xml:space="preserve">LIP eruption events </w:t>
      </w:r>
      <w:r w:rsidR="004E5059" w:rsidRPr="002B6873">
        <w:t xml:space="preserve">could </w:t>
      </w:r>
      <w:r w:rsidR="0035627C" w:rsidRPr="002B6873">
        <w:t xml:space="preserve">have exposed </w:t>
      </w:r>
      <w:r w:rsidR="00AE102E" w:rsidRPr="002B6873">
        <w:t>old</w:t>
      </w:r>
      <w:r w:rsidR="001E33BB" w:rsidRPr="002B6873">
        <w:t>, more radiogenic</w:t>
      </w:r>
      <w:r w:rsidR="00AE102E" w:rsidRPr="002B6873">
        <w:t xml:space="preserve"> </w:t>
      </w:r>
      <w:r w:rsidR="0035627C" w:rsidRPr="002B6873">
        <w:t xml:space="preserve">craton interiors </w:t>
      </w:r>
      <w:r w:rsidR="00661EA6" w:rsidRPr="002B6873">
        <w:t xml:space="preserve">to weathering at </w:t>
      </w:r>
      <w:r w:rsidR="00AE102E" w:rsidRPr="002B6873">
        <w:t xml:space="preserve">newly formed </w:t>
      </w:r>
      <w:r w:rsidR="00661EA6" w:rsidRPr="002B6873">
        <w:t>passive margins</w:t>
      </w:r>
      <w:r w:rsidR="007B649F" w:rsidRPr="002B6873">
        <w:t xml:space="preserve">, </w:t>
      </w:r>
      <w:r w:rsidR="00CE064B" w:rsidRPr="002B6873">
        <w:t xml:space="preserve">and could have changed </w:t>
      </w:r>
      <w:r w:rsidR="007B649F" w:rsidRPr="002B6873">
        <w:t>the climates of continental interiors, potentially enhancing erosion and therefore chemical weathering</w:t>
      </w:r>
      <w:r w:rsidR="0035627C" w:rsidRPr="002B6873">
        <w:t xml:space="preserve">. </w:t>
      </w:r>
      <w:r w:rsidR="00262ADC" w:rsidRPr="002B6873">
        <w:t>Following</w:t>
      </w:r>
      <w:r w:rsidR="004457B7" w:rsidRPr="002B6873">
        <w:t xml:space="preserve"> the final phases of </w:t>
      </w:r>
      <w:proofErr w:type="spellStart"/>
      <w:r w:rsidR="004457B7" w:rsidRPr="002B6873">
        <w:t>Rodinian</w:t>
      </w:r>
      <w:proofErr w:type="spellEnd"/>
      <w:r w:rsidR="004457B7" w:rsidRPr="002B6873">
        <w:t xml:space="preserve"> assembly, this could explain why</w:t>
      </w:r>
      <w:r w:rsidR="00262ADC" w:rsidRPr="002B6873">
        <w:t>,</w:t>
      </w:r>
      <w:r w:rsidR="004457B7" w:rsidRPr="002B6873">
        <w:t xml:space="preserve"> </w:t>
      </w:r>
      <w:r w:rsidR="0035627C" w:rsidRPr="002B6873">
        <w:t xml:space="preserve">following episodic steep dips of the global curve, seawater </w:t>
      </w:r>
      <w:r w:rsidR="0035627C" w:rsidRPr="002B6873">
        <w:rPr>
          <w:vertAlign w:val="superscript"/>
        </w:rPr>
        <w:t>87</w:t>
      </w:r>
      <w:r w:rsidR="0035627C" w:rsidRPr="002B6873">
        <w:t>Sr/</w:t>
      </w:r>
      <w:r w:rsidR="0035627C" w:rsidRPr="002B6873">
        <w:rPr>
          <w:vertAlign w:val="superscript"/>
        </w:rPr>
        <w:t>86</w:t>
      </w:r>
      <w:r w:rsidR="0035627C" w:rsidRPr="002B6873">
        <w:t xml:space="preserve">Sr </w:t>
      </w:r>
      <w:r w:rsidR="001E33BB" w:rsidRPr="002B6873">
        <w:t>continued to rise</w:t>
      </w:r>
      <w:r w:rsidR="0035627C" w:rsidRPr="002B6873">
        <w:t xml:space="preserve"> toward its </w:t>
      </w:r>
      <w:r w:rsidR="00110134" w:rsidRPr="002B6873">
        <w:t xml:space="preserve">eventual </w:t>
      </w:r>
      <w:r w:rsidR="0035627C" w:rsidRPr="002B6873">
        <w:t>high</w:t>
      </w:r>
      <w:r w:rsidR="00856FE6" w:rsidRPr="002B6873">
        <w:t xml:space="preserve"> point of ~0.709</w:t>
      </w:r>
      <w:r w:rsidR="005A3BBF" w:rsidRPr="002B6873">
        <w:t xml:space="preserve"> </w:t>
      </w:r>
      <w:r w:rsidR="005A3BBF" w:rsidRPr="002B6873">
        <w:fldChar w:fldCharType="begin" w:fldLock="1"/>
      </w:r>
      <w:r w:rsidR="006C649E" w:rsidRPr="002B6873">
        <w:instrText>ADDIN CSL_CITATION {"citationItems":[{"id":"ITEM-1","itemData":{"DOI":"10.1016/j.gr.2016.09.013","ISBN":"1342-937X","ISSN":"1342937X","abstract":"The period spanning from 825 to 540ï¿½Ma is characterized by major changes in the surficial Earth system. This extraordinary interval starts with the breakup of the Rodinia supercontinent and eruption of a series of large igneous provinces and ends with the assembly of Gondwana, giving rise to the Pan-African orogenies. This paleogeographic reorganization is accompanied by a global climatic cooling, including the paroxysmal Cryogenian “snowball” glacial events. The87Sr/86Sr of seawater displays a major long-term rise over this interval that is punctuated by episodic, smaller declines and inflections. We use a coupled deep time climate-carbon numerical model to explore the complex role of tectonics and climate on this distinct evolution in seawater87Sr/86Sr. We show that the modulation of the weathering of the erupted large igneous provinces by continental drift explains the changes in seawater87Sr/86Sr from 800 to 635ï¿½Ma. The subsequent sharp rise in seawater87Sr/86Sr from 635 to 580ï¿½Ma is the result of erosion of radiogenic crust exposed in the Pan-African orogens. Coeval evolution of atmospheric CO2displays a decrease from about 80 times the pre-industrial level around 800ï¿½Ma to 5 times just before the beginning of the Phanerozoic.","author":[{"dropping-particle":"","family":"Godderis","given":"Yves","non-dropping-particle":"","parse-names":false,"suffix":""},{"dropping-particle":"","family":"Hir","given":"Guillaume","non-dropping-particle":"Le","parse-names":false,"suffix":""},{"dropping-particle":"","family":"Macouin","given":"Melina","non-dropping-particle":"","parse-names":false,"suffix":""},{"dropping-particle":"","family":"Donnadieu","given":"Yannick","non-dropping-particle":"","parse-names":false,"suffix":""},{"dropping-particle":"","family":"Hubert-Theou","given":"Lucie","non-dropping-particle":"","parse-names":false,"suffix":""},{"dropping-particle":"","family":"Dera","given":"Guillaume","non-dropping-particle":"","parse-names":false,"suffix":""},{"dropping-particle":"","family":"Aretz","given":"Markus","non-dropping-particle":"","parse-names":false,"suffix":""},{"dropping-particle":"","family":"Fluteau","given":"Frederic","non-dropping-particle":"","parse-names":false,"suffix":""},{"dropping-particle":"","family":"Li","given":"Z. X.","non-dropping-particle":"","parse-names":false,"suffix":""},{"dropping-particle":"","family":"Halverson","given":"Galen P.","non-dropping-particle":"","parse-names":false,"suffix":""}],"container-title":"Gondwana Research","id":"ITEM-1","issued":{"date-parts":[["2017"]]},"page":"151-162","title":"Paleogeographic forcing of the strontium isotopic cycle in the Neoproterozoic","type":"article-journal","volume":"42"},"uris":["http://www.mendeley.com/documents/?uuid=b3840510-f8f1-4252-879d-3d4eeb84895b","http://www.mendeley.com/documents/?uuid=c8351518-f79d-46bb-bb17-99107f4f6709"]}],"mendeley":{"formattedCitation":"(Godderis et al., 2017)","plainTextFormattedCitation":"(Godderis et al., 2017)","previouslyFormattedCitation":"(Godderis et al., 2017)"},"properties":{"noteIndex":0},"schema":"https://github.com/citation-style-language/schema/raw/master/csl-citation.json"}</w:instrText>
      </w:r>
      <w:r w:rsidR="005A3BBF" w:rsidRPr="002B6873">
        <w:fldChar w:fldCharType="separate"/>
      </w:r>
      <w:r w:rsidR="005A3BBF" w:rsidRPr="002B6873">
        <w:rPr>
          <w:noProof/>
        </w:rPr>
        <w:t>(Godderis et al., 2017)</w:t>
      </w:r>
      <w:r w:rsidR="005A3BBF" w:rsidRPr="002B6873">
        <w:fldChar w:fldCharType="end"/>
      </w:r>
      <w:r w:rsidR="0035627C" w:rsidRPr="002B6873">
        <w:t>.</w:t>
      </w:r>
    </w:p>
    <w:p w14:paraId="74E93242" w14:textId="743D4D1E" w:rsidR="0047430E" w:rsidRPr="002B6873" w:rsidRDefault="001724BF">
      <w:pPr>
        <w:pStyle w:val="Abstract"/>
        <w:spacing w:line="480" w:lineRule="auto"/>
        <w:jc w:val="both"/>
        <w:rPr>
          <w:rFonts w:cs="Calibri"/>
        </w:rPr>
      </w:pPr>
      <w:r w:rsidRPr="002B6873">
        <w:rPr>
          <w:rFonts w:cs="Calibri"/>
        </w:rPr>
        <w:t xml:space="preserve">Our </w:t>
      </w:r>
      <w:r w:rsidR="0035627C" w:rsidRPr="002B6873">
        <w:rPr>
          <w:rFonts w:cs="Calibri"/>
        </w:rPr>
        <w:t>new updated compilation of strontium isotopes</w:t>
      </w:r>
      <w:r w:rsidR="00D75C43" w:rsidRPr="002B6873">
        <w:rPr>
          <w:rFonts w:cs="Calibri"/>
        </w:rPr>
        <w:t xml:space="preserve"> (Fig. </w:t>
      </w:r>
      <w:r w:rsidR="00F23333" w:rsidRPr="002B6873">
        <w:rPr>
          <w:rFonts w:cs="Calibri"/>
        </w:rPr>
        <w:t>2</w:t>
      </w:r>
      <w:r w:rsidR="00D75C43" w:rsidRPr="002B6873">
        <w:rPr>
          <w:rFonts w:cs="Calibri"/>
        </w:rPr>
        <w:t>: B)</w:t>
      </w:r>
      <w:r w:rsidR="0035627C" w:rsidRPr="002B6873">
        <w:rPr>
          <w:rFonts w:cs="Calibri"/>
        </w:rPr>
        <w:t xml:space="preserve"> and large igneous provinces </w:t>
      </w:r>
      <w:r w:rsidR="00D75C43" w:rsidRPr="002B6873">
        <w:rPr>
          <w:rFonts w:cs="Calibri"/>
        </w:rPr>
        <w:t>(detail in Fig. S</w:t>
      </w:r>
      <w:r w:rsidR="009D2571" w:rsidRPr="002B6873">
        <w:rPr>
          <w:rFonts w:cs="Calibri"/>
        </w:rPr>
        <w:t>3</w:t>
      </w:r>
      <w:r w:rsidR="00D75C43" w:rsidRPr="002B6873">
        <w:rPr>
          <w:rFonts w:cs="Calibri"/>
        </w:rPr>
        <w:t xml:space="preserve">) </w:t>
      </w:r>
      <w:r w:rsidRPr="002B6873">
        <w:rPr>
          <w:rFonts w:cs="Calibri"/>
        </w:rPr>
        <w:t xml:space="preserve">hints that the weathering of large igneous provinces had a </w:t>
      </w:r>
      <w:r w:rsidR="0047430E" w:rsidRPr="002B6873">
        <w:rPr>
          <w:rFonts w:cs="Calibri"/>
        </w:rPr>
        <w:t>considerable</w:t>
      </w:r>
      <w:r w:rsidRPr="002B6873">
        <w:rPr>
          <w:rFonts w:cs="Calibri"/>
        </w:rPr>
        <w:t xml:space="preserve"> influence on ocean composition well before the postulated timing of </w:t>
      </w:r>
      <w:proofErr w:type="spellStart"/>
      <w:r w:rsidRPr="002B6873">
        <w:rPr>
          <w:rFonts w:cs="Calibri"/>
        </w:rPr>
        <w:t>Rodinia</w:t>
      </w:r>
      <w:proofErr w:type="spellEnd"/>
      <w:r w:rsidRPr="002B6873">
        <w:rPr>
          <w:rFonts w:cs="Calibri"/>
        </w:rPr>
        <w:t xml:space="preserve"> break up.</w:t>
      </w:r>
      <w:r w:rsidR="008042E5" w:rsidRPr="002B6873">
        <w:rPr>
          <w:rFonts w:cs="Calibri"/>
        </w:rPr>
        <w:t xml:space="preserve"> Chemical weathering of freshly erupted </w:t>
      </w:r>
      <w:r w:rsidR="007B649F" w:rsidRPr="002B6873">
        <w:rPr>
          <w:rFonts w:cs="Calibri"/>
        </w:rPr>
        <w:t xml:space="preserve">mafic </w:t>
      </w:r>
      <w:r w:rsidR="008042E5" w:rsidRPr="002B6873">
        <w:rPr>
          <w:rFonts w:cs="Calibri"/>
        </w:rPr>
        <w:t xml:space="preserve">volcanic rock </w:t>
      </w:r>
      <w:r w:rsidR="00AE36CF" w:rsidRPr="002B6873">
        <w:rPr>
          <w:rFonts w:cs="Calibri"/>
        </w:rPr>
        <w:t xml:space="preserve">at low latitudes </w:t>
      </w:r>
      <w:r w:rsidR="007A0DD9" w:rsidRPr="002B6873">
        <w:rPr>
          <w:rFonts w:cs="Calibri"/>
        </w:rPr>
        <w:t>was likely</w:t>
      </w:r>
      <w:r w:rsidR="008042E5" w:rsidRPr="002B6873">
        <w:rPr>
          <w:rFonts w:cs="Calibri"/>
        </w:rPr>
        <w:t xml:space="preserve"> a major source of nutrient</w:t>
      </w:r>
      <w:r w:rsidR="001A7C84" w:rsidRPr="002B6873">
        <w:rPr>
          <w:rFonts w:cs="Calibri"/>
        </w:rPr>
        <w:t xml:space="preserve"> phosphorus</w:t>
      </w:r>
      <w:r w:rsidR="008042E5" w:rsidRPr="002B6873">
        <w:rPr>
          <w:rFonts w:cs="Calibri"/>
        </w:rPr>
        <w:t xml:space="preserve"> to the </w:t>
      </w:r>
      <w:proofErr w:type="spellStart"/>
      <w:r w:rsidR="00933961" w:rsidRPr="002B6873">
        <w:rPr>
          <w:rFonts w:cs="Calibri"/>
        </w:rPr>
        <w:t>Tonian</w:t>
      </w:r>
      <w:proofErr w:type="spellEnd"/>
      <w:r w:rsidR="00933961" w:rsidRPr="002B6873">
        <w:rPr>
          <w:rFonts w:cs="Calibri"/>
        </w:rPr>
        <w:t xml:space="preserve"> </w:t>
      </w:r>
      <w:r w:rsidR="008042E5" w:rsidRPr="002B6873">
        <w:rPr>
          <w:rFonts w:cs="Calibri"/>
        </w:rPr>
        <w:t>ocean</w:t>
      </w:r>
      <w:r w:rsidR="007B649F" w:rsidRPr="002B6873">
        <w:rPr>
          <w:rFonts w:cs="Calibri"/>
        </w:rPr>
        <w:t xml:space="preserve"> </w:t>
      </w:r>
      <w:r w:rsidR="005A3BBF" w:rsidRPr="002B6873">
        <w:rPr>
          <w:rFonts w:cs="Calibri"/>
        </w:rPr>
        <w:fldChar w:fldCharType="begin" w:fldLock="1"/>
      </w:r>
      <w:r w:rsidR="00B14B08" w:rsidRPr="002B6873">
        <w:rPr>
          <w:rFonts w:cs="Calibri"/>
        </w:rPr>
        <w:instrText xml:space="preserve">ADDIN CSL_CITATION {"citationItems":[{"id":"ITEM-1","itemData":{"DOI":"10.1002/2015GC005792.Received","author":[{"dropping-particle":"","family":"Horton","given":"Forrest","non-dropping-particle":"","parse-names":false,"suffix":""}],"container-title":"Geochemistry Geophysics Geosystemsry","id":"ITEM-1","issued":{"date-parts":[["2015"]]},"page":"1723-1738","title":"Did phosphorus derived fromthe weathering of large igneous provinces fertilize the Neoproterozoic ocean?","type":"article-journal","volume":"16"},"uris":["http://www.mendeley.com/documents/?uuid=f3a663a6-1fa2-4387-ad14-037dc006c667"]},{"id":"ITEM-2","itemData":{"DOI":"10.1038/ngeo2632","ISBN":"1752-0908","ISSN":"1752-0894","abstract":"During Neoproterozoic Snowball Earth glaciations, the oceans gained massive amounts of alkalinity, culminating in the deposition of massive cap carbonates on deglaciation. Changes in terrestrial runoff associated with both breakup of the Rodinia supercontinent and deglaciation can explain some, but not all of the requisite changes in ocean chemistry. Submarine volcanism along shallow ridges formed during supercontinent breakup results in the formation of large volumes of glassy hyaloclastite, which readily alters to palagonite. Here we estimate fluxes of calcium, magnesium, phosphorus, silica and bicarbonate associated with these shallow-ridge processes, and argue that extensive submarine volcanism during the breakup of Rodinia made an important contribution to changes in ocean chemistry during Snowball Earth glaciations. We use Monte Carlo simulations to show that widespread hyaloclastite alteration under near-global sea-ice cover could lead to Ca2+ and Mg2+ supersaturation over the course of the glaciation that is sufficient to explain the volume of cap carbonates deposited. Furthermore, our conservative estimates of phosphorus release are sufficient to explain the observed P:Fe ratios in sedimentary iron formations from this time. This large phosphorus release may have fuelled primary productivity, which in turn would have contributed to atmospheric O2 rises that followed Snowball Earth episodes.","author":[{"dropping-particle":"","family":"Gernon","given":"T. M.","non-dropping-particle":"","parse-names":false,"suffix":""},{"dropping-particle":"","family":"Hincks","given":"T. K.","non-dropping-particle":"","parse-names":false,"suffix":""},{"dropping-particle":"","family":"Tyrrell","given":"T.","non-dropping-particle":"","parse-names":false,"suffix":""},{"dropping-particle":"","family":"Rohling","given":"E. J.","non-dropping-particle":"","parse-names":false,"suffix":""},{"dropping-particle":"","family":"Palmer","given":"M. R.","non-dropping-particle":"","parse-names":false,"suffix":""}],"container-title":"Nature Geoscience","id":"ITEM-2","issue":"3","issued":{"date-parts":[["2016"]]},"page":"242-248","title":"Snowball Earth ocean chemistry driven by extensive ridge volcanism during Rodinia breakup","type":"article-journal","volume":"9"},"uris":["http://www.mendeley.com/documents/?uuid=32eb0d2c-ed7e-42e2-a5d6-e95e2ee6986c"]},{"id":"ITEM-3","itemData":{"DOI":"10.1016/j.epsl.2016.04.016","ISSN":"0012821X","author":[{"dropping-particle":"","family":"Cox","given":"Grant M.","non-dropping-particle":"","parse-names":false,"suffix":""},{"dropping-particle":"","family":"Halverson","given":"Galen P.","non-dropping-particle":"","parse-names":false,"suffix":""},{"dropping-particle":"","family":"Stevenson","given":"Ross K.","non-dropping-particle":"","parse-names":false,"suffix":""},{"dropping-particle":"","family":"Vokaty","given":"Michelle","non-dropping-particle":"","parse-names":false,"suffix":""},{"dropping-particle":"","family":"Poirier","given":"André","non-dropping-particle":"","parse-names":false,"suffix":""},{"dropping-particle":"","family":"Kunzmann","given":"Marcus","non-dropping-particle":"","parse-names":false,"suffix":""},{"dropping-particle":"","family":"Li","given":"Zheng-Xiang","non-dropping-particle":"","parse-names":false,"suffix":""},{"dropping-particle":"","family":"Denyszyn","given":"Steven W.","non-dropping-particle":"","parse-names":false,"suffix":""},{"dropping-particle":"V.","family":"Strauss","given":"Justin","non-dropping-particle":"","parse-names":false,"suffix":""},{"dropping-particle":"","family":"Macdonald","given":"Francis A.","non-dropping-particle":"","parse-names":false,"suffix":""}],"container-title":"Earth and Planetary Science Letters","id":"ITEM-3","issued":{"date-parts":[["2016"]]},"page":"89-99","publisher":"Elsevier B.V.","title":"Continental flood basalt weathering as a trigger for Neoproterozoic Snowball Earth","type":"article-journal","volume":"446"},"uris":["http://www.mendeley.com/documents/?uuid=65000289-9478-4d66-8374-04a39b6f4266"]},{"id":"ITEM-4","itemData":{"DOI":"10.1029/2009GC002788","ISBN":"1525-2027","ISSN":"15252027","PMID":"28422","abstract":"Oceanic anoxic events (OAEs) record profound changes in the climatic and paleoceanographic state of the planet and represent major disturbances in the global carbon cycle. OAEs that manifestly caused major chemical change in the Mesozoic Ocean include those of the early Toarcian (Posidonienschiefer event, T-OAE, </w:instrText>
      </w:r>
      <w:r w:rsidR="00B14B08" w:rsidRPr="002B6873">
        <w:rPr>
          <w:rFonts w:ascii="Cambria Math" w:hAnsi="Cambria Math" w:cs="Cambria Math"/>
        </w:rPr>
        <w:instrText>∼</w:instrText>
      </w:r>
      <w:r w:rsidR="00B14B08" w:rsidRPr="002B6873">
        <w:rPr>
          <w:rFonts w:cs="Calibri"/>
        </w:rPr>
        <w:instrText xml:space="preserve">183 Ma), early Aptian (Selli event, OAE 1a, </w:instrText>
      </w:r>
      <w:r w:rsidR="00B14B08" w:rsidRPr="002B6873">
        <w:rPr>
          <w:rFonts w:ascii="Cambria Math" w:hAnsi="Cambria Math" w:cs="Cambria Math"/>
        </w:rPr>
        <w:instrText>∼</w:instrText>
      </w:r>
      <w:r w:rsidR="00B14B08" w:rsidRPr="002B6873">
        <w:rPr>
          <w:rFonts w:cs="Calibri"/>
        </w:rPr>
        <w:instrText xml:space="preserve">120 Ma), early Albian (Paquier event, OAE 1b, </w:instrText>
      </w:r>
      <w:r w:rsidR="00B14B08" w:rsidRPr="002B6873">
        <w:rPr>
          <w:rFonts w:ascii="Cambria Math" w:hAnsi="Cambria Math" w:cs="Cambria Math"/>
        </w:rPr>
        <w:instrText>∼</w:instrText>
      </w:r>
      <w:r w:rsidR="00B14B08" w:rsidRPr="002B6873">
        <w:rPr>
          <w:rFonts w:cs="Calibri"/>
        </w:rPr>
        <w:instrText>111 Ma), and Cenomanian</w:instrText>
      </w:r>
      <w:r w:rsidR="00B14B08" w:rsidRPr="002B6873">
        <w:instrText>–</w:instrText>
      </w:r>
      <w:r w:rsidR="00B14B08" w:rsidRPr="002B6873">
        <w:rPr>
          <w:rFonts w:cs="Calibri"/>
        </w:rPr>
        <w:instrText xml:space="preserve">Turonian (Bonarelli event, C/T OAE, OAE 2, </w:instrText>
      </w:r>
      <w:r w:rsidR="00B14B08" w:rsidRPr="002B6873">
        <w:rPr>
          <w:rFonts w:ascii="Cambria Math" w:hAnsi="Cambria Math" w:cs="Cambria Math"/>
        </w:rPr>
        <w:instrText>∼</w:instrText>
      </w:r>
      <w:r w:rsidR="00B14B08" w:rsidRPr="002B6873">
        <w:rPr>
          <w:rFonts w:cs="Calibri"/>
        </w:rPr>
        <w:instrText>93 Ma). Currently available data suggest that the major forcing function behind OAEs was an abrupt rise in temperature, induced by rapid influx of CO2 into the atmosphere from volcanogenic and/or methanogenic sources. Global warming was accompanied by an accelerated hydrological cycle, increased continental weathering, enhanced nutrient discharge to oceans and lakes, intensified upwelling, and an increase in organic productivity. An increase in continental weathering is typically recorded by transient increases in the seawater values of 87Sr/86Sr and 187Os/188Os ratios acting against, in the case of the Cenomanian-Turonian and early Aptian OAEs, a longer-term trend to less radiogenic values. This latter trend indicates that hydrothermally and volcanically sourced nutrients may also have stimulated local increases in organic productivity. Increased flux of organic matter favored intense oxygen demand in the water column, as well as increased rates of marine and lacustrine carbon burial. Particularly in those restricted oceans and seaways where density stratification was favored by paleogeography and significant fluvial input, conditions could readily evolve from poorly oxygenated to anoxic and ultimately euxinic (i.e., sulfidic), this latter state being geochemically the most significant. The progressive evolution in redox conditions through phases of denitrification/anammox, through to sulfate reduction accompanied by water column precipitation of pyrite framboids, resulted in fractionation of many isotope systems (e.g., N, S, Fe, Mo, and U) and mobilization and incorporation of certain trace elements into carbonates (Mn), sulfides, and organic matter. Sequestration of CO2 in organic-rich black shales and by reaction with silicate rocks exposed on continents would ultimately restore climatic equilibrium but at the expense of massive chemical change in the oceans and over time scales of tens to hundreds of thousands of years.","author":[{"dropping-particle":"","family":"Jenkyns","given":"Hugh C.","non-dropping-particle":"","parse-names":false,"suffix":""}],"container-title":"Geochemistry, Geophysics, Geosystems","id":"ITEM-4","issue":"3","issued":{"date-parts":[["2010"]]},"page":"1-30","title":"Geochemistry of oceanic anoxic events","type":"article-journal","volume":"11"},"uris":["http://www.mendeley.com/documents/?uuid=7bf59de2-1890-433f-99a1-033b1c355019"]},{"id":"ITEM-5","itemData":{"DOI":"10.1038/ngeo1875","ISBN":"1752-0894","ISSN":"17520894","abstract":"The Ocean Anoxic Event 2 (OAE2) about 93.5 million years ago was marked by high atmospheric CO2 concentration, rapid global warming and marine anoxia and euxinia. The event lasted for about 440,000 years and led to habitat loss and mass extinction. The marine anoxia is thought to be linked to enhanced biological productivity, but it is unclear what triggered the increased production and what allowed the subsequent rapid climate recovery. Here we use lithium isotope measurements from carbonates spanning the interval including OAE2 to assess the role of silicate weathering. We find the lightest values of the Li isotope ratio (δ7Li) during OAE2, indicating high levels of weathering—and therefore atmospheric CO2 removal—which we attribute to an enhanced hydrological cycle. We use a geochemical model to simulate the evolution of δ7Li and the Ca, Sr and Os isotope tracers. Our simulations suggest a scenario in which the eruption of a large igneous province led to high atmospheric CO2 concentrations and rapid global warming, which initiated OAE2. The simulated warming was accompanied by a roughly 200,000 year pulse of accelerated weathering of mafic silicate rocks, which removed CO2 from the atmosphere. The weathering also delivered nutrients to the oceans that stimulated primary productivity. We suggest that this process, together with the burial of organic carbon, allowed the rapid recovery and stabilization from the greenhouse state.","author":[{"dropping-particle":"","family":"Pogge Von Strandmann","given":"Philip A.E.","non-dropping-particle":"","parse-names":false,"suffix":""},{"dropping-particle":"","family":"Jenkyns","given":"Hugh C.","non-dropping-particle":"","parse-names":false,"suffix":""},{"dropping-particle":"","family":"Woodfine","given":"Richard G.","non-dropping-particle":"","parse-names":false,"suffix":""}],"container-title":"Nature Geoscience","id":"ITEM-5","issue":"8","issued":{"date-parts":[["2013"]]},"page":"668-672","publisher":"Nature Publishing Group","title":"Lithium isotope evidence for enhanced weathering during Oceanic Anoxic Event 2","type":"article-journal","volume":"6"},"uris":["http://www.mendeley.com/documents/?uuid=2ed6186e-63d3-4dce-8919-fdbc3fcc4169"]}],"mendeley":{"formattedCitation":"(Horton, 2015; Gernon et al., 2016; Cox et al., 2016; Jenkyns, 2010; Pogge Von Strandmann et al., 2013)","plainTextFormattedCitation":"(Horton, 2015; Gernon et al., 2016; Cox et al., 2016; Jenkyns, 2010; Pogge Von Strandmann et al., 2013)","previouslyFormattedCitation":"(Horton, 2015; Gernon et al., 2016; Cox et al., 2016; Jenkyns, 2010; Pogge Von Strandmann et al., 2013)"},"properties":{"noteIndex":0},"schema":"https://github.com/citation-style-language/schema/raw/master/csl-citation.json"}</w:instrText>
      </w:r>
      <w:r w:rsidR="005A3BBF" w:rsidRPr="002B6873">
        <w:rPr>
          <w:rFonts w:cs="Calibri"/>
        </w:rPr>
        <w:fldChar w:fldCharType="separate"/>
      </w:r>
      <w:r w:rsidR="007E3024" w:rsidRPr="002B6873">
        <w:rPr>
          <w:rFonts w:cs="Calibri"/>
          <w:noProof/>
        </w:rPr>
        <w:t>(Horton, 2015; Gernon et al., 2016; Cox et al., 2016; Jenkyns, 2010; Pogge Von Strandmann et al., 2013)</w:t>
      </w:r>
      <w:r w:rsidR="005A3BBF" w:rsidRPr="002B6873">
        <w:rPr>
          <w:rFonts w:cs="Calibri"/>
        </w:rPr>
        <w:fldChar w:fldCharType="end"/>
      </w:r>
      <w:r w:rsidR="008042E5" w:rsidRPr="002B6873">
        <w:rPr>
          <w:rFonts w:cs="Calibri"/>
        </w:rPr>
        <w:t xml:space="preserve">, </w:t>
      </w:r>
      <w:r w:rsidR="00933961" w:rsidRPr="002B6873">
        <w:rPr>
          <w:rFonts w:cs="Calibri"/>
        </w:rPr>
        <w:t xml:space="preserve">rendered oligotrophic </w:t>
      </w:r>
      <w:r w:rsidR="00FC405D" w:rsidRPr="002B6873">
        <w:rPr>
          <w:rFonts w:cs="Calibri"/>
        </w:rPr>
        <w:t xml:space="preserve">and ferruginous </w:t>
      </w:r>
      <w:r w:rsidR="00933961" w:rsidRPr="002B6873">
        <w:rPr>
          <w:rFonts w:cs="Calibri"/>
        </w:rPr>
        <w:t xml:space="preserve">after </w:t>
      </w:r>
      <w:r w:rsidR="008042E5" w:rsidRPr="002B6873">
        <w:rPr>
          <w:rFonts w:cs="Calibri"/>
        </w:rPr>
        <w:t xml:space="preserve">prolonged </w:t>
      </w:r>
      <w:r w:rsidR="00BD545F" w:rsidRPr="002B6873">
        <w:rPr>
          <w:rFonts w:cs="Calibri"/>
        </w:rPr>
        <w:t>denudation</w:t>
      </w:r>
      <w:r w:rsidR="008042E5" w:rsidRPr="002B6873">
        <w:rPr>
          <w:rFonts w:cs="Calibri"/>
        </w:rPr>
        <w:t xml:space="preserve"> of the </w:t>
      </w:r>
      <w:r w:rsidR="00BD545F" w:rsidRPr="002B6873">
        <w:rPr>
          <w:rFonts w:cs="Calibri"/>
        </w:rPr>
        <w:t xml:space="preserve">long-lived </w:t>
      </w:r>
      <w:r w:rsidR="007A0DD9" w:rsidRPr="002B6873">
        <w:rPr>
          <w:rFonts w:cs="Calibri"/>
        </w:rPr>
        <w:t xml:space="preserve">supercontinent </w:t>
      </w:r>
      <w:proofErr w:type="spellStart"/>
      <w:r w:rsidR="007A0DD9" w:rsidRPr="002B6873">
        <w:rPr>
          <w:rFonts w:cs="Calibri"/>
        </w:rPr>
        <w:t>Rodinia</w:t>
      </w:r>
      <w:proofErr w:type="spellEnd"/>
      <w:r w:rsidR="00FC405D" w:rsidRPr="002B6873">
        <w:rPr>
          <w:rFonts w:cs="Calibri"/>
        </w:rPr>
        <w:t xml:space="preserve"> </w:t>
      </w:r>
      <w:r w:rsidR="006C649E" w:rsidRPr="002B6873">
        <w:rPr>
          <w:rFonts w:cs="Calibri"/>
        </w:rPr>
        <w:fldChar w:fldCharType="begin" w:fldLock="1"/>
      </w:r>
      <w:r w:rsidR="006C649E" w:rsidRPr="002B6873">
        <w:rPr>
          <w:rFonts w:cs="Calibri"/>
        </w:rPr>
        <w:instrText>ADDIN CSL_CITATION {"citationItems":[{"id":"ITEM-1","itemData":{"DOI":"10.1038/NGEO2434","ISBN":"1752-0894","ISSN":"1752-0894","abstract":"Eukaryotic life expanded during the Proterozoic eon1, 2.5 to 0.542 billion years ago, against a background of fluctuating ocean chemistry2, 3, 4. After about 1.8 billion years ago, the global ocean is thought to have been characterized by oxygenated surface waters, with anoxic and sulphidic waters in middle depths along productive continental margins and anoxic and iron-containing (ferruginous) deeper waters5, 6, 7. The spatial extent of sulphidic waters probably varied through time5, 6, but this surface-to-deep redox structure is suggested to have persisted until the first Neoproterozoic glaciation about 717 million years ago8, 9, 10, 11. Here we report an analysis of ocean redox conditions throughout the Proterozoic using new and existing iron speciation and sulphur isotope data from multiple cores and outcrops. We find a global transition from sulphidic to ferruginous mid-depth waters in the earliest Neoproterozoic, coincident with the amalgamation of the supercontinent Rodinia at low latitudes. We suggest that ferruginous conditions were initiated by an increase in the oceanic influx of highly reactive iron relative to sulphate, driven by a change in weathering regime and the uptake of sulphate by extensive continental evaporites on Rodinia. We propose that this transition essentially detoxified ocean margin settings, allowing for expanded opportunities for eukaryote diversification following a prolonged evolutionary stasis before one billion years ago.","author":[{"dropping-particle":"","family":"Guilbaud","given":"Romain","non-dropping-particle":"","parse-names":false,"suffix":""},{"dropping-particle":"","family":"Poulton","given":"Simon W","non-dropping-particle":"","parse-names":false,"suffix":""},{"dropping-particle":"","family":"Butterfield","given":"Nicholas J","non-dropping-particle":"","parse-names":false,"suffix":""},{"dropping-particle":"","family":"Zhu","given":"Maoyan","non-dropping-particle":"","parse-names":false,"suffix":""},{"dropping-particle":"","family":"Shields-zhou","given":"Graham a","non-dropping-particle":"","parse-names":false,"suffix":""}],"container-title":"Nature Geoscience","id":"ITEM-1","issue":"May","issued":{"date-parts":[["2015"]]},"page":"466–470","title":"A global transition to ferruginous conditions in the early Neoproterozoic oceans","type":"article-journal","volume":"8"},"uris":["http://www.mendeley.com/documents/?uuid=66f92dfa-b37c-4d6d-b5e8-8d23e2b2559d"]}],"mendeley":{"formattedCitation":"(Guilbaud et al., 2015)","plainTextFormattedCitation":"(Guilbaud et al., 2015)","previouslyFormattedCitation":"(Guilbaud et al., 2015)"},"properties":{"noteIndex":0},"schema":"https://github.com/citation-style-language/schema/raw/master/csl-citation.json"}</w:instrText>
      </w:r>
      <w:r w:rsidR="006C649E" w:rsidRPr="002B6873">
        <w:rPr>
          <w:rFonts w:cs="Calibri"/>
        </w:rPr>
        <w:fldChar w:fldCharType="separate"/>
      </w:r>
      <w:r w:rsidR="006C649E" w:rsidRPr="002B6873">
        <w:rPr>
          <w:rFonts w:cs="Calibri"/>
          <w:noProof/>
        </w:rPr>
        <w:t>(Guilbaud et al., 2015)</w:t>
      </w:r>
      <w:r w:rsidR="006C649E" w:rsidRPr="002B6873">
        <w:rPr>
          <w:rFonts w:cs="Calibri"/>
        </w:rPr>
        <w:fldChar w:fldCharType="end"/>
      </w:r>
      <w:r w:rsidR="007A0DD9" w:rsidRPr="002B6873">
        <w:rPr>
          <w:rFonts w:cs="Calibri"/>
        </w:rPr>
        <w:t xml:space="preserve">. </w:t>
      </w:r>
      <w:r w:rsidR="00A87E30" w:rsidRPr="002B6873">
        <w:rPr>
          <w:rFonts w:cs="Calibri"/>
        </w:rPr>
        <w:t>N</w:t>
      </w:r>
      <w:r w:rsidR="00A729EE" w:rsidRPr="002B6873">
        <w:rPr>
          <w:rFonts w:cs="Calibri"/>
        </w:rPr>
        <w:t xml:space="preserve">utrient input into a largely anoxic ocean </w:t>
      </w:r>
      <w:r w:rsidR="00A719E3" w:rsidRPr="002B6873">
        <w:rPr>
          <w:rFonts w:cs="Calibri"/>
        </w:rPr>
        <w:t>would</w:t>
      </w:r>
      <w:r w:rsidR="00E72EE4" w:rsidRPr="002B6873">
        <w:rPr>
          <w:rFonts w:cs="Calibri"/>
        </w:rPr>
        <w:t xml:space="preserve"> have driven </w:t>
      </w:r>
      <w:r w:rsidR="00A87E30" w:rsidRPr="002B6873">
        <w:rPr>
          <w:rFonts w:cs="Calibri"/>
        </w:rPr>
        <w:t xml:space="preserve">carbon </w:t>
      </w:r>
      <w:r w:rsidR="00FC405D" w:rsidRPr="002B6873">
        <w:rPr>
          <w:rFonts w:cs="Calibri"/>
        </w:rPr>
        <w:t>(</w:t>
      </w:r>
      <w:r w:rsidR="00A87E30" w:rsidRPr="002B6873">
        <w:rPr>
          <w:rFonts w:cs="Calibri"/>
        </w:rPr>
        <w:t xml:space="preserve">and </w:t>
      </w:r>
      <w:r w:rsidR="00FC405D" w:rsidRPr="002B6873">
        <w:rPr>
          <w:rFonts w:cs="Calibri"/>
        </w:rPr>
        <w:t xml:space="preserve">potentially also </w:t>
      </w:r>
      <w:r w:rsidR="00A87E30" w:rsidRPr="002B6873">
        <w:rPr>
          <w:rFonts w:cs="Calibri"/>
        </w:rPr>
        <w:t>pyrite</w:t>
      </w:r>
      <w:r w:rsidR="00FC405D" w:rsidRPr="002B6873">
        <w:rPr>
          <w:rFonts w:cs="Calibri"/>
        </w:rPr>
        <w:t>)</w:t>
      </w:r>
      <w:r w:rsidR="00A87E30" w:rsidRPr="002B6873">
        <w:rPr>
          <w:rFonts w:cs="Calibri"/>
        </w:rPr>
        <w:t xml:space="preserve"> burial at productive ocean margins</w:t>
      </w:r>
      <w:r w:rsidR="0058563A" w:rsidRPr="002B6873">
        <w:rPr>
          <w:rFonts w:cs="Calibri"/>
        </w:rPr>
        <w:t>, while the subsequent</w:t>
      </w:r>
      <w:r w:rsidR="00E36A64" w:rsidRPr="002B6873">
        <w:rPr>
          <w:rFonts w:cs="Calibri"/>
        </w:rPr>
        <w:t xml:space="preserve"> oxygenation could conceivably have facilitated the</w:t>
      </w:r>
      <w:r w:rsidR="00A87E30" w:rsidRPr="002B6873">
        <w:rPr>
          <w:rFonts w:cs="Calibri"/>
        </w:rPr>
        <w:t xml:space="preserve"> </w:t>
      </w:r>
      <w:r w:rsidR="00E36A64" w:rsidRPr="002B6873">
        <w:rPr>
          <w:rFonts w:cs="Calibri"/>
        </w:rPr>
        <w:t xml:space="preserve">opportunistic </w:t>
      </w:r>
      <w:r w:rsidR="00A87E30" w:rsidRPr="002B6873">
        <w:rPr>
          <w:rFonts w:cs="Calibri"/>
        </w:rPr>
        <w:t>radiation</w:t>
      </w:r>
      <w:r w:rsidR="00E36A64" w:rsidRPr="002B6873">
        <w:rPr>
          <w:rFonts w:cs="Calibri"/>
        </w:rPr>
        <w:t xml:space="preserve"> </w:t>
      </w:r>
      <w:r w:rsidR="00A87E30" w:rsidRPr="002B6873">
        <w:rPr>
          <w:rFonts w:cs="Calibri"/>
        </w:rPr>
        <w:t xml:space="preserve">of </w:t>
      </w:r>
      <w:r w:rsidR="00FB6855" w:rsidRPr="002B6873">
        <w:rPr>
          <w:rFonts w:cs="Calibri"/>
        </w:rPr>
        <w:t>large</w:t>
      </w:r>
      <w:r w:rsidR="00E36A64" w:rsidRPr="002B6873">
        <w:rPr>
          <w:rFonts w:cs="Calibri"/>
        </w:rPr>
        <w:t>, aerobic</w:t>
      </w:r>
      <w:r w:rsidR="00FB6855" w:rsidRPr="002B6873">
        <w:rPr>
          <w:rFonts w:cs="Calibri"/>
        </w:rPr>
        <w:t xml:space="preserve"> </w:t>
      </w:r>
      <w:r w:rsidR="005616FE" w:rsidRPr="002B6873">
        <w:rPr>
          <w:rFonts w:cs="Calibri"/>
        </w:rPr>
        <w:t xml:space="preserve">eukaryotes </w:t>
      </w:r>
      <w:r w:rsidR="00E36A64" w:rsidRPr="002B6873">
        <w:rPr>
          <w:rFonts w:cs="Calibri"/>
        </w:rPr>
        <w:t xml:space="preserve">reported from the </w:t>
      </w:r>
      <w:r w:rsidR="002311CE" w:rsidRPr="002B6873">
        <w:rPr>
          <w:rFonts w:cs="Calibri"/>
        </w:rPr>
        <w:t>NCC</w:t>
      </w:r>
      <w:r w:rsidR="00E36A64" w:rsidRPr="002B6873">
        <w:rPr>
          <w:rFonts w:cs="Calibri"/>
        </w:rPr>
        <w:t xml:space="preserve"> </w:t>
      </w:r>
      <w:r w:rsidR="005616FE" w:rsidRPr="002B6873">
        <w:rPr>
          <w:rFonts w:cs="Calibri"/>
        </w:rPr>
        <w:fldChar w:fldCharType="begin" w:fldLock="1"/>
      </w:r>
      <w:r w:rsidR="005616FE" w:rsidRPr="002B6873">
        <w:rPr>
          <w:rFonts w:cs="Calibri"/>
        </w:rPr>
        <w:instrText>ADDIN CSL_CITATION {"citationItems":[{"id":"ITEM-1","itemData":{"DOI":"10.1016/j.palaeo.2007.05.019","ISSN":"00310182","abstract":"The carbonaceous compression fossils Protoarenicola baiguashanensis Wang, 1982, Pararenicola huaiyuanensis Wang, 1982, and Sinosabellidites huainanensis Zheng, 1980, from the early Neoproterozoic Liulaobei and Jiuliqiao formations in northern Anhui, North China, were previously interpreted as worm-like metazoans, largely on the basis of transverse annulations and purported proboscis structures. If correct, these would be some of the earliest known bilaterian animals and would provide a key paleontological calibration to molecular clock analyses. In this study, we examine a large population of these carbonaceous fossils, clarify their taxonomy, and provide new insights into their morphological, paleoecological, and phylogenetic interpretations. Although all three species are characterized by annulated tubes, P. baiguashanensis bears a bulbous terminal structure at one end of its tube. P. huaiyuanensis is characterized by a constricted opening at one end and a closed termination at the other. The two ends of S. huainanensis tubes are both closed and round. The bulbous terminal structure in P. baiguashanensis was previously interpreted as an animal proboscis, but new observations suggest that it was more likely a holdfast structure analogous to discoidal holdfast structures of the Mesoproterozoic Tawuia-like fossil Radhakrishnania Kumar, 2001, and the frondose Ediacara fossil Charniodiscus Ford, 1958. Furthermore, it is possible that at least P. baiguashanensis and P. huaiyuanensis may represent reproductive or taphonomic fragments of the same organism. This reinterpretation weakens the previous interpretation that P. baiguashanensis and P. huaiyuanensis were worm-like bilaterian animals. Instead, they can be alternatively interpreted as erect epibenthic organisms, possibly coenocytic algae reaching a tiering height of 30??mm. The predominance of discoidal holdfasts, as opposed to rhizoidal holdfasts, in pre-Ediacaran epibenthic organisms was probably related to more stable substrates in the presence of microbial mats and in the absence of bioturbating animals. ?? 2007 Elsevier B.V. All rights reserved.","author":[{"dropping-particle":"","family":"Dong","given":"Lin","non-dropping-particle":"","parse-names":false,"suffix":""},{"dropping-particle":"","family":"Xiao","given":"Shuhai","non-dropping-particle":"","parse-names":false,"suffix":""},{"dropping-particle":"","family":"Shen","given":"Bing","non-dropping-particle":"","parse-names":false,"suffix":""},{"dropping-particle":"","family":"Yuan","given":"Xunlai","non-dropping-particle":"","parse-names":false,"suffix":""},{"dropping-particle":"","family":"Yan","given":"Xianqin","non-dropping-particle":"","parse-names":false,"suffix":""},{"dropping-particle":"","family":"Peng","given":"Yongbo","non-dropping-particle":"","parse-names":false,"suffix":""}],"container-title":"Palaeogeography, Palaeoclimatology, Palaeoecology","id":"ITEM-1","issue":"3","issued":{"date-parts":[["2008"]]},"page":"138-161","title":"Restudy of the worm-like carbonaceous compression fossils Protoarenicola, Pararenicola, and Sinosabellidites from early Neoproterozoic successions in North China","type":"article-journal","volume":"258"},"uris":["http://www.mendeley.com/documents/?uuid=cb23c028-0531-4aac-9df4-c3285b3bbb59"]},{"id":"ITEM-2","itemData":{"DOI":"10.1016/j.precamres.2013.07.019","ISBN":"5402311366","ISSN":"03019268","abstract":"Biostratigraphic subdivision and correlation of early Neoproterozoic strata is hampered by the limited number of widely distributed and age diagnostic fossils. The acanthomorphic acritarch Trachyhystrichosphaera aimika, among a few other microfossil taxa, has emerged as a potential early Neoproterozoic index fossil, but its temporal and spatial ranges have not been thoroughly documented. To improve our knowledge about early Neoproterozoic biodiversity, we carried out a micropaleontological investigation of the early Neoproterozoic Liulaobei Formation in northern Anhui of North China. Our investigation using a low-manipulation maceration technique revealed a diverse assemblage of organic-walled microfossils dominated by sphaeromorphs and filaments, with relatively few acanthomorph taxa. A total of 23 taxa were recovered, including three new species (Eotylotopalla? grandis n. sp., Siphonophycus gigas n. sp., and Trachyhystrichosphaera botula n. sp.). Also present in the Liulaobei Formation are Trachyhystrichosphaera aimika (a species widely present in pre-Cryogenian Neoproterozoic and latest Mesoproterozoic rocks) and Pololeptus rugosus (a species characterized by an ellipsoidal vesicle with transverse annulations). The new data add to the growing diversity of early Neoproterozoic fossils and strengthen the basis for improved biostratigraphic correlation of early Neoproterozoic strata. Correlation with other geochronologically dated successions that contain Trachyhystrichosphaera confirms Trachyhystrichosphaera and T. aimika as promising index fossils to define and subdivide the pre-Cryogenian Neoproterozoic Era in terms of Global Boundary Stratotype Section and Point (GSSP), as opposed to current system using Global Standard Stratigraphic Age (GSSA). Available biostratigraphic data, including the occurrence of Trachyhystrichosphaera, Chuaria, Tawuia, and Sinosabellidites, suggest that the Liulaobei Formation is of pre-Cryogenian Neoproterozoic age, not Cryogenian-Ediacaran age as some have suggested in the past. ?? 2013 Elsevier B.V.","author":[{"dropping-particle":"","family":"Tang","given":"Qing","non-dropping-particle":"","parse-names":false,"suffix":""},{"dropping-particle":"","family":"Pang","given":"Ke","non-dropping-particle":"","parse-names":false,"suffix":""},{"dropping-particle":"","family":"Xiao","given":"Shuhai","non-dropping-particle":"","parse-names":false,"suffix":""},{"dropping-particle":"","family":"Yuan","given":"Xunlai","non-dropping-particle":"","parse-names":false,"suffix":""},{"dropping-particle":"","family":"Ou","given":"Zhiji","non-dropping-particle":"","parse-names":false,"suffix":""},{"dropping-particle":"","family":"Wan","given":"Bin","non-dropping-particle":"","parse-names":false,"suffix":""}],"container-title":"Precambrian Research","id":"ITEM-2","issued":{"date-parts":[["2013"]]},"page":"157-181","publisher":"Elsevier B.V.","title":"Organic-walled microfossils from the early Neoproterozoic Liulaobei Formation in the Huainan region of North China and their biostratigraphic significance","type":"article-journal","volume":"236"},"uris":["http://www.mendeley.com/documents/?uuid=c7d94b49-6177-49e5-af66-617313373df4"]},{"id":"ITEM-3","itemData":{"DOI":"http://dx.doi.org/10.1016/j.precamres.2015.05.025","ISBN":"0301-9268","author":[{"dropping-particle":"","family":"Tang","given":"Qing","non-dropping-particle":"","parse-names":false,"suffix":""},{"dropping-particle":"","family":"Pang","given":"Ke","non-dropping-particle":"","parse-names":false,"suffix":""},{"dropping-particle":"","family":"Yuan","given":"Xunlai","non-dropping-particle":"","parse-names":false,"suffix":""},{"dropping-particle":"","family":"Wan","given":"Bin","non-dropping-particle":"","parse-names":false,"suffix":""},{"dropping-particle":"","family":"Xiao","given":"Shuhai","non-dropping-particle":"","parse-names":false,"suffix":""}],"container-title":"Precambrian Research","id":"ITEM-3","issued":{"date-parts":[["2015"]]},"page":"296-318","title":"Organic-walled microfossils from the Tonian Gouhou Formation, Huaibei region, North China Craton, and their biostratigraphic implications","type":"article-journal","volume":"266"},"uris":["http://www.mendeley.com/documents/?uuid=1f5cd206-0cde-49c2-ab43-544a42d7e6bf"]}],"mendeley":{"formattedCitation":"(Dong et al., 2008; Tang et al., 2013, 2015)","plainTextFormattedCitation":"(Dong et al., 2008; Tang et al., 2013, 2015)","previouslyFormattedCitation":"(Dong et al., 2008; Tang et al., 2013, 2015)"},"properties":{"noteIndex":0},"schema":"https://github.com/citation-style-language/schema/raw/master/csl-citation.json"}</w:instrText>
      </w:r>
      <w:r w:rsidR="005616FE" w:rsidRPr="002B6873">
        <w:rPr>
          <w:rFonts w:cs="Calibri"/>
        </w:rPr>
        <w:fldChar w:fldCharType="separate"/>
      </w:r>
      <w:r w:rsidR="005616FE" w:rsidRPr="002B6873">
        <w:rPr>
          <w:rFonts w:cs="Calibri"/>
          <w:noProof/>
        </w:rPr>
        <w:t>(Dong et al., 2008; Tang et al., 2013, 2015)</w:t>
      </w:r>
      <w:r w:rsidR="005616FE" w:rsidRPr="002B6873">
        <w:rPr>
          <w:rFonts w:cs="Calibri"/>
        </w:rPr>
        <w:fldChar w:fldCharType="end"/>
      </w:r>
      <w:r w:rsidR="005616FE" w:rsidRPr="002B6873">
        <w:rPr>
          <w:rFonts w:cs="Calibri"/>
        </w:rPr>
        <w:t xml:space="preserve">. </w:t>
      </w:r>
      <w:r w:rsidR="00FC405D" w:rsidRPr="002B6873">
        <w:rPr>
          <w:rFonts w:cs="Calibri"/>
        </w:rPr>
        <w:t xml:space="preserve">Pending further study, </w:t>
      </w:r>
      <w:r w:rsidR="00C42C0A" w:rsidRPr="002B6873">
        <w:rPr>
          <w:rFonts w:cs="Calibri"/>
        </w:rPr>
        <w:t xml:space="preserve">and consistent with reports of major C-isotope fluctuations in these </w:t>
      </w:r>
      <w:r w:rsidR="00A170E0" w:rsidRPr="002B6873">
        <w:rPr>
          <w:rFonts w:cs="Calibri"/>
        </w:rPr>
        <w:t xml:space="preserve">and correlative </w:t>
      </w:r>
      <w:r w:rsidR="00C42C0A" w:rsidRPr="002B6873">
        <w:rPr>
          <w:rFonts w:cs="Calibri"/>
        </w:rPr>
        <w:t xml:space="preserve">successions </w:t>
      </w:r>
      <w:r w:rsidR="006C649E" w:rsidRPr="002B6873">
        <w:rPr>
          <w:rFonts w:cs="Calibri"/>
        </w:rPr>
        <w:fldChar w:fldCharType="begin" w:fldLock="1"/>
      </w:r>
      <w:r w:rsidR="00875CB4" w:rsidRPr="002B6873">
        <w:rPr>
          <w:rFonts w:cs="Calibri"/>
        </w:rPr>
        <w:instrText>ADDIN CSL_CITATION {"citationItems":[{"id":"ITEM-1","itemData":{"author":[{"dropping-particle":"","family":"Hua","given":"Hong","non-dropping-particle":"","parse-names":false,"suffix":""},{"dropping-particle":"","family":"Cao","given":"Ruiji","non-dropping-particle":"","parse-names":false,"suffix":""}],"container-title":"Acta Palaeontologica Sinica","id":"ITEM-1","issue":"2","issued":{"date-parts":[["2004"]]},"page":"234-245","title":"An Abrupt variation event of stromatolitic microstructures in the Neoproterozoic and its origination background","type":"article-journal","volume":"43"},"uris":["http://www.mendeley.com/documents/?uuid=a3428585-3805-4021-b408-3be55d90d1d8"]},{"id":"ITEM-2","itemData":{"DOI":"10.1016/j.precamres.2014.03.004","ISBN":"5402311366","ISSN":"03019268","abstract":"Thick carbonate successions of Proterozoic age were deposited in the Huaibei and Huainan regions along the southern margin of the North China Block. These successions, including the Huaibei Group in the Huaibei region and the Huainan and Feishui groups in the Huainan region, have been correlated with the Qingbaikou Group, which outcrops in the Jixian area of North China and is the eponymous succession of the Qingbaikouan System (traditionally regarded as 1000-800Ma). Recently, it has been shown that lower Qingbaikouan strata in the Jixian area may be as old as 1300-1400Ma. By correlation, the Huaibei, Huainan, and Feishui groups may include Mesoproterozoic strata, but these units have also been interpreted as Tonian or Cryogenian-Ediacaran-Cambrian in age. These contradictory age interpretations hamper our ability to explore the rich paleontological and sedimentary records preserved in these rocks and to assess paleogeographic reconstructions. In this report, we describe new microfossils and stable isotope data (??13Ccarb, ??18Ocarb, ??34SCAS) from the Huaibei, Huainan, and Feishui groups. Possible vase-shaped microfossils from the Jiayuan Formation of the lower Huaibei Group and characteristic early Neoproterozoic acritarchs (particularly Trachyhystrichosphaera aimika) from the Gouhou and Liulaobei formations are consistent with a Tonian age for the Huaibei and Huainan groups. Similarly, carbon isotope trends in the Huaibei, Huainan, and Feishui groups are comparable with Tonian ??13Ccarb patterns in South Australia and Laurentia, with a plateau of moderately positive (1-5???) values followed by pronounced negative ??13Ccarb excursion in the Gouhou Formation, which may be equivalent to the Bitter Springs anomaly in South Australia. ??34SCAS values of the Huaibei Group are mostly 25-40???, similar to values from the stratigraphically equivalent Jingeryu Formation in the Jixian area. Overall, the combination of biostratigraphic, chemostratigraphic, and available radiometric data suggests that the Huaibei, Huainan, and Feishui groups are early Neoproterozoic (Tonian) in age. ?? 2014 Elsevier B.V.","author":[{"dropping-particle":"","family":"Xiao","given":"Shuhai","non-dropping-particle":"","parse-names":false,"suffix":""},{"dropping-particle":"","family":"Shen","given":"Bing","non-dropping-particle":"","parse-names":false,"suffix":""},{"dropping-particle":"","family":"Tang","given":"Qing","non-dropping-particle":"","parse-names":false,"suffix":""},{"dropping-particle":"","family":"Kaufman","given":"Alan J.","non-dropping-particle":"","parse-names":false,"suffix":""},{"dropping-particle":"","family":"Yuan","given":"Xunlai","non-dropping-particle":"","parse-names":false,"suffix":""},{"dropping-particle":"","family":"Li","given":"Jianhua","non-dropping-particle":"","parse-names":false,"suffix":""},{"dropping-particle":"","family":"Qian","given":"Maiping","non-dropping-particle":"","parse-names":false,"suffix":""}],"container-title":"Precambrian Research","id":"ITEM-2","issued":{"date-parts":[["2014"]]},"page":"208-225","publisher":"Elsevier B.V.","title":"Biostratigraphic and chemostratigraphic constraints on the age of early Neoproterozoic carbonate successions in North China","type":"article-journal","volume":"246"},"uris":["http://www.mendeley.com/documents/?uuid=a86e342d-bce8-4617-9b37-aad683476bde"]},{"id":"ITEM-3","itemData":{"author":[{"dropping-particle":"","family":"Park","given":"Hu","non-dropping-particle":"","parse-names":false,"suffix":""},{"dropping-particle":"","family":"Zhai","given":"MG","non-dropping-particle":"","parse-names":false,"suffix":""},{"dropping-particle":"","family":"Yang","given":"JH","non-dropping-particle":"","parse-names":false,"suffix":""},{"dropping-particle":"","family":"Peng","given":"P","non-dropping-particle":"","parse-names":false,"suffix":""},{"dropping-particle":"","family":"Kim","given":"JN","non-dropping-particle":"","parse-names":false,"suffix":""},{"dropping-particle":"","family":"Zhang","given":"YB","non-dropping-particle":"","parse-names":false,"suffix":""},{"dropping-particle":"","family":"Kim","given":"MC","non-dropping-particle":"","parse-names":false,"suffix":""},{"dropping-particle":"","family":"Park","given":"U","non-dropping-particle":"","parse-names":false,"suffix":""},{"dropping-particle":"","family":"Feng","given":"LJ","non-dropping-particle":"","parse-names":false,"suffix":""}],"container-title":"Acta Petrologica Sinica","id":"ITEM-3","issue":"7","issued":{"date-parts":[["2016"]]},"page":"2181-2195","title":"Deposition age of the Sangwon Supergroup in the Pyongnam basin (Korea) and the Early Tonian negative carbon isotope interval","type":"article-journal","volume":"32"},"uris":["http://www.mendeley.com/documents/?uuid=4c34a8f4-cd39-4a62-9137-9fa0cccfb9cb"]}],"mendeley":{"formattedCitation":"(Hua and Cao, 2004; Xiao et al., 2014; Park et al., 2016)","manualFormatting":"(Hua and Cao, 2004; Xiao et al., 2014; Park et al., 2016; this paper)","plainTextFormattedCitation":"(Hua and Cao, 2004; Xiao et al., 2014; Park et al., 2016)","previouslyFormattedCitation":"(Hua and Cao, 2004; Xiao et al., 2014; Park et al., 2016)"},"properties":{"noteIndex":0},"schema":"https://github.com/citation-style-language/schema/raw/master/csl-citation.json"}</w:instrText>
      </w:r>
      <w:r w:rsidR="006C649E" w:rsidRPr="002B6873">
        <w:rPr>
          <w:rFonts w:cs="Calibri"/>
        </w:rPr>
        <w:fldChar w:fldCharType="separate"/>
      </w:r>
      <w:r w:rsidR="00FC35FB" w:rsidRPr="002B6873">
        <w:rPr>
          <w:rFonts w:cs="Calibri"/>
          <w:noProof/>
        </w:rPr>
        <w:t>(Hua and Cao, 2004; Xiao et al., 2014; Park et al., 2016; this paper)</w:t>
      </w:r>
      <w:r w:rsidR="006C649E" w:rsidRPr="002B6873">
        <w:rPr>
          <w:rFonts w:cs="Calibri"/>
        </w:rPr>
        <w:fldChar w:fldCharType="end"/>
      </w:r>
      <w:r w:rsidR="00C42C0A" w:rsidRPr="002B6873">
        <w:rPr>
          <w:rFonts w:cs="Calibri"/>
        </w:rPr>
        <w:t xml:space="preserve">, </w:t>
      </w:r>
      <w:r w:rsidR="00FC405D" w:rsidRPr="002B6873">
        <w:rPr>
          <w:rFonts w:cs="Calibri"/>
        </w:rPr>
        <w:t xml:space="preserve">we </w:t>
      </w:r>
      <w:r w:rsidR="009E6F14" w:rsidRPr="002B6873">
        <w:rPr>
          <w:rFonts w:cs="Calibri"/>
        </w:rPr>
        <w:t xml:space="preserve">postulate </w:t>
      </w:r>
      <w:r w:rsidR="00A87E30" w:rsidRPr="002B6873">
        <w:rPr>
          <w:rFonts w:cs="Calibri"/>
        </w:rPr>
        <w:t xml:space="preserve">an </w:t>
      </w:r>
      <w:r w:rsidR="00E72EE4" w:rsidRPr="002B6873">
        <w:rPr>
          <w:rFonts w:cs="Calibri"/>
        </w:rPr>
        <w:t>earlier,</w:t>
      </w:r>
      <w:r w:rsidR="007A0DD9" w:rsidRPr="002B6873">
        <w:rPr>
          <w:rFonts w:cs="Calibri"/>
        </w:rPr>
        <w:t xml:space="preserve"> more eventful end to the </w:t>
      </w:r>
      <w:r w:rsidR="00F94BC5" w:rsidRPr="002B6873">
        <w:rPr>
          <w:rFonts w:cs="Calibri"/>
        </w:rPr>
        <w:t>‘</w:t>
      </w:r>
      <w:r w:rsidR="007A0DD9" w:rsidRPr="002B6873">
        <w:rPr>
          <w:rFonts w:cs="Calibri"/>
        </w:rPr>
        <w:t>boring billion</w:t>
      </w:r>
      <w:r w:rsidR="00F94BC5" w:rsidRPr="002B6873">
        <w:rPr>
          <w:rFonts w:cs="Calibri"/>
        </w:rPr>
        <w:t>’</w:t>
      </w:r>
      <w:r w:rsidR="007A0DD9" w:rsidRPr="002B6873">
        <w:rPr>
          <w:rFonts w:cs="Calibri"/>
        </w:rPr>
        <w:t xml:space="preserve"> than previously envisaged</w:t>
      </w:r>
      <w:r w:rsidR="00F81C29" w:rsidRPr="002B6873">
        <w:rPr>
          <w:rFonts w:cs="Calibri"/>
        </w:rPr>
        <w:t>.</w:t>
      </w:r>
    </w:p>
    <w:p w14:paraId="313A0F61" w14:textId="77777777" w:rsidR="00DD6213" w:rsidRPr="002B6873" w:rsidRDefault="00DD6213" w:rsidP="00783A06">
      <w:pPr>
        <w:pStyle w:val="Abstract"/>
        <w:spacing w:line="480" w:lineRule="auto"/>
        <w:ind w:firstLine="0"/>
        <w:jc w:val="both"/>
        <w:rPr>
          <w:rFonts w:cs="Calibri"/>
        </w:rPr>
      </w:pPr>
    </w:p>
    <w:p w14:paraId="1B6CCA64" w14:textId="77777777" w:rsidR="00DD6213" w:rsidRPr="002B6873" w:rsidRDefault="004027FC" w:rsidP="00783A06">
      <w:pPr>
        <w:pStyle w:val="AppendixHead"/>
        <w:spacing w:line="480" w:lineRule="auto"/>
      </w:pPr>
      <w:r w:rsidRPr="002B6873">
        <w:lastRenderedPageBreak/>
        <w:t>CONCLUSIONS</w:t>
      </w:r>
    </w:p>
    <w:p w14:paraId="379D231D" w14:textId="2780819C" w:rsidR="00B40158" w:rsidRPr="002B6873" w:rsidRDefault="00B40158" w:rsidP="00283664">
      <w:pPr>
        <w:pStyle w:val="Abstract"/>
        <w:spacing w:line="480" w:lineRule="auto"/>
        <w:ind w:firstLine="709"/>
        <w:jc w:val="both"/>
      </w:pPr>
      <w:r w:rsidRPr="002B6873">
        <w:rPr>
          <w:rFonts w:cs="Calibri"/>
        </w:rPr>
        <w:t>This is the first</w:t>
      </w:r>
      <w:r w:rsidR="00DD6213" w:rsidRPr="002B6873">
        <w:rPr>
          <w:rFonts w:cs="Calibri"/>
        </w:rPr>
        <w:t xml:space="preserve"> study that specifically uses carbonate components</w:t>
      </w:r>
      <w:r w:rsidRPr="002B6873">
        <w:rPr>
          <w:rFonts w:cs="Calibri"/>
        </w:rPr>
        <w:t xml:space="preserve">, in this case demonstrably early and isotopically pristine, cavity-filling </w:t>
      </w:r>
      <w:r w:rsidR="00ED3180" w:rsidRPr="002B6873">
        <w:rPr>
          <w:rFonts w:cs="Calibri"/>
        </w:rPr>
        <w:t xml:space="preserve">calcite </w:t>
      </w:r>
      <w:proofErr w:type="spellStart"/>
      <w:r w:rsidRPr="002B6873">
        <w:rPr>
          <w:rFonts w:cs="Calibri"/>
        </w:rPr>
        <w:t>microspar</w:t>
      </w:r>
      <w:proofErr w:type="spellEnd"/>
      <w:r w:rsidRPr="002B6873">
        <w:rPr>
          <w:rFonts w:cs="Calibri"/>
        </w:rPr>
        <w:t xml:space="preserve"> cements</w:t>
      </w:r>
      <w:r w:rsidR="00CE7E65" w:rsidRPr="002B6873">
        <w:rPr>
          <w:rFonts w:cs="Calibri"/>
        </w:rPr>
        <w:t xml:space="preserve"> (CMC) </w:t>
      </w:r>
      <w:r w:rsidR="009F0E2D" w:rsidRPr="002B6873">
        <w:rPr>
          <w:rFonts w:cs="Calibri"/>
        </w:rPr>
        <w:t xml:space="preserve">as well as </w:t>
      </w:r>
      <w:r w:rsidR="006F5447" w:rsidRPr="002B6873">
        <w:rPr>
          <w:rFonts w:cs="Calibri"/>
        </w:rPr>
        <w:t xml:space="preserve">well preserved </w:t>
      </w:r>
      <w:r w:rsidR="00CE7E65" w:rsidRPr="002B6873">
        <w:rPr>
          <w:rFonts w:cs="Calibri"/>
        </w:rPr>
        <w:t>bulk carbonate</w:t>
      </w:r>
      <w:r w:rsidRPr="002B6873">
        <w:rPr>
          <w:rFonts w:cs="Calibri"/>
        </w:rPr>
        <w:t>,</w:t>
      </w:r>
      <w:r w:rsidR="00DD6213" w:rsidRPr="002B6873">
        <w:rPr>
          <w:rFonts w:cs="Calibri"/>
        </w:rPr>
        <w:t xml:space="preserve"> to </w:t>
      </w:r>
      <w:r w:rsidR="00E1130E" w:rsidRPr="002B6873">
        <w:rPr>
          <w:rFonts w:cs="Calibri"/>
        </w:rPr>
        <w:t>reconstruct</w:t>
      </w:r>
      <w:r w:rsidR="00DD6213" w:rsidRPr="002B6873">
        <w:rPr>
          <w:rFonts w:cs="Calibri"/>
        </w:rPr>
        <w:t xml:space="preserve"> </w:t>
      </w:r>
      <w:r w:rsidR="00CE7E65" w:rsidRPr="002B6873">
        <w:rPr>
          <w:rFonts w:cs="Calibri"/>
        </w:rPr>
        <w:t xml:space="preserve">Neoproterozoic </w:t>
      </w:r>
      <w:r w:rsidR="00DD6213" w:rsidRPr="002B6873">
        <w:rPr>
          <w:rFonts w:cs="Calibri"/>
        </w:rPr>
        <w:t xml:space="preserve">seawater </w:t>
      </w:r>
      <w:r w:rsidR="00DD6213" w:rsidRPr="002B6873">
        <w:rPr>
          <w:vertAlign w:val="superscript"/>
        </w:rPr>
        <w:t>87</w:t>
      </w:r>
      <w:r w:rsidR="00DD6213" w:rsidRPr="002B6873">
        <w:t>Sr/</w:t>
      </w:r>
      <w:r w:rsidR="00DD6213" w:rsidRPr="002B6873">
        <w:rPr>
          <w:vertAlign w:val="superscript"/>
        </w:rPr>
        <w:t>86</w:t>
      </w:r>
      <w:r w:rsidR="00DD6213" w:rsidRPr="002B6873">
        <w:t>Sr</w:t>
      </w:r>
      <w:r w:rsidRPr="002B6873">
        <w:t xml:space="preserve">. </w:t>
      </w:r>
      <w:r w:rsidR="00DD6213" w:rsidRPr="002B6873">
        <w:t xml:space="preserve"> </w:t>
      </w:r>
      <w:r w:rsidRPr="002B6873">
        <w:t xml:space="preserve">Together with published data, we document </w:t>
      </w:r>
      <w:r w:rsidR="006F5447" w:rsidRPr="002B6873">
        <w:t xml:space="preserve">a series of </w:t>
      </w:r>
      <w:r w:rsidRPr="002B6873">
        <w:t xml:space="preserve">oscillations in </w:t>
      </w:r>
      <w:r w:rsidRPr="002B6873">
        <w:rPr>
          <w:vertAlign w:val="superscript"/>
        </w:rPr>
        <w:t>87</w:t>
      </w:r>
      <w:r w:rsidRPr="002B6873">
        <w:t>Sr/</w:t>
      </w:r>
      <w:r w:rsidRPr="002B6873">
        <w:rPr>
          <w:vertAlign w:val="superscript"/>
        </w:rPr>
        <w:t>86</w:t>
      </w:r>
      <w:r w:rsidRPr="002B6873">
        <w:t xml:space="preserve">Sr that can plausibly be linked to the weathering of known </w:t>
      </w:r>
      <w:r w:rsidR="009F0E2D" w:rsidRPr="002B6873">
        <w:t xml:space="preserve">volcanic </w:t>
      </w:r>
      <w:r w:rsidR="00EF456A" w:rsidRPr="002B6873">
        <w:t xml:space="preserve">provinces </w:t>
      </w:r>
      <w:r w:rsidR="00E16192" w:rsidRPr="002B6873">
        <w:t>(Fig</w:t>
      </w:r>
      <w:r w:rsidR="009D2571" w:rsidRPr="002B6873">
        <w:t>.</w:t>
      </w:r>
      <w:r w:rsidR="00E16192" w:rsidRPr="002B6873">
        <w:t xml:space="preserve"> </w:t>
      </w:r>
      <w:r w:rsidR="005C038D" w:rsidRPr="002B6873">
        <w:t>2</w:t>
      </w:r>
      <w:r w:rsidR="00E16192" w:rsidRPr="002B6873">
        <w:t>)</w:t>
      </w:r>
      <w:r w:rsidRPr="002B6873">
        <w:t xml:space="preserve">. </w:t>
      </w:r>
      <w:r w:rsidR="00EF456A" w:rsidRPr="002B6873">
        <w:rPr>
          <w:rFonts w:cs="Calibri"/>
        </w:rPr>
        <w:t>Although t</w:t>
      </w:r>
      <w:r w:rsidR="00096C16" w:rsidRPr="002B6873">
        <w:rPr>
          <w:rFonts w:cs="Calibri"/>
        </w:rPr>
        <w:t xml:space="preserve">he weathering of large igneous provinces </w:t>
      </w:r>
      <w:r w:rsidR="00EF456A" w:rsidRPr="002B6873">
        <w:rPr>
          <w:rFonts w:cs="Calibri"/>
        </w:rPr>
        <w:t>has previously been implicated in end-</w:t>
      </w:r>
      <w:proofErr w:type="spellStart"/>
      <w:r w:rsidR="00EF456A" w:rsidRPr="002B6873">
        <w:rPr>
          <w:rFonts w:cs="Calibri"/>
        </w:rPr>
        <w:t>Tonian</w:t>
      </w:r>
      <w:proofErr w:type="spellEnd"/>
      <w:r w:rsidR="00EF456A" w:rsidRPr="002B6873">
        <w:rPr>
          <w:rFonts w:cs="Calibri"/>
        </w:rPr>
        <w:t xml:space="preserve"> events coincident with </w:t>
      </w:r>
      <w:r w:rsidR="0064561E" w:rsidRPr="002B6873">
        <w:rPr>
          <w:rFonts w:cs="Calibri"/>
        </w:rPr>
        <w:t xml:space="preserve">supercontinent </w:t>
      </w:r>
      <w:r w:rsidR="00EF456A" w:rsidRPr="002B6873">
        <w:rPr>
          <w:rFonts w:cs="Calibri"/>
        </w:rPr>
        <w:t xml:space="preserve">break up, </w:t>
      </w:r>
      <w:r w:rsidR="00F07F98" w:rsidRPr="002B6873">
        <w:rPr>
          <w:rFonts w:cs="Calibri"/>
        </w:rPr>
        <w:t>we conclude</w:t>
      </w:r>
      <w:r w:rsidR="00EF456A" w:rsidRPr="002B6873">
        <w:rPr>
          <w:rFonts w:cs="Calibri"/>
        </w:rPr>
        <w:t xml:space="preserve"> that the weathering of flood basalts exerted </w:t>
      </w:r>
      <w:r w:rsidR="00096C16" w:rsidRPr="002B6873">
        <w:rPr>
          <w:rFonts w:cs="Calibri"/>
        </w:rPr>
        <w:t xml:space="preserve">a considerable influence on ocean composition well before the postulated </w:t>
      </w:r>
      <w:r w:rsidR="00785459" w:rsidRPr="002B6873">
        <w:rPr>
          <w:rFonts w:cs="Calibri"/>
        </w:rPr>
        <w:t>break up of</w:t>
      </w:r>
      <w:r w:rsidR="00096C16" w:rsidRPr="002B6873">
        <w:rPr>
          <w:rFonts w:cs="Calibri"/>
        </w:rPr>
        <w:t xml:space="preserve"> </w:t>
      </w:r>
      <w:proofErr w:type="spellStart"/>
      <w:r w:rsidR="00096C16" w:rsidRPr="002B6873">
        <w:rPr>
          <w:rFonts w:cs="Calibri"/>
        </w:rPr>
        <w:t>Rodinia</w:t>
      </w:r>
      <w:proofErr w:type="spellEnd"/>
      <w:r w:rsidR="00096C16" w:rsidRPr="002B6873">
        <w:rPr>
          <w:rFonts w:cs="Calibri"/>
        </w:rPr>
        <w:t>.</w:t>
      </w:r>
    </w:p>
    <w:p w14:paraId="606F3465" w14:textId="77777777" w:rsidR="0074514B" w:rsidRPr="002B6873" w:rsidRDefault="0047430E" w:rsidP="00B5382B">
      <w:pPr>
        <w:pStyle w:val="Abstract"/>
        <w:spacing w:line="480" w:lineRule="auto"/>
        <w:ind w:firstLine="0"/>
        <w:jc w:val="both"/>
        <w:rPr>
          <w:rFonts w:cs="Calibri"/>
        </w:rPr>
      </w:pPr>
      <w:r w:rsidRPr="002B6873">
        <w:rPr>
          <w:rFonts w:cs="Calibri"/>
        </w:rPr>
        <w:tab/>
      </w:r>
    </w:p>
    <w:p w14:paraId="2258DFA3" w14:textId="1DAD6247" w:rsidR="00DC5C59" w:rsidRPr="002B6873" w:rsidRDefault="0074514B" w:rsidP="00B5382B">
      <w:pPr>
        <w:pStyle w:val="Abstract"/>
        <w:spacing w:line="480" w:lineRule="auto"/>
        <w:ind w:firstLine="0"/>
        <w:jc w:val="both"/>
      </w:pPr>
      <w:r w:rsidRPr="002B6873">
        <w:rPr>
          <w:noProof/>
        </w:rPr>
        <w:lastRenderedPageBreak/>
        <w:drawing>
          <wp:inline distT="0" distB="0" distL="0" distR="0" wp14:anchorId="6D98771D" wp14:editId="3F57385E">
            <wp:extent cx="5572972" cy="5141606"/>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pilation-Sr-500-1050-other data diamond-Dashigou0.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2972" cy="5141606"/>
                    </a:xfrm>
                    <a:prstGeom prst="rect">
                      <a:avLst/>
                    </a:prstGeom>
                  </pic:spPr>
                </pic:pic>
              </a:graphicData>
            </a:graphic>
          </wp:inline>
        </w:drawing>
      </w:r>
    </w:p>
    <w:p w14:paraId="46882A5C" w14:textId="15537DDB" w:rsidR="00DC5C59" w:rsidRPr="002B6873" w:rsidRDefault="00DC5C59" w:rsidP="000E0904">
      <w:pPr>
        <w:pStyle w:val="FigureCaption"/>
        <w:spacing w:line="480" w:lineRule="auto"/>
        <w:jc w:val="both"/>
      </w:pPr>
      <w:r w:rsidRPr="002B6873">
        <w:t xml:space="preserve">Figure </w:t>
      </w:r>
      <w:r w:rsidR="00F23333" w:rsidRPr="002B6873">
        <w:t>2</w:t>
      </w:r>
      <w:r w:rsidRPr="002B6873">
        <w:t xml:space="preserve">. </w:t>
      </w:r>
      <w:r w:rsidR="00580776" w:rsidRPr="002B6873">
        <w:t xml:space="preserve">Isotopic evolution of Neoproterozoic seawater: </w:t>
      </w:r>
      <w:r w:rsidR="009D2571" w:rsidRPr="002B6873">
        <w:t>P</w:t>
      </w:r>
      <w:r w:rsidR="000E0904" w:rsidRPr="002B6873">
        <w:t xml:space="preserve">roposed </w:t>
      </w:r>
      <w:r w:rsidR="00580776" w:rsidRPr="002B6873">
        <w:t xml:space="preserve">Neoproterozoic </w:t>
      </w:r>
      <w:r w:rsidR="000E0904" w:rsidRPr="002B6873">
        <w:t xml:space="preserve">seawater </w:t>
      </w:r>
      <w:r w:rsidR="000E0904" w:rsidRPr="002B6873">
        <w:rPr>
          <w:vertAlign w:val="superscript"/>
        </w:rPr>
        <w:t>87</w:t>
      </w:r>
      <w:r w:rsidR="000E0904" w:rsidRPr="002B6873">
        <w:t>Sr/</w:t>
      </w:r>
      <w:r w:rsidR="000E0904" w:rsidRPr="002B6873">
        <w:rPr>
          <w:vertAlign w:val="superscript"/>
        </w:rPr>
        <w:t>86</w:t>
      </w:r>
      <w:r w:rsidR="000E0904" w:rsidRPr="002B6873">
        <w:t xml:space="preserve">Sr curve (black line with blue halo); </w:t>
      </w:r>
      <w:r w:rsidR="00580776" w:rsidRPr="002B6873">
        <w:t xml:space="preserve">a </w:t>
      </w:r>
      <w:r w:rsidR="000E0904" w:rsidRPr="002B6873">
        <w:t>new compilation of global carbonate δ</w:t>
      </w:r>
      <w:r w:rsidR="000E0904" w:rsidRPr="002B6873">
        <w:rPr>
          <w:vertAlign w:val="superscript"/>
        </w:rPr>
        <w:t>13</w:t>
      </w:r>
      <w:r w:rsidR="000E0904" w:rsidRPr="002B6873">
        <w:t xml:space="preserve">C (grey circles); </w:t>
      </w:r>
      <w:r w:rsidR="00580776" w:rsidRPr="002B6873">
        <w:t xml:space="preserve">an </w:t>
      </w:r>
      <w:r w:rsidR="000E0904" w:rsidRPr="002B6873">
        <w:t xml:space="preserve">updated LIPs record during 1050 – 500 Ma (the </w:t>
      </w:r>
      <w:r w:rsidR="00580776" w:rsidRPr="002B6873">
        <w:t xml:space="preserve">bar </w:t>
      </w:r>
      <w:r w:rsidR="000E0904" w:rsidRPr="002B6873">
        <w:t>height</w:t>
      </w:r>
      <w:r w:rsidR="00580776" w:rsidRPr="002B6873">
        <w:t>s</w:t>
      </w:r>
      <w:r w:rsidR="000E0904" w:rsidRPr="002B6873">
        <w:t xml:space="preserve"> indicate the size of the LIP); </w:t>
      </w:r>
      <w:r w:rsidR="00580776" w:rsidRPr="002B6873">
        <w:t xml:space="preserve">and </w:t>
      </w:r>
      <w:r w:rsidR="000E0904" w:rsidRPr="002B6873">
        <w:t>the supercontinent cycle during 1050 – 500 Ma</w:t>
      </w:r>
      <w:r w:rsidR="00A21862" w:rsidRPr="002B6873">
        <w:t xml:space="preserve"> </w:t>
      </w:r>
      <w:r w:rsidR="00580776" w:rsidRPr="002B6873">
        <w:fldChar w:fldCharType="begin" w:fldLock="1"/>
      </w:r>
      <w:r w:rsidR="00580776" w:rsidRPr="002B6873">
        <w:instrText>ADDIN CSL_CITATION {"citationItems":[{"id":"ITEM-1","itemData":{"DOI":"10.1016/j.earscirev.2008.08.001","ISBN":"0012-8252","ISSN":"00128252","PMID":"3353","abstract":"Passive margins have existed somewhere on Earth almost continually since 2740??Ma. They were abundant at 1900-1890, 610-520, and 150-0??Ma, scarce at ca. 2445-2300, 1600-1000, and 300-275??Ma, and absent before ca. 3000??Ma and at 1740-1600. The fluctuations in abundance of passive margins track the first-order fluctuations of the independently derived seawater 87Sr/86Sr secular curve, and the compilation thus appears to be robust. The 76 ancient passive margins for which lifespans could be measured have a mean lifespan of 181??m.y. The world-record holder, with a lifespan of 590??m.y., is the Mesoproterozoic eastern margin of the Siberian craton. Subdivided into natural age groups, mean lifespans are 186??m.y. for the Archean to Paleoproterozoic, 394??m.y. for the Mesoproterozoic, 180??m.y. for the Neoproterozoic, 137??m.y. for the Cambrian to Carboniferous, and 130??m.y. for the Permian to Neogene. The present-day passive margins, which are not yet finished with their lifespans, have a mean age of 104??m.y. and a maximum age of 180??m.y. On average, Precambrian margins thus had longer, not shorter, lifespans than Phanerozoic ones-and this remains the case even discounting all post-300??Ma margins, most of which have time left. Longer lifespans deeper in the past is at odds with the widely held notion that the tempo of plate tectonics was faster in the Precambrian than at present. It is entirely consistent, however, with recent modeling by Korenaga [Korenaga, J., 2004. Archean geodynamics and thermal evolution of Earth. Archean Geodynamics and Environments, AGU Geophysical Monograph Series 164, 7-32], which showed that plate tectonics was more sluggish in the Precambrian. The abundance of passive margins clearly tracks the assembly, tenure, and breakup of Pangea. Earlier parts of the hypothesized supercontinent cycle, however, are only partly consistent with the documented abundance of passive margins. The passive-margin record is not obviously consistent with the proposed breakup of Nuna (Columbia), the assembly of Rodinia, or the assembly or breakup of the putative Pannotia. An alternative model is put forth involving (a) formation of two or more supercratons during the late Paleoproterozoic, (b) a Mesoproterozoic interval dominated by lateral accretion of arcs rather than by continental breakup and dispersal, (c) wholesale collision to form Rodinia by the end of the Mesoproterozoic, and (d) staged breakup of Rodinia through much of the Neoproterozoic.","author":[{"dropping-particle":"","family":"Bradley","given":"Dwight C.","non-dropping-particle":"","parse-names":false,"suffix":""}],"container-title":"Earth-Science Reviews","id":"ITEM-1","issue":"1-4","issued":{"date-parts":[["2008"]]},"page":"1-26","title":"Passive margins through earth history","type":"article-journal","volume":"91"},"uris":["http://www.mendeley.com/documents/?uuid=6445b986-6fbc-4f6b-a8ba-45926385dadc"]}],"mendeley":{"formattedCitation":"(Bradley, 2008)","plainTextFormattedCitation":"(Bradley, 2008)","previouslyFormattedCitation":"(Bradley, 2008)"},"properties":{"noteIndex":0},"schema":"https://github.com/citation-style-language/schema/raw/master/csl-citation.json"}</w:instrText>
      </w:r>
      <w:r w:rsidR="00580776" w:rsidRPr="002B6873">
        <w:fldChar w:fldCharType="separate"/>
      </w:r>
      <w:r w:rsidR="00580776" w:rsidRPr="002B6873">
        <w:rPr>
          <w:noProof/>
        </w:rPr>
        <w:t>(Bradley, 2008)</w:t>
      </w:r>
      <w:r w:rsidR="00580776" w:rsidRPr="002B6873">
        <w:fldChar w:fldCharType="end"/>
      </w:r>
      <w:r w:rsidR="00580776" w:rsidRPr="002B6873">
        <w:t xml:space="preserve">. </w:t>
      </w:r>
      <w:r w:rsidR="000E0904" w:rsidRPr="002B6873">
        <w:t>The light blue columns in the background mark three known glaciations</w:t>
      </w:r>
      <w:r w:rsidR="00580776" w:rsidRPr="002B6873">
        <w:t xml:space="preserve">; </w:t>
      </w:r>
      <w:r w:rsidR="000E0904" w:rsidRPr="002B6873">
        <w:t xml:space="preserve">from old to young: </w:t>
      </w:r>
      <w:proofErr w:type="spellStart"/>
      <w:r w:rsidR="000E0904" w:rsidRPr="002B6873">
        <w:t>Sturtian</w:t>
      </w:r>
      <w:proofErr w:type="spellEnd"/>
      <w:r w:rsidR="000E0904" w:rsidRPr="002B6873">
        <w:t xml:space="preserve">, </w:t>
      </w:r>
      <w:proofErr w:type="spellStart"/>
      <w:r w:rsidR="000E0904" w:rsidRPr="002B6873">
        <w:t>Marinoan</w:t>
      </w:r>
      <w:proofErr w:type="spellEnd"/>
      <w:r w:rsidR="000E0904" w:rsidRPr="002B6873">
        <w:t xml:space="preserve"> and </w:t>
      </w:r>
      <w:proofErr w:type="spellStart"/>
      <w:r w:rsidR="000E0904" w:rsidRPr="002B6873">
        <w:t>Gaskiers</w:t>
      </w:r>
      <w:proofErr w:type="spellEnd"/>
      <w:r w:rsidR="000E0904" w:rsidRPr="002B6873">
        <w:t>.</w:t>
      </w:r>
      <w:r w:rsidR="000E0904" w:rsidRPr="002B6873">
        <w:rPr>
          <w:b/>
          <w:sz w:val="22"/>
          <w:szCs w:val="22"/>
        </w:rPr>
        <w:t xml:space="preserve"> </w:t>
      </w:r>
      <w:r w:rsidRPr="002B6873">
        <w:t xml:space="preserve">The updated compilation of Large Igneous Provinces from </w:t>
      </w:r>
      <w:r w:rsidR="00DA3DC2" w:rsidRPr="002B6873">
        <w:t xml:space="preserve">1050 </w:t>
      </w:r>
      <w:r w:rsidRPr="002B6873">
        <w:t xml:space="preserve">– 500 Ma </w:t>
      </w:r>
      <w:r w:rsidR="00580776" w:rsidRPr="002B6873">
        <w:t xml:space="preserve">is </w:t>
      </w:r>
      <w:r w:rsidRPr="002B6873">
        <w:t xml:space="preserve">based on </w:t>
      </w:r>
      <w:r w:rsidRPr="002B6873">
        <w:fldChar w:fldCharType="begin" w:fldLock="1"/>
      </w:r>
      <w:r w:rsidR="00B6451A" w:rsidRPr="002B6873">
        <w:instrText>ADDIN CSL_CITATION {"citationItems":[{"id":"ITEM-1","itemData":{"DOI":"10.1016/j.precamres.2007.04.019","ISBN":"0301-9268","ISSN":"03019268","abstract":"Large igneous provinces (LIPs) are commonly associated with breakup of continents, and therefore, are a critical source of information to constrain paleocontinental reconstructions. We review the record of LIPs emplaced during the 1600-700 Ma interval. Regional-scale magmatic events at 1460, 1380, and 1280 Ma can be associated with the breakup of the proposed late-Paleoproterozoic supercontinent, Nuna (Columbia), events at 1300-900 Ma overlap with the assembly of Rodinia, and events at 825, 800, 780, 755, and possibly 720 Ma, are associated with the breakup of Rodinia. Furthermore, the extensional events at 1000 and 900 Ma are associated with breakups suggesting simultaneous assembly and breakup of different parts of the supercontinent. The possibility of spatially separated (independent) LIPs having the same age complicates the use of LIPs to constrain specific aspects of reconstructions. This study identifies such spatially separated but coeval LIPs at 1460, 1380, 1270, and 1115-1070 Ma (and possibly at 825, 780, and 755 Ma). Regionally grouped LIPs, possibly representing superplume events, are recognized at 825-755 Ma, and at 1280-1235 Ma. The use of the LIP record to assist the reconstruction of Rodinia will improve as numerous remaining poorly characterized magmatic units are dated using precise methods. ?? 2007 Elsevier B.V. All rights reserved.","author":[{"dropping-particle":"","family":"Ernst","given":"R. E.","non-dropping-particle":"","parse-names":false,"suffix":""},{"dropping-particle":"","family":"Wingate","given":"M. T D","non-dropping-particle":"","parse-names":false,"suffix":""},{"dropping-particle":"","family":"Buchan","given":"K. L.","non-dropping-particle":"","parse-names":false,"suffix":""},{"dropping-particle":"","family":"Li","given":"Z. X.","non-dropping-particle":"","parse-names":false,"suffix":""}],"container-title":"Precambrian Research","id":"ITEM-1","issue":"1-2","issued":{"date-parts":[["2008"]]},"page":"159-178","title":"Global record of 1600-700 Ma Large Igneous Provinces (LIPs): Implications for the reconstruction of the proposed Nuna (Columbia) and Rodinia supercontinents","type":"article-journal","volume":"160"},"uris":["http://www.mendeley.com/documents/?uuid=969e8697-91a9-417d-a021-1a0f9e1a6131"]}],"mendeley":{"formattedCitation":"(Ernst et al., 2008)","plainTextFormattedCitation":"(Ernst et al., 2008)","previouslyFormattedCitation":"(Ernst et al., 2008)"},"properties":{"noteIndex":0},"schema":"https://github.com/citation-style-language/schema/raw/master/csl-citation.json"}</w:instrText>
      </w:r>
      <w:r w:rsidRPr="002B6873">
        <w:fldChar w:fldCharType="separate"/>
      </w:r>
      <w:r w:rsidRPr="002B6873">
        <w:rPr>
          <w:noProof/>
        </w:rPr>
        <w:t>(Ernst et al., 2008)</w:t>
      </w:r>
      <w:r w:rsidRPr="002B6873">
        <w:fldChar w:fldCharType="end"/>
      </w:r>
      <w:r w:rsidRPr="002B6873">
        <w:t xml:space="preserve"> and an updated compilation at </w:t>
      </w:r>
      <w:hyperlink r:id="rId11" w:history="1">
        <w:r w:rsidRPr="002B6873">
          <w:t>http://www.largeigneousprovinces.org/</w:t>
        </w:r>
      </w:hyperlink>
      <w:r w:rsidRPr="002B6873">
        <w:t>. Additionally, the size</w:t>
      </w:r>
      <w:r w:rsidR="00B14B08" w:rsidRPr="002B6873">
        <w:t>s</w:t>
      </w:r>
      <w:r w:rsidRPr="002B6873">
        <w:t xml:space="preserve"> of the </w:t>
      </w:r>
      <w:r w:rsidR="00B14B08" w:rsidRPr="002B6873">
        <w:t xml:space="preserve">~920 Ma </w:t>
      </w:r>
      <w:proofErr w:type="spellStart"/>
      <w:r w:rsidRPr="002B6873">
        <w:t>Dashigou</w:t>
      </w:r>
      <w:proofErr w:type="spellEnd"/>
      <w:r w:rsidRPr="002B6873">
        <w:t xml:space="preserve"> LIP </w:t>
      </w:r>
      <w:r w:rsidR="00B14B08" w:rsidRPr="002B6873">
        <w:t xml:space="preserve">and the Bahia – </w:t>
      </w:r>
      <w:proofErr w:type="spellStart"/>
      <w:r w:rsidR="00B14B08" w:rsidRPr="002B6873">
        <w:t>Ganila</w:t>
      </w:r>
      <w:proofErr w:type="spellEnd"/>
      <w:r w:rsidR="00B14B08" w:rsidRPr="002B6873">
        <w:t xml:space="preserve"> LIP </w:t>
      </w:r>
      <w:r w:rsidRPr="002B6873">
        <w:t>w</w:t>
      </w:r>
      <w:r w:rsidR="00B14B08" w:rsidRPr="002B6873">
        <w:t>ere</w:t>
      </w:r>
      <w:r w:rsidRPr="002B6873">
        <w:t xml:space="preserve"> </w:t>
      </w:r>
      <w:r w:rsidR="00580776" w:rsidRPr="002B6873">
        <w:t xml:space="preserve">taken </w:t>
      </w:r>
      <w:r w:rsidRPr="002B6873">
        <w:lastRenderedPageBreak/>
        <w:t xml:space="preserve">from </w:t>
      </w:r>
      <w:r w:rsidR="00D1092B" w:rsidRPr="002B6873">
        <w:t xml:space="preserve">Peng et al. </w:t>
      </w:r>
      <w:r w:rsidR="00D1092B" w:rsidRPr="002B6873">
        <w:rPr>
          <w:noProof/>
        </w:rPr>
        <w:fldChar w:fldCharType="begin" w:fldLock="1"/>
      </w:r>
      <w:r w:rsidR="00D1092B" w:rsidRPr="002B6873">
        <w:rPr>
          <w:noProof/>
        </w:rPr>
        <w:instrText>ADDIN CSL_CITATION {"citationItems":[{"id":"ITEM-1","itemData":{"DOI":"10.1016/j.lithos.2011.08.018","ISSN":"00244937","abstract":"Numerous Neoproterozoic mafic dykes, referred to as the Dashigou swarm, are identified in the central and southeastern parts of the North China craton (NCC). They are 305–010° trending dykes, with widths of ~10–100m and exposed lengths of several to &gt;10km. Precise U–Pb isotope dilution thermal ionization mass spectrometry (ID-TIMS) measurements on baddeleyite grains separated from three dykes yield 207Pb/206Pb average ages of 924.0±3.7Ma (Dashigou dyke), 921.8±2.6Ma (Yangjiaogou dyke) and 925.8±1.7Ma (Taohuagou dyke). Baddeleyite grains from a late-stage pegmatite vein in the Dashigou dyke were analyzed by secondary ion mass spectrometry (SIMS) methods. These yield a 207Pb/206Pb average age of 920.4±5.7Ma. The Dashigou dyke swarm exhibits an overall radiating geometry (the overall fan angle is about 60°), with a focal point located along the southern margin of the eastern NCC, where a large ca. 900Ma sill swarm was previously recognized. The rift system hosting these slightly younger sills, named the Xu–Huai Rift System, could represent two breakup-parallel arms of a rift–rift–rift triple junction related to the initiation of the magma center that produced the Dashigou dykes. The sills have similar characteristics and could be cogenetic with the Dashigou dykes. The Dashigou dykes are coarse-grained, composed mainly of clinopyroxene and plagioclase feldspar, with or without olivine. One of the most primitive dykes has 47.79wt.% SiO2, 6.41wt.% MgO, 1.38wt.% TiO2, 17.77wt.% Al2O3, 10.47wt.% CaO and 0.62wt.% K2O. It shows slight enrichment in light rare earth elements and a slightly positiveEu/Eu* anomaly (1.1), and is slightly depleted in high field-strength elements compared to neighboring elements on a primitive mantle-normalized spidergram. The Dashigou dykes show some similarities with enriched-mid ocean ridge basalts (E-MORB) or ocean island basalts (OIB) and have εNdt values of +1.8 to +3.1 and 87Sr/86Srt values of 0.7019–0.7047 (t=920Ma). All these characteristics indicate that they are not likely derived from the ancient lithospheric mantle under the NCC, but rather from a mantle source below, in the asthenosphere. This 925–900Ma magmatism represents a second sub-lithospheric mantle upwelling event following the 1780–1730Ma event that occurred shortly (~70Ma) after the formation of the subcontinental lithospheric mantle (SCLM). Therefore the SCLM of the NCC was multiply metasomatized during asthenospheric upwellings (at least at 1780–1730 and 925–9…","author":[{"dropping-particle":"","family":"Peng","given":"Peng","non-dropping-particle":"","parse-names":false,"suffix":""},{"dropping-particle":"","family":"Bleeker","given":"Wouter","non-dropping-particle":"","parse-names":false,"suffix":""},{"dropping-particle":"","family":"Ernst","given":"Richard E.","non-dropping-particle":"","parse-names":false,"suffix":""},{"dropping-particle":"","family":"Söderlund","given":"Ulf","non-dropping-particle":"","parse-names":false,"suffix":""},{"dropping-particle":"","family":"McNicoll","given":"Vicki","non-dropping-particle":"","parse-names":false,"suffix":""}],"container-title":"Lithos","id":"ITEM-1","issue":"1-2","issued":{"date-parts":[["2011","11"]]},"page":"210-221","title":"U–Pb baddeleyite ages, distribution and geochemistry of 925Ma mafic dykes and 900Ma sills in the North China craton: Evidence for a Neoproterozoic mantle plume","type":"article-journal","volume":"127"},"suppress-author":1,"uris":["http://www.mendeley.com/documents/?uuid=58813394-a53b-4ed6-9d05-8ff7517cf2e3"]}],"mendeley":{"formattedCitation":"(2011)","plainTextFormattedCitation":"(2011)","previouslyFormattedCitation":"(2011)"},"properties":{"noteIndex":0},"schema":"https://github.com/citation-style-language/schema/raw/master/csl-citation.json"}</w:instrText>
      </w:r>
      <w:r w:rsidR="00D1092B" w:rsidRPr="002B6873">
        <w:rPr>
          <w:noProof/>
        </w:rPr>
        <w:fldChar w:fldCharType="separate"/>
      </w:r>
      <w:r w:rsidR="00D1092B" w:rsidRPr="002B6873">
        <w:rPr>
          <w:noProof/>
        </w:rPr>
        <w:t>(2011)</w:t>
      </w:r>
      <w:r w:rsidR="00D1092B" w:rsidRPr="002B6873">
        <w:rPr>
          <w:noProof/>
        </w:rPr>
        <w:fldChar w:fldCharType="end"/>
      </w:r>
      <w:r w:rsidR="00D1092B" w:rsidRPr="002B6873">
        <w:rPr>
          <w:noProof/>
        </w:rPr>
        <w:t xml:space="preserve"> </w:t>
      </w:r>
      <w:r w:rsidR="00D1092B" w:rsidRPr="002B6873">
        <w:t xml:space="preserve">and Chaves et al.  </w:t>
      </w:r>
      <w:r w:rsidR="00D1092B" w:rsidRPr="002B6873">
        <w:fldChar w:fldCharType="begin" w:fldLock="1"/>
      </w:r>
      <w:r w:rsidR="006C649E" w:rsidRPr="002B6873">
        <w:instrText>ADDIN CSL_CITATION {"citationItems":[{"id":"ITEM-1","itemData":{"DOI":"10.1016/j.precamres.2018.08.023","ISSN":"0301-9268","author":[{"dropping-particle":"","family":"Chaves","given":"Alexandre De Oliveira","non-dropping-particle":"","parse-names":false,"suffix":""},{"dropping-particle":"","family":"Ernst","given":"Richard E","non-dropping-particle":"","parse-names":false,"suffix":""},{"dropping-particle":"","family":"Söderlund","given":"Ulf","non-dropping-particle":"","parse-names":false,"suffix":""},{"dropping-particle":"","family":"Wang","given":"Xinping","non-dropping-particle":"","parse-names":false,"suffix":""},{"dropping-particle":"","family":"Naeraa","given":"Tomas","non-dropping-particle":"","parse-names":false,"suffix":""}],"container-title":"Precambrian Research","id":"ITEM-1","issue":"July","issued":{"date-parts":[["2018"]]},"page":"0-1","publisher":"Elsevier","title":"The 920 – 900 Ma Bahia-Gangila LIP of the São Francisco and Congo cratons and link with Dashigou-Chulan LIP of North China craton : New insights from U-Pb geochronology and geochemistry","type":"article-journal"},"suppress-author":1,"uris":["http://www.mendeley.com/documents/?uuid=3f660b02-18f8-42d6-8955-24bf3969100d","http://www.mendeley.com/documents/?uuid=7aa6809f-5633-4cb4-a185-6abd0ab779b6"]}],"mendeley":{"formattedCitation":"(2018)","plainTextFormattedCitation":"(2018)","previouslyFormattedCitation":"(2018)"},"properties":{"noteIndex":0},"schema":"https://github.com/citation-style-language/schema/raw/master/csl-citation.json"}</w:instrText>
      </w:r>
      <w:r w:rsidR="00D1092B" w:rsidRPr="002B6873">
        <w:fldChar w:fldCharType="separate"/>
      </w:r>
      <w:r w:rsidR="00D1092B" w:rsidRPr="002B6873">
        <w:rPr>
          <w:noProof/>
        </w:rPr>
        <w:t>(2018)</w:t>
      </w:r>
      <w:r w:rsidR="00D1092B" w:rsidRPr="002B6873">
        <w:fldChar w:fldCharType="end"/>
      </w:r>
      <w:r w:rsidR="00A21862" w:rsidRPr="002B6873">
        <w:t xml:space="preserve"> (</w:t>
      </w:r>
      <w:r w:rsidR="00580776" w:rsidRPr="002B6873">
        <w:t xml:space="preserve">for more detail </w:t>
      </w:r>
      <w:r w:rsidR="00A21862" w:rsidRPr="002B6873">
        <w:t>see Fig</w:t>
      </w:r>
      <w:r w:rsidR="009D2571" w:rsidRPr="002B6873">
        <w:t>.</w:t>
      </w:r>
      <w:r w:rsidR="00A21862" w:rsidRPr="002B6873">
        <w:t xml:space="preserve"> S</w:t>
      </w:r>
      <w:r w:rsidR="00DA3DC2" w:rsidRPr="002B6873">
        <w:t>3</w:t>
      </w:r>
      <w:r w:rsidR="00A21862" w:rsidRPr="002B6873">
        <w:t>.)</w:t>
      </w:r>
      <w:r w:rsidRPr="002B6873">
        <w:t xml:space="preserve">. </w:t>
      </w:r>
      <w:r w:rsidR="00936663" w:rsidRPr="002B6873">
        <w:t xml:space="preserve">For the </w:t>
      </w:r>
      <w:r w:rsidR="00B6451A" w:rsidRPr="002B6873">
        <w:t>δ</w:t>
      </w:r>
      <w:r w:rsidR="00B6451A" w:rsidRPr="002B6873">
        <w:rPr>
          <w:vertAlign w:val="superscript"/>
        </w:rPr>
        <w:t>13</w:t>
      </w:r>
      <w:r w:rsidR="00B6451A" w:rsidRPr="002B6873">
        <w:t xml:space="preserve">C data, the grey circles are published data, compiled by Cox et al. </w:t>
      </w:r>
      <w:r w:rsidR="00B6451A" w:rsidRPr="002B6873">
        <w:fldChar w:fldCharType="begin" w:fldLock="1"/>
      </w:r>
      <w:r w:rsidR="00553FE4" w:rsidRPr="002B6873">
        <w:instrText>ADDIN CSL_CITATION {"citationItems":[{"id":"ITEM-1","itemData":{"DOI":"10.1016/j.epsl.2016.04.016","ISSN":"0012821X","author":[{"dropping-particle":"","family":"Cox","given":"Grant M.","non-dropping-particle":"","parse-names":false,"suffix":""},{"dropping-particle":"","family":"Halverson","given":"Galen P.","non-dropping-particle":"","parse-names":false,"suffix":""},{"dropping-particle":"","family":"Stevenson","given":"Ross K.","non-dropping-particle":"","parse-names":false,"suffix":""},{"dropping-particle":"","family":"Vokaty","given":"Michelle","non-dropping-particle":"","parse-names":false,"suffix":""},{"dropping-particle":"","family":"Poirier","given":"André","non-dropping-particle":"","parse-names":false,"suffix":""},{"dropping-particle":"","family":"Kunzmann","given":"Marcus","non-dropping-particle":"","parse-names":false,"suffix":""},{"dropping-particle":"","family":"Li","given":"Zheng-Xiang","non-dropping-particle":"","parse-names":false,"suffix":""},{"dropping-particle":"","family":"Denyszyn","given":"Steven W.","non-dropping-particle":"","parse-names":false,"suffix":""},{"dropping-particle":"V.","family":"Strauss","given":"Justin","non-dropping-particle":"","parse-names":false,"suffix":""},{"dropping-particle":"","family":"Macdonald","given":"Francis A.","non-dropping-particle":"","parse-names":false,"suffix":""}],"container-title":"Earth and Planetary Science Letters","id":"ITEM-1","issued":{"date-parts":[["2016"]]},"page":"89-99","publisher":"Elsevier B.V.","title":"Continental flood basalt weathering as a trigger for Neoproterozoic Snowball Earth","type":"article-journal","volume":"446"},"suppress-author":1,"uris":["http://www.mendeley.com/documents/?uuid=65000289-9478-4d66-8374-04a39b6f4266"]}],"mendeley":{"formattedCitation":"(2016)","plainTextFormattedCitation":"(2016)","previouslyFormattedCitation":"(2016)"},"properties":{"noteIndex":0},"schema":"https://github.com/citation-style-language/schema/raw/master/csl-citation.json"}</w:instrText>
      </w:r>
      <w:r w:rsidR="00B6451A" w:rsidRPr="002B6873">
        <w:fldChar w:fldCharType="separate"/>
      </w:r>
      <w:r w:rsidR="00B6451A" w:rsidRPr="002B6873">
        <w:rPr>
          <w:noProof/>
        </w:rPr>
        <w:t>(2016)</w:t>
      </w:r>
      <w:r w:rsidR="00B6451A" w:rsidRPr="002B6873">
        <w:fldChar w:fldCharType="end"/>
      </w:r>
      <w:r w:rsidR="00B6451A" w:rsidRPr="002B6873">
        <w:t xml:space="preserve">; green </w:t>
      </w:r>
      <w:r w:rsidR="00096C16" w:rsidRPr="002B6873">
        <w:t xml:space="preserve">circles </w:t>
      </w:r>
      <w:r w:rsidR="00B6451A" w:rsidRPr="002B6873">
        <w:t>are data from Xiao et al. (2014); red circles are from this study.</w:t>
      </w:r>
      <w:r w:rsidR="00D37AF2" w:rsidRPr="002B6873">
        <w:t xml:space="preserve"> </w:t>
      </w:r>
      <w:r w:rsidR="00936663" w:rsidRPr="002B6873">
        <w:t xml:space="preserve">For the </w:t>
      </w:r>
      <w:r w:rsidR="00D37AF2" w:rsidRPr="002B6873">
        <w:rPr>
          <w:vertAlign w:val="superscript"/>
        </w:rPr>
        <w:t>87</w:t>
      </w:r>
      <w:r w:rsidR="00D37AF2" w:rsidRPr="002B6873">
        <w:t>Sr/</w:t>
      </w:r>
      <w:r w:rsidR="00D37AF2" w:rsidRPr="002B6873">
        <w:rPr>
          <w:vertAlign w:val="superscript"/>
        </w:rPr>
        <w:t>86</w:t>
      </w:r>
      <w:r w:rsidR="00D37AF2" w:rsidRPr="002B6873">
        <w:t>Sr data, the red stars are data from this study; detail</w:t>
      </w:r>
      <w:r w:rsidR="00936663" w:rsidRPr="002B6873">
        <w:t>s</w:t>
      </w:r>
      <w:r w:rsidR="00D37AF2" w:rsidRPr="002B6873">
        <w:t xml:space="preserve"> of all other data can be found in Cox et al. (2016).</w:t>
      </w:r>
    </w:p>
    <w:p w14:paraId="70CDE376" w14:textId="77777777" w:rsidR="00E220EB" w:rsidRPr="002B6873" w:rsidRDefault="00E220EB" w:rsidP="000E0904">
      <w:pPr>
        <w:pStyle w:val="FigureCaption"/>
        <w:spacing w:line="480" w:lineRule="auto"/>
        <w:jc w:val="both"/>
      </w:pPr>
    </w:p>
    <w:p w14:paraId="6F231840" w14:textId="77777777" w:rsidR="001A6DC4" w:rsidRPr="002B6873" w:rsidRDefault="001A6DC4" w:rsidP="002129F4">
      <w:pPr>
        <w:pStyle w:val="AcknowledgmentHead"/>
        <w:spacing w:line="480" w:lineRule="auto"/>
      </w:pPr>
      <w:r w:rsidRPr="002B6873">
        <w:t>ACKNOWLEDGMENTS</w:t>
      </w:r>
    </w:p>
    <w:p w14:paraId="306648C9" w14:textId="468D6691" w:rsidR="00D37AF2" w:rsidRPr="002B6873" w:rsidRDefault="002311CE" w:rsidP="00D37AF2">
      <w:pPr>
        <w:pStyle w:val="Abstract"/>
        <w:spacing w:line="480" w:lineRule="auto"/>
        <w:jc w:val="both"/>
      </w:pPr>
      <w:r w:rsidRPr="002B6873">
        <w:t>This study has been supported by the NERC</w:t>
      </w:r>
      <w:r w:rsidRPr="002B6873">
        <w:rPr>
          <w:lang w:val="en-GB"/>
        </w:rPr>
        <w:t xml:space="preserve"> </w:t>
      </w:r>
      <w:r w:rsidRPr="002B6873">
        <w:t>-</w:t>
      </w:r>
      <w:r w:rsidRPr="002B6873">
        <w:rPr>
          <w:lang w:val="en-GB"/>
        </w:rPr>
        <w:t xml:space="preserve"> NSFC co-</w:t>
      </w:r>
      <w:r w:rsidRPr="002B6873">
        <w:t xml:space="preserve">funded research </w:t>
      </w:r>
      <w:proofErr w:type="spellStart"/>
      <w:r w:rsidRPr="002B6873">
        <w:t>programme</w:t>
      </w:r>
      <w:proofErr w:type="spellEnd"/>
      <w:r w:rsidRPr="002B6873">
        <w:t xml:space="preserve">: Co-Evolution of Life and the Planet and </w:t>
      </w:r>
      <w:r w:rsidRPr="002B6873">
        <w:rPr>
          <w:lang w:val="en-GB"/>
        </w:rPr>
        <w:t>project ‘</w:t>
      </w:r>
      <w:r w:rsidRPr="002B6873">
        <w:rPr>
          <w:rFonts w:cs="Minion Pro"/>
        </w:rPr>
        <w:t>Re-inventing the planet: the Neoproterozoic revolution in oxygenation, biogeochemistry and biological complexity’</w:t>
      </w:r>
      <w:r w:rsidRPr="002B6873">
        <w:rPr>
          <w:lang w:val="en-GB"/>
        </w:rPr>
        <w:t>’ (NE/1005978/1 to GS &amp; NSFC 41661134048 to MZ), and Strategic Priority Research Program (B) of the Chinese Academy of Sciences (CAS) (XDB18000000) to MZ</w:t>
      </w:r>
      <w:r w:rsidR="00053B7A" w:rsidRPr="002B6873">
        <w:rPr>
          <w:lang w:val="en-GB"/>
        </w:rPr>
        <w:t xml:space="preserve">. The lead author acknowledges </w:t>
      </w:r>
      <w:proofErr w:type="spellStart"/>
      <w:r w:rsidR="00D37AF2" w:rsidRPr="002B6873">
        <w:t>Xiaoming</w:t>
      </w:r>
      <w:proofErr w:type="spellEnd"/>
      <w:r w:rsidR="00D37AF2" w:rsidRPr="002B6873">
        <w:t xml:space="preserve"> Chen, Jing Liu </w:t>
      </w:r>
      <w:r w:rsidR="00053B7A" w:rsidRPr="002B6873">
        <w:t>(</w:t>
      </w:r>
      <w:r w:rsidR="00500E19" w:rsidRPr="002B6873">
        <w:t xml:space="preserve">Stable Isotope lab, </w:t>
      </w:r>
      <w:r w:rsidR="00D37AF2" w:rsidRPr="002B6873">
        <w:t xml:space="preserve">Nanjing Institute of Geology and </w:t>
      </w:r>
      <w:proofErr w:type="spellStart"/>
      <w:r w:rsidR="00D37AF2" w:rsidRPr="002B6873">
        <w:t>Palaeontology</w:t>
      </w:r>
      <w:proofErr w:type="spellEnd"/>
      <w:r w:rsidR="00053B7A" w:rsidRPr="002B6873">
        <w:t>)</w:t>
      </w:r>
      <w:r w:rsidR="00D37AF2" w:rsidRPr="002B6873">
        <w:t>, Gary Tarbuck and Anne-Lise Jo</w:t>
      </w:r>
      <w:r w:rsidR="00053B7A" w:rsidRPr="002B6873">
        <w:t>u</w:t>
      </w:r>
      <w:r w:rsidR="00D37AF2" w:rsidRPr="002B6873">
        <w:t xml:space="preserve">rdan </w:t>
      </w:r>
      <w:r w:rsidR="00053B7A" w:rsidRPr="002B6873">
        <w:t>(</w:t>
      </w:r>
      <w:r w:rsidR="007E3024" w:rsidRPr="002B6873">
        <w:t>UCL</w:t>
      </w:r>
      <w:r w:rsidR="008C03FC" w:rsidRPr="002B6873">
        <w:t xml:space="preserve">) </w:t>
      </w:r>
      <w:r w:rsidR="007E3024" w:rsidRPr="002B6873">
        <w:t>for their technical support</w:t>
      </w:r>
      <w:r w:rsidR="00053B7A" w:rsidRPr="002B6873">
        <w:t xml:space="preserve">, and </w:t>
      </w:r>
      <w:proofErr w:type="spellStart"/>
      <w:r w:rsidR="00D37AF2" w:rsidRPr="002B6873">
        <w:t>Zhengxiao</w:t>
      </w:r>
      <w:proofErr w:type="spellEnd"/>
      <w:r w:rsidR="00D37AF2" w:rsidRPr="002B6873">
        <w:t xml:space="preserve"> Guo</w:t>
      </w:r>
      <w:r w:rsidR="00053B7A" w:rsidRPr="002B6873">
        <w:t xml:space="preserve"> (</w:t>
      </w:r>
      <w:r w:rsidR="00D37AF2" w:rsidRPr="002B6873">
        <w:t>UCL</w:t>
      </w:r>
      <w:r w:rsidR="00053B7A" w:rsidRPr="002B6873">
        <w:t xml:space="preserve">) </w:t>
      </w:r>
      <w:r w:rsidR="00D37AF2" w:rsidRPr="002B6873">
        <w:t xml:space="preserve">for </w:t>
      </w:r>
      <w:r w:rsidR="00053B7A" w:rsidRPr="002B6873">
        <w:t>his supervisory role</w:t>
      </w:r>
      <w:r w:rsidR="00D37AF2" w:rsidRPr="002B6873">
        <w:t xml:space="preserve">.  </w:t>
      </w:r>
    </w:p>
    <w:p w14:paraId="5F031279" w14:textId="77777777" w:rsidR="004A1715" w:rsidRPr="002B6873" w:rsidRDefault="004A1715" w:rsidP="002129F4">
      <w:pPr>
        <w:pStyle w:val="AcknowledgmentHead"/>
        <w:spacing w:line="480" w:lineRule="auto"/>
      </w:pPr>
    </w:p>
    <w:p w14:paraId="13E8826D" w14:textId="77777777" w:rsidR="001A6DC4" w:rsidRPr="002B6873" w:rsidRDefault="001A6DC4" w:rsidP="002129F4">
      <w:pPr>
        <w:pStyle w:val="ReferenceHead"/>
        <w:spacing w:line="480" w:lineRule="auto"/>
      </w:pPr>
      <w:r w:rsidRPr="002B6873">
        <w:t>REFERENCES CITED</w:t>
      </w:r>
    </w:p>
    <w:p w14:paraId="7E0297B0" w14:textId="4691F756" w:rsidR="00875CB4" w:rsidRPr="002B6873" w:rsidRDefault="00613986" w:rsidP="00875CB4">
      <w:pPr>
        <w:widowControl w:val="0"/>
        <w:autoSpaceDE w:val="0"/>
        <w:autoSpaceDN w:val="0"/>
        <w:adjustRightInd w:val="0"/>
        <w:spacing w:line="480" w:lineRule="auto"/>
        <w:ind w:left="480" w:hanging="480"/>
        <w:rPr>
          <w:noProof/>
        </w:rPr>
      </w:pPr>
      <w:r w:rsidRPr="002B6873">
        <w:rPr>
          <w:rFonts w:eastAsia="Times New Roman"/>
        </w:rPr>
        <w:fldChar w:fldCharType="begin" w:fldLock="1"/>
      </w:r>
      <w:r w:rsidRPr="002B6873">
        <w:rPr>
          <w:rFonts w:eastAsia="Times New Roman"/>
        </w:rPr>
        <w:instrText xml:space="preserve">ADDIN Mendeley Bibliography CSL_BIBLIOGRAPHY </w:instrText>
      </w:r>
      <w:r w:rsidRPr="002B6873">
        <w:rPr>
          <w:rFonts w:eastAsia="Times New Roman"/>
        </w:rPr>
        <w:fldChar w:fldCharType="separate"/>
      </w:r>
      <w:r w:rsidR="00875CB4" w:rsidRPr="002B6873">
        <w:rPr>
          <w:noProof/>
        </w:rPr>
        <w:t>Bailey, T.R., McArthur, J.M., Prince, H., and Thirlwall, M.F., 2000, Dissolution methods for strontium isotope stratigraphy: Whole rock analysis: Chemical Geology, v. 167, p. 313–319, doi: 10.1016/S0009-2541(99)00235-1.</w:t>
      </w:r>
    </w:p>
    <w:p w14:paraId="448233F2"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Bradley, D.C., 2008, Passive margins through earth history: Earth-Science Reviews, v. 91, p. 1–26, doi: 10.1016/j.earscirev.2008.08.001.</w:t>
      </w:r>
    </w:p>
    <w:p w14:paraId="520FB23D"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 xml:space="preserve">Brand, U., 2004, Carbon, oxygen and strontium isotopes in Paleozoic carbonate components: An evaluation of original seawater-chemistry proxies: Chemical Geology, v. 204, p. 23–44, doi: </w:t>
      </w:r>
      <w:r w:rsidRPr="002B6873">
        <w:rPr>
          <w:noProof/>
        </w:rPr>
        <w:lastRenderedPageBreak/>
        <w:t>10.1016/j.chemgeo.2003.10.013.</w:t>
      </w:r>
    </w:p>
    <w:p w14:paraId="3F35BA82"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Brand, U., Jiang, G., Azmy, K., Bishop, J., and Montañez, I.P., 2012, Diagenetic evaluation of a Pennsylvanian carbonate succession (Bird Spring Formation, Arrow Canyon, Nevada, U.S.A.) - 1: Brachiopod and whole rock comparison: Chemical Geology, v. 308–309, p. 26–39, doi: 10.1016/j.chemgeo.2012.03.017.</w:t>
      </w:r>
    </w:p>
    <w:p w14:paraId="0B40D9BB"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Brass, G.W., 1976, The variation of the marine 87Sr/86Sr ratio during Phanerozoic time: interpretation using a flux model: Geochimica et Cosmochimica Acta, v. 40, p. 721–730, http://link.springer.com/10.1134/S0869593812060044.</w:t>
      </w:r>
    </w:p>
    <w:p w14:paraId="51ED9FDE"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Chaves, A.D.O., Ernst, R.E., Söderlund, U., Wang, X., and Naeraa, T., 2018, The 920 – 900 Ma Bahia-Gangila LIP of the São Francisco and Congo cratons and link with Dashigou-Chulan LIP of North China craton : New insights from U-Pb geochronology and geochemistry: Precambrian Research, p. 0–1, doi: 10.1016/j.precamres.2018.08.023.</w:t>
      </w:r>
    </w:p>
    <w:p w14:paraId="241AE5AF"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Cox, G.M., Halverson, G.P., Stevenson, R.K., Vokaty, M., Poirier, A., Kunzmann, M., Li, Z.-X., Denyszyn, S.W., Strauss, J. V., and Macdonald, F.A., 2016, Continental flood basalt weathering as a trigger for Neoproterozoic Snowball Earth: Earth and Planetary Science Letters, v. 446, p. 89–99, doi: 10.1016/j.epsl.2016.04.016.</w:t>
      </w:r>
    </w:p>
    <w:p w14:paraId="36EA42D7"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Derry, L.A., Kaufman, A.J., and Jacobsen, S.B., 1992, Sedimentary cycling and environmental change in the late Proterozoic: evidence from stable isotopes: Geochimica et Cosmochimica Acta, v. 56, p. 1317–1329.</w:t>
      </w:r>
    </w:p>
    <w:p w14:paraId="54130AE5"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Dong, L., Xiao, S., Shen, B., Yuan, X., Yan, X., and Peng, Y., 2008, Restudy of the worm-like carbonaceous compression fossils Protoarenicola, Pararenicola, and Sinosabellidites from early Neoproterozoic successions in North China: Palaeogeography, Palaeoclimatology, Palaeoecology, v. 258, p. 138–161, doi: 10.1016/j.palaeo.2007.05.019.</w:t>
      </w:r>
    </w:p>
    <w:p w14:paraId="7995D665"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lastRenderedPageBreak/>
        <w:t>Ernst, R.E., Wingate, M.T.D., Buchan, K.L., and Li, Z.X., 2008, Global record of 1600-700 Ma Large Igneous Provinces (LIPs): Implications for the reconstruction of the proposed Nuna (Columbia) and Rodinia supercontinents: Precambrian Research, v. 160, p. 159–178, doi: 10.1016/j.precamres.2007.04.019.</w:t>
      </w:r>
    </w:p>
    <w:p w14:paraId="044ECD6B"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Fairchild, I.J., Herrington, P.M., and Song, T., 2000, Controls on Sr and C isotope compositions of Neoproterozoic Sr-rich limestones of East Greenland and North China: Special Publications of SEPM, v. 67, p. 297–313.</w:t>
      </w:r>
    </w:p>
    <w:p w14:paraId="5E2B2490"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Fu, X., Zhang, S., Li, H., Ding, J., Li, H., Yang, T., Wu, H., Yuan, H., and Lv, J., 2015, New paleomagnetic results from the Huaibei Group and Neoproterozoic mafic sills in the North China Craton and their paleogeographic implications: Precambrian Research, v. 269, p. 90–106, doi: 10.1016/j.precamres.2015.08.013.</w:t>
      </w:r>
    </w:p>
    <w:p w14:paraId="382685F9"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Gaillardet, J., Viers, J., and Dupre, B., 2014, Trace Elements in River Waters:, doi: 10.1016/B978-0-08-095975-7.00507-6.</w:t>
      </w:r>
    </w:p>
    <w:p w14:paraId="38EE7D3F"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Gao, L., Zhang, C., Liu, P., Tang, F., Song, B., and Ding, X., 2009, Reclassification of the Meso</w:t>
      </w:r>
      <w:r w:rsidRPr="002B6873">
        <w:rPr>
          <w:rFonts w:ascii="Cambria Math" w:hAnsi="Cambria Math" w:cs="Cambria Math"/>
          <w:noProof/>
        </w:rPr>
        <w:t>‐</w:t>
      </w:r>
      <w:r w:rsidRPr="002B6873">
        <w:rPr>
          <w:noProof/>
        </w:rPr>
        <w:t>and Neoproterozoic chronostratigraphy of North China by SHRIMP zircon ages: Acta Geologica Sinica - English Edition, v. 83, p. 1074–1084.</w:t>
      </w:r>
    </w:p>
    <w:p w14:paraId="3047A0EC"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Gernon, T.M., Hincks, T.K., Tyrrell, T., Rohling, E.J., and Palmer, M.R., 2016, Snowball Earth ocean chemistry driven by extensive ridge volcanism during Rodinia breakup: Nature Geoscience, v. 9, p. 242–248, doi: 10.1038/ngeo2632.</w:t>
      </w:r>
    </w:p>
    <w:p w14:paraId="46F538B4"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Godderis, Y., Le Hir, G., Macouin, M., Donnadieu, Y., Hubert-Theou, L., Dera, G., Aretz, M., Fluteau, F., Li, Z.X., and Halverson, G.P., 2017, Paleogeographic forcing of the strontium isotopic cycle in the Neoproterozoic: Gondwana Research, v. 42, p. 151–162, doi: 10.1016/j.gr.2016.09.013.</w:t>
      </w:r>
    </w:p>
    <w:p w14:paraId="488D295B"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lastRenderedPageBreak/>
        <w:t>Guilbaud, R., Poulton, S.W., Butterfield, N.J., Zhu, M., and Shields-zhou, G. a, 2015, A global transition to ferruginous conditions in the early Neoproterozoic oceans: Nature Geoscience, v. 8, p. 466–470, doi: 10.1038/NGEO2434.</w:t>
      </w:r>
    </w:p>
    <w:p w14:paraId="6A786B56"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 xml:space="preserve">Halverson, G.P., Dudás, F.Ö., Maloof, A.C., and Bowring, S.A., 2007, Evolution of the </w:t>
      </w:r>
      <w:r w:rsidRPr="002B6873">
        <w:rPr>
          <w:noProof/>
          <w:vertAlign w:val="superscript"/>
        </w:rPr>
        <w:t>87</w:t>
      </w:r>
      <w:r w:rsidRPr="002B6873">
        <w:rPr>
          <w:noProof/>
        </w:rPr>
        <w:t>Sr/</w:t>
      </w:r>
      <w:r w:rsidRPr="002B6873">
        <w:rPr>
          <w:noProof/>
          <w:vertAlign w:val="superscript"/>
        </w:rPr>
        <w:t>86</w:t>
      </w:r>
      <w:r w:rsidRPr="002B6873">
        <w:rPr>
          <w:noProof/>
        </w:rPr>
        <w:t>Sr composition of Neoproterozoic seawater: Palaeogeography, Palaeoclimatology, Palaeoecology, v. 256, p. 103–129, doi: 10.1016/j.palaeo.2007.02.028.</w:t>
      </w:r>
    </w:p>
    <w:p w14:paraId="28BAB5EF"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Horton, F., 2015, Did phosphorus derived fromthe weathering of large igneous provinces fertilize the Neoproterozoic ocean? Geochemistry Geophysics Geosystemsry, v. 16, p. 1723–1738, doi: 10.1002/2015GC005792.Received.</w:t>
      </w:r>
    </w:p>
    <w:p w14:paraId="1DE256B0"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Hua, H., and Cao, R., 2004, An Abrupt variation event of stromatolitic microstructures in the Neoproterozoic and its origination background: Acta Palaeontologica Sinica, v. 43, p. 234–245.</w:t>
      </w:r>
    </w:p>
    <w:p w14:paraId="0F244EA5"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Jacobsen, S.B., and Kaufman, A.J., 1999, The Sr, C and O isotopic evolution of neoproterozoic seawater-comment: Chemical Geology, v. 161, p. 37–57, doi: 10.1016/S0009-2541(01)00268-6.</w:t>
      </w:r>
    </w:p>
    <w:p w14:paraId="7EE9C5F6"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Jenkyns, H.C., 2010, Geochemistry of oceanic anoxic events: Geochemistry, Geophysics, Geosystems, v. 11, p. 1–30, doi: 10.1029/2009GC002788.</w:t>
      </w:r>
    </w:p>
    <w:p w14:paraId="695C6D25"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Kaufman, A.J., and Knoll, A.H., 1995, Neoproterozoic variations in the C-isotopic composition of seawater: stratigraphic and biogeochemical implications: Precambrian Research, v. 73, p. 27–49, doi: 10.1016/0301-9268(94)00070-8.</w:t>
      </w:r>
    </w:p>
    <w:p w14:paraId="19D40B2C"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 xml:space="preserve">Kee, W.S., Kim, S.W., Kwon, S., Santosh, M., Ko, K., and Jeong, Y.J., 2019, Early Neoproterozoic (ca. 913–895 Ma) arc magmatism along the central–western Korean Peninsula: Implications for the amalgamation of Rodinia supercontinent: Precambrian </w:t>
      </w:r>
      <w:r w:rsidRPr="002B6873">
        <w:rPr>
          <w:noProof/>
        </w:rPr>
        <w:lastRenderedPageBreak/>
        <w:t>Research, v. 335, p. 105498, doi: 10.1016/j.precamres.2019.105498.</w:t>
      </w:r>
    </w:p>
    <w:p w14:paraId="76BD4B95"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Kuang, H., Yongqing, L., Peng, N., and Liu, L., 2011, Geochemistry of the Neoproterozoic molartooth carbonates in Dalian, eastern Liaoning, China, and its geological implications: Earth Science Frontiers, v. 18, p. 25–40.</w:t>
      </w:r>
    </w:p>
    <w:p w14:paraId="57098099"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Kuznetsov, A.B., Bekker, A., Ovchinnikova, G. V., Gorokhov, I.M., and Vasilyeva, I.M., 2017, Unradiogenic strontium and moderate-amplitude carbon isotope variations in early Tonian seawater after the assembly of Rodinia and before the Bitter Springs Excursion: Precambrian Research, v. 298, p. 157–173, doi: 10.1016/j.precamres.2017.06.011.</w:t>
      </w:r>
    </w:p>
    <w:p w14:paraId="229755F6"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Kuznetsov,  a. B., Semikhatov, M. a., and Gorokhov, I.M., 2012, The Sr isotope composition of the world ocean, marginal and inland seas: Implications for the Sr isotope stratigraphy: Stratigraphy and Geological Correlation, v. 20, p. 501–515, doi: 10.1134/S0869593812060044.</w:t>
      </w:r>
    </w:p>
    <w:p w14:paraId="22C972D2"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Kuznetsov,  a. B., Semikhatov, M. a., Maslov,  a. V., Gorokhov, I.M., Prasolov, E.M., Krupenin, M.T., and Kislova, I. V., 2006, New data on Sr-and C-isotopic chemostratigraphy of the Upper Riphean type section (Southern Urals): Stratigraphy and Geological Correlation, v. 14, p. 602–628, doi: 10.1134/S0869593806060025.</w:t>
      </w:r>
    </w:p>
    <w:p w14:paraId="25469B76"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Liu, Y., Gao, L., Liu, Y., Song, B., and Wang, Z., 2006, Zircon U-Pb dating for the earliest Neoproterozoic mafic magmatism in the southern margin of the North China Block: Chinese Science Bulletin, v. 51, p. 2375–2382, doi: 10.1007/s11434-006-2114-0.</w:t>
      </w:r>
    </w:p>
    <w:p w14:paraId="20C6C80C"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McArthur, J.M., 1994, Recent trends in strontium isotope stratigraphy: Terra Nova, v. 6, p. 331–358, doi: 10.1111/j.1365-3121.1994.tb00507.x.</w:t>
      </w:r>
    </w:p>
    <w:p w14:paraId="04F54775"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McArthur, J.M., Howarth, R.J., and Shields, G.A., 2012, Strontium Isotope Stratigraphy: The Geologic Time Scale, p. 127–144, doi: 10.1016/B978-0-444-59425-9.00007-X.</w:t>
      </w:r>
    </w:p>
    <w:p w14:paraId="50C317D6"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lastRenderedPageBreak/>
        <w:t>Melezhik, V.A., Ihlen, P.M., Kuznetsov, A.B., Gjelle, S., Solli, A., Gorokhov, I.M., Fallick, A.E., Sandstad, J.S., and Bjerkgård, T., 2015, Pre-Sturtian (800-730Ma) depositional age of carbonates in sedimentary sequences hosting stratiform iron ores in the Uppermost Allochthon of the Norwegian Caledonides: A chemostratigraphic approach: Precambrian Research, v. 261, p. 272–299, doi: 10.1016/j.precamres.2015.02.015.</w:t>
      </w:r>
    </w:p>
    <w:p w14:paraId="67765FC1"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 xml:space="preserve">Montanez, I.P., Banner, J.L., Osleger, D.A., Borg, L.E., and Bosserman, P.J., 1996, Integrated Sr isotope variations and sea-level history of middle to Upper Cambrian platform carbonates: Implications for the evolution of Cambrian seawater </w:t>
      </w:r>
      <w:r w:rsidRPr="002B6873">
        <w:rPr>
          <w:noProof/>
          <w:vertAlign w:val="superscript"/>
        </w:rPr>
        <w:t>87</w:t>
      </w:r>
      <w:r w:rsidRPr="002B6873">
        <w:rPr>
          <w:noProof/>
        </w:rPr>
        <w:t xml:space="preserve">Sr/ </w:t>
      </w:r>
      <w:r w:rsidRPr="002B6873">
        <w:rPr>
          <w:noProof/>
          <w:vertAlign w:val="superscript"/>
        </w:rPr>
        <w:t>86</w:t>
      </w:r>
      <w:r w:rsidRPr="002B6873">
        <w:rPr>
          <w:noProof/>
        </w:rPr>
        <w:t>Sr: Geology, v. 24, p. 917–920, doi: 10.1130/0091-7613(1996)024&lt;0917:ISIVAS&gt;2.3.CO.</w:t>
      </w:r>
    </w:p>
    <w:p w14:paraId="43446859"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Park, H., Zhai, M., Yang, J., Peng, P., Kim, J., Zhang, Y., Kim, M., Park, U., and Feng, L., 2016, Deposition age of the Sangwon Supergroup in the Pyongnam basin (Korea) and the Early Tonian negative carbon isotope interval: Acta Petrologica Sinica, v. 32, p. 2181–2195.</w:t>
      </w:r>
    </w:p>
    <w:p w14:paraId="3263F420"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Peng, P., Bleeker, W., Ernst, R.E., Söderlund, U., and McNicoll, V., 2011, U–Pb baddeleyite ages, distribution and geochemistry of 925Ma mafic dykes and 900Ma sills in the North China craton: Evidence for a Neoproterozoic mantle plume: Lithos, v. 127, p. 210–221, doi: 10.1016/j.lithos.2011.08.018.</w:t>
      </w:r>
    </w:p>
    <w:p w14:paraId="3F9948A4"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Pogge Von Strandmann, P.A.E., Jenkyns, H.C., and Woodfine, R.G., 2013, Lithium isotope evidence for enhanced weathering during Oceanic Anoxic Event 2: Nature Geoscience, v. 6, p. 668–672, doi: 10.1038/ngeo1875.</w:t>
      </w:r>
    </w:p>
    <w:p w14:paraId="76848D52"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Shields, G.A., 1999, Working towards a new stratigraphic calibration scheme for the Neoproterozoic-Cambrian: ECLOGAE GEOLOGICAE HELVETIAE, v. 92, p. 221–233.</w:t>
      </w:r>
    </w:p>
    <w:p w14:paraId="562E8982"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 xml:space="preserve">Tang, Q., Pang, K., Xiao, S., Yuan, X., Ou, Z., and Wan, B., 2013, Organic-walled microfossils from the early Neoproterozoic Liulaobei Formation in the Huainan region of North China </w:t>
      </w:r>
      <w:r w:rsidRPr="002B6873">
        <w:rPr>
          <w:noProof/>
        </w:rPr>
        <w:lastRenderedPageBreak/>
        <w:t>and their biostratigraphic significance: Precambrian Research, v. 236, p. 157–181, doi: 10.1016/j.precamres.2013.07.019.</w:t>
      </w:r>
    </w:p>
    <w:p w14:paraId="525E30D8"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Tang, Q., Pang, K., Yuan, X., Wan, B., and Xiao, S., 2015, Organic-walled microfossils from the Tonian Gouhou Formation, Huaibei region, North China Craton, and their biostratigraphic implications: Precambrian Research, v. 266, p. 296–318, doi: http://dx.doi.org/10.1016/j.precamres.2015.05.025.</w:t>
      </w:r>
    </w:p>
    <w:p w14:paraId="0284A889"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Veizer, J., 1989, Strontium Isotopes in Seawater through Time: Annual Review of Earth and Planetary Sciences, v. 17, p. 141–167.</w:t>
      </w:r>
    </w:p>
    <w:p w14:paraId="36424FFC"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Wang, Q., Yang, D., and Xu, W., 2012, Neoproterozoic basic magmatism in the southeast margin of North China Craton: Evidence from whole-rock geochemistry, U-Pb and Hf isotopic study of zircons from diabase swarms in the Xuzhou-Huaibei area of China: Science China Earth Sciences, v. 55, p. 1461–1479, doi: 10.1007/s11430-011-4237-7.</w:t>
      </w:r>
    </w:p>
    <w:p w14:paraId="29034394"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Xiao, S., Shen, B., Tang, Q., Kaufman, A.J., Yuan, X., Li, J., and Qian, M., 2014, Biostratigraphic and chemostratigraphic constraints on the age of early Neoproterozoic carbonate successions in North China: Precambrian Research, v. 246, p. 208–225, doi: 10.1016/j.precamres.2014.03.004.</w:t>
      </w:r>
    </w:p>
    <w:p w14:paraId="7D4444C0"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Yang, D. Bin, Xu, W.L., Xu, Y.G., Wang, Q.H., Pei, F.P., and Wang, F., 2012, U-Pb ages and Hf isotope data from detrital zircons in the Neoproterozoic sandstones of northern Jiangsu and southern Liaoning Provinces, China: Implications for the Late Precambrian evolution of the southeastern North China Craton: Precambrian Research, v. 216–219, p. 162–176, doi: 10.1016/j.precamres.2012.07.002.</w:t>
      </w:r>
    </w:p>
    <w:p w14:paraId="3F0E7E99"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 xml:space="preserve">Yang, J., Zheng, W., Wang, Z., and Tao, X., 2001, Age determining of the uppe Precambrian system of Northern Jiangsu-Anhui by using Sr and C isotopes: Journal of Statigraphy (in </w:t>
      </w:r>
      <w:r w:rsidRPr="002B6873">
        <w:rPr>
          <w:noProof/>
        </w:rPr>
        <w:lastRenderedPageBreak/>
        <w:t>Chinese), v. 25, p. 44–47.</w:t>
      </w:r>
    </w:p>
    <w:p w14:paraId="2A1B8F5F"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Zang, W.-L., and Walter, M.R., 1992, Late Proterozoic and Early Cambrian microfossils and biostratiraphy, Northern Anhui and Jiangsu: Precambrian Research, v. 57, p. 243–323.</w:t>
      </w:r>
    </w:p>
    <w:p w14:paraId="7E57F68A"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Zhang, S., Zhao, Y., Ye, H., and Hu, G.H., 2016, Early Neoproterozoic emplacement of the diabase sill swarms in the Liaodong Peninsula and pre-magmatic uplift of the southeastern North China Craton: Precambrian Research, v. 272, p. 203–225, doi: 10.1016/j.precamres.2015.11.005.</w:t>
      </w:r>
    </w:p>
    <w:p w14:paraId="0F9A13D5"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Zheng, W., Yang, J., Hong, T., Tao, X., and Wang, Z., 2004, Sr and C Isotopic Correlation and the Age Boundary Determination for the Neoproterozoic in the Southern Liaoning and Northern Jiangsu Northern Anhui Provinces: Geological Journal of China Universit ies (in Chinese), v. 10.</w:t>
      </w:r>
    </w:p>
    <w:p w14:paraId="24F7840F" w14:textId="77777777" w:rsidR="00875CB4" w:rsidRPr="002B6873" w:rsidRDefault="00875CB4" w:rsidP="00875CB4">
      <w:pPr>
        <w:widowControl w:val="0"/>
        <w:autoSpaceDE w:val="0"/>
        <w:autoSpaceDN w:val="0"/>
        <w:adjustRightInd w:val="0"/>
        <w:spacing w:line="480" w:lineRule="auto"/>
        <w:ind w:left="480" w:hanging="480"/>
        <w:rPr>
          <w:noProof/>
        </w:rPr>
      </w:pPr>
      <w:r w:rsidRPr="002B6873">
        <w:rPr>
          <w:noProof/>
        </w:rPr>
        <w:t>Zhu, R., Ni, P., Wang, G., Ding, J., Fan, M., and Ma, Y., 2019, Geochronology , geochemistry and petrogenesis of the Laozhaishan dolerite sills in the southeastern margin of the North China Craton and their geological implication: Gondwana Research, v. 67, p. 131–146, doi: 10.1016/j.gr.2018.10.016.</w:t>
      </w:r>
    </w:p>
    <w:p w14:paraId="72BA7E59" w14:textId="251B6A3B" w:rsidR="001A6DC4" w:rsidRPr="002B6873" w:rsidRDefault="00613986" w:rsidP="00875CB4">
      <w:pPr>
        <w:widowControl w:val="0"/>
        <w:autoSpaceDE w:val="0"/>
        <w:autoSpaceDN w:val="0"/>
        <w:adjustRightInd w:val="0"/>
        <w:spacing w:line="480" w:lineRule="auto"/>
        <w:ind w:left="480" w:hanging="480"/>
        <w:rPr>
          <w:rFonts w:eastAsia="Times New Roman"/>
        </w:rPr>
      </w:pPr>
      <w:r w:rsidRPr="002B6873">
        <w:rPr>
          <w:rFonts w:eastAsia="Times New Roman"/>
        </w:rPr>
        <w:fldChar w:fldCharType="end"/>
      </w:r>
    </w:p>
    <w:sectPr w:rsidR="001A6DC4" w:rsidRPr="002B6873" w:rsidSect="00502F30">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A02868" w14:textId="77777777" w:rsidR="008D066A" w:rsidRDefault="008D066A" w:rsidP="00FE5101">
      <w:r>
        <w:separator/>
      </w:r>
    </w:p>
  </w:endnote>
  <w:endnote w:type="continuationSeparator" w:id="0">
    <w:p w14:paraId="138EC1BF" w14:textId="77777777" w:rsidR="008D066A" w:rsidRDefault="008D066A" w:rsidP="00FE5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Minion Pro">
    <w:panose1 w:val="02040503050201020203"/>
    <w:charset w:val="00"/>
    <w:family w:val="roman"/>
    <w:pitch w:val="variable"/>
    <w:sig w:usb0="60000287" w:usb1="00000001" w:usb2="00000000" w:usb3="00000000" w:csb0="0000019F" w:csb1="00000000"/>
  </w:font>
  <w:font w:name="Arial">
    <w:panose1 w:val="020B0604020202020204"/>
    <w:charset w:val="00"/>
    <w:family w:val="auto"/>
    <w:pitch w:val="variable"/>
    <w:sig w:usb0="00000003" w:usb1="00000000" w:usb2="00000000" w:usb3="00000000" w:csb0="00000001" w:csb1="00000000"/>
  </w:font>
  <w:font w:name="等线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C04ED" w14:textId="3E12D47B" w:rsidR="00A87E30" w:rsidRPr="00FE5101" w:rsidRDefault="00A87E30" w:rsidP="00FE5101">
    <w:pPr>
      <w:jc w:val="center"/>
    </w:pPr>
    <w:r w:rsidRPr="00FE5101">
      <w:t xml:space="preserve">Page </w:t>
    </w:r>
    <w:r w:rsidRPr="00FE5101">
      <w:fldChar w:fldCharType="begin"/>
    </w:r>
    <w:r w:rsidRPr="00FE5101">
      <w:instrText xml:space="preserve"> PAGE  \* MERGEFORMAT </w:instrText>
    </w:r>
    <w:r w:rsidRPr="00FE5101">
      <w:fldChar w:fldCharType="separate"/>
    </w:r>
    <w:r w:rsidRPr="00FE5101">
      <w:rPr>
        <w:noProof/>
      </w:rPr>
      <w:t>1</w:t>
    </w:r>
    <w:r w:rsidRPr="00FE5101">
      <w:fldChar w:fldCharType="end"/>
    </w:r>
    <w:r w:rsidRPr="00FE5101">
      <w:t xml:space="preserve"> of </w:t>
    </w:r>
    <w:r>
      <w:rPr>
        <w:noProof/>
      </w:rPr>
      <w:fldChar w:fldCharType="begin"/>
    </w:r>
    <w:r>
      <w:rPr>
        <w:noProof/>
      </w:rPr>
      <w:instrText xml:space="preserve"> NUMPAGES  \* MERGEFORMAT </w:instrText>
    </w:r>
    <w:r>
      <w:rPr>
        <w:noProof/>
      </w:rPr>
      <w:fldChar w:fldCharType="separate"/>
    </w:r>
    <w:r>
      <w:rPr>
        <w:noProof/>
      </w:rPr>
      <w:t>19</w:t>
    </w:r>
    <w:r>
      <w:rPr>
        <w:noProof/>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9A66D" w14:textId="77777777" w:rsidR="00A87E30" w:rsidRPr="00FE5101" w:rsidRDefault="00A87E30" w:rsidP="00FE5101">
    <w:pP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6CDBA" w14:textId="736E5AFB" w:rsidR="00A87E30" w:rsidRPr="00FE5101" w:rsidRDefault="00A87E30" w:rsidP="00FE5101">
    <w:pPr>
      <w:jc w:val="center"/>
    </w:pPr>
    <w:r w:rsidRPr="00FE5101">
      <w:t xml:space="preserve">Page </w:t>
    </w:r>
    <w:r w:rsidRPr="00FE5101">
      <w:fldChar w:fldCharType="begin"/>
    </w:r>
    <w:r w:rsidRPr="00FE5101">
      <w:instrText xml:space="preserve"> PAGE  \* MERGEFORMAT </w:instrText>
    </w:r>
    <w:r w:rsidRPr="00FE5101">
      <w:fldChar w:fldCharType="separate"/>
    </w:r>
    <w:r w:rsidRPr="00FE5101">
      <w:rPr>
        <w:noProof/>
      </w:rPr>
      <w:t>1</w:t>
    </w:r>
    <w:r w:rsidRPr="00FE5101">
      <w:fldChar w:fldCharType="end"/>
    </w:r>
    <w:r w:rsidRPr="00FE5101">
      <w:t xml:space="preserve"> of </w:t>
    </w:r>
    <w:r>
      <w:rPr>
        <w:noProof/>
      </w:rPr>
      <w:fldChar w:fldCharType="begin"/>
    </w:r>
    <w:r>
      <w:rPr>
        <w:noProof/>
      </w:rPr>
      <w:instrText xml:space="preserve"> NUMPAGES  \* MERGEFORMAT </w:instrText>
    </w:r>
    <w:r>
      <w:rPr>
        <w:noProof/>
      </w:rPr>
      <w:fldChar w:fldCharType="separate"/>
    </w:r>
    <w:r>
      <w:rPr>
        <w:noProof/>
      </w:rPr>
      <w:t>19</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F5BD04" w14:textId="77777777" w:rsidR="008D066A" w:rsidRDefault="008D066A" w:rsidP="00FE5101">
      <w:r>
        <w:separator/>
      </w:r>
    </w:p>
  </w:footnote>
  <w:footnote w:type="continuationSeparator" w:id="0">
    <w:p w14:paraId="7F288AB1" w14:textId="77777777" w:rsidR="008D066A" w:rsidRDefault="008D066A" w:rsidP="00FE510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17ABD" w14:textId="77777777" w:rsidR="00A87E30" w:rsidRPr="00FE5101" w:rsidRDefault="00A87E30" w:rsidP="00FE5101">
    <w:pPr>
      <w:jc w:val="center"/>
    </w:pPr>
    <w:r w:rsidRPr="00FE5101">
      <w:t>Publisher: GSA</w:t>
    </w:r>
  </w:p>
  <w:p w14:paraId="01EE8685" w14:textId="77777777" w:rsidR="00A87E30" w:rsidRPr="00FE5101" w:rsidRDefault="00A87E30" w:rsidP="00FE5101">
    <w:pPr>
      <w:jc w:val="center"/>
    </w:pPr>
    <w:r w:rsidRPr="00FE5101">
      <w:t>Journal: GEOL: Geology</w:t>
    </w:r>
  </w:p>
  <w:p w14:paraId="36AB5856" w14:textId="77777777" w:rsidR="00A87E30" w:rsidRPr="00FE5101" w:rsidRDefault="00A87E30" w:rsidP="00FE5101">
    <w:pPr>
      <w:jc w:val="center"/>
    </w:pPr>
    <w:r w:rsidRPr="00FE5101">
      <w:t>Article ID: Template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F50CC" w14:textId="77777777" w:rsidR="00A87E30" w:rsidRPr="00FE5101" w:rsidRDefault="00A87E30" w:rsidP="00FE5101">
    <w:pPr>
      <w:jc w:val="cen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448BD" w14:textId="77777777" w:rsidR="00A87E30" w:rsidRPr="00FE5101" w:rsidRDefault="00A87E30" w:rsidP="00FE5101">
    <w:pPr>
      <w:jc w:val="center"/>
    </w:pPr>
    <w:r w:rsidRPr="00FE5101">
      <w:t>Publisher: GSA</w:t>
    </w:r>
  </w:p>
  <w:p w14:paraId="04672F6A" w14:textId="77777777" w:rsidR="00A87E30" w:rsidRPr="00FE5101" w:rsidRDefault="00A87E30" w:rsidP="00FE5101">
    <w:pPr>
      <w:jc w:val="center"/>
    </w:pPr>
    <w:r w:rsidRPr="00FE5101">
      <w:t>Journal: GEOL: Geology</w:t>
    </w:r>
  </w:p>
  <w:p w14:paraId="0592A431" w14:textId="77777777" w:rsidR="00A87E30" w:rsidRPr="00FE5101" w:rsidRDefault="00A87E30" w:rsidP="00FE5101">
    <w:pPr>
      <w:jc w:val="center"/>
    </w:pPr>
    <w:r w:rsidRPr="00FE5101">
      <w:t>Article ID: Template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5D3C84"/>
    <w:multiLevelType w:val="hybridMultilevel"/>
    <w:tmpl w:val="8AF0A8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AA16F2E"/>
    <w:multiLevelType w:val="hybridMultilevel"/>
    <w:tmpl w:val="3036F5E0"/>
    <w:lvl w:ilvl="0" w:tplc="E1AC01D2">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rticleID" w:val="Template"/>
    <w:docVar w:name="AutoRedact State" w:val="ready"/>
    <w:docVar w:name="CheckHeader" w:val="T"/>
    <w:docVar w:name="ex _eXtylesBuild" w:val="1770"/>
    <w:docVar w:name="ex_CleanUp" w:val="CleanUpComplete"/>
    <w:docVar w:name="ex_FontAudit" w:val="APComplete"/>
    <w:docVar w:name="ex_StyleRefs" w:val="APComplete"/>
    <w:docVar w:name="ex_WordVersion" w:val="12.0"/>
    <w:docVar w:name="eXtyles" w:val="active"/>
    <w:docVar w:name="iceFileName" w:val="GSA template.dot"/>
    <w:docVar w:name="iceJABR" w:val="GEOL"/>
    <w:docVar w:name="iceJournal" w:val="GEOL: Geology"/>
    <w:docVar w:name="iceJournalName" w:val=" Geology"/>
    <w:docVar w:name="icePublisher" w:val="GSA"/>
    <w:docVar w:name="iceType" w:val="Original Article"/>
    <w:docVar w:name="PreEdit Baseline Path" w:val="C:\Documents and Settings\bhibbard\Desktop\GSA template$base.doc"/>
    <w:docVar w:name="PreEdit Baseline Timestamp" w:val="3/19/2009 10:40:51 AM"/>
    <w:docVar w:name="PreEdit Up-Front Loss" w:val="complete"/>
  </w:docVars>
  <w:rsids>
    <w:rsidRoot w:val="00AB2DE8"/>
    <w:rsid w:val="000022EF"/>
    <w:rsid w:val="0001071F"/>
    <w:rsid w:val="00010EC7"/>
    <w:rsid w:val="000115AD"/>
    <w:rsid w:val="00013F85"/>
    <w:rsid w:val="00020EAB"/>
    <w:rsid w:val="000228FC"/>
    <w:rsid w:val="00022E12"/>
    <w:rsid w:val="00025391"/>
    <w:rsid w:val="000261BE"/>
    <w:rsid w:val="000305E5"/>
    <w:rsid w:val="00032160"/>
    <w:rsid w:val="00033AA0"/>
    <w:rsid w:val="000340A8"/>
    <w:rsid w:val="00034520"/>
    <w:rsid w:val="00035CB6"/>
    <w:rsid w:val="000365C9"/>
    <w:rsid w:val="00036C3C"/>
    <w:rsid w:val="000444CA"/>
    <w:rsid w:val="000473FC"/>
    <w:rsid w:val="00050AF8"/>
    <w:rsid w:val="000536B4"/>
    <w:rsid w:val="00053B7A"/>
    <w:rsid w:val="00054432"/>
    <w:rsid w:val="00057732"/>
    <w:rsid w:val="00060F33"/>
    <w:rsid w:val="00061302"/>
    <w:rsid w:val="000615B5"/>
    <w:rsid w:val="00062B0F"/>
    <w:rsid w:val="00064274"/>
    <w:rsid w:val="00064AA0"/>
    <w:rsid w:val="00073A6C"/>
    <w:rsid w:val="0007450E"/>
    <w:rsid w:val="00074E73"/>
    <w:rsid w:val="00076365"/>
    <w:rsid w:val="000765CE"/>
    <w:rsid w:val="00077623"/>
    <w:rsid w:val="00080A48"/>
    <w:rsid w:val="00084CB9"/>
    <w:rsid w:val="000850AA"/>
    <w:rsid w:val="00086BC5"/>
    <w:rsid w:val="00091CDE"/>
    <w:rsid w:val="00094843"/>
    <w:rsid w:val="000948EC"/>
    <w:rsid w:val="00094D05"/>
    <w:rsid w:val="00094E99"/>
    <w:rsid w:val="00096C16"/>
    <w:rsid w:val="000979B4"/>
    <w:rsid w:val="00097EE2"/>
    <w:rsid w:val="000A13AA"/>
    <w:rsid w:val="000A2C13"/>
    <w:rsid w:val="000A31DA"/>
    <w:rsid w:val="000A33BE"/>
    <w:rsid w:val="000A3833"/>
    <w:rsid w:val="000A54B8"/>
    <w:rsid w:val="000A6BB5"/>
    <w:rsid w:val="000A6D6A"/>
    <w:rsid w:val="000B3178"/>
    <w:rsid w:val="000B5198"/>
    <w:rsid w:val="000C20F6"/>
    <w:rsid w:val="000C2BC6"/>
    <w:rsid w:val="000C3873"/>
    <w:rsid w:val="000C50AE"/>
    <w:rsid w:val="000C58FD"/>
    <w:rsid w:val="000D0C1E"/>
    <w:rsid w:val="000D0CA2"/>
    <w:rsid w:val="000D14BC"/>
    <w:rsid w:val="000D31A9"/>
    <w:rsid w:val="000D6435"/>
    <w:rsid w:val="000D6CFE"/>
    <w:rsid w:val="000E0904"/>
    <w:rsid w:val="000E0D36"/>
    <w:rsid w:val="000E3A02"/>
    <w:rsid w:val="000E6F94"/>
    <w:rsid w:val="000F1538"/>
    <w:rsid w:val="000F1EC4"/>
    <w:rsid w:val="000F208E"/>
    <w:rsid w:val="000F3AF2"/>
    <w:rsid w:val="000F3CC2"/>
    <w:rsid w:val="0010072A"/>
    <w:rsid w:val="00101450"/>
    <w:rsid w:val="0010159A"/>
    <w:rsid w:val="00101D98"/>
    <w:rsid w:val="001035B2"/>
    <w:rsid w:val="00110134"/>
    <w:rsid w:val="00112AA3"/>
    <w:rsid w:val="00116FCF"/>
    <w:rsid w:val="00117DF1"/>
    <w:rsid w:val="00125E70"/>
    <w:rsid w:val="0013766B"/>
    <w:rsid w:val="001419BE"/>
    <w:rsid w:val="00144ACE"/>
    <w:rsid w:val="00144BCE"/>
    <w:rsid w:val="00145EC5"/>
    <w:rsid w:val="0014648B"/>
    <w:rsid w:val="001464CB"/>
    <w:rsid w:val="00147451"/>
    <w:rsid w:val="00150BB1"/>
    <w:rsid w:val="00151CF2"/>
    <w:rsid w:val="00151EF9"/>
    <w:rsid w:val="00153CEA"/>
    <w:rsid w:val="00160241"/>
    <w:rsid w:val="00160E68"/>
    <w:rsid w:val="001614F3"/>
    <w:rsid w:val="00162A6E"/>
    <w:rsid w:val="001660FA"/>
    <w:rsid w:val="00166D3A"/>
    <w:rsid w:val="00167BB9"/>
    <w:rsid w:val="001707A9"/>
    <w:rsid w:val="001724BF"/>
    <w:rsid w:val="001739B5"/>
    <w:rsid w:val="001760D4"/>
    <w:rsid w:val="001771D0"/>
    <w:rsid w:val="00182A67"/>
    <w:rsid w:val="00187C6E"/>
    <w:rsid w:val="001912C3"/>
    <w:rsid w:val="00194BE0"/>
    <w:rsid w:val="00197059"/>
    <w:rsid w:val="00197B14"/>
    <w:rsid w:val="001A0DC2"/>
    <w:rsid w:val="001A410F"/>
    <w:rsid w:val="001A516F"/>
    <w:rsid w:val="001A6DC4"/>
    <w:rsid w:val="001A7C84"/>
    <w:rsid w:val="001B2D3C"/>
    <w:rsid w:val="001B5363"/>
    <w:rsid w:val="001C198F"/>
    <w:rsid w:val="001C666F"/>
    <w:rsid w:val="001D2585"/>
    <w:rsid w:val="001D27D4"/>
    <w:rsid w:val="001D54F5"/>
    <w:rsid w:val="001E33BB"/>
    <w:rsid w:val="001E5FFD"/>
    <w:rsid w:val="001E6CFF"/>
    <w:rsid w:val="001F0B61"/>
    <w:rsid w:val="001F10E2"/>
    <w:rsid w:val="001F280A"/>
    <w:rsid w:val="001F3B09"/>
    <w:rsid w:val="001F4745"/>
    <w:rsid w:val="001F52CE"/>
    <w:rsid w:val="002023F1"/>
    <w:rsid w:val="00203A15"/>
    <w:rsid w:val="00204496"/>
    <w:rsid w:val="00205496"/>
    <w:rsid w:val="00206BC3"/>
    <w:rsid w:val="00207BD5"/>
    <w:rsid w:val="00210DD3"/>
    <w:rsid w:val="00210EA4"/>
    <w:rsid w:val="002129F4"/>
    <w:rsid w:val="00214808"/>
    <w:rsid w:val="002149B4"/>
    <w:rsid w:val="00215D94"/>
    <w:rsid w:val="00216A7A"/>
    <w:rsid w:val="00220584"/>
    <w:rsid w:val="00220896"/>
    <w:rsid w:val="00224CE2"/>
    <w:rsid w:val="00227D20"/>
    <w:rsid w:val="002311CE"/>
    <w:rsid w:val="002325B3"/>
    <w:rsid w:val="0023495A"/>
    <w:rsid w:val="002361F9"/>
    <w:rsid w:val="002376D0"/>
    <w:rsid w:val="0024354C"/>
    <w:rsid w:val="00245139"/>
    <w:rsid w:val="002468B8"/>
    <w:rsid w:val="00250791"/>
    <w:rsid w:val="002533C9"/>
    <w:rsid w:val="002563A5"/>
    <w:rsid w:val="0025675D"/>
    <w:rsid w:val="00261323"/>
    <w:rsid w:val="00261D0B"/>
    <w:rsid w:val="00262ADC"/>
    <w:rsid w:val="0026322E"/>
    <w:rsid w:val="00266FBB"/>
    <w:rsid w:val="00270416"/>
    <w:rsid w:val="002712B0"/>
    <w:rsid w:val="00271DC4"/>
    <w:rsid w:val="00272387"/>
    <w:rsid w:val="0027331B"/>
    <w:rsid w:val="00280544"/>
    <w:rsid w:val="002817A4"/>
    <w:rsid w:val="00281DA5"/>
    <w:rsid w:val="00283664"/>
    <w:rsid w:val="00283C68"/>
    <w:rsid w:val="00284A0D"/>
    <w:rsid w:val="002853AD"/>
    <w:rsid w:val="00290975"/>
    <w:rsid w:val="00291A65"/>
    <w:rsid w:val="00292FC9"/>
    <w:rsid w:val="002A6D68"/>
    <w:rsid w:val="002A7A90"/>
    <w:rsid w:val="002B19BE"/>
    <w:rsid w:val="002B1A17"/>
    <w:rsid w:val="002B299A"/>
    <w:rsid w:val="002B625C"/>
    <w:rsid w:val="002B6873"/>
    <w:rsid w:val="002B6985"/>
    <w:rsid w:val="002B74EF"/>
    <w:rsid w:val="002C190F"/>
    <w:rsid w:val="002C3C5D"/>
    <w:rsid w:val="002C3E55"/>
    <w:rsid w:val="002C3F6D"/>
    <w:rsid w:val="002C6FEB"/>
    <w:rsid w:val="002D19A8"/>
    <w:rsid w:val="002D6B53"/>
    <w:rsid w:val="002D724A"/>
    <w:rsid w:val="002D7D75"/>
    <w:rsid w:val="002D7E15"/>
    <w:rsid w:val="002E1B8B"/>
    <w:rsid w:val="002E2F39"/>
    <w:rsid w:val="002E44D8"/>
    <w:rsid w:val="002E5915"/>
    <w:rsid w:val="002E6E7A"/>
    <w:rsid w:val="002E70C5"/>
    <w:rsid w:val="002E7BA3"/>
    <w:rsid w:val="002F3C1C"/>
    <w:rsid w:val="002F493A"/>
    <w:rsid w:val="002F6233"/>
    <w:rsid w:val="002F7929"/>
    <w:rsid w:val="00301208"/>
    <w:rsid w:val="00305DD4"/>
    <w:rsid w:val="00312154"/>
    <w:rsid w:val="00312C25"/>
    <w:rsid w:val="00317322"/>
    <w:rsid w:val="00317780"/>
    <w:rsid w:val="00320CF0"/>
    <w:rsid w:val="0032142E"/>
    <w:rsid w:val="003215A7"/>
    <w:rsid w:val="00322B3A"/>
    <w:rsid w:val="00322C3D"/>
    <w:rsid w:val="00323E11"/>
    <w:rsid w:val="003275F5"/>
    <w:rsid w:val="00327D4E"/>
    <w:rsid w:val="00327D5A"/>
    <w:rsid w:val="00330978"/>
    <w:rsid w:val="00330E3B"/>
    <w:rsid w:val="00334BCA"/>
    <w:rsid w:val="003359ED"/>
    <w:rsid w:val="00337EF8"/>
    <w:rsid w:val="00342036"/>
    <w:rsid w:val="00342CB6"/>
    <w:rsid w:val="0034335C"/>
    <w:rsid w:val="0034436C"/>
    <w:rsid w:val="00345982"/>
    <w:rsid w:val="00351CCE"/>
    <w:rsid w:val="00353B5E"/>
    <w:rsid w:val="00353D13"/>
    <w:rsid w:val="00353DCD"/>
    <w:rsid w:val="00355F57"/>
    <w:rsid w:val="0035627C"/>
    <w:rsid w:val="00361776"/>
    <w:rsid w:val="003617ED"/>
    <w:rsid w:val="00361DDC"/>
    <w:rsid w:val="003620FC"/>
    <w:rsid w:val="00362802"/>
    <w:rsid w:val="003635AC"/>
    <w:rsid w:val="00363C96"/>
    <w:rsid w:val="00365AFD"/>
    <w:rsid w:val="0036658A"/>
    <w:rsid w:val="00372E05"/>
    <w:rsid w:val="00376798"/>
    <w:rsid w:val="00377614"/>
    <w:rsid w:val="00381B2B"/>
    <w:rsid w:val="0038384C"/>
    <w:rsid w:val="003879F7"/>
    <w:rsid w:val="00390DE8"/>
    <w:rsid w:val="00391016"/>
    <w:rsid w:val="00392CFD"/>
    <w:rsid w:val="003A24CD"/>
    <w:rsid w:val="003A3057"/>
    <w:rsid w:val="003A354A"/>
    <w:rsid w:val="003A4656"/>
    <w:rsid w:val="003A54A2"/>
    <w:rsid w:val="003A7390"/>
    <w:rsid w:val="003A7E14"/>
    <w:rsid w:val="003B11F1"/>
    <w:rsid w:val="003B2B03"/>
    <w:rsid w:val="003B5BE1"/>
    <w:rsid w:val="003B6623"/>
    <w:rsid w:val="003C0061"/>
    <w:rsid w:val="003C3088"/>
    <w:rsid w:val="003D12B4"/>
    <w:rsid w:val="003D229F"/>
    <w:rsid w:val="003D24EA"/>
    <w:rsid w:val="003E0565"/>
    <w:rsid w:val="003E1287"/>
    <w:rsid w:val="003E2032"/>
    <w:rsid w:val="003E3F44"/>
    <w:rsid w:val="003E5C25"/>
    <w:rsid w:val="003F2774"/>
    <w:rsid w:val="003F2943"/>
    <w:rsid w:val="003F6EDC"/>
    <w:rsid w:val="003F74BA"/>
    <w:rsid w:val="00401326"/>
    <w:rsid w:val="004027FC"/>
    <w:rsid w:val="00403361"/>
    <w:rsid w:val="00403E3E"/>
    <w:rsid w:val="004063CA"/>
    <w:rsid w:val="004069C5"/>
    <w:rsid w:val="00407653"/>
    <w:rsid w:val="00411DE4"/>
    <w:rsid w:val="0041266D"/>
    <w:rsid w:val="004163AB"/>
    <w:rsid w:val="00416A35"/>
    <w:rsid w:val="00422C06"/>
    <w:rsid w:val="0042450C"/>
    <w:rsid w:val="0042501C"/>
    <w:rsid w:val="00425348"/>
    <w:rsid w:val="00426D35"/>
    <w:rsid w:val="004279F1"/>
    <w:rsid w:val="00430D2E"/>
    <w:rsid w:val="00442B0D"/>
    <w:rsid w:val="0044323D"/>
    <w:rsid w:val="00443414"/>
    <w:rsid w:val="00443F9C"/>
    <w:rsid w:val="00444F90"/>
    <w:rsid w:val="0044504B"/>
    <w:rsid w:val="004452D3"/>
    <w:rsid w:val="004454D1"/>
    <w:rsid w:val="004457B7"/>
    <w:rsid w:val="00445F7F"/>
    <w:rsid w:val="0044766C"/>
    <w:rsid w:val="00453226"/>
    <w:rsid w:val="004548D7"/>
    <w:rsid w:val="0046453C"/>
    <w:rsid w:val="00465264"/>
    <w:rsid w:val="00467575"/>
    <w:rsid w:val="004712E2"/>
    <w:rsid w:val="00471AA1"/>
    <w:rsid w:val="00473131"/>
    <w:rsid w:val="00473738"/>
    <w:rsid w:val="0047430E"/>
    <w:rsid w:val="004747BA"/>
    <w:rsid w:val="0047644E"/>
    <w:rsid w:val="00481161"/>
    <w:rsid w:val="00481A60"/>
    <w:rsid w:val="00483483"/>
    <w:rsid w:val="004861F7"/>
    <w:rsid w:val="00486947"/>
    <w:rsid w:val="00486D76"/>
    <w:rsid w:val="00491765"/>
    <w:rsid w:val="004965E8"/>
    <w:rsid w:val="00496A87"/>
    <w:rsid w:val="004A088D"/>
    <w:rsid w:val="004A1715"/>
    <w:rsid w:val="004A326B"/>
    <w:rsid w:val="004A3E18"/>
    <w:rsid w:val="004A5167"/>
    <w:rsid w:val="004A6337"/>
    <w:rsid w:val="004B5584"/>
    <w:rsid w:val="004C0338"/>
    <w:rsid w:val="004C2A47"/>
    <w:rsid w:val="004C2B91"/>
    <w:rsid w:val="004C2DA9"/>
    <w:rsid w:val="004C3CE9"/>
    <w:rsid w:val="004C4D47"/>
    <w:rsid w:val="004C5D29"/>
    <w:rsid w:val="004D33CF"/>
    <w:rsid w:val="004D4622"/>
    <w:rsid w:val="004D4F2F"/>
    <w:rsid w:val="004D602F"/>
    <w:rsid w:val="004E0ED6"/>
    <w:rsid w:val="004E2C7E"/>
    <w:rsid w:val="004E5059"/>
    <w:rsid w:val="004E776B"/>
    <w:rsid w:val="004F06AB"/>
    <w:rsid w:val="004F3925"/>
    <w:rsid w:val="004F4AA0"/>
    <w:rsid w:val="004F53B0"/>
    <w:rsid w:val="004F5FA6"/>
    <w:rsid w:val="00500E19"/>
    <w:rsid w:val="00502A39"/>
    <w:rsid w:val="00502F30"/>
    <w:rsid w:val="0050363C"/>
    <w:rsid w:val="005041BA"/>
    <w:rsid w:val="00506CC1"/>
    <w:rsid w:val="00511D53"/>
    <w:rsid w:val="005142FC"/>
    <w:rsid w:val="00515A8D"/>
    <w:rsid w:val="0052271F"/>
    <w:rsid w:val="0052275F"/>
    <w:rsid w:val="00523DEE"/>
    <w:rsid w:val="00543F9E"/>
    <w:rsid w:val="005445FB"/>
    <w:rsid w:val="00544B40"/>
    <w:rsid w:val="00547378"/>
    <w:rsid w:val="00547949"/>
    <w:rsid w:val="0055126D"/>
    <w:rsid w:val="005518B9"/>
    <w:rsid w:val="00551E08"/>
    <w:rsid w:val="00553D33"/>
    <w:rsid w:val="00553E3D"/>
    <w:rsid w:val="00553FE4"/>
    <w:rsid w:val="005570E6"/>
    <w:rsid w:val="00561230"/>
    <w:rsid w:val="005616FE"/>
    <w:rsid w:val="00561BBD"/>
    <w:rsid w:val="0056369F"/>
    <w:rsid w:val="00563C02"/>
    <w:rsid w:val="00566174"/>
    <w:rsid w:val="005674BA"/>
    <w:rsid w:val="00571D1A"/>
    <w:rsid w:val="00573729"/>
    <w:rsid w:val="0057419A"/>
    <w:rsid w:val="0057427F"/>
    <w:rsid w:val="005748BF"/>
    <w:rsid w:val="005755CE"/>
    <w:rsid w:val="00577797"/>
    <w:rsid w:val="00580776"/>
    <w:rsid w:val="0058193B"/>
    <w:rsid w:val="00584CA8"/>
    <w:rsid w:val="0058563A"/>
    <w:rsid w:val="00585E53"/>
    <w:rsid w:val="005861C1"/>
    <w:rsid w:val="00591E19"/>
    <w:rsid w:val="005937A4"/>
    <w:rsid w:val="005937E2"/>
    <w:rsid w:val="00593A49"/>
    <w:rsid w:val="0059589B"/>
    <w:rsid w:val="00596FFC"/>
    <w:rsid w:val="005A016C"/>
    <w:rsid w:val="005A3B75"/>
    <w:rsid w:val="005A3BBF"/>
    <w:rsid w:val="005A45E6"/>
    <w:rsid w:val="005A4C3B"/>
    <w:rsid w:val="005A6BF9"/>
    <w:rsid w:val="005B359E"/>
    <w:rsid w:val="005B6916"/>
    <w:rsid w:val="005B711D"/>
    <w:rsid w:val="005B7FCE"/>
    <w:rsid w:val="005C038D"/>
    <w:rsid w:val="005C2655"/>
    <w:rsid w:val="005C31F4"/>
    <w:rsid w:val="005C4914"/>
    <w:rsid w:val="005C5B4C"/>
    <w:rsid w:val="005C5EF9"/>
    <w:rsid w:val="005D0A3B"/>
    <w:rsid w:val="005D0E80"/>
    <w:rsid w:val="005D15CB"/>
    <w:rsid w:val="005D32E9"/>
    <w:rsid w:val="005D3C1E"/>
    <w:rsid w:val="005D60B8"/>
    <w:rsid w:val="005D670E"/>
    <w:rsid w:val="005E0798"/>
    <w:rsid w:val="005E2716"/>
    <w:rsid w:val="005E314A"/>
    <w:rsid w:val="005E51BA"/>
    <w:rsid w:val="005E76D6"/>
    <w:rsid w:val="005F1765"/>
    <w:rsid w:val="005F449A"/>
    <w:rsid w:val="005F5902"/>
    <w:rsid w:val="005F7690"/>
    <w:rsid w:val="00605313"/>
    <w:rsid w:val="0061062F"/>
    <w:rsid w:val="006126D7"/>
    <w:rsid w:val="00613986"/>
    <w:rsid w:val="00613DCE"/>
    <w:rsid w:val="00616248"/>
    <w:rsid w:val="006206C8"/>
    <w:rsid w:val="0062103D"/>
    <w:rsid w:val="00623377"/>
    <w:rsid w:val="00623E56"/>
    <w:rsid w:val="006246B6"/>
    <w:rsid w:val="0063268A"/>
    <w:rsid w:val="00633A1B"/>
    <w:rsid w:val="006359DB"/>
    <w:rsid w:val="00637621"/>
    <w:rsid w:val="00637987"/>
    <w:rsid w:val="00637D7E"/>
    <w:rsid w:val="0064089D"/>
    <w:rsid w:val="0064561E"/>
    <w:rsid w:val="0064799F"/>
    <w:rsid w:val="00647CDE"/>
    <w:rsid w:val="00650AC2"/>
    <w:rsid w:val="00651733"/>
    <w:rsid w:val="00651E33"/>
    <w:rsid w:val="00651EFA"/>
    <w:rsid w:val="006531F2"/>
    <w:rsid w:val="006546E0"/>
    <w:rsid w:val="00657F06"/>
    <w:rsid w:val="00661EA6"/>
    <w:rsid w:val="00662D5D"/>
    <w:rsid w:val="00664D93"/>
    <w:rsid w:val="006657B7"/>
    <w:rsid w:val="006663EA"/>
    <w:rsid w:val="0067029B"/>
    <w:rsid w:val="00671F19"/>
    <w:rsid w:val="00673633"/>
    <w:rsid w:val="00673A7F"/>
    <w:rsid w:val="00676469"/>
    <w:rsid w:val="0067766B"/>
    <w:rsid w:val="0068005C"/>
    <w:rsid w:val="00680151"/>
    <w:rsid w:val="006810E9"/>
    <w:rsid w:val="006871A9"/>
    <w:rsid w:val="00690443"/>
    <w:rsid w:val="00693DB1"/>
    <w:rsid w:val="00694025"/>
    <w:rsid w:val="00696CDC"/>
    <w:rsid w:val="0069734E"/>
    <w:rsid w:val="006A1CDF"/>
    <w:rsid w:val="006A3ECF"/>
    <w:rsid w:val="006A51A6"/>
    <w:rsid w:val="006A6633"/>
    <w:rsid w:val="006A6891"/>
    <w:rsid w:val="006B0333"/>
    <w:rsid w:val="006B20E6"/>
    <w:rsid w:val="006B37E5"/>
    <w:rsid w:val="006B424F"/>
    <w:rsid w:val="006B482C"/>
    <w:rsid w:val="006B505F"/>
    <w:rsid w:val="006B7380"/>
    <w:rsid w:val="006C0BBF"/>
    <w:rsid w:val="006C1279"/>
    <w:rsid w:val="006C649E"/>
    <w:rsid w:val="006D152B"/>
    <w:rsid w:val="006D2A2A"/>
    <w:rsid w:val="006D41E2"/>
    <w:rsid w:val="006D7D67"/>
    <w:rsid w:val="006E1D71"/>
    <w:rsid w:val="006E5FF8"/>
    <w:rsid w:val="006E7907"/>
    <w:rsid w:val="006F02E4"/>
    <w:rsid w:val="006F0F4D"/>
    <w:rsid w:val="006F2D5D"/>
    <w:rsid w:val="006F3708"/>
    <w:rsid w:val="006F40BC"/>
    <w:rsid w:val="006F5447"/>
    <w:rsid w:val="006F63B5"/>
    <w:rsid w:val="006F6664"/>
    <w:rsid w:val="00700E12"/>
    <w:rsid w:val="007101E7"/>
    <w:rsid w:val="007115D1"/>
    <w:rsid w:val="0071236C"/>
    <w:rsid w:val="007139A9"/>
    <w:rsid w:val="007141E8"/>
    <w:rsid w:val="00714AFA"/>
    <w:rsid w:val="00720243"/>
    <w:rsid w:val="00727B60"/>
    <w:rsid w:val="00734FCB"/>
    <w:rsid w:val="0073627B"/>
    <w:rsid w:val="00741BF1"/>
    <w:rsid w:val="00744443"/>
    <w:rsid w:val="00744541"/>
    <w:rsid w:val="00744DF0"/>
    <w:rsid w:val="0074514B"/>
    <w:rsid w:val="0074618C"/>
    <w:rsid w:val="00751EE4"/>
    <w:rsid w:val="007542E1"/>
    <w:rsid w:val="00756293"/>
    <w:rsid w:val="00756A23"/>
    <w:rsid w:val="00756E9E"/>
    <w:rsid w:val="00757281"/>
    <w:rsid w:val="00757424"/>
    <w:rsid w:val="0076062E"/>
    <w:rsid w:val="0076158F"/>
    <w:rsid w:val="00763536"/>
    <w:rsid w:val="007636FD"/>
    <w:rsid w:val="007656DA"/>
    <w:rsid w:val="0076628D"/>
    <w:rsid w:val="007677FD"/>
    <w:rsid w:val="00770EFF"/>
    <w:rsid w:val="00772A24"/>
    <w:rsid w:val="00775D19"/>
    <w:rsid w:val="00776C4E"/>
    <w:rsid w:val="00777420"/>
    <w:rsid w:val="007778C8"/>
    <w:rsid w:val="007823D5"/>
    <w:rsid w:val="00783A06"/>
    <w:rsid w:val="00784B9B"/>
    <w:rsid w:val="00785459"/>
    <w:rsid w:val="00786BAD"/>
    <w:rsid w:val="0078700C"/>
    <w:rsid w:val="007905EA"/>
    <w:rsid w:val="00791CB1"/>
    <w:rsid w:val="00791F34"/>
    <w:rsid w:val="0079436F"/>
    <w:rsid w:val="00796E82"/>
    <w:rsid w:val="007974C1"/>
    <w:rsid w:val="007A0DD9"/>
    <w:rsid w:val="007B2F20"/>
    <w:rsid w:val="007B4E13"/>
    <w:rsid w:val="007B649F"/>
    <w:rsid w:val="007C014D"/>
    <w:rsid w:val="007C4402"/>
    <w:rsid w:val="007C60F1"/>
    <w:rsid w:val="007D2190"/>
    <w:rsid w:val="007D2B67"/>
    <w:rsid w:val="007D400C"/>
    <w:rsid w:val="007D4846"/>
    <w:rsid w:val="007D4F65"/>
    <w:rsid w:val="007D58C9"/>
    <w:rsid w:val="007D5BFE"/>
    <w:rsid w:val="007D769C"/>
    <w:rsid w:val="007E05DA"/>
    <w:rsid w:val="007E194A"/>
    <w:rsid w:val="007E3024"/>
    <w:rsid w:val="007E62FD"/>
    <w:rsid w:val="007E7DDD"/>
    <w:rsid w:val="007F0563"/>
    <w:rsid w:val="007F1FF8"/>
    <w:rsid w:val="007F2A8F"/>
    <w:rsid w:val="007F6F7E"/>
    <w:rsid w:val="00801671"/>
    <w:rsid w:val="008019E8"/>
    <w:rsid w:val="00801E08"/>
    <w:rsid w:val="008042E5"/>
    <w:rsid w:val="008111C4"/>
    <w:rsid w:val="00811F60"/>
    <w:rsid w:val="00812491"/>
    <w:rsid w:val="00814336"/>
    <w:rsid w:val="008150F3"/>
    <w:rsid w:val="0081623C"/>
    <w:rsid w:val="00816B35"/>
    <w:rsid w:val="00816DCB"/>
    <w:rsid w:val="00817D37"/>
    <w:rsid w:val="00826482"/>
    <w:rsid w:val="00830F5E"/>
    <w:rsid w:val="00835EBA"/>
    <w:rsid w:val="00835EDB"/>
    <w:rsid w:val="008373C4"/>
    <w:rsid w:val="00840A47"/>
    <w:rsid w:val="0084272A"/>
    <w:rsid w:val="00842BB7"/>
    <w:rsid w:val="00843417"/>
    <w:rsid w:val="0084476D"/>
    <w:rsid w:val="0084760D"/>
    <w:rsid w:val="00855453"/>
    <w:rsid w:val="00856DA4"/>
    <w:rsid w:val="00856FE6"/>
    <w:rsid w:val="00857940"/>
    <w:rsid w:val="008631F1"/>
    <w:rsid w:val="008638CF"/>
    <w:rsid w:val="00863CAC"/>
    <w:rsid w:val="00864E05"/>
    <w:rsid w:val="00865979"/>
    <w:rsid w:val="0087328A"/>
    <w:rsid w:val="00873B5F"/>
    <w:rsid w:val="008742FA"/>
    <w:rsid w:val="00875CB4"/>
    <w:rsid w:val="008778A2"/>
    <w:rsid w:val="00884358"/>
    <w:rsid w:val="00885151"/>
    <w:rsid w:val="0089003F"/>
    <w:rsid w:val="00891DF2"/>
    <w:rsid w:val="0089514F"/>
    <w:rsid w:val="0089652F"/>
    <w:rsid w:val="008972DB"/>
    <w:rsid w:val="008A6317"/>
    <w:rsid w:val="008A75B4"/>
    <w:rsid w:val="008B3D2D"/>
    <w:rsid w:val="008B72B1"/>
    <w:rsid w:val="008C03FC"/>
    <w:rsid w:val="008C6017"/>
    <w:rsid w:val="008C6A97"/>
    <w:rsid w:val="008D02FF"/>
    <w:rsid w:val="008D066A"/>
    <w:rsid w:val="008D130D"/>
    <w:rsid w:val="008D2BBA"/>
    <w:rsid w:val="008D57CE"/>
    <w:rsid w:val="008D7541"/>
    <w:rsid w:val="008D7BDF"/>
    <w:rsid w:val="008E1415"/>
    <w:rsid w:val="008E4C68"/>
    <w:rsid w:val="008E5541"/>
    <w:rsid w:val="008E5E77"/>
    <w:rsid w:val="008F1C3C"/>
    <w:rsid w:val="008F284C"/>
    <w:rsid w:val="008F2E0D"/>
    <w:rsid w:val="008F4630"/>
    <w:rsid w:val="008F7999"/>
    <w:rsid w:val="00902CB3"/>
    <w:rsid w:val="009053C5"/>
    <w:rsid w:val="00910D16"/>
    <w:rsid w:val="00911D76"/>
    <w:rsid w:val="009142A1"/>
    <w:rsid w:val="0091512D"/>
    <w:rsid w:val="00921570"/>
    <w:rsid w:val="00924118"/>
    <w:rsid w:val="009273D4"/>
    <w:rsid w:val="009324F3"/>
    <w:rsid w:val="00933961"/>
    <w:rsid w:val="00935CC8"/>
    <w:rsid w:val="00936663"/>
    <w:rsid w:val="009376E6"/>
    <w:rsid w:val="00941F4A"/>
    <w:rsid w:val="00943520"/>
    <w:rsid w:val="00946006"/>
    <w:rsid w:val="009468FB"/>
    <w:rsid w:val="00946E1A"/>
    <w:rsid w:val="00957549"/>
    <w:rsid w:val="00967FA8"/>
    <w:rsid w:val="00970660"/>
    <w:rsid w:val="00975212"/>
    <w:rsid w:val="00983206"/>
    <w:rsid w:val="00983A51"/>
    <w:rsid w:val="00984FF8"/>
    <w:rsid w:val="00990003"/>
    <w:rsid w:val="00991B3A"/>
    <w:rsid w:val="009A0316"/>
    <w:rsid w:val="009A1B55"/>
    <w:rsid w:val="009A1C02"/>
    <w:rsid w:val="009A6333"/>
    <w:rsid w:val="009B3201"/>
    <w:rsid w:val="009B519B"/>
    <w:rsid w:val="009C24B8"/>
    <w:rsid w:val="009C455B"/>
    <w:rsid w:val="009C5A05"/>
    <w:rsid w:val="009C5B3C"/>
    <w:rsid w:val="009D0AA3"/>
    <w:rsid w:val="009D2571"/>
    <w:rsid w:val="009D4903"/>
    <w:rsid w:val="009D62D2"/>
    <w:rsid w:val="009E0D9F"/>
    <w:rsid w:val="009E16C9"/>
    <w:rsid w:val="009E415E"/>
    <w:rsid w:val="009E54E2"/>
    <w:rsid w:val="009E6F14"/>
    <w:rsid w:val="009E7195"/>
    <w:rsid w:val="009E7525"/>
    <w:rsid w:val="009F03C3"/>
    <w:rsid w:val="009F0C0F"/>
    <w:rsid w:val="009F0E2D"/>
    <w:rsid w:val="009F55EE"/>
    <w:rsid w:val="009F5D8B"/>
    <w:rsid w:val="009F6503"/>
    <w:rsid w:val="00A00742"/>
    <w:rsid w:val="00A00A69"/>
    <w:rsid w:val="00A01B8E"/>
    <w:rsid w:val="00A01E1C"/>
    <w:rsid w:val="00A020E8"/>
    <w:rsid w:val="00A02438"/>
    <w:rsid w:val="00A02FD3"/>
    <w:rsid w:val="00A04096"/>
    <w:rsid w:val="00A04C0D"/>
    <w:rsid w:val="00A06501"/>
    <w:rsid w:val="00A105D8"/>
    <w:rsid w:val="00A14EE6"/>
    <w:rsid w:val="00A170E0"/>
    <w:rsid w:val="00A21862"/>
    <w:rsid w:val="00A22713"/>
    <w:rsid w:val="00A256A0"/>
    <w:rsid w:val="00A356DD"/>
    <w:rsid w:val="00A406F9"/>
    <w:rsid w:val="00A426DF"/>
    <w:rsid w:val="00A44FF5"/>
    <w:rsid w:val="00A475C1"/>
    <w:rsid w:val="00A503BC"/>
    <w:rsid w:val="00A54D3E"/>
    <w:rsid w:val="00A554DB"/>
    <w:rsid w:val="00A561B1"/>
    <w:rsid w:val="00A57193"/>
    <w:rsid w:val="00A5732B"/>
    <w:rsid w:val="00A61275"/>
    <w:rsid w:val="00A63791"/>
    <w:rsid w:val="00A65874"/>
    <w:rsid w:val="00A66647"/>
    <w:rsid w:val="00A66EC8"/>
    <w:rsid w:val="00A70DD3"/>
    <w:rsid w:val="00A719E3"/>
    <w:rsid w:val="00A71A9D"/>
    <w:rsid w:val="00A71C13"/>
    <w:rsid w:val="00A72258"/>
    <w:rsid w:val="00A72963"/>
    <w:rsid w:val="00A729EE"/>
    <w:rsid w:val="00A72E6F"/>
    <w:rsid w:val="00A72EA9"/>
    <w:rsid w:val="00A8356B"/>
    <w:rsid w:val="00A83634"/>
    <w:rsid w:val="00A845E0"/>
    <w:rsid w:val="00A84850"/>
    <w:rsid w:val="00A87E30"/>
    <w:rsid w:val="00A92ACB"/>
    <w:rsid w:val="00A970C0"/>
    <w:rsid w:val="00AA314F"/>
    <w:rsid w:val="00AA38A2"/>
    <w:rsid w:val="00AA59C7"/>
    <w:rsid w:val="00AA70A5"/>
    <w:rsid w:val="00AB28DE"/>
    <w:rsid w:val="00AB2DE8"/>
    <w:rsid w:val="00AB2EE6"/>
    <w:rsid w:val="00AB4D26"/>
    <w:rsid w:val="00AC0EF1"/>
    <w:rsid w:val="00AC2E58"/>
    <w:rsid w:val="00AD3967"/>
    <w:rsid w:val="00AD4489"/>
    <w:rsid w:val="00AD6213"/>
    <w:rsid w:val="00AD6F3D"/>
    <w:rsid w:val="00AD718E"/>
    <w:rsid w:val="00AD71E1"/>
    <w:rsid w:val="00AE102E"/>
    <w:rsid w:val="00AE36CF"/>
    <w:rsid w:val="00AE3D83"/>
    <w:rsid w:val="00AE506C"/>
    <w:rsid w:val="00AF057F"/>
    <w:rsid w:val="00AF1581"/>
    <w:rsid w:val="00AF762E"/>
    <w:rsid w:val="00B019DE"/>
    <w:rsid w:val="00B04D6E"/>
    <w:rsid w:val="00B058FD"/>
    <w:rsid w:val="00B0637A"/>
    <w:rsid w:val="00B14B08"/>
    <w:rsid w:val="00B15DFB"/>
    <w:rsid w:val="00B16575"/>
    <w:rsid w:val="00B24BD0"/>
    <w:rsid w:val="00B259DD"/>
    <w:rsid w:val="00B342AC"/>
    <w:rsid w:val="00B40158"/>
    <w:rsid w:val="00B42F8F"/>
    <w:rsid w:val="00B43B67"/>
    <w:rsid w:val="00B46666"/>
    <w:rsid w:val="00B46EBF"/>
    <w:rsid w:val="00B5068A"/>
    <w:rsid w:val="00B51F45"/>
    <w:rsid w:val="00B5382B"/>
    <w:rsid w:val="00B54320"/>
    <w:rsid w:val="00B548FF"/>
    <w:rsid w:val="00B54FA2"/>
    <w:rsid w:val="00B5739F"/>
    <w:rsid w:val="00B57E6E"/>
    <w:rsid w:val="00B60380"/>
    <w:rsid w:val="00B61CAC"/>
    <w:rsid w:val="00B640BF"/>
    <w:rsid w:val="00B64390"/>
    <w:rsid w:val="00B6451A"/>
    <w:rsid w:val="00B660CE"/>
    <w:rsid w:val="00B662A4"/>
    <w:rsid w:val="00B66E3F"/>
    <w:rsid w:val="00B700A7"/>
    <w:rsid w:val="00B7048E"/>
    <w:rsid w:val="00B716C0"/>
    <w:rsid w:val="00B725C5"/>
    <w:rsid w:val="00B75C7A"/>
    <w:rsid w:val="00B80647"/>
    <w:rsid w:val="00B83E90"/>
    <w:rsid w:val="00B844A2"/>
    <w:rsid w:val="00B8739D"/>
    <w:rsid w:val="00B91FE6"/>
    <w:rsid w:val="00BA73E9"/>
    <w:rsid w:val="00BB0B3B"/>
    <w:rsid w:val="00BB2396"/>
    <w:rsid w:val="00BC1B16"/>
    <w:rsid w:val="00BD00FE"/>
    <w:rsid w:val="00BD50BD"/>
    <w:rsid w:val="00BD545F"/>
    <w:rsid w:val="00BE06C2"/>
    <w:rsid w:val="00BE328F"/>
    <w:rsid w:val="00BE6C19"/>
    <w:rsid w:val="00BE7ACE"/>
    <w:rsid w:val="00BF1248"/>
    <w:rsid w:val="00BF30F5"/>
    <w:rsid w:val="00BF5F77"/>
    <w:rsid w:val="00C00CFF"/>
    <w:rsid w:val="00C046FD"/>
    <w:rsid w:val="00C05336"/>
    <w:rsid w:val="00C06CF7"/>
    <w:rsid w:val="00C1084B"/>
    <w:rsid w:val="00C13513"/>
    <w:rsid w:val="00C15DB6"/>
    <w:rsid w:val="00C215F6"/>
    <w:rsid w:val="00C21798"/>
    <w:rsid w:val="00C21B71"/>
    <w:rsid w:val="00C24E8B"/>
    <w:rsid w:val="00C24F83"/>
    <w:rsid w:val="00C251D0"/>
    <w:rsid w:val="00C2648B"/>
    <w:rsid w:val="00C324E5"/>
    <w:rsid w:val="00C32C8C"/>
    <w:rsid w:val="00C34D1E"/>
    <w:rsid w:val="00C35FAB"/>
    <w:rsid w:val="00C363F1"/>
    <w:rsid w:val="00C366DF"/>
    <w:rsid w:val="00C37D15"/>
    <w:rsid w:val="00C42B77"/>
    <w:rsid w:val="00C42C0A"/>
    <w:rsid w:val="00C457ED"/>
    <w:rsid w:val="00C47705"/>
    <w:rsid w:val="00C524D7"/>
    <w:rsid w:val="00C5464C"/>
    <w:rsid w:val="00C54A4F"/>
    <w:rsid w:val="00C57A9C"/>
    <w:rsid w:val="00C6176B"/>
    <w:rsid w:val="00C6266F"/>
    <w:rsid w:val="00C62A88"/>
    <w:rsid w:val="00C70A2E"/>
    <w:rsid w:val="00C71D44"/>
    <w:rsid w:val="00C73E8E"/>
    <w:rsid w:val="00C74CD9"/>
    <w:rsid w:val="00C76012"/>
    <w:rsid w:val="00C7777F"/>
    <w:rsid w:val="00C804B2"/>
    <w:rsid w:val="00C84042"/>
    <w:rsid w:val="00C87FF3"/>
    <w:rsid w:val="00C901BB"/>
    <w:rsid w:val="00C91BB4"/>
    <w:rsid w:val="00C961E0"/>
    <w:rsid w:val="00CA2533"/>
    <w:rsid w:val="00CA516E"/>
    <w:rsid w:val="00CB1FBF"/>
    <w:rsid w:val="00CB7856"/>
    <w:rsid w:val="00CC25BF"/>
    <w:rsid w:val="00CC2C90"/>
    <w:rsid w:val="00CC3D2E"/>
    <w:rsid w:val="00CC4EF5"/>
    <w:rsid w:val="00CC6F14"/>
    <w:rsid w:val="00CD1682"/>
    <w:rsid w:val="00CD25D1"/>
    <w:rsid w:val="00CD28BF"/>
    <w:rsid w:val="00CD3F88"/>
    <w:rsid w:val="00CD6F2D"/>
    <w:rsid w:val="00CE064B"/>
    <w:rsid w:val="00CE1EE6"/>
    <w:rsid w:val="00CE1FE5"/>
    <w:rsid w:val="00CE34F6"/>
    <w:rsid w:val="00CE4B06"/>
    <w:rsid w:val="00CE54D1"/>
    <w:rsid w:val="00CE5A6E"/>
    <w:rsid w:val="00CE7E65"/>
    <w:rsid w:val="00CF209E"/>
    <w:rsid w:val="00CF4975"/>
    <w:rsid w:val="00CF5735"/>
    <w:rsid w:val="00CF5875"/>
    <w:rsid w:val="00CF737F"/>
    <w:rsid w:val="00D01E3E"/>
    <w:rsid w:val="00D040E1"/>
    <w:rsid w:val="00D0436B"/>
    <w:rsid w:val="00D1092B"/>
    <w:rsid w:val="00D11ECD"/>
    <w:rsid w:val="00D1441B"/>
    <w:rsid w:val="00D14CED"/>
    <w:rsid w:val="00D17251"/>
    <w:rsid w:val="00D17F64"/>
    <w:rsid w:val="00D21F1E"/>
    <w:rsid w:val="00D23CFA"/>
    <w:rsid w:val="00D2488D"/>
    <w:rsid w:val="00D27741"/>
    <w:rsid w:val="00D3069F"/>
    <w:rsid w:val="00D320F7"/>
    <w:rsid w:val="00D34ACA"/>
    <w:rsid w:val="00D37AF2"/>
    <w:rsid w:val="00D41D86"/>
    <w:rsid w:val="00D42926"/>
    <w:rsid w:val="00D438B6"/>
    <w:rsid w:val="00D43D1A"/>
    <w:rsid w:val="00D455EE"/>
    <w:rsid w:val="00D461C8"/>
    <w:rsid w:val="00D4709E"/>
    <w:rsid w:val="00D50769"/>
    <w:rsid w:val="00D51F98"/>
    <w:rsid w:val="00D523E4"/>
    <w:rsid w:val="00D655C7"/>
    <w:rsid w:val="00D70556"/>
    <w:rsid w:val="00D73D1C"/>
    <w:rsid w:val="00D75C43"/>
    <w:rsid w:val="00D76294"/>
    <w:rsid w:val="00D7773C"/>
    <w:rsid w:val="00D808F2"/>
    <w:rsid w:val="00D820D0"/>
    <w:rsid w:val="00D8479C"/>
    <w:rsid w:val="00DA0045"/>
    <w:rsid w:val="00DA15F0"/>
    <w:rsid w:val="00DA29FF"/>
    <w:rsid w:val="00DA3DC2"/>
    <w:rsid w:val="00DA51A6"/>
    <w:rsid w:val="00DA69A2"/>
    <w:rsid w:val="00DA6B20"/>
    <w:rsid w:val="00DA7A7B"/>
    <w:rsid w:val="00DB4A9C"/>
    <w:rsid w:val="00DB7F2F"/>
    <w:rsid w:val="00DC046E"/>
    <w:rsid w:val="00DC15F8"/>
    <w:rsid w:val="00DC382A"/>
    <w:rsid w:val="00DC3AF6"/>
    <w:rsid w:val="00DC4B93"/>
    <w:rsid w:val="00DC5220"/>
    <w:rsid w:val="00DC5AE0"/>
    <w:rsid w:val="00DC5C59"/>
    <w:rsid w:val="00DC6DFF"/>
    <w:rsid w:val="00DC79BC"/>
    <w:rsid w:val="00DD03DD"/>
    <w:rsid w:val="00DD149F"/>
    <w:rsid w:val="00DD2481"/>
    <w:rsid w:val="00DD6213"/>
    <w:rsid w:val="00DE0B30"/>
    <w:rsid w:val="00DE4BA6"/>
    <w:rsid w:val="00DE56B0"/>
    <w:rsid w:val="00DE7CCC"/>
    <w:rsid w:val="00DF4A4A"/>
    <w:rsid w:val="00DF51A2"/>
    <w:rsid w:val="00DF74F4"/>
    <w:rsid w:val="00DF7576"/>
    <w:rsid w:val="00E02D9B"/>
    <w:rsid w:val="00E04168"/>
    <w:rsid w:val="00E0458C"/>
    <w:rsid w:val="00E1031C"/>
    <w:rsid w:val="00E103FF"/>
    <w:rsid w:val="00E1130E"/>
    <w:rsid w:val="00E113DC"/>
    <w:rsid w:val="00E1524C"/>
    <w:rsid w:val="00E16050"/>
    <w:rsid w:val="00E16192"/>
    <w:rsid w:val="00E220EB"/>
    <w:rsid w:val="00E22362"/>
    <w:rsid w:val="00E24BC5"/>
    <w:rsid w:val="00E25D49"/>
    <w:rsid w:val="00E2785C"/>
    <w:rsid w:val="00E27FAA"/>
    <w:rsid w:val="00E32EB9"/>
    <w:rsid w:val="00E32F3A"/>
    <w:rsid w:val="00E333B3"/>
    <w:rsid w:val="00E36A64"/>
    <w:rsid w:val="00E37233"/>
    <w:rsid w:val="00E37D8D"/>
    <w:rsid w:val="00E40A0C"/>
    <w:rsid w:val="00E40D66"/>
    <w:rsid w:val="00E44215"/>
    <w:rsid w:val="00E44DED"/>
    <w:rsid w:val="00E53344"/>
    <w:rsid w:val="00E6442A"/>
    <w:rsid w:val="00E64867"/>
    <w:rsid w:val="00E648E4"/>
    <w:rsid w:val="00E66980"/>
    <w:rsid w:val="00E67307"/>
    <w:rsid w:val="00E67B13"/>
    <w:rsid w:val="00E70415"/>
    <w:rsid w:val="00E71D73"/>
    <w:rsid w:val="00E72EE4"/>
    <w:rsid w:val="00E73AB4"/>
    <w:rsid w:val="00E73E8C"/>
    <w:rsid w:val="00E7417E"/>
    <w:rsid w:val="00E756F2"/>
    <w:rsid w:val="00E76BCF"/>
    <w:rsid w:val="00E773DC"/>
    <w:rsid w:val="00E807C6"/>
    <w:rsid w:val="00E82BE7"/>
    <w:rsid w:val="00E85F46"/>
    <w:rsid w:val="00E87D86"/>
    <w:rsid w:val="00E91593"/>
    <w:rsid w:val="00E915BB"/>
    <w:rsid w:val="00E91EBA"/>
    <w:rsid w:val="00E96605"/>
    <w:rsid w:val="00E96D3B"/>
    <w:rsid w:val="00E97DBD"/>
    <w:rsid w:val="00EA7B9D"/>
    <w:rsid w:val="00EB1BE2"/>
    <w:rsid w:val="00EB1D90"/>
    <w:rsid w:val="00EB5961"/>
    <w:rsid w:val="00EB5F63"/>
    <w:rsid w:val="00EB6FD3"/>
    <w:rsid w:val="00EB766F"/>
    <w:rsid w:val="00EC4252"/>
    <w:rsid w:val="00EC4E1F"/>
    <w:rsid w:val="00EC4FC8"/>
    <w:rsid w:val="00EC7D79"/>
    <w:rsid w:val="00ED0C2A"/>
    <w:rsid w:val="00ED3180"/>
    <w:rsid w:val="00ED4F9D"/>
    <w:rsid w:val="00ED5AF3"/>
    <w:rsid w:val="00ED5D45"/>
    <w:rsid w:val="00EE1073"/>
    <w:rsid w:val="00EE3148"/>
    <w:rsid w:val="00EE3A5E"/>
    <w:rsid w:val="00EE4844"/>
    <w:rsid w:val="00EE76C8"/>
    <w:rsid w:val="00EF415A"/>
    <w:rsid w:val="00EF456A"/>
    <w:rsid w:val="00EF4FCA"/>
    <w:rsid w:val="00EF6D56"/>
    <w:rsid w:val="00EF73AA"/>
    <w:rsid w:val="00F0036D"/>
    <w:rsid w:val="00F034B4"/>
    <w:rsid w:val="00F0391D"/>
    <w:rsid w:val="00F05A1D"/>
    <w:rsid w:val="00F06475"/>
    <w:rsid w:val="00F06711"/>
    <w:rsid w:val="00F07F98"/>
    <w:rsid w:val="00F10E4A"/>
    <w:rsid w:val="00F12930"/>
    <w:rsid w:val="00F206EE"/>
    <w:rsid w:val="00F21F80"/>
    <w:rsid w:val="00F23333"/>
    <w:rsid w:val="00F331CB"/>
    <w:rsid w:val="00F3476B"/>
    <w:rsid w:val="00F34955"/>
    <w:rsid w:val="00F40944"/>
    <w:rsid w:val="00F43075"/>
    <w:rsid w:val="00F44BFF"/>
    <w:rsid w:val="00F526BB"/>
    <w:rsid w:val="00F52DDC"/>
    <w:rsid w:val="00F53A29"/>
    <w:rsid w:val="00F54233"/>
    <w:rsid w:val="00F5542B"/>
    <w:rsid w:val="00F60811"/>
    <w:rsid w:val="00F61253"/>
    <w:rsid w:val="00F62CC2"/>
    <w:rsid w:val="00F6307C"/>
    <w:rsid w:val="00F6346A"/>
    <w:rsid w:val="00F6614A"/>
    <w:rsid w:val="00F67444"/>
    <w:rsid w:val="00F75CCF"/>
    <w:rsid w:val="00F76568"/>
    <w:rsid w:val="00F77DC8"/>
    <w:rsid w:val="00F81C29"/>
    <w:rsid w:val="00F84634"/>
    <w:rsid w:val="00F85929"/>
    <w:rsid w:val="00F91370"/>
    <w:rsid w:val="00F94BC5"/>
    <w:rsid w:val="00FA17FD"/>
    <w:rsid w:val="00FA324D"/>
    <w:rsid w:val="00FA336F"/>
    <w:rsid w:val="00FA4D87"/>
    <w:rsid w:val="00FA4E90"/>
    <w:rsid w:val="00FA5F89"/>
    <w:rsid w:val="00FA6579"/>
    <w:rsid w:val="00FB1C5C"/>
    <w:rsid w:val="00FB6199"/>
    <w:rsid w:val="00FB6855"/>
    <w:rsid w:val="00FC2B3E"/>
    <w:rsid w:val="00FC35FB"/>
    <w:rsid w:val="00FC405D"/>
    <w:rsid w:val="00FC55B9"/>
    <w:rsid w:val="00FC5C8D"/>
    <w:rsid w:val="00FC6701"/>
    <w:rsid w:val="00FC69D3"/>
    <w:rsid w:val="00FC7164"/>
    <w:rsid w:val="00FC7590"/>
    <w:rsid w:val="00FD6FC0"/>
    <w:rsid w:val="00FE0D92"/>
    <w:rsid w:val="00FE2F0F"/>
    <w:rsid w:val="00FE5101"/>
    <w:rsid w:val="00FE5F01"/>
    <w:rsid w:val="00FF3B06"/>
    <w:rsid w:val="00FF7BF1"/>
    <w:rsid w:val="0E3A57E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7329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GB"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101"/>
    <w:rPr>
      <w:rFonts w:ascii="Times New Roman" w:hAnsi="Times New Roman"/>
      <w:sz w:val="24"/>
      <w:szCs w:val="24"/>
      <w:lang w:val="en-US" w:eastAsia="en-US"/>
    </w:rPr>
  </w:style>
  <w:style w:type="paragraph" w:styleId="Heading1">
    <w:name w:val="heading 1"/>
    <w:basedOn w:val="Normal"/>
    <w:next w:val="Normal"/>
    <w:link w:val="Heading1Char"/>
    <w:qFormat/>
    <w:rsid w:val="008C6017"/>
    <w:pPr>
      <w:keepNext/>
      <w:outlineLvl w:val="0"/>
    </w:pPr>
    <w:rPr>
      <w:i/>
      <w:szCs w:val="20"/>
    </w:rPr>
  </w:style>
  <w:style w:type="paragraph" w:styleId="Heading2">
    <w:name w:val="heading 2"/>
    <w:basedOn w:val="Normal"/>
    <w:next w:val="Normal"/>
    <w:link w:val="Heading2Char"/>
    <w:qFormat/>
    <w:rsid w:val="008C6017"/>
    <w:pPr>
      <w:keepNext/>
      <w:outlineLvl w:val="1"/>
    </w:pPr>
    <w:rPr>
      <w:b/>
      <w:szCs w:val="20"/>
    </w:rPr>
  </w:style>
  <w:style w:type="paragraph" w:styleId="Heading3">
    <w:name w:val="heading 3"/>
    <w:basedOn w:val="Normal"/>
    <w:next w:val="Normal"/>
    <w:link w:val="Heading3Char"/>
    <w:qFormat/>
    <w:rsid w:val="008C6017"/>
    <w:pPr>
      <w:keepNext/>
      <w:outlineLvl w:val="2"/>
    </w:pPr>
    <w:rPr>
      <w:b/>
      <w:bCs/>
      <w:i/>
      <w:szCs w:val="20"/>
    </w:rPr>
  </w:style>
  <w:style w:type="paragraph" w:styleId="Heading4">
    <w:name w:val="heading 4"/>
    <w:basedOn w:val="Normal"/>
    <w:next w:val="Normal"/>
    <w:link w:val="Heading4Char"/>
    <w:qFormat/>
    <w:rsid w:val="008C6017"/>
    <w:pPr>
      <w:keepNext/>
      <w:ind w:left="360" w:hanging="360"/>
      <w:jc w:val="both"/>
      <w:outlineLvl w:val="3"/>
    </w:pPr>
    <w:rPr>
      <w:b/>
      <w:bCs/>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504B"/>
    <w:pPr>
      <w:ind w:left="720"/>
      <w:contextualSpacing/>
    </w:pPr>
  </w:style>
  <w:style w:type="character" w:styleId="LineNumber">
    <w:name w:val="line number"/>
    <w:basedOn w:val="DefaultParagraphFont"/>
    <w:uiPriority w:val="99"/>
    <w:semiHidden/>
    <w:unhideWhenUsed/>
    <w:rsid w:val="008019E8"/>
  </w:style>
  <w:style w:type="paragraph" w:styleId="Header">
    <w:name w:val="header"/>
    <w:basedOn w:val="Normal"/>
    <w:link w:val="HeaderChar"/>
    <w:uiPriority w:val="99"/>
    <w:semiHidden/>
    <w:unhideWhenUsed/>
    <w:rsid w:val="00FE5101"/>
    <w:pPr>
      <w:tabs>
        <w:tab w:val="center" w:pos="4680"/>
        <w:tab w:val="right" w:pos="9360"/>
      </w:tabs>
    </w:pPr>
  </w:style>
  <w:style w:type="character" w:customStyle="1" w:styleId="HeaderChar">
    <w:name w:val="Header Char"/>
    <w:link w:val="Header"/>
    <w:uiPriority w:val="99"/>
    <w:semiHidden/>
    <w:rsid w:val="00FE5101"/>
    <w:rPr>
      <w:sz w:val="22"/>
      <w:szCs w:val="22"/>
    </w:rPr>
  </w:style>
  <w:style w:type="paragraph" w:styleId="Footer">
    <w:name w:val="footer"/>
    <w:basedOn w:val="Normal"/>
    <w:link w:val="FooterChar"/>
    <w:uiPriority w:val="99"/>
    <w:semiHidden/>
    <w:unhideWhenUsed/>
    <w:rsid w:val="00FE5101"/>
    <w:pPr>
      <w:tabs>
        <w:tab w:val="center" w:pos="4680"/>
        <w:tab w:val="right" w:pos="9360"/>
      </w:tabs>
    </w:pPr>
  </w:style>
  <w:style w:type="character" w:customStyle="1" w:styleId="FooterChar">
    <w:name w:val="Footer Char"/>
    <w:link w:val="Footer"/>
    <w:uiPriority w:val="99"/>
    <w:semiHidden/>
    <w:rsid w:val="00FE5101"/>
    <w:rPr>
      <w:sz w:val="22"/>
      <w:szCs w:val="22"/>
    </w:rPr>
  </w:style>
  <w:style w:type="character" w:customStyle="1" w:styleId="bibarticle">
    <w:name w:val="bib_article"/>
    <w:rsid w:val="00FE5101"/>
    <w:rPr>
      <w:sz w:val="24"/>
      <w:bdr w:val="none" w:sz="0" w:space="0" w:color="auto"/>
      <w:shd w:val="clear" w:color="auto" w:fill="00FFFF"/>
    </w:rPr>
  </w:style>
  <w:style w:type="character" w:customStyle="1" w:styleId="bibdoi">
    <w:name w:val="bib_doi"/>
    <w:rsid w:val="00FE5101"/>
    <w:rPr>
      <w:sz w:val="24"/>
      <w:bdr w:val="none" w:sz="0" w:space="0" w:color="auto"/>
      <w:shd w:val="clear" w:color="auto" w:fill="00FF00"/>
    </w:rPr>
  </w:style>
  <w:style w:type="character" w:customStyle="1" w:styleId="bibetal">
    <w:name w:val="bib_etal"/>
    <w:rsid w:val="00FE5101"/>
    <w:rPr>
      <w:sz w:val="24"/>
      <w:bdr w:val="none" w:sz="0" w:space="0" w:color="auto"/>
      <w:shd w:val="clear" w:color="auto" w:fill="008080"/>
    </w:rPr>
  </w:style>
  <w:style w:type="character" w:customStyle="1" w:styleId="bibfname">
    <w:name w:val="bib_fname"/>
    <w:rsid w:val="00FE5101"/>
    <w:rPr>
      <w:sz w:val="24"/>
      <w:bdr w:val="none" w:sz="0" w:space="0" w:color="auto"/>
      <w:shd w:val="clear" w:color="auto" w:fill="FFFF00"/>
    </w:rPr>
  </w:style>
  <w:style w:type="character" w:customStyle="1" w:styleId="bibfpage">
    <w:name w:val="bib_fpage"/>
    <w:rsid w:val="00FE5101"/>
    <w:rPr>
      <w:sz w:val="24"/>
      <w:bdr w:val="none" w:sz="0" w:space="0" w:color="auto"/>
      <w:shd w:val="clear" w:color="auto" w:fill="808080"/>
    </w:rPr>
  </w:style>
  <w:style w:type="character" w:customStyle="1" w:styleId="bibissue">
    <w:name w:val="bib_issue"/>
    <w:rsid w:val="00FE5101"/>
    <w:rPr>
      <w:sz w:val="24"/>
      <w:bdr w:val="none" w:sz="0" w:space="0" w:color="auto"/>
      <w:shd w:val="clear" w:color="auto" w:fill="FFFF00"/>
    </w:rPr>
  </w:style>
  <w:style w:type="character" w:customStyle="1" w:styleId="bibjournal">
    <w:name w:val="bib_journal"/>
    <w:rsid w:val="00FE5101"/>
    <w:rPr>
      <w:sz w:val="24"/>
      <w:bdr w:val="none" w:sz="0" w:space="0" w:color="auto"/>
      <w:shd w:val="clear" w:color="auto" w:fill="808000"/>
    </w:rPr>
  </w:style>
  <w:style w:type="character" w:customStyle="1" w:styleId="biblpage">
    <w:name w:val="bib_lpage"/>
    <w:rsid w:val="00FE5101"/>
    <w:rPr>
      <w:sz w:val="24"/>
      <w:bdr w:val="none" w:sz="0" w:space="0" w:color="auto"/>
      <w:shd w:val="clear" w:color="auto" w:fill="808080"/>
    </w:rPr>
  </w:style>
  <w:style w:type="character" w:customStyle="1" w:styleId="bibnumber">
    <w:name w:val="bib_number"/>
    <w:basedOn w:val="bibbase"/>
    <w:rsid w:val="00FE5101"/>
    <w:rPr>
      <w:sz w:val="24"/>
    </w:rPr>
  </w:style>
  <w:style w:type="character" w:customStyle="1" w:styleId="biborganization">
    <w:name w:val="bib_organization"/>
    <w:rsid w:val="00FE5101"/>
    <w:rPr>
      <w:sz w:val="24"/>
      <w:bdr w:val="none" w:sz="0" w:space="0" w:color="auto"/>
      <w:shd w:val="clear" w:color="auto" w:fill="808000"/>
    </w:rPr>
  </w:style>
  <w:style w:type="character" w:customStyle="1" w:styleId="bibsuppl">
    <w:name w:val="bib_suppl"/>
    <w:rsid w:val="00FE5101"/>
    <w:rPr>
      <w:sz w:val="24"/>
      <w:bdr w:val="none" w:sz="0" w:space="0" w:color="auto"/>
      <w:shd w:val="clear" w:color="auto" w:fill="FFFF00"/>
    </w:rPr>
  </w:style>
  <w:style w:type="character" w:customStyle="1" w:styleId="bibsurname">
    <w:name w:val="bib_surname"/>
    <w:rsid w:val="00FE5101"/>
    <w:rPr>
      <w:sz w:val="24"/>
      <w:bdr w:val="none" w:sz="0" w:space="0" w:color="auto"/>
      <w:shd w:val="clear" w:color="auto" w:fill="FFFF00"/>
    </w:rPr>
  </w:style>
  <w:style w:type="character" w:customStyle="1" w:styleId="bibunpubl">
    <w:name w:val="bib_unpubl"/>
    <w:basedOn w:val="bibbase"/>
    <w:rsid w:val="00FE5101"/>
    <w:rPr>
      <w:sz w:val="24"/>
    </w:rPr>
  </w:style>
  <w:style w:type="character" w:customStyle="1" w:styleId="biburl">
    <w:name w:val="bib_url"/>
    <w:rsid w:val="00FE5101"/>
    <w:rPr>
      <w:sz w:val="24"/>
      <w:bdr w:val="none" w:sz="0" w:space="0" w:color="auto"/>
      <w:shd w:val="clear" w:color="auto" w:fill="00FF00"/>
    </w:rPr>
  </w:style>
  <w:style w:type="character" w:customStyle="1" w:styleId="bibvolume">
    <w:name w:val="bib_volume"/>
    <w:rsid w:val="00FE5101"/>
    <w:rPr>
      <w:sz w:val="24"/>
      <w:bdr w:val="none" w:sz="0" w:space="0" w:color="auto"/>
      <w:shd w:val="clear" w:color="auto" w:fill="00FF00"/>
    </w:rPr>
  </w:style>
  <w:style w:type="character" w:customStyle="1" w:styleId="bibyear">
    <w:name w:val="bib_year"/>
    <w:rsid w:val="00FE5101"/>
    <w:rPr>
      <w:sz w:val="24"/>
      <w:bdr w:val="none" w:sz="0" w:space="0" w:color="auto"/>
      <w:shd w:val="clear" w:color="auto" w:fill="FF00FF"/>
    </w:rPr>
  </w:style>
  <w:style w:type="character" w:customStyle="1" w:styleId="citebib">
    <w:name w:val="cite_bib"/>
    <w:rsid w:val="00FE5101"/>
    <w:rPr>
      <w:sz w:val="24"/>
      <w:bdr w:val="none" w:sz="0" w:space="0" w:color="auto"/>
      <w:shd w:val="clear" w:color="auto" w:fill="00FFFF"/>
    </w:rPr>
  </w:style>
  <w:style w:type="character" w:customStyle="1" w:styleId="citebox">
    <w:name w:val="cite_box"/>
    <w:basedOn w:val="citebase"/>
    <w:rsid w:val="00FE5101"/>
    <w:rPr>
      <w:sz w:val="24"/>
    </w:rPr>
  </w:style>
  <w:style w:type="character" w:customStyle="1" w:styleId="citefig">
    <w:name w:val="cite_fig"/>
    <w:rsid w:val="00FE5101"/>
    <w:rPr>
      <w:color w:val="auto"/>
      <w:sz w:val="24"/>
      <w:bdr w:val="none" w:sz="0" w:space="0" w:color="auto"/>
      <w:shd w:val="clear" w:color="auto" w:fill="00FF00"/>
    </w:rPr>
  </w:style>
  <w:style w:type="character" w:customStyle="1" w:styleId="citetbl">
    <w:name w:val="cite_tbl"/>
    <w:rsid w:val="00FE5101"/>
    <w:rPr>
      <w:color w:val="auto"/>
      <w:sz w:val="24"/>
      <w:bdr w:val="none" w:sz="0" w:space="0" w:color="auto"/>
      <w:shd w:val="clear" w:color="auto" w:fill="FF00FF"/>
    </w:rPr>
  </w:style>
  <w:style w:type="character" w:customStyle="1" w:styleId="bibdeg">
    <w:name w:val="bib_deg"/>
    <w:basedOn w:val="bibbase"/>
    <w:rsid w:val="00FE5101"/>
    <w:rPr>
      <w:sz w:val="24"/>
    </w:rPr>
  </w:style>
  <w:style w:type="character" w:customStyle="1" w:styleId="bibsuffix">
    <w:name w:val="bib_suffix"/>
    <w:basedOn w:val="bibbase"/>
    <w:rsid w:val="00FE5101"/>
    <w:rPr>
      <w:sz w:val="24"/>
    </w:rPr>
  </w:style>
  <w:style w:type="character" w:customStyle="1" w:styleId="bibcomment">
    <w:name w:val="bib_comment"/>
    <w:basedOn w:val="bibbase"/>
    <w:rsid w:val="00FE5101"/>
    <w:rPr>
      <w:sz w:val="24"/>
    </w:rPr>
  </w:style>
  <w:style w:type="character" w:customStyle="1" w:styleId="audeg">
    <w:name w:val="au_deg"/>
    <w:rsid w:val="00FE5101"/>
    <w:rPr>
      <w:sz w:val="24"/>
      <w:bdr w:val="none" w:sz="0" w:space="0" w:color="auto"/>
      <w:shd w:val="clear" w:color="auto" w:fill="FFFF00"/>
    </w:rPr>
  </w:style>
  <w:style w:type="character" w:customStyle="1" w:styleId="aufname">
    <w:name w:val="au_fname"/>
    <w:rsid w:val="00FE5101"/>
    <w:rPr>
      <w:sz w:val="24"/>
      <w:bdr w:val="none" w:sz="0" w:space="0" w:color="auto"/>
      <w:shd w:val="clear" w:color="auto" w:fill="00FFFF"/>
    </w:rPr>
  </w:style>
  <w:style w:type="character" w:customStyle="1" w:styleId="aurole">
    <w:name w:val="au_role"/>
    <w:rsid w:val="00FE5101"/>
    <w:rPr>
      <w:sz w:val="24"/>
      <w:bdr w:val="none" w:sz="0" w:space="0" w:color="auto"/>
      <w:shd w:val="clear" w:color="auto" w:fill="808000"/>
    </w:rPr>
  </w:style>
  <w:style w:type="character" w:customStyle="1" w:styleId="ausuffix">
    <w:name w:val="au_suffix"/>
    <w:rsid w:val="00FE5101"/>
    <w:rPr>
      <w:sz w:val="24"/>
      <w:bdr w:val="none" w:sz="0" w:space="0" w:color="auto"/>
      <w:shd w:val="clear" w:color="auto" w:fill="FF00FF"/>
    </w:rPr>
  </w:style>
  <w:style w:type="character" w:customStyle="1" w:styleId="ausurname">
    <w:name w:val="au_surname"/>
    <w:rsid w:val="00FE5101"/>
    <w:rPr>
      <w:sz w:val="24"/>
      <w:bdr w:val="none" w:sz="0" w:space="0" w:color="auto"/>
      <w:shd w:val="clear" w:color="auto" w:fill="00FF00"/>
    </w:rPr>
  </w:style>
  <w:style w:type="character" w:customStyle="1" w:styleId="bibbase">
    <w:name w:val="bib_base"/>
    <w:rsid w:val="00FE5101"/>
    <w:rPr>
      <w:sz w:val="24"/>
    </w:rPr>
  </w:style>
  <w:style w:type="character" w:customStyle="1" w:styleId="aubase">
    <w:name w:val="au_base"/>
    <w:rsid w:val="00FE5101"/>
    <w:rPr>
      <w:sz w:val="24"/>
    </w:rPr>
  </w:style>
  <w:style w:type="character" w:customStyle="1" w:styleId="citebase">
    <w:name w:val="cite_base"/>
    <w:rsid w:val="00FE5101"/>
    <w:rPr>
      <w:sz w:val="24"/>
    </w:rPr>
  </w:style>
  <w:style w:type="character" w:customStyle="1" w:styleId="citefn">
    <w:name w:val="cite_fn"/>
    <w:rsid w:val="00FE5101"/>
    <w:rPr>
      <w:color w:val="auto"/>
      <w:sz w:val="24"/>
      <w:bdr w:val="none" w:sz="0" w:space="0" w:color="auto"/>
      <w:shd w:val="clear" w:color="auto" w:fill="FF0000"/>
      <w:vertAlign w:val="superscript"/>
    </w:rPr>
  </w:style>
  <w:style w:type="character" w:customStyle="1" w:styleId="aucollab">
    <w:name w:val="au_collab"/>
    <w:rsid w:val="00FE5101"/>
    <w:rPr>
      <w:sz w:val="24"/>
      <w:bdr w:val="none" w:sz="0" w:space="0" w:color="auto"/>
      <w:shd w:val="clear" w:color="auto" w:fill="C0C0C0"/>
    </w:rPr>
  </w:style>
  <w:style w:type="character" w:customStyle="1" w:styleId="bibmedline">
    <w:name w:val="bib_medline"/>
    <w:basedOn w:val="bibbase"/>
    <w:rsid w:val="00FE5101"/>
    <w:rPr>
      <w:sz w:val="24"/>
    </w:rPr>
  </w:style>
  <w:style w:type="character" w:customStyle="1" w:styleId="citeen">
    <w:name w:val="cite_en"/>
    <w:rsid w:val="00FE5101"/>
    <w:rPr>
      <w:sz w:val="24"/>
      <w:shd w:val="clear" w:color="auto" w:fill="FFFF00"/>
      <w:vertAlign w:val="superscript"/>
    </w:rPr>
  </w:style>
  <w:style w:type="character" w:customStyle="1" w:styleId="eqno">
    <w:name w:val="eq_no"/>
    <w:basedOn w:val="citebase"/>
    <w:rsid w:val="00FE5101"/>
    <w:rPr>
      <w:sz w:val="24"/>
    </w:rPr>
  </w:style>
  <w:style w:type="paragraph" w:customStyle="1" w:styleId="BaseHeading">
    <w:name w:val="Base_Heading"/>
    <w:rsid w:val="00FE5101"/>
    <w:pPr>
      <w:outlineLvl w:val="0"/>
    </w:pPr>
    <w:rPr>
      <w:rFonts w:ascii="Times New Roman" w:hAnsi="Times New Roman"/>
      <w:sz w:val="24"/>
      <w:szCs w:val="24"/>
      <w:lang w:val="en-US" w:eastAsia="en-US"/>
    </w:rPr>
  </w:style>
  <w:style w:type="paragraph" w:customStyle="1" w:styleId="BaseText">
    <w:name w:val="Base_Text"/>
    <w:rsid w:val="00FE5101"/>
    <w:rPr>
      <w:rFonts w:ascii="Times New Roman" w:hAnsi="Times New Roman"/>
      <w:sz w:val="24"/>
      <w:szCs w:val="24"/>
      <w:lang w:val="en-US" w:eastAsia="en-US"/>
    </w:rPr>
  </w:style>
  <w:style w:type="paragraph" w:customStyle="1" w:styleId="Arttitle">
    <w:name w:val="Art title"/>
    <w:basedOn w:val="BaseHeading"/>
    <w:rsid w:val="00FE5101"/>
    <w:rPr>
      <w:sz w:val="36"/>
    </w:rPr>
  </w:style>
  <w:style w:type="paragraph" w:customStyle="1" w:styleId="RightRunning">
    <w:name w:val="Right Running"/>
    <w:basedOn w:val="BaseText"/>
    <w:rsid w:val="00FE5101"/>
  </w:style>
  <w:style w:type="paragraph" w:customStyle="1" w:styleId="LeftRunning">
    <w:name w:val="Left Running"/>
    <w:basedOn w:val="BaseText"/>
    <w:rsid w:val="00FE5101"/>
  </w:style>
  <w:style w:type="paragraph" w:customStyle="1" w:styleId="Author">
    <w:name w:val="Author"/>
    <w:basedOn w:val="BaseText"/>
    <w:rsid w:val="00FE5101"/>
    <w:rPr>
      <w:b/>
    </w:rPr>
  </w:style>
  <w:style w:type="paragraph" w:customStyle="1" w:styleId="AuthorAffiliation">
    <w:name w:val="Author Affiliation"/>
    <w:basedOn w:val="BaseText"/>
    <w:rsid w:val="00FE5101"/>
    <w:rPr>
      <w:i/>
    </w:rPr>
  </w:style>
  <w:style w:type="paragraph" w:customStyle="1" w:styleId="Correspondence">
    <w:name w:val="Correspondence"/>
    <w:basedOn w:val="BaseText"/>
    <w:rsid w:val="00FE5101"/>
  </w:style>
  <w:style w:type="paragraph" w:customStyle="1" w:styleId="Abstract">
    <w:name w:val="Abstract"/>
    <w:basedOn w:val="BaseText"/>
    <w:rsid w:val="00FE5101"/>
    <w:pPr>
      <w:ind w:firstLine="720"/>
    </w:pPr>
  </w:style>
  <w:style w:type="paragraph" w:customStyle="1" w:styleId="Keywords">
    <w:name w:val="Keywords"/>
    <w:basedOn w:val="BaseText"/>
    <w:rsid w:val="00FE5101"/>
  </w:style>
  <w:style w:type="paragraph" w:customStyle="1" w:styleId="Footnote">
    <w:name w:val="Footnote"/>
    <w:basedOn w:val="BaseText"/>
    <w:rsid w:val="00FE5101"/>
  </w:style>
  <w:style w:type="paragraph" w:customStyle="1" w:styleId="BookReference">
    <w:name w:val="Book Reference"/>
    <w:basedOn w:val="BaseText"/>
    <w:rsid w:val="00FE5101"/>
  </w:style>
  <w:style w:type="paragraph" w:customStyle="1" w:styleId="Head1">
    <w:name w:val="Head 1"/>
    <w:basedOn w:val="BaseHeading"/>
    <w:rsid w:val="00FE5101"/>
    <w:rPr>
      <w:b/>
    </w:rPr>
  </w:style>
  <w:style w:type="paragraph" w:customStyle="1" w:styleId="Head2">
    <w:name w:val="Head 2"/>
    <w:basedOn w:val="BaseHeading"/>
    <w:rsid w:val="00FE5101"/>
    <w:pPr>
      <w:outlineLvl w:val="1"/>
    </w:pPr>
    <w:rPr>
      <w:b/>
    </w:rPr>
  </w:style>
  <w:style w:type="paragraph" w:customStyle="1" w:styleId="Head3">
    <w:name w:val="Head 3"/>
    <w:basedOn w:val="BaseHeading"/>
    <w:rsid w:val="00FE5101"/>
    <w:pPr>
      <w:outlineLvl w:val="2"/>
    </w:pPr>
    <w:rPr>
      <w:b/>
      <w:i/>
    </w:rPr>
  </w:style>
  <w:style w:type="paragraph" w:customStyle="1" w:styleId="Head4">
    <w:name w:val="Head 4"/>
    <w:basedOn w:val="BaseHeading"/>
    <w:rsid w:val="00FE5101"/>
    <w:pPr>
      <w:ind w:left="360"/>
      <w:outlineLvl w:val="3"/>
    </w:pPr>
    <w:rPr>
      <w:b/>
      <w:i/>
    </w:rPr>
  </w:style>
  <w:style w:type="paragraph" w:customStyle="1" w:styleId="Head5">
    <w:name w:val="Head 5"/>
    <w:basedOn w:val="BaseHeading"/>
    <w:rsid w:val="00FE5101"/>
    <w:pPr>
      <w:ind w:left="360"/>
      <w:outlineLvl w:val="4"/>
    </w:pPr>
    <w:rPr>
      <w:i/>
    </w:rPr>
  </w:style>
  <w:style w:type="paragraph" w:customStyle="1" w:styleId="BodyParagraph">
    <w:name w:val="Body Paragraph"/>
    <w:basedOn w:val="BaseText"/>
    <w:rsid w:val="00FE5101"/>
    <w:pPr>
      <w:ind w:firstLine="720"/>
    </w:pPr>
  </w:style>
  <w:style w:type="paragraph" w:customStyle="1" w:styleId="Extract">
    <w:name w:val="Extract"/>
    <w:basedOn w:val="BaseText"/>
    <w:rsid w:val="00FE5101"/>
  </w:style>
  <w:style w:type="paragraph" w:customStyle="1" w:styleId="Equation">
    <w:name w:val="Equation"/>
    <w:basedOn w:val="BaseText"/>
    <w:rsid w:val="00FE5101"/>
    <w:pPr>
      <w:ind w:left="720" w:right="720"/>
    </w:pPr>
  </w:style>
  <w:style w:type="paragraph" w:customStyle="1" w:styleId="List1">
    <w:name w:val="List 1"/>
    <w:basedOn w:val="BaseText"/>
    <w:rsid w:val="00FE5101"/>
    <w:pPr>
      <w:ind w:left="360" w:hanging="360"/>
      <w:outlineLvl w:val="0"/>
    </w:pPr>
  </w:style>
  <w:style w:type="paragraph" w:styleId="List2">
    <w:name w:val="List 2"/>
    <w:basedOn w:val="BaseText"/>
    <w:rsid w:val="00FE5101"/>
    <w:pPr>
      <w:ind w:left="720" w:hanging="360"/>
      <w:outlineLvl w:val="1"/>
    </w:pPr>
  </w:style>
  <w:style w:type="paragraph" w:customStyle="1" w:styleId="Bullettext">
    <w:name w:val="Bullet text"/>
    <w:basedOn w:val="BaseText"/>
    <w:rsid w:val="00FE5101"/>
    <w:pPr>
      <w:ind w:left="360" w:hanging="360"/>
      <w:outlineLvl w:val="0"/>
    </w:pPr>
  </w:style>
  <w:style w:type="paragraph" w:customStyle="1" w:styleId="TableTitle">
    <w:name w:val="Table Title"/>
    <w:basedOn w:val="BaseText"/>
    <w:rsid w:val="00FE5101"/>
    <w:pPr>
      <w:jc w:val="center"/>
    </w:pPr>
    <w:rPr>
      <w:sz w:val="16"/>
    </w:rPr>
  </w:style>
  <w:style w:type="paragraph" w:customStyle="1" w:styleId="TableHead">
    <w:name w:val="Table Head"/>
    <w:basedOn w:val="BaseText"/>
    <w:rsid w:val="00FE5101"/>
    <w:pPr>
      <w:jc w:val="center"/>
    </w:pPr>
    <w:rPr>
      <w:sz w:val="16"/>
    </w:rPr>
  </w:style>
  <w:style w:type="paragraph" w:customStyle="1" w:styleId="TableBody">
    <w:name w:val="Table Body"/>
    <w:basedOn w:val="BaseText"/>
    <w:rsid w:val="00FE5101"/>
    <w:pPr>
      <w:jc w:val="center"/>
    </w:pPr>
    <w:rPr>
      <w:sz w:val="16"/>
    </w:rPr>
  </w:style>
  <w:style w:type="paragraph" w:customStyle="1" w:styleId="TableFootnote">
    <w:name w:val="Table Footnote"/>
    <w:basedOn w:val="BaseText"/>
    <w:rsid w:val="00FE5101"/>
    <w:pPr>
      <w:ind w:left="720"/>
    </w:pPr>
    <w:rPr>
      <w:sz w:val="16"/>
    </w:rPr>
  </w:style>
  <w:style w:type="paragraph" w:customStyle="1" w:styleId="Acknowledgment">
    <w:name w:val="Acknowledgment"/>
    <w:basedOn w:val="BaseText"/>
    <w:rsid w:val="00FE5101"/>
    <w:pPr>
      <w:ind w:left="360" w:firstLine="720"/>
    </w:pPr>
  </w:style>
  <w:style w:type="paragraph" w:customStyle="1" w:styleId="Appendix">
    <w:name w:val="Appendix"/>
    <w:basedOn w:val="BaseText"/>
    <w:rsid w:val="00FE5101"/>
  </w:style>
  <w:style w:type="paragraph" w:customStyle="1" w:styleId="Tagline">
    <w:name w:val="Tagline"/>
    <w:basedOn w:val="BaseText"/>
    <w:rsid w:val="00FE5101"/>
  </w:style>
  <w:style w:type="paragraph" w:customStyle="1" w:styleId="References">
    <w:name w:val="References"/>
    <w:basedOn w:val="BaseText"/>
    <w:rsid w:val="00FE5101"/>
    <w:pPr>
      <w:ind w:left="432" w:hanging="432"/>
    </w:pPr>
  </w:style>
  <w:style w:type="paragraph" w:customStyle="1" w:styleId="NoteinProof">
    <w:name w:val="Note in Proof"/>
    <w:basedOn w:val="BaseText"/>
    <w:rsid w:val="00FE5101"/>
    <w:rPr>
      <w:i/>
    </w:rPr>
  </w:style>
  <w:style w:type="paragraph" w:customStyle="1" w:styleId="AbstractHead">
    <w:name w:val="Abstract Head"/>
    <w:basedOn w:val="BaseHeading"/>
    <w:rsid w:val="00FE5101"/>
    <w:rPr>
      <w:b/>
    </w:rPr>
  </w:style>
  <w:style w:type="paragraph" w:customStyle="1" w:styleId="AppendixHead">
    <w:name w:val="Appendix Head"/>
    <w:basedOn w:val="BaseHeading"/>
    <w:rsid w:val="00FE5101"/>
    <w:rPr>
      <w:b/>
    </w:rPr>
  </w:style>
  <w:style w:type="paragraph" w:customStyle="1" w:styleId="ReferenceHead">
    <w:name w:val="Reference Head"/>
    <w:basedOn w:val="BaseHeading"/>
    <w:rsid w:val="00FE5101"/>
    <w:rPr>
      <w:b/>
    </w:rPr>
  </w:style>
  <w:style w:type="paragraph" w:customStyle="1" w:styleId="AcknowledgmentHead">
    <w:name w:val="Acknowledgment Head"/>
    <w:basedOn w:val="BaseHeading"/>
    <w:rsid w:val="00FE5101"/>
    <w:rPr>
      <w:b/>
    </w:rPr>
  </w:style>
  <w:style w:type="paragraph" w:customStyle="1" w:styleId="FigureCaption">
    <w:name w:val="Figure Caption"/>
    <w:basedOn w:val="BaseText"/>
    <w:rsid w:val="00FE5101"/>
  </w:style>
  <w:style w:type="paragraph" w:customStyle="1" w:styleId="Endnote">
    <w:name w:val="Endnote"/>
    <w:basedOn w:val="BaseText"/>
    <w:rsid w:val="00FE5101"/>
  </w:style>
  <w:style w:type="paragraph" w:customStyle="1" w:styleId="FlushParagraph">
    <w:name w:val="Flush Paragraph"/>
    <w:basedOn w:val="BaseText"/>
    <w:rsid w:val="00FE5101"/>
  </w:style>
  <w:style w:type="paragraph" w:customStyle="1" w:styleId="AppendixH2">
    <w:name w:val="Appendix H2"/>
    <w:basedOn w:val="BaseHeading"/>
    <w:rsid w:val="00FE5101"/>
    <w:rPr>
      <w:b/>
    </w:rPr>
  </w:style>
  <w:style w:type="paragraph" w:customStyle="1" w:styleId="AppendixH3">
    <w:name w:val="Appendix H3"/>
    <w:basedOn w:val="BaseHeading"/>
    <w:rsid w:val="00FE5101"/>
    <w:rPr>
      <w:b/>
    </w:rPr>
  </w:style>
  <w:style w:type="paragraph" w:styleId="BalloonText">
    <w:name w:val="Balloon Text"/>
    <w:basedOn w:val="Normal"/>
    <w:link w:val="BalloonTextChar"/>
    <w:uiPriority w:val="99"/>
    <w:semiHidden/>
    <w:unhideWhenUsed/>
    <w:rsid w:val="00C06CF7"/>
    <w:rPr>
      <w:rFonts w:ascii="Tahoma" w:hAnsi="Tahoma" w:cs="Tahoma"/>
      <w:sz w:val="16"/>
      <w:szCs w:val="16"/>
    </w:rPr>
  </w:style>
  <w:style w:type="character" w:customStyle="1" w:styleId="BalloonTextChar">
    <w:name w:val="Balloon Text Char"/>
    <w:link w:val="BalloonText"/>
    <w:uiPriority w:val="99"/>
    <w:semiHidden/>
    <w:rsid w:val="00C06CF7"/>
    <w:rPr>
      <w:rFonts w:ascii="Tahoma" w:hAnsi="Tahoma" w:cs="Tahoma"/>
      <w:sz w:val="16"/>
      <w:szCs w:val="16"/>
    </w:rPr>
  </w:style>
  <w:style w:type="character" w:customStyle="1" w:styleId="Heading1Char">
    <w:name w:val="Heading 1 Char"/>
    <w:link w:val="Heading1"/>
    <w:rsid w:val="008C6017"/>
    <w:rPr>
      <w:rFonts w:ascii="Times New Roman" w:hAnsi="Times New Roman"/>
      <w:i/>
      <w:sz w:val="24"/>
    </w:rPr>
  </w:style>
  <w:style w:type="character" w:customStyle="1" w:styleId="Heading2Char">
    <w:name w:val="Heading 2 Char"/>
    <w:link w:val="Heading2"/>
    <w:rsid w:val="008C6017"/>
    <w:rPr>
      <w:rFonts w:ascii="Times New Roman" w:hAnsi="Times New Roman"/>
      <w:b/>
      <w:sz w:val="24"/>
    </w:rPr>
  </w:style>
  <w:style w:type="character" w:customStyle="1" w:styleId="Heading3Char">
    <w:name w:val="Heading 3 Char"/>
    <w:link w:val="Heading3"/>
    <w:rsid w:val="008C6017"/>
    <w:rPr>
      <w:rFonts w:ascii="Times New Roman" w:hAnsi="Times New Roman"/>
      <w:b/>
      <w:bCs/>
      <w:i/>
      <w:sz w:val="24"/>
    </w:rPr>
  </w:style>
  <w:style w:type="character" w:customStyle="1" w:styleId="Heading4Char">
    <w:name w:val="Heading 4 Char"/>
    <w:link w:val="Heading4"/>
    <w:rsid w:val="008C6017"/>
    <w:rPr>
      <w:rFonts w:ascii="Times New Roman" w:hAnsi="Times New Roman"/>
      <w:b/>
      <w:bCs/>
      <w:i/>
      <w:sz w:val="24"/>
    </w:rPr>
  </w:style>
  <w:style w:type="paragraph" w:styleId="BodyTextIndent">
    <w:name w:val="Body Text Indent"/>
    <w:basedOn w:val="Normal"/>
    <w:link w:val="BodyTextIndentChar"/>
    <w:rsid w:val="008C6017"/>
    <w:pPr>
      <w:ind w:left="360" w:hanging="360"/>
    </w:pPr>
    <w:rPr>
      <w:szCs w:val="20"/>
    </w:rPr>
  </w:style>
  <w:style w:type="character" w:customStyle="1" w:styleId="BodyTextIndentChar">
    <w:name w:val="Body Text Indent Char"/>
    <w:link w:val="BodyTextIndent"/>
    <w:rsid w:val="008C6017"/>
    <w:rPr>
      <w:rFonts w:ascii="Times New Roman" w:hAnsi="Times New Roman"/>
      <w:sz w:val="24"/>
    </w:rPr>
  </w:style>
  <w:style w:type="character" w:styleId="Hyperlink">
    <w:name w:val="Hyperlink"/>
    <w:rsid w:val="008C6017"/>
    <w:rPr>
      <w:color w:val="0000FF"/>
      <w:u w:val="single"/>
    </w:rPr>
  </w:style>
  <w:style w:type="paragraph" w:styleId="BodyTextIndent2">
    <w:name w:val="Body Text Indent 2"/>
    <w:basedOn w:val="Normal"/>
    <w:link w:val="BodyTextIndent2Char"/>
    <w:rsid w:val="008C6017"/>
    <w:pPr>
      <w:ind w:left="360" w:hanging="360"/>
      <w:jc w:val="both"/>
    </w:pPr>
    <w:rPr>
      <w:szCs w:val="20"/>
    </w:rPr>
  </w:style>
  <w:style w:type="character" w:customStyle="1" w:styleId="BodyTextIndent2Char">
    <w:name w:val="Body Text Indent 2 Char"/>
    <w:link w:val="BodyTextIndent2"/>
    <w:rsid w:val="008C6017"/>
    <w:rPr>
      <w:rFonts w:ascii="Times New Roman" w:hAnsi="Times New Roman"/>
      <w:sz w:val="24"/>
    </w:rPr>
  </w:style>
  <w:style w:type="paragraph" w:styleId="BodyTextIndent3">
    <w:name w:val="Body Text Indent 3"/>
    <w:basedOn w:val="Normal"/>
    <w:link w:val="BodyTextIndent3Char"/>
    <w:rsid w:val="008C6017"/>
    <w:pPr>
      <w:ind w:left="360" w:hanging="288"/>
    </w:pPr>
    <w:rPr>
      <w:szCs w:val="20"/>
    </w:rPr>
  </w:style>
  <w:style w:type="character" w:customStyle="1" w:styleId="BodyTextIndent3Char">
    <w:name w:val="Body Text Indent 3 Char"/>
    <w:link w:val="BodyTextIndent3"/>
    <w:rsid w:val="008C6017"/>
    <w:rPr>
      <w:rFonts w:ascii="Times New Roman" w:hAnsi="Times New Roman"/>
      <w:sz w:val="24"/>
    </w:rPr>
  </w:style>
  <w:style w:type="character" w:customStyle="1" w:styleId="firstline">
    <w:name w:val="firstline"/>
    <w:rsid w:val="00E16050"/>
  </w:style>
  <w:style w:type="paragraph" w:customStyle="1" w:styleId="Body">
    <w:name w:val="Body"/>
    <w:rsid w:val="00AB28DE"/>
    <w:pPr>
      <w:pBdr>
        <w:top w:val="nil"/>
        <w:left w:val="nil"/>
        <w:bottom w:val="nil"/>
        <w:right w:val="nil"/>
        <w:between w:val="nil"/>
        <w:bar w:val="nil"/>
      </w:pBdr>
    </w:pPr>
    <w:rPr>
      <w:rFonts w:eastAsia="Calibri" w:cs="Calibri"/>
      <w:color w:val="000000"/>
      <w:sz w:val="24"/>
      <w:szCs w:val="24"/>
      <w:u w:color="000000"/>
      <w:bdr w:val="nil"/>
    </w:rPr>
  </w:style>
  <w:style w:type="paragraph" w:styleId="Caption">
    <w:name w:val="caption"/>
    <w:basedOn w:val="Normal"/>
    <w:next w:val="Normal"/>
    <w:uiPriority w:val="35"/>
    <w:unhideWhenUsed/>
    <w:qFormat/>
    <w:rsid w:val="00865979"/>
    <w:rPr>
      <w:b/>
      <w:bCs/>
      <w:sz w:val="20"/>
      <w:szCs w:val="20"/>
    </w:rPr>
  </w:style>
  <w:style w:type="character" w:styleId="CommentReference">
    <w:name w:val="annotation reference"/>
    <w:uiPriority w:val="99"/>
    <w:semiHidden/>
    <w:unhideWhenUsed/>
    <w:rsid w:val="009F03C3"/>
    <w:rPr>
      <w:sz w:val="16"/>
      <w:szCs w:val="16"/>
    </w:rPr>
  </w:style>
  <w:style w:type="paragraph" w:styleId="CommentText">
    <w:name w:val="annotation text"/>
    <w:basedOn w:val="Normal"/>
    <w:link w:val="CommentTextChar"/>
    <w:uiPriority w:val="99"/>
    <w:semiHidden/>
    <w:unhideWhenUsed/>
    <w:rsid w:val="009F03C3"/>
    <w:rPr>
      <w:sz w:val="20"/>
      <w:szCs w:val="20"/>
    </w:rPr>
  </w:style>
  <w:style w:type="character" w:customStyle="1" w:styleId="CommentTextChar">
    <w:name w:val="Comment Text Char"/>
    <w:link w:val="CommentText"/>
    <w:uiPriority w:val="99"/>
    <w:semiHidden/>
    <w:rsid w:val="009F03C3"/>
    <w:rPr>
      <w:rFonts w:ascii="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9F03C3"/>
    <w:rPr>
      <w:b/>
      <w:bCs/>
    </w:rPr>
  </w:style>
  <w:style w:type="character" w:customStyle="1" w:styleId="CommentSubjectChar">
    <w:name w:val="Comment Subject Char"/>
    <w:link w:val="CommentSubject"/>
    <w:uiPriority w:val="99"/>
    <w:semiHidden/>
    <w:rsid w:val="009F03C3"/>
    <w:rPr>
      <w:rFonts w:ascii="Times New Roman" w:hAnsi="Times New Roman"/>
      <w:b/>
      <w:bCs/>
      <w:lang w:val="en-US" w:eastAsia="en-US"/>
    </w:rPr>
  </w:style>
  <w:style w:type="paragraph" w:styleId="Revision">
    <w:name w:val="Revision"/>
    <w:hidden/>
    <w:uiPriority w:val="99"/>
    <w:semiHidden/>
    <w:rsid w:val="00D37AF2"/>
    <w:rPr>
      <w:rFonts w:ascii="Times New Roman" w:hAnsi="Times New Roman"/>
      <w:sz w:val="24"/>
      <w:szCs w:val="24"/>
      <w:lang w:val="en-US" w:eastAsia="en-US"/>
    </w:rPr>
  </w:style>
  <w:style w:type="character" w:styleId="PlaceholderText">
    <w:name w:val="Placeholder Text"/>
    <w:basedOn w:val="DefaultParagraphFont"/>
    <w:uiPriority w:val="99"/>
    <w:semiHidden/>
    <w:rsid w:val="005A3B75"/>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GB"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101"/>
    <w:rPr>
      <w:rFonts w:ascii="Times New Roman" w:hAnsi="Times New Roman"/>
      <w:sz w:val="24"/>
      <w:szCs w:val="24"/>
      <w:lang w:val="en-US" w:eastAsia="en-US"/>
    </w:rPr>
  </w:style>
  <w:style w:type="paragraph" w:styleId="Heading1">
    <w:name w:val="heading 1"/>
    <w:basedOn w:val="Normal"/>
    <w:next w:val="Normal"/>
    <w:link w:val="Heading1Char"/>
    <w:qFormat/>
    <w:rsid w:val="008C6017"/>
    <w:pPr>
      <w:keepNext/>
      <w:outlineLvl w:val="0"/>
    </w:pPr>
    <w:rPr>
      <w:i/>
      <w:szCs w:val="20"/>
    </w:rPr>
  </w:style>
  <w:style w:type="paragraph" w:styleId="Heading2">
    <w:name w:val="heading 2"/>
    <w:basedOn w:val="Normal"/>
    <w:next w:val="Normal"/>
    <w:link w:val="Heading2Char"/>
    <w:qFormat/>
    <w:rsid w:val="008C6017"/>
    <w:pPr>
      <w:keepNext/>
      <w:outlineLvl w:val="1"/>
    </w:pPr>
    <w:rPr>
      <w:b/>
      <w:szCs w:val="20"/>
    </w:rPr>
  </w:style>
  <w:style w:type="paragraph" w:styleId="Heading3">
    <w:name w:val="heading 3"/>
    <w:basedOn w:val="Normal"/>
    <w:next w:val="Normal"/>
    <w:link w:val="Heading3Char"/>
    <w:qFormat/>
    <w:rsid w:val="008C6017"/>
    <w:pPr>
      <w:keepNext/>
      <w:outlineLvl w:val="2"/>
    </w:pPr>
    <w:rPr>
      <w:b/>
      <w:bCs/>
      <w:i/>
      <w:szCs w:val="20"/>
    </w:rPr>
  </w:style>
  <w:style w:type="paragraph" w:styleId="Heading4">
    <w:name w:val="heading 4"/>
    <w:basedOn w:val="Normal"/>
    <w:next w:val="Normal"/>
    <w:link w:val="Heading4Char"/>
    <w:qFormat/>
    <w:rsid w:val="008C6017"/>
    <w:pPr>
      <w:keepNext/>
      <w:ind w:left="360" w:hanging="360"/>
      <w:jc w:val="both"/>
      <w:outlineLvl w:val="3"/>
    </w:pPr>
    <w:rPr>
      <w:b/>
      <w:bCs/>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504B"/>
    <w:pPr>
      <w:ind w:left="720"/>
      <w:contextualSpacing/>
    </w:pPr>
  </w:style>
  <w:style w:type="character" w:styleId="LineNumber">
    <w:name w:val="line number"/>
    <w:basedOn w:val="DefaultParagraphFont"/>
    <w:uiPriority w:val="99"/>
    <w:semiHidden/>
    <w:unhideWhenUsed/>
    <w:rsid w:val="008019E8"/>
  </w:style>
  <w:style w:type="paragraph" w:styleId="Header">
    <w:name w:val="header"/>
    <w:basedOn w:val="Normal"/>
    <w:link w:val="HeaderChar"/>
    <w:uiPriority w:val="99"/>
    <w:semiHidden/>
    <w:unhideWhenUsed/>
    <w:rsid w:val="00FE5101"/>
    <w:pPr>
      <w:tabs>
        <w:tab w:val="center" w:pos="4680"/>
        <w:tab w:val="right" w:pos="9360"/>
      </w:tabs>
    </w:pPr>
  </w:style>
  <w:style w:type="character" w:customStyle="1" w:styleId="HeaderChar">
    <w:name w:val="Header Char"/>
    <w:link w:val="Header"/>
    <w:uiPriority w:val="99"/>
    <w:semiHidden/>
    <w:rsid w:val="00FE5101"/>
    <w:rPr>
      <w:sz w:val="22"/>
      <w:szCs w:val="22"/>
    </w:rPr>
  </w:style>
  <w:style w:type="paragraph" w:styleId="Footer">
    <w:name w:val="footer"/>
    <w:basedOn w:val="Normal"/>
    <w:link w:val="FooterChar"/>
    <w:uiPriority w:val="99"/>
    <w:semiHidden/>
    <w:unhideWhenUsed/>
    <w:rsid w:val="00FE5101"/>
    <w:pPr>
      <w:tabs>
        <w:tab w:val="center" w:pos="4680"/>
        <w:tab w:val="right" w:pos="9360"/>
      </w:tabs>
    </w:pPr>
  </w:style>
  <w:style w:type="character" w:customStyle="1" w:styleId="FooterChar">
    <w:name w:val="Footer Char"/>
    <w:link w:val="Footer"/>
    <w:uiPriority w:val="99"/>
    <w:semiHidden/>
    <w:rsid w:val="00FE5101"/>
    <w:rPr>
      <w:sz w:val="22"/>
      <w:szCs w:val="22"/>
    </w:rPr>
  </w:style>
  <w:style w:type="character" w:customStyle="1" w:styleId="bibarticle">
    <w:name w:val="bib_article"/>
    <w:rsid w:val="00FE5101"/>
    <w:rPr>
      <w:sz w:val="24"/>
      <w:bdr w:val="none" w:sz="0" w:space="0" w:color="auto"/>
      <w:shd w:val="clear" w:color="auto" w:fill="00FFFF"/>
    </w:rPr>
  </w:style>
  <w:style w:type="character" w:customStyle="1" w:styleId="bibdoi">
    <w:name w:val="bib_doi"/>
    <w:rsid w:val="00FE5101"/>
    <w:rPr>
      <w:sz w:val="24"/>
      <w:bdr w:val="none" w:sz="0" w:space="0" w:color="auto"/>
      <w:shd w:val="clear" w:color="auto" w:fill="00FF00"/>
    </w:rPr>
  </w:style>
  <w:style w:type="character" w:customStyle="1" w:styleId="bibetal">
    <w:name w:val="bib_etal"/>
    <w:rsid w:val="00FE5101"/>
    <w:rPr>
      <w:sz w:val="24"/>
      <w:bdr w:val="none" w:sz="0" w:space="0" w:color="auto"/>
      <w:shd w:val="clear" w:color="auto" w:fill="008080"/>
    </w:rPr>
  </w:style>
  <w:style w:type="character" w:customStyle="1" w:styleId="bibfname">
    <w:name w:val="bib_fname"/>
    <w:rsid w:val="00FE5101"/>
    <w:rPr>
      <w:sz w:val="24"/>
      <w:bdr w:val="none" w:sz="0" w:space="0" w:color="auto"/>
      <w:shd w:val="clear" w:color="auto" w:fill="FFFF00"/>
    </w:rPr>
  </w:style>
  <w:style w:type="character" w:customStyle="1" w:styleId="bibfpage">
    <w:name w:val="bib_fpage"/>
    <w:rsid w:val="00FE5101"/>
    <w:rPr>
      <w:sz w:val="24"/>
      <w:bdr w:val="none" w:sz="0" w:space="0" w:color="auto"/>
      <w:shd w:val="clear" w:color="auto" w:fill="808080"/>
    </w:rPr>
  </w:style>
  <w:style w:type="character" w:customStyle="1" w:styleId="bibissue">
    <w:name w:val="bib_issue"/>
    <w:rsid w:val="00FE5101"/>
    <w:rPr>
      <w:sz w:val="24"/>
      <w:bdr w:val="none" w:sz="0" w:space="0" w:color="auto"/>
      <w:shd w:val="clear" w:color="auto" w:fill="FFFF00"/>
    </w:rPr>
  </w:style>
  <w:style w:type="character" w:customStyle="1" w:styleId="bibjournal">
    <w:name w:val="bib_journal"/>
    <w:rsid w:val="00FE5101"/>
    <w:rPr>
      <w:sz w:val="24"/>
      <w:bdr w:val="none" w:sz="0" w:space="0" w:color="auto"/>
      <w:shd w:val="clear" w:color="auto" w:fill="808000"/>
    </w:rPr>
  </w:style>
  <w:style w:type="character" w:customStyle="1" w:styleId="biblpage">
    <w:name w:val="bib_lpage"/>
    <w:rsid w:val="00FE5101"/>
    <w:rPr>
      <w:sz w:val="24"/>
      <w:bdr w:val="none" w:sz="0" w:space="0" w:color="auto"/>
      <w:shd w:val="clear" w:color="auto" w:fill="808080"/>
    </w:rPr>
  </w:style>
  <w:style w:type="character" w:customStyle="1" w:styleId="bibnumber">
    <w:name w:val="bib_number"/>
    <w:basedOn w:val="bibbase"/>
    <w:rsid w:val="00FE5101"/>
    <w:rPr>
      <w:sz w:val="24"/>
    </w:rPr>
  </w:style>
  <w:style w:type="character" w:customStyle="1" w:styleId="biborganization">
    <w:name w:val="bib_organization"/>
    <w:rsid w:val="00FE5101"/>
    <w:rPr>
      <w:sz w:val="24"/>
      <w:bdr w:val="none" w:sz="0" w:space="0" w:color="auto"/>
      <w:shd w:val="clear" w:color="auto" w:fill="808000"/>
    </w:rPr>
  </w:style>
  <w:style w:type="character" w:customStyle="1" w:styleId="bibsuppl">
    <w:name w:val="bib_suppl"/>
    <w:rsid w:val="00FE5101"/>
    <w:rPr>
      <w:sz w:val="24"/>
      <w:bdr w:val="none" w:sz="0" w:space="0" w:color="auto"/>
      <w:shd w:val="clear" w:color="auto" w:fill="FFFF00"/>
    </w:rPr>
  </w:style>
  <w:style w:type="character" w:customStyle="1" w:styleId="bibsurname">
    <w:name w:val="bib_surname"/>
    <w:rsid w:val="00FE5101"/>
    <w:rPr>
      <w:sz w:val="24"/>
      <w:bdr w:val="none" w:sz="0" w:space="0" w:color="auto"/>
      <w:shd w:val="clear" w:color="auto" w:fill="FFFF00"/>
    </w:rPr>
  </w:style>
  <w:style w:type="character" w:customStyle="1" w:styleId="bibunpubl">
    <w:name w:val="bib_unpubl"/>
    <w:basedOn w:val="bibbase"/>
    <w:rsid w:val="00FE5101"/>
    <w:rPr>
      <w:sz w:val="24"/>
    </w:rPr>
  </w:style>
  <w:style w:type="character" w:customStyle="1" w:styleId="biburl">
    <w:name w:val="bib_url"/>
    <w:rsid w:val="00FE5101"/>
    <w:rPr>
      <w:sz w:val="24"/>
      <w:bdr w:val="none" w:sz="0" w:space="0" w:color="auto"/>
      <w:shd w:val="clear" w:color="auto" w:fill="00FF00"/>
    </w:rPr>
  </w:style>
  <w:style w:type="character" w:customStyle="1" w:styleId="bibvolume">
    <w:name w:val="bib_volume"/>
    <w:rsid w:val="00FE5101"/>
    <w:rPr>
      <w:sz w:val="24"/>
      <w:bdr w:val="none" w:sz="0" w:space="0" w:color="auto"/>
      <w:shd w:val="clear" w:color="auto" w:fill="00FF00"/>
    </w:rPr>
  </w:style>
  <w:style w:type="character" w:customStyle="1" w:styleId="bibyear">
    <w:name w:val="bib_year"/>
    <w:rsid w:val="00FE5101"/>
    <w:rPr>
      <w:sz w:val="24"/>
      <w:bdr w:val="none" w:sz="0" w:space="0" w:color="auto"/>
      <w:shd w:val="clear" w:color="auto" w:fill="FF00FF"/>
    </w:rPr>
  </w:style>
  <w:style w:type="character" w:customStyle="1" w:styleId="citebib">
    <w:name w:val="cite_bib"/>
    <w:rsid w:val="00FE5101"/>
    <w:rPr>
      <w:sz w:val="24"/>
      <w:bdr w:val="none" w:sz="0" w:space="0" w:color="auto"/>
      <w:shd w:val="clear" w:color="auto" w:fill="00FFFF"/>
    </w:rPr>
  </w:style>
  <w:style w:type="character" w:customStyle="1" w:styleId="citebox">
    <w:name w:val="cite_box"/>
    <w:basedOn w:val="citebase"/>
    <w:rsid w:val="00FE5101"/>
    <w:rPr>
      <w:sz w:val="24"/>
    </w:rPr>
  </w:style>
  <w:style w:type="character" w:customStyle="1" w:styleId="citefig">
    <w:name w:val="cite_fig"/>
    <w:rsid w:val="00FE5101"/>
    <w:rPr>
      <w:color w:val="auto"/>
      <w:sz w:val="24"/>
      <w:bdr w:val="none" w:sz="0" w:space="0" w:color="auto"/>
      <w:shd w:val="clear" w:color="auto" w:fill="00FF00"/>
    </w:rPr>
  </w:style>
  <w:style w:type="character" w:customStyle="1" w:styleId="citetbl">
    <w:name w:val="cite_tbl"/>
    <w:rsid w:val="00FE5101"/>
    <w:rPr>
      <w:color w:val="auto"/>
      <w:sz w:val="24"/>
      <w:bdr w:val="none" w:sz="0" w:space="0" w:color="auto"/>
      <w:shd w:val="clear" w:color="auto" w:fill="FF00FF"/>
    </w:rPr>
  </w:style>
  <w:style w:type="character" w:customStyle="1" w:styleId="bibdeg">
    <w:name w:val="bib_deg"/>
    <w:basedOn w:val="bibbase"/>
    <w:rsid w:val="00FE5101"/>
    <w:rPr>
      <w:sz w:val="24"/>
    </w:rPr>
  </w:style>
  <w:style w:type="character" w:customStyle="1" w:styleId="bibsuffix">
    <w:name w:val="bib_suffix"/>
    <w:basedOn w:val="bibbase"/>
    <w:rsid w:val="00FE5101"/>
    <w:rPr>
      <w:sz w:val="24"/>
    </w:rPr>
  </w:style>
  <w:style w:type="character" w:customStyle="1" w:styleId="bibcomment">
    <w:name w:val="bib_comment"/>
    <w:basedOn w:val="bibbase"/>
    <w:rsid w:val="00FE5101"/>
    <w:rPr>
      <w:sz w:val="24"/>
    </w:rPr>
  </w:style>
  <w:style w:type="character" w:customStyle="1" w:styleId="audeg">
    <w:name w:val="au_deg"/>
    <w:rsid w:val="00FE5101"/>
    <w:rPr>
      <w:sz w:val="24"/>
      <w:bdr w:val="none" w:sz="0" w:space="0" w:color="auto"/>
      <w:shd w:val="clear" w:color="auto" w:fill="FFFF00"/>
    </w:rPr>
  </w:style>
  <w:style w:type="character" w:customStyle="1" w:styleId="aufname">
    <w:name w:val="au_fname"/>
    <w:rsid w:val="00FE5101"/>
    <w:rPr>
      <w:sz w:val="24"/>
      <w:bdr w:val="none" w:sz="0" w:space="0" w:color="auto"/>
      <w:shd w:val="clear" w:color="auto" w:fill="00FFFF"/>
    </w:rPr>
  </w:style>
  <w:style w:type="character" w:customStyle="1" w:styleId="aurole">
    <w:name w:val="au_role"/>
    <w:rsid w:val="00FE5101"/>
    <w:rPr>
      <w:sz w:val="24"/>
      <w:bdr w:val="none" w:sz="0" w:space="0" w:color="auto"/>
      <w:shd w:val="clear" w:color="auto" w:fill="808000"/>
    </w:rPr>
  </w:style>
  <w:style w:type="character" w:customStyle="1" w:styleId="ausuffix">
    <w:name w:val="au_suffix"/>
    <w:rsid w:val="00FE5101"/>
    <w:rPr>
      <w:sz w:val="24"/>
      <w:bdr w:val="none" w:sz="0" w:space="0" w:color="auto"/>
      <w:shd w:val="clear" w:color="auto" w:fill="FF00FF"/>
    </w:rPr>
  </w:style>
  <w:style w:type="character" w:customStyle="1" w:styleId="ausurname">
    <w:name w:val="au_surname"/>
    <w:rsid w:val="00FE5101"/>
    <w:rPr>
      <w:sz w:val="24"/>
      <w:bdr w:val="none" w:sz="0" w:space="0" w:color="auto"/>
      <w:shd w:val="clear" w:color="auto" w:fill="00FF00"/>
    </w:rPr>
  </w:style>
  <w:style w:type="character" w:customStyle="1" w:styleId="bibbase">
    <w:name w:val="bib_base"/>
    <w:rsid w:val="00FE5101"/>
    <w:rPr>
      <w:sz w:val="24"/>
    </w:rPr>
  </w:style>
  <w:style w:type="character" w:customStyle="1" w:styleId="aubase">
    <w:name w:val="au_base"/>
    <w:rsid w:val="00FE5101"/>
    <w:rPr>
      <w:sz w:val="24"/>
    </w:rPr>
  </w:style>
  <w:style w:type="character" w:customStyle="1" w:styleId="citebase">
    <w:name w:val="cite_base"/>
    <w:rsid w:val="00FE5101"/>
    <w:rPr>
      <w:sz w:val="24"/>
    </w:rPr>
  </w:style>
  <w:style w:type="character" w:customStyle="1" w:styleId="citefn">
    <w:name w:val="cite_fn"/>
    <w:rsid w:val="00FE5101"/>
    <w:rPr>
      <w:color w:val="auto"/>
      <w:sz w:val="24"/>
      <w:bdr w:val="none" w:sz="0" w:space="0" w:color="auto"/>
      <w:shd w:val="clear" w:color="auto" w:fill="FF0000"/>
      <w:vertAlign w:val="superscript"/>
    </w:rPr>
  </w:style>
  <w:style w:type="character" w:customStyle="1" w:styleId="aucollab">
    <w:name w:val="au_collab"/>
    <w:rsid w:val="00FE5101"/>
    <w:rPr>
      <w:sz w:val="24"/>
      <w:bdr w:val="none" w:sz="0" w:space="0" w:color="auto"/>
      <w:shd w:val="clear" w:color="auto" w:fill="C0C0C0"/>
    </w:rPr>
  </w:style>
  <w:style w:type="character" w:customStyle="1" w:styleId="bibmedline">
    <w:name w:val="bib_medline"/>
    <w:basedOn w:val="bibbase"/>
    <w:rsid w:val="00FE5101"/>
    <w:rPr>
      <w:sz w:val="24"/>
    </w:rPr>
  </w:style>
  <w:style w:type="character" w:customStyle="1" w:styleId="citeen">
    <w:name w:val="cite_en"/>
    <w:rsid w:val="00FE5101"/>
    <w:rPr>
      <w:sz w:val="24"/>
      <w:shd w:val="clear" w:color="auto" w:fill="FFFF00"/>
      <w:vertAlign w:val="superscript"/>
    </w:rPr>
  </w:style>
  <w:style w:type="character" w:customStyle="1" w:styleId="eqno">
    <w:name w:val="eq_no"/>
    <w:basedOn w:val="citebase"/>
    <w:rsid w:val="00FE5101"/>
    <w:rPr>
      <w:sz w:val="24"/>
    </w:rPr>
  </w:style>
  <w:style w:type="paragraph" w:customStyle="1" w:styleId="BaseHeading">
    <w:name w:val="Base_Heading"/>
    <w:rsid w:val="00FE5101"/>
    <w:pPr>
      <w:outlineLvl w:val="0"/>
    </w:pPr>
    <w:rPr>
      <w:rFonts w:ascii="Times New Roman" w:hAnsi="Times New Roman"/>
      <w:sz w:val="24"/>
      <w:szCs w:val="24"/>
      <w:lang w:val="en-US" w:eastAsia="en-US"/>
    </w:rPr>
  </w:style>
  <w:style w:type="paragraph" w:customStyle="1" w:styleId="BaseText">
    <w:name w:val="Base_Text"/>
    <w:rsid w:val="00FE5101"/>
    <w:rPr>
      <w:rFonts w:ascii="Times New Roman" w:hAnsi="Times New Roman"/>
      <w:sz w:val="24"/>
      <w:szCs w:val="24"/>
      <w:lang w:val="en-US" w:eastAsia="en-US"/>
    </w:rPr>
  </w:style>
  <w:style w:type="paragraph" w:customStyle="1" w:styleId="Arttitle">
    <w:name w:val="Art title"/>
    <w:basedOn w:val="BaseHeading"/>
    <w:rsid w:val="00FE5101"/>
    <w:rPr>
      <w:sz w:val="36"/>
    </w:rPr>
  </w:style>
  <w:style w:type="paragraph" w:customStyle="1" w:styleId="RightRunning">
    <w:name w:val="Right Running"/>
    <w:basedOn w:val="BaseText"/>
    <w:rsid w:val="00FE5101"/>
  </w:style>
  <w:style w:type="paragraph" w:customStyle="1" w:styleId="LeftRunning">
    <w:name w:val="Left Running"/>
    <w:basedOn w:val="BaseText"/>
    <w:rsid w:val="00FE5101"/>
  </w:style>
  <w:style w:type="paragraph" w:customStyle="1" w:styleId="Author">
    <w:name w:val="Author"/>
    <w:basedOn w:val="BaseText"/>
    <w:rsid w:val="00FE5101"/>
    <w:rPr>
      <w:b/>
    </w:rPr>
  </w:style>
  <w:style w:type="paragraph" w:customStyle="1" w:styleId="AuthorAffiliation">
    <w:name w:val="Author Affiliation"/>
    <w:basedOn w:val="BaseText"/>
    <w:rsid w:val="00FE5101"/>
    <w:rPr>
      <w:i/>
    </w:rPr>
  </w:style>
  <w:style w:type="paragraph" w:customStyle="1" w:styleId="Correspondence">
    <w:name w:val="Correspondence"/>
    <w:basedOn w:val="BaseText"/>
    <w:rsid w:val="00FE5101"/>
  </w:style>
  <w:style w:type="paragraph" w:customStyle="1" w:styleId="Abstract">
    <w:name w:val="Abstract"/>
    <w:basedOn w:val="BaseText"/>
    <w:rsid w:val="00FE5101"/>
    <w:pPr>
      <w:ind w:firstLine="720"/>
    </w:pPr>
  </w:style>
  <w:style w:type="paragraph" w:customStyle="1" w:styleId="Keywords">
    <w:name w:val="Keywords"/>
    <w:basedOn w:val="BaseText"/>
    <w:rsid w:val="00FE5101"/>
  </w:style>
  <w:style w:type="paragraph" w:customStyle="1" w:styleId="Footnote">
    <w:name w:val="Footnote"/>
    <w:basedOn w:val="BaseText"/>
    <w:rsid w:val="00FE5101"/>
  </w:style>
  <w:style w:type="paragraph" w:customStyle="1" w:styleId="BookReference">
    <w:name w:val="Book Reference"/>
    <w:basedOn w:val="BaseText"/>
    <w:rsid w:val="00FE5101"/>
  </w:style>
  <w:style w:type="paragraph" w:customStyle="1" w:styleId="Head1">
    <w:name w:val="Head 1"/>
    <w:basedOn w:val="BaseHeading"/>
    <w:rsid w:val="00FE5101"/>
    <w:rPr>
      <w:b/>
    </w:rPr>
  </w:style>
  <w:style w:type="paragraph" w:customStyle="1" w:styleId="Head2">
    <w:name w:val="Head 2"/>
    <w:basedOn w:val="BaseHeading"/>
    <w:rsid w:val="00FE5101"/>
    <w:pPr>
      <w:outlineLvl w:val="1"/>
    </w:pPr>
    <w:rPr>
      <w:b/>
    </w:rPr>
  </w:style>
  <w:style w:type="paragraph" w:customStyle="1" w:styleId="Head3">
    <w:name w:val="Head 3"/>
    <w:basedOn w:val="BaseHeading"/>
    <w:rsid w:val="00FE5101"/>
    <w:pPr>
      <w:outlineLvl w:val="2"/>
    </w:pPr>
    <w:rPr>
      <w:b/>
      <w:i/>
    </w:rPr>
  </w:style>
  <w:style w:type="paragraph" w:customStyle="1" w:styleId="Head4">
    <w:name w:val="Head 4"/>
    <w:basedOn w:val="BaseHeading"/>
    <w:rsid w:val="00FE5101"/>
    <w:pPr>
      <w:ind w:left="360"/>
      <w:outlineLvl w:val="3"/>
    </w:pPr>
    <w:rPr>
      <w:b/>
      <w:i/>
    </w:rPr>
  </w:style>
  <w:style w:type="paragraph" w:customStyle="1" w:styleId="Head5">
    <w:name w:val="Head 5"/>
    <w:basedOn w:val="BaseHeading"/>
    <w:rsid w:val="00FE5101"/>
    <w:pPr>
      <w:ind w:left="360"/>
      <w:outlineLvl w:val="4"/>
    </w:pPr>
    <w:rPr>
      <w:i/>
    </w:rPr>
  </w:style>
  <w:style w:type="paragraph" w:customStyle="1" w:styleId="BodyParagraph">
    <w:name w:val="Body Paragraph"/>
    <w:basedOn w:val="BaseText"/>
    <w:rsid w:val="00FE5101"/>
    <w:pPr>
      <w:ind w:firstLine="720"/>
    </w:pPr>
  </w:style>
  <w:style w:type="paragraph" w:customStyle="1" w:styleId="Extract">
    <w:name w:val="Extract"/>
    <w:basedOn w:val="BaseText"/>
    <w:rsid w:val="00FE5101"/>
  </w:style>
  <w:style w:type="paragraph" w:customStyle="1" w:styleId="Equation">
    <w:name w:val="Equation"/>
    <w:basedOn w:val="BaseText"/>
    <w:rsid w:val="00FE5101"/>
    <w:pPr>
      <w:ind w:left="720" w:right="720"/>
    </w:pPr>
  </w:style>
  <w:style w:type="paragraph" w:customStyle="1" w:styleId="List1">
    <w:name w:val="List 1"/>
    <w:basedOn w:val="BaseText"/>
    <w:rsid w:val="00FE5101"/>
    <w:pPr>
      <w:ind w:left="360" w:hanging="360"/>
      <w:outlineLvl w:val="0"/>
    </w:pPr>
  </w:style>
  <w:style w:type="paragraph" w:styleId="List2">
    <w:name w:val="List 2"/>
    <w:basedOn w:val="BaseText"/>
    <w:rsid w:val="00FE5101"/>
    <w:pPr>
      <w:ind w:left="720" w:hanging="360"/>
      <w:outlineLvl w:val="1"/>
    </w:pPr>
  </w:style>
  <w:style w:type="paragraph" w:customStyle="1" w:styleId="Bullettext">
    <w:name w:val="Bullet text"/>
    <w:basedOn w:val="BaseText"/>
    <w:rsid w:val="00FE5101"/>
    <w:pPr>
      <w:ind w:left="360" w:hanging="360"/>
      <w:outlineLvl w:val="0"/>
    </w:pPr>
  </w:style>
  <w:style w:type="paragraph" w:customStyle="1" w:styleId="TableTitle">
    <w:name w:val="Table Title"/>
    <w:basedOn w:val="BaseText"/>
    <w:rsid w:val="00FE5101"/>
    <w:pPr>
      <w:jc w:val="center"/>
    </w:pPr>
    <w:rPr>
      <w:sz w:val="16"/>
    </w:rPr>
  </w:style>
  <w:style w:type="paragraph" w:customStyle="1" w:styleId="TableHead">
    <w:name w:val="Table Head"/>
    <w:basedOn w:val="BaseText"/>
    <w:rsid w:val="00FE5101"/>
    <w:pPr>
      <w:jc w:val="center"/>
    </w:pPr>
    <w:rPr>
      <w:sz w:val="16"/>
    </w:rPr>
  </w:style>
  <w:style w:type="paragraph" w:customStyle="1" w:styleId="TableBody">
    <w:name w:val="Table Body"/>
    <w:basedOn w:val="BaseText"/>
    <w:rsid w:val="00FE5101"/>
    <w:pPr>
      <w:jc w:val="center"/>
    </w:pPr>
    <w:rPr>
      <w:sz w:val="16"/>
    </w:rPr>
  </w:style>
  <w:style w:type="paragraph" w:customStyle="1" w:styleId="TableFootnote">
    <w:name w:val="Table Footnote"/>
    <w:basedOn w:val="BaseText"/>
    <w:rsid w:val="00FE5101"/>
    <w:pPr>
      <w:ind w:left="720"/>
    </w:pPr>
    <w:rPr>
      <w:sz w:val="16"/>
    </w:rPr>
  </w:style>
  <w:style w:type="paragraph" w:customStyle="1" w:styleId="Acknowledgment">
    <w:name w:val="Acknowledgment"/>
    <w:basedOn w:val="BaseText"/>
    <w:rsid w:val="00FE5101"/>
    <w:pPr>
      <w:ind w:left="360" w:firstLine="720"/>
    </w:pPr>
  </w:style>
  <w:style w:type="paragraph" w:customStyle="1" w:styleId="Appendix">
    <w:name w:val="Appendix"/>
    <w:basedOn w:val="BaseText"/>
    <w:rsid w:val="00FE5101"/>
  </w:style>
  <w:style w:type="paragraph" w:customStyle="1" w:styleId="Tagline">
    <w:name w:val="Tagline"/>
    <w:basedOn w:val="BaseText"/>
    <w:rsid w:val="00FE5101"/>
  </w:style>
  <w:style w:type="paragraph" w:customStyle="1" w:styleId="References">
    <w:name w:val="References"/>
    <w:basedOn w:val="BaseText"/>
    <w:rsid w:val="00FE5101"/>
    <w:pPr>
      <w:ind w:left="432" w:hanging="432"/>
    </w:pPr>
  </w:style>
  <w:style w:type="paragraph" w:customStyle="1" w:styleId="NoteinProof">
    <w:name w:val="Note in Proof"/>
    <w:basedOn w:val="BaseText"/>
    <w:rsid w:val="00FE5101"/>
    <w:rPr>
      <w:i/>
    </w:rPr>
  </w:style>
  <w:style w:type="paragraph" w:customStyle="1" w:styleId="AbstractHead">
    <w:name w:val="Abstract Head"/>
    <w:basedOn w:val="BaseHeading"/>
    <w:rsid w:val="00FE5101"/>
    <w:rPr>
      <w:b/>
    </w:rPr>
  </w:style>
  <w:style w:type="paragraph" w:customStyle="1" w:styleId="AppendixHead">
    <w:name w:val="Appendix Head"/>
    <w:basedOn w:val="BaseHeading"/>
    <w:rsid w:val="00FE5101"/>
    <w:rPr>
      <w:b/>
    </w:rPr>
  </w:style>
  <w:style w:type="paragraph" w:customStyle="1" w:styleId="ReferenceHead">
    <w:name w:val="Reference Head"/>
    <w:basedOn w:val="BaseHeading"/>
    <w:rsid w:val="00FE5101"/>
    <w:rPr>
      <w:b/>
    </w:rPr>
  </w:style>
  <w:style w:type="paragraph" w:customStyle="1" w:styleId="AcknowledgmentHead">
    <w:name w:val="Acknowledgment Head"/>
    <w:basedOn w:val="BaseHeading"/>
    <w:rsid w:val="00FE5101"/>
    <w:rPr>
      <w:b/>
    </w:rPr>
  </w:style>
  <w:style w:type="paragraph" w:customStyle="1" w:styleId="FigureCaption">
    <w:name w:val="Figure Caption"/>
    <w:basedOn w:val="BaseText"/>
    <w:rsid w:val="00FE5101"/>
  </w:style>
  <w:style w:type="paragraph" w:customStyle="1" w:styleId="Endnote">
    <w:name w:val="Endnote"/>
    <w:basedOn w:val="BaseText"/>
    <w:rsid w:val="00FE5101"/>
  </w:style>
  <w:style w:type="paragraph" w:customStyle="1" w:styleId="FlushParagraph">
    <w:name w:val="Flush Paragraph"/>
    <w:basedOn w:val="BaseText"/>
    <w:rsid w:val="00FE5101"/>
  </w:style>
  <w:style w:type="paragraph" w:customStyle="1" w:styleId="AppendixH2">
    <w:name w:val="Appendix H2"/>
    <w:basedOn w:val="BaseHeading"/>
    <w:rsid w:val="00FE5101"/>
    <w:rPr>
      <w:b/>
    </w:rPr>
  </w:style>
  <w:style w:type="paragraph" w:customStyle="1" w:styleId="AppendixH3">
    <w:name w:val="Appendix H3"/>
    <w:basedOn w:val="BaseHeading"/>
    <w:rsid w:val="00FE5101"/>
    <w:rPr>
      <w:b/>
    </w:rPr>
  </w:style>
  <w:style w:type="paragraph" w:styleId="BalloonText">
    <w:name w:val="Balloon Text"/>
    <w:basedOn w:val="Normal"/>
    <w:link w:val="BalloonTextChar"/>
    <w:uiPriority w:val="99"/>
    <w:semiHidden/>
    <w:unhideWhenUsed/>
    <w:rsid w:val="00C06CF7"/>
    <w:rPr>
      <w:rFonts w:ascii="Tahoma" w:hAnsi="Tahoma" w:cs="Tahoma"/>
      <w:sz w:val="16"/>
      <w:szCs w:val="16"/>
    </w:rPr>
  </w:style>
  <w:style w:type="character" w:customStyle="1" w:styleId="BalloonTextChar">
    <w:name w:val="Balloon Text Char"/>
    <w:link w:val="BalloonText"/>
    <w:uiPriority w:val="99"/>
    <w:semiHidden/>
    <w:rsid w:val="00C06CF7"/>
    <w:rPr>
      <w:rFonts w:ascii="Tahoma" w:hAnsi="Tahoma" w:cs="Tahoma"/>
      <w:sz w:val="16"/>
      <w:szCs w:val="16"/>
    </w:rPr>
  </w:style>
  <w:style w:type="character" w:customStyle="1" w:styleId="Heading1Char">
    <w:name w:val="Heading 1 Char"/>
    <w:link w:val="Heading1"/>
    <w:rsid w:val="008C6017"/>
    <w:rPr>
      <w:rFonts w:ascii="Times New Roman" w:hAnsi="Times New Roman"/>
      <w:i/>
      <w:sz w:val="24"/>
    </w:rPr>
  </w:style>
  <w:style w:type="character" w:customStyle="1" w:styleId="Heading2Char">
    <w:name w:val="Heading 2 Char"/>
    <w:link w:val="Heading2"/>
    <w:rsid w:val="008C6017"/>
    <w:rPr>
      <w:rFonts w:ascii="Times New Roman" w:hAnsi="Times New Roman"/>
      <w:b/>
      <w:sz w:val="24"/>
    </w:rPr>
  </w:style>
  <w:style w:type="character" w:customStyle="1" w:styleId="Heading3Char">
    <w:name w:val="Heading 3 Char"/>
    <w:link w:val="Heading3"/>
    <w:rsid w:val="008C6017"/>
    <w:rPr>
      <w:rFonts w:ascii="Times New Roman" w:hAnsi="Times New Roman"/>
      <w:b/>
      <w:bCs/>
      <w:i/>
      <w:sz w:val="24"/>
    </w:rPr>
  </w:style>
  <w:style w:type="character" w:customStyle="1" w:styleId="Heading4Char">
    <w:name w:val="Heading 4 Char"/>
    <w:link w:val="Heading4"/>
    <w:rsid w:val="008C6017"/>
    <w:rPr>
      <w:rFonts w:ascii="Times New Roman" w:hAnsi="Times New Roman"/>
      <w:b/>
      <w:bCs/>
      <w:i/>
      <w:sz w:val="24"/>
    </w:rPr>
  </w:style>
  <w:style w:type="paragraph" w:styleId="BodyTextIndent">
    <w:name w:val="Body Text Indent"/>
    <w:basedOn w:val="Normal"/>
    <w:link w:val="BodyTextIndentChar"/>
    <w:rsid w:val="008C6017"/>
    <w:pPr>
      <w:ind w:left="360" w:hanging="360"/>
    </w:pPr>
    <w:rPr>
      <w:szCs w:val="20"/>
    </w:rPr>
  </w:style>
  <w:style w:type="character" w:customStyle="1" w:styleId="BodyTextIndentChar">
    <w:name w:val="Body Text Indent Char"/>
    <w:link w:val="BodyTextIndent"/>
    <w:rsid w:val="008C6017"/>
    <w:rPr>
      <w:rFonts w:ascii="Times New Roman" w:hAnsi="Times New Roman"/>
      <w:sz w:val="24"/>
    </w:rPr>
  </w:style>
  <w:style w:type="character" w:styleId="Hyperlink">
    <w:name w:val="Hyperlink"/>
    <w:rsid w:val="008C6017"/>
    <w:rPr>
      <w:color w:val="0000FF"/>
      <w:u w:val="single"/>
    </w:rPr>
  </w:style>
  <w:style w:type="paragraph" w:styleId="BodyTextIndent2">
    <w:name w:val="Body Text Indent 2"/>
    <w:basedOn w:val="Normal"/>
    <w:link w:val="BodyTextIndent2Char"/>
    <w:rsid w:val="008C6017"/>
    <w:pPr>
      <w:ind w:left="360" w:hanging="360"/>
      <w:jc w:val="both"/>
    </w:pPr>
    <w:rPr>
      <w:szCs w:val="20"/>
    </w:rPr>
  </w:style>
  <w:style w:type="character" w:customStyle="1" w:styleId="BodyTextIndent2Char">
    <w:name w:val="Body Text Indent 2 Char"/>
    <w:link w:val="BodyTextIndent2"/>
    <w:rsid w:val="008C6017"/>
    <w:rPr>
      <w:rFonts w:ascii="Times New Roman" w:hAnsi="Times New Roman"/>
      <w:sz w:val="24"/>
    </w:rPr>
  </w:style>
  <w:style w:type="paragraph" w:styleId="BodyTextIndent3">
    <w:name w:val="Body Text Indent 3"/>
    <w:basedOn w:val="Normal"/>
    <w:link w:val="BodyTextIndent3Char"/>
    <w:rsid w:val="008C6017"/>
    <w:pPr>
      <w:ind w:left="360" w:hanging="288"/>
    </w:pPr>
    <w:rPr>
      <w:szCs w:val="20"/>
    </w:rPr>
  </w:style>
  <w:style w:type="character" w:customStyle="1" w:styleId="BodyTextIndent3Char">
    <w:name w:val="Body Text Indent 3 Char"/>
    <w:link w:val="BodyTextIndent3"/>
    <w:rsid w:val="008C6017"/>
    <w:rPr>
      <w:rFonts w:ascii="Times New Roman" w:hAnsi="Times New Roman"/>
      <w:sz w:val="24"/>
    </w:rPr>
  </w:style>
  <w:style w:type="character" w:customStyle="1" w:styleId="firstline">
    <w:name w:val="firstline"/>
    <w:rsid w:val="00E16050"/>
  </w:style>
  <w:style w:type="paragraph" w:customStyle="1" w:styleId="Body">
    <w:name w:val="Body"/>
    <w:rsid w:val="00AB28DE"/>
    <w:pPr>
      <w:pBdr>
        <w:top w:val="nil"/>
        <w:left w:val="nil"/>
        <w:bottom w:val="nil"/>
        <w:right w:val="nil"/>
        <w:between w:val="nil"/>
        <w:bar w:val="nil"/>
      </w:pBdr>
    </w:pPr>
    <w:rPr>
      <w:rFonts w:eastAsia="Calibri" w:cs="Calibri"/>
      <w:color w:val="000000"/>
      <w:sz w:val="24"/>
      <w:szCs w:val="24"/>
      <w:u w:color="000000"/>
      <w:bdr w:val="nil"/>
    </w:rPr>
  </w:style>
  <w:style w:type="paragraph" w:styleId="Caption">
    <w:name w:val="caption"/>
    <w:basedOn w:val="Normal"/>
    <w:next w:val="Normal"/>
    <w:uiPriority w:val="35"/>
    <w:unhideWhenUsed/>
    <w:qFormat/>
    <w:rsid w:val="00865979"/>
    <w:rPr>
      <w:b/>
      <w:bCs/>
      <w:sz w:val="20"/>
      <w:szCs w:val="20"/>
    </w:rPr>
  </w:style>
  <w:style w:type="character" w:styleId="CommentReference">
    <w:name w:val="annotation reference"/>
    <w:uiPriority w:val="99"/>
    <w:semiHidden/>
    <w:unhideWhenUsed/>
    <w:rsid w:val="009F03C3"/>
    <w:rPr>
      <w:sz w:val="16"/>
      <w:szCs w:val="16"/>
    </w:rPr>
  </w:style>
  <w:style w:type="paragraph" w:styleId="CommentText">
    <w:name w:val="annotation text"/>
    <w:basedOn w:val="Normal"/>
    <w:link w:val="CommentTextChar"/>
    <w:uiPriority w:val="99"/>
    <w:semiHidden/>
    <w:unhideWhenUsed/>
    <w:rsid w:val="009F03C3"/>
    <w:rPr>
      <w:sz w:val="20"/>
      <w:szCs w:val="20"/>
    </w:rPr>
  </w:style>
  <w:style w:type="character" w:customStyle="1" w:styleId="CommentTextChar">
    <w:name w:val="Comment Text Char"/>
    <w:link w:val="CommentText"/>
    <w:uiPriority w:val="99"/>
    <w:semiHidden/>
    <w:rsid w:val="009F03C3"/>
    <w:rPr>
      <w:rFonts w:ascii="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9F03C3"/>
    <w:rPr>
      <w:b/>
      <w:bCs/>
    </w:rPr>
  </w:style>
  <w:style w:type="character" w:customStyle="1" w:styleId="CommentSubjectChar">
    <w:name w:val="Comment Subject Char"/>
    <w:link w:val="CommentSubject"/>
    <w:uiPriority w:val="99"/>
    <w:semiHidden/>
    <w:rsid w:val="009F03C3"/>
    <w:rPr>
      <w:rFonts w:ascii="Times New Roman" w:hAnsi="Times New Roman"/>
      <w:b/>
      <w:bCs/>
      <w:lang w:val="en-US" w:eastAsia="en-US"/>
    </w:rPr>
  </w:style>
  <w:style w:type="paragraph" w:styleId="Revision">
    <w:name w:val="Revision"/>
    <w:hidden/>
    <w:uiPriority w:val="99"/>
    <w:semiHidden/>
    <w:rsid w:val="00D37AF2"/>
    <w:rPr>
      <w:rFonts w:ascii="Times New Roman" w:hAnsi="Times New Roman"/>
      <w:sz w:val="24"/>
      <w:szCs w:val="24"/>
      <w:lang w:val="en-US" w:eastAsia="en-US"/>
    </w:rPr>
  </w:style>
  <w:style w:type="character" w:styleId="PlaceholderText">
    <w:name w:val="Placeholder Text"/>
    <w:basedOn w:val="DefaultParagraphFont"/>
    <w:uiPriority w:val="99"/>
    <w:semiHidden/>
    <w:rsid w:val="005A3B7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742452">
      <w:bodyDiv w:val="1"/>
      <w:marLeft w:val="0"/>
      <w:marRight w:val="0"/>
      <w:marTop w:val="0"/>
      <w:marBottom w:val="0"/>
      <w:divBdr>
        <w:top w:val="none" w:sz="0" w:space="0" w:color="auto"/>
        <w:left w:val="none" w:sz="0" w:space="0" w:color="auto"/>
        <w:bottom w:val="none" w:sz="0" w:space="0" w:color="auto"/>
        <w:right w:val="none" w:sz="0" w:space="0" w:color="auto"/>
      </w:divBdr>
    </w:div>
    <w:div w:id="358820851">
      <w:bodyDiv w:val="1"/>
      <w:marLeft w:val="0"/>
      <w:marRight w:val="0"/>
      <w:marTop w:val="0"/>
      <w:marBottom w:val="0"/>
      <w:divBdr>
        <w:top w:val="none" w:sz="0" w:space="0" w:color="auto"/>
        <w:left w:val="none" w:sz="0" w:space="0" w:color="auto"/>
        <w:bottom w:val="none" w:sz="0" w:space="0" w:color="auto"/>
        <w:right w:val="none" w:sz="0" w:space="0" w:color="auto"/>
      </w:divBdr>
    </w:div>
    <w:div w:id="518277102">
      <w:bodyDiv w:val="1"/>
      <w:marLeft w:val="0"/>
      <w:marRight w:val="0"/>
      <w:marTop w:val="0"/>
      <w:marBottom w:val="0"/>
      <w:divBdr>
        <w:top w:val="none" w:sz="0" w:space="0" w:color="auto"/>
        <w:left w:val="none" w:sz="0" w:space="0" w:color="auto"/>
        <w:bottom w:val="none" w:sz="0" w:space="0" w:color="auto"/>
        <w:right w:val="none" w:sz="0" w:space="0" w:color="auto"/>
      </w:divBdr>
    </w:div>
    <w:div w:id="861430491">
      <w:bodyDiv w:val="1"/>
      <w:marLeft w:val="0"/>
      <w:marRight w:val="0"/>
      <w:marTop w:val="0"/>
      <w:marBottom w:val="0"/>
      <w:divBdr>
        <w:top w:val="none" w:sz="0" w:space="0" w:color="auto"/>
        <w:left w:val="none" w:sz="0" w:space="0" w:color="auto"/>
        <w:bottom w:val="none" w:sz="0" w:space="0" w:color="auto"/>
        <w:right w:val="none" w:sz="0" w:space="0" w:color="auto"/>
      </w:divBdr>
    </w:div>
    <w:div w:id="914511347">
      <w:bodyDiv w:val="1"/>
      <w:marLeft w:val="0"/>
      <w:marRight w:val="0"/>
      <w:marTop w:val="0"/>
      <w:marBottom w:val="0"/>
      <w:divBdr>
        <w:top w:val="none" w:sz="0" w:space="0" w:color="auto"/>
        <w:left w:val="none" w:sz="0" w:space="0" w:color="auto"/>
        <w:bottom w:val="none" w:sz="0" w:space="0" w:color="auto"/>
        <w:right w:val="none" w:sz="0" w:space="0" w:color="auto"/>
      </w:divBdr>
    </w:div>
    <w:div w:id="933129607">
      <w:bodyDiv w:val="1"/>
      <w:marLeft w:val="0"/>
      <w:marRight w:val="0"/>
      <w:marTop w:val="0"/>
      <w:marBottom w:val="0"/>
      <w:divBdr>
        <w:top w:val="none" w:sz="0" w:space="0" w:color="auto"/>
        <w:left w:val="none" w:sz="0" w:space="0" w:color="auto"/>
        <w:bottom w:val="none" w:sz="0" w:space="0" w:color="auto"/>
        <w:right w:val="none" w:sz="0" w:space="0" w:color="auto"/>
      </w:divBdr>
    </w:div>
    <w:div w:id="970790825">
      <w:bodyDiv w:val="1"/>
      <w:marLeft w:val="0"/>
      <w:marRight w:val="0"/>
      <w:marTop w:val="0"/>
      <w:marBottom w:val="0"/>
      <w:divBdr>
        <w:top w:val="none" w:sz="0" w:space="0" w:color="auto"/>
        <w:left w:val="none" w:sz="0" w:space="0" w:color="auto"/>
        <w:bottom w:val="none" w:sz="0" w:space="0" w:color="auto"/>
        <w:right w:val="none" w:sz="0" w:space="0" w:color="auto"/>
      </w:divBdr>
    </w:div>
    <w:div w:id="1181630362">
      <w:bodyDiv w:val="1"/>
      <w:marLeft w:val="0"/>
      <w:marRight w:val="0"/>
      <w:marTop w:val="0"/>
      <w:marBottom w:val="0"/>
      <w:divBdr>
        <w:top w:val="none" w:sz="0" w:space="0" w:color="auto"/>
        <w:left w:val="none" w:sz="0" w:space="0" w:color="auto"/>
        <w:bottom w:val="none" w:sz="0" w:space="0" w:color="auto"/>
        <w:right w:val="none" w:sz="0" w:space="0" w:color="auto"/>
      </w:divBdr>
    </w:div>
    <w:div w:id="1554273331">
      <w:bodyDiv w:val="1"/>
      <w:marLeft w:val="0"/>
      <w:marRight w:val="0"/>
      <w:marTop w:val="0"/>
      <w:marBottom w:val="0"/>
      <w:divBdr>
        <w:top w:val="none" w:sz="0" w:space="0" w:color="auto"/>
        <w:left w:val="none" w:sz="0" w:space="0" w:color="auto"/>
        <w:bottom w:val="none" w:sz="0" w:space="0" w:color="auto"/>
        <w:right w:val="none" w:sz="0" w:space="0" w:color="auto"/>
      </w:divBdr>
    </w:div>
    <w:div w:id="1879273726">
      <w:bodyDiv w:val="1"/>
      <w:marLeft w:val="0"/>
      <w:marRight w:val="0"/>
      <w:marTop w:val="0"/>
      <w:marBottom w:val="0"/>
      <w:divBdr>
        <w:top w:val="none" w:sz="0" w:space="0" w:color="auto"/>
        <w:left w:val="none" w:sz="0" w:space="0" w:color="auto"/>
        <w:bottom w:val="none" w:sz="0" w:space="0" w:color="auto"/>
        <w:right w:val="none" w:sz="0" w:space="0" w:color="auto"/>
      </w:divBdr>
    </w:div>
    <w:div w:id="2011447054">
      <w:bodyDiv w:val="1"/>
      <w:marLeft w:val="0"/>
      <w:marRight w:val="0"/>
      <w:marTop w:val="0"/>
      <w:marBottom w:val="0"/>
      <w:divBdr>
        <w:top w:val="none" w:sz="0" w:space="0" w:color="auto"/>
        <w:left w:val="none" w:sz="0" w:space="0" w:color="auto"/>
        <w:bottom w:val="none" w:sz="0" w:space="0" w:color="auto"/>
        <w:right w:val="none" w:sz="0" w:space="0" w:color="auto"/>
      </w:divBdr>
    </w:div>
    <w:div w:id="2031029531">
      <w:bodyDiv w:val="1"/>
      <w:marLeft w:val="0"/>
      <w:marRight w:val="0"/>
      <w:marTop w:val="0"/>
      <w:marBottom w:val="0"/>
      <w:divBdr>
        <w:top w:val="none" w:sz="0" w:space="0" w:color="auto"/>
        <w:left w:val="none" w:sz="0" w:space="0" w:color="auto"/>
        <w:bottom w:val="none" w:sz="0" w:space="0" w:color="auto"/>
        <w:right w:val="none" w:sz="0" w:space="0" w:color="auto"/>
      </w:divBdr>
    </w:div>
    <w:div w:id="2056655521">
      <w:bodyDiv w:val="1"/>
      <w:marLeft w:val="0"/>
      <w:marRight w:val="0"/>
      <w:marTop w:val="0"/>
      <w:marBottom w:val="0"/>
      <w:divBdr>
        <w:top w:val="none" w:sz="0" w:space="0" w:color="auto"/>
        <w:left w:val="none" w:sz="0" w:space="0" w:color="auto"/>
        <w:bottom w:val="none" w:sz="0" w:space="0" w:color="auto"/>
        <w:right w:val="none" w:sz="0" w:space="0" w:color="auto"/>
      </w:divBdr>
    </w:div>
    <w:div w:id="211289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largeigneousprovinces.org/"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hibbard\Desktop\Author%20instructions\GSA%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9F83F-7375-F247-8FF4-9D00609AE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Settings\bhibbard\Desktop\Author instructions\GSA template.dot</Template>
  <TotalTime>1</TotalTime>
  <Pages>19</Pages>
  <Words>28578</Words>
  <Characters>162901</Characters>
  <Application>Microsoft Macintosh Word</Application>
  <DocSecurity>4</DocSecurity>
  <Lines>1357</Lines>
  <Paragraphs>382</Paragraphs>
  <ScaleCrop>false</ScaleCrop>
  <HeadingPairs>
    <vt:vector size="2" baseType="variant">
      <vt:variant>
        <vt:lpstr>Title</vt:lpstr>
      </vt:variant>
      <vt:variant>
        <vt:i4>1</vt:i4>
      </vt:variant>
    </vt:vector>
  </HeadingPairs>
  <TitlesOfParts>
    <vt:vector size="1" baseType="lpstr">
      <vt:lpstr/>
    </vt:vector>
  </TitlesOfParts>
  <Company>GSA</Company>
  <LinksUpToDate>false</LinksUpToDate>
  <CharactersWithSpaces>191097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bhibbard</dc:creator>
  <cp:keywords/>
  <dc:description/>
  <cp:lastModifiedBy>es rhul</cp:lastModifiedBy>
  <cp:revision>2</cp:revision>
  <cp:lastPrinted>2019-06-20T17:25:00Z</cp:lastPrinted>
  <dcterms:created xsi:type="dcterms:W3CDTF">2020-06-18T11:09:00Z</dcterms:created>
  <dcterms:modified xsi:type="dcterms:W3CDTF">2020-06-18T11:09:00Z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_t">
    <vt:bool>true</vt:bool>
  </property>
  <property fmtid="{D5CDD505-2E9C-101B-9397-08002B2CF9AE}" pid="3" name="Mendeley Document_1">
    <vt:lpwstr>True</vt:lpwstr>
  </property>
  <property fmtid="{D5CDD505-2E9C-101B-9397-08002B2CF9AE}" pid="4" name="Mendeley Unique User Id_1">
    <vt:lpwstr>4cb1a2ee-7a86-3d62-b178-e8b82a104e0c</vt:lpwstr>
  </property>
  <property fmtid="{D5CDD505-2E9C-101B-9397-08002B2CF9AE}" pid="5" name="Mendeley Citation Style_1">
    <vt:lpwstr>http://www.zotero.org/styles/geology</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6th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http://www.zotero.org/styles/geology</vt:lpwstr>
  </property>
  <property fmtid="{D5CDD505-2E9C-101B-9397-08002B2CF9AE}" pid="19" name="Mendeley Recent Style Name 6_1">
    <vt:lpwstr>Geology</vt:lpwstr>
  </property>
  <property fmtid="{D5CDD505-2E9C-101B-9397-08002B2CF9AE}" pid="20" name="Mendeley Recent Style Id 7_1">
    <vt:lpwstr>http://www.zotero.org/styles/harvard1</vt:lpwstr>
  </property>
  <property fmtid="{D5CDD505-2E9C-101B-9397-08002B2CF9AE}" pid="21" name="Mendeley Recent Style Name 7_1">
    <vt:lpwstr>Harvard reference format 1 (deprecated)</vt:lpwstr>
  </property>
  <property fmtid="{D5CDD505-2E9C-101B-9397-08002B2CF9AE}" pid="22" name="Mendeley Recent Style Id 8_1">
    <vt:lpwstr>http://www.zotero.org/styles/ieee</vt:lpwstr>
  </property>
  <property fmtid="{D5CDD505-2E9C-101B-9397-08002B2CF9AE}" pid="23" name="Mendeley Recent Style Name 8_1">
    <vt:lpwstr>IEEE</vt:lpwstr>
  </property>
  <property fmtid="{D5CDD505-2E9C-101B-9397-08002B2CF9AE}" pid="24" name="Mendeley Recent Style Id 9_1">
    <vt:lpwstr>http://www.zotero.org/styles/modern-humanities-research-association</vt:lpwstr>
  </property>
  <property fmtid="{D5CDD505-2E9C-101B-9397-08002B2CF9AE}" pid="25" name="Mendeley Recent Style Name 9_1">
    <vt:lpwstr>Modern Humanities Research Association 3rd edition (note with bibliography)</vt:lpwstr>
  </property>
</Properties>
</file>