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65" w:rsidRDefault="00766CB7">
      <w:pPr>
        <w:pStyle w:val="Tabletitle"/>
      </w:pPr>
      <w:bookmarkStart w:id="0" w:name="_GoBack"/>
      <w:bookmarkEnd w:id="0"/>
      <w:r>
        <w:rPr>
          <w:b/>
          <w:bCs/>
          <w:sz w:val="22"/>
          <w:szCs w:val="22"/>
        </w:rPr>
        <w:t>Table 1.</w:t>
      </w:r>
      <w:bookmarkStart w:id="1" w:name="docs-internal-guid-ec03d586-7fff-f600-03"/>
      <w:bookmarkEnd w:id="1"/>
      <w:r>
        <w:rPr>
          <w:b/>
          <w:bCs/>
          <w:sz w:val="22"/>
          <w:szCs w:val="22"/>
        </w:rPr>
        <w:t xml:space="preserve"> Numbers and s</w:t>
      </w:r>
      <w:r>
        <w:rPr>
          <w:b/>
          <w:bCs/>
          <w:color w:val="000000"/>
          <w:sz w:val="22"/>
          <w:szCs w:val="22"/>
        </w:rPr>
        <w:t>ummarised job descriptions of interviews carried out at Amnesty International.</w:t>
      </w:r>
    </w:p>
    <w:tbl>
      <w:tblPr>
        <w:tblW w:w="8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95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83"/>
        <w:gridCol w:w="6321"/>
      </w:tblGrid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Interview Number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Role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0164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Campaigns Manager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1387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Digital Engagement Team Manager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Campaigns Senior Manager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1838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Project Researcher and </w:t>
            </w:r>
            <w:r>
              <w:rPr>
                <w:color w:val="000000"/>
                <w:sz w:val="22"/>
                <w:szCs w:val="22"/>
              </w:rPr>
              <w:t>Campaigner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Project researcher and Campaigner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and Data Services Team Member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Campaign Manager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2990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Fundraising Manager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3322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Fundraising and Data Team Member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3452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and Data Services Team Manager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4681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Strategy and Evaluation Team </w:t>
            </w:r>
            <w:r>
              <w:rPr>
                <w:color w:val="000000"/>
                <w:sz w:val="22"/>
                <w:szCs w:val="22"/>
              </w:rPr>
              <w:t>Member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4771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Strategy and Evaluation Team Member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Governance Team Manager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Diversity Project Researcher and Campaigner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6358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Digital Engagement Team Member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7858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and Data Services Team Consultant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8365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Strategy and Evaluation Team Member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8443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Strategy and Evaluation Team Manager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8473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Membership Team Manager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9309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Fundraising Senior Manager</w:t>
            </w:r>
          </w:p>
        </w:tc>
      </w:tr>
      <w:tr w:rsidR="00004E6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9887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-5" w:type="dxa"/>
              <w:bottom w:w="40" w:type="dxa"/>
              <w:right w:w="40" w:type="dxa"/>
            </w:tcMar>
            <w:vAlign w:val="center"/>
          </w:tcPr>
          <w:p w:rsidR="00004E65" w:rsidRDefault="00766CB7">
            <w:pPr>
              <w:pStyle w:val="TableContents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Strategy and Evaluation Team Member</w:t>
            </w:r>
          </w:p>
        </w:tc>
      </w:tr>
    </w:tbl>
    <w:p w:rsidR="00004E65" w:rsidRDefault="00004E65">
      <w:pPr>
        <w:pStyle w:val="BodyText"/>
        <w:spacing w:after="200" w:line="427" w:lineRule="auto"/>
        <w:jc w:val="both"/>
        <w:rPr>
          <w:b/>
          <w:bCs/>
          <w:color w:val="000000"/>
          <w:sz w:val="22"/>
          <w:szCs w:val="22"/>
        </w:rPr>
      </w:pPr>
    </w:p>
    <w:p w:rsidR="00004E65" w:rsidRDefault="00766CB7">
      <w:pPr>
        <w:pStyle w:val="BodyText"/>
        <w:spacing w:after="200" w:line="427" w:lineRule="auto"/>
        <w:jc w:val="both"/>
        <w:rPr>
          <w:b/>
          <w:bCs/>
          <w:color w:val="000000"/>
          <w:sz w:val="22"/>
          <w:szCs w:val="22"/>
        </w:rPr>
      </w:pPr>
      <w:r>
        <w:br w:type="page"/>
      </w:r>
    </w:p>
    <w:p w:rsidR="00004E65" w:rsidRDefault="00766CB7">
      <w:pPr>
        <w:pStyle w:val="BodyText"/>
        <w:spacing w:after="200" w:line="427" w:lineRule="auto"/>
        <w:jc w:val="both"/>
      </w:pPr>
      <w:r>
        <w:rPr>
          <w:b/>
          <w:bCs/>
          <w:sz w:val="22"/>
          <w:szCs w:val="22"/>
        </w:rPr>
        <w:lastRenderedPageBreak/>
        <w:t xml:space="preserve">Table 2. </w:t>
      </w:r>
      <w:r>
        <w:rPr>
          <w:b/>
          <w:bCs/>
          <w:color w:val="000000"/>
          <w:sz w:val="22"/>
          <w:szCs w:val="22"/>
        </w:rPr>
        <w:t>The different terms given across the related fields to different ways of focusing on centralised and</w:t>
      </w:r>
      <w:r>
        <w:rPr>
          <w:b/>
          <w:bCs/>
          <w:color w:val="000000"/>
          <w:sz w:val="22"/>
          <w:szCs w:val="22"/>
        </w:rPr>
        <w:t xml:space="preserve"> decentralised structures of decision-making</w:t>
      </w:r>
    </w:p>
    <w:tbl>
      <w:tblPr>
        <w:tblW w:w="8504" w:type="dxa"/>
        <w:jc w:val="center"/>
        <w:tblBorders>
          <w:bottom w:val="single" w:sz="8" w:space="0" w:color="000000"/>
          <w:insideH w:val="single" w:sz="8" w:space="0" w:color="000000"/>
        </w:tblBorders>
        <w:tblCellMar>
          <w:left w:w="0" w:type="dxa"/>
          <w:bottom w:w="10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314"/>
        <w:gridCol w:w="2048"/>
        <w:gridCol w:w="1993"/>
      </w:tblGrid>
      <w:tr w:rsidR="00004E65">
        <w:trPr>
          <w:jc w:val="center"/>
        </w:trPr>
        <w:tc>
          <w:tcPr>
            <w:tcW w:w="2148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Area of discourse</w:t>
            </w:r>
          </w:p>
        </w:tc>
        <w:tc>
          <w:tcPr>
            <w:tcW w:w="2314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Staff expertise-led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048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Audience expertise-led</w:t>
            </w:r>
          </w:p>
        </w:tc>
        <w:tc>
          <w:tcPr>
            <w:tcW w:w="1993" w:type="dxa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Literature</w:t>
            </w:r>
          </w:p>
        </w:tc>
      </w:tr>
      <w:tr w:rsidR="00004E65">
        <w:trPr>
          <w:jc w:val="center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Economic, social and political rights CSOs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Staff led advocacy organisations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 led organisations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Skocpol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(2013)</w:t>
            </w:r>
          </w:p>
        </w:tc>
      </w:tr>
      <w:tr w:rsidR="00004E65">
        <w:trPr>
          <w:jc w:val="center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Development aid </w:t>
            </w:r>
            <w:r>
              <w:rPr>
                <w:color w:val="000000"/>
                <w:sz w:val="22"/>
                <w:szCs w:val="22"/>
              </w:rPr>
              <w:t>CSOs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Protection of individuals based on expert-led decisions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Empowerment of individuals based on their decisions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McCormack (2011)</w:t>
            </w:r>
          </w:p>
        </w:tc>
      </w:tr>
      <w:tr w:rsidR="00004E65">
        <w:trPr>
          <w:jc w:val="center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Political Communication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Trustees who use information on the electorate to make decisions for them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Delegates who listen to t</w:t>
            </w:r>
            <w:r>
              <w:rPr>
                <w:color w:val="000000"/>
                <w:sz w:val="22"/>
                <w:szCs w:val="22"/>
              </w:rPr>
              <w:t>he electorate to implement decisions on their behalf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Wahlke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Eulau</w:t>
            </w:r>
            <w:proofErr w:type="spellEnd"/>
            <w:r>
              <w:rPr>
                <w:color w:val="000000"/>
                <w:sz w:val="22"/>
                <w:szCs w:val="22"/>
              </w:rPr>
              <w:t>, Buchanan, and Ferguson (1962)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04E65">
        <w:trPr>
          <w:jc w:val="center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 and communications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One to many broadcasting of media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Peer to peer sharing of media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 Ines Langer, Michael </w:t>
            </w:r>
            <w:proofErr w:type="spellStart"/>
            <w:r>
              <w:rPr>
                <w:color w:val="000000"/>
                <w:sz w:val="22"/>
                <w:szCs w:val="22"/>
              </w:rPr>
              <w:t>Comerford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Des McNulty (upcoming) and </w:t>
            </w:r>
            <w:r>
              <w:rPr>
                <w:color w:val="000000"/>
                <w:sz w:val="22"/>
                <w:szCs w:val="22"/>
              </w:rPr>
              <w:t>Chadwick (2013)</w:t>
            </w:r>
          </w:p>
        </w:tc>
      </w:tr>
      <w:tr w:rsidR="00004E65">
        <w:trPr>
          <w:trHeight w:val="1435"/>
          <w:jc w:val="center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Dataveillance</w:t>
            </w:r>
            <w:proofErr w:type="spellEnd"/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</w:pPr>
            <w:r>
              <w:rPr>
                <w:color w:val="000000"/>
                <w:sz w:val="22"/>
                <w:szCs w:val="22"/>
              </w:rPr>
              <w:t>Government-control and security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</w:pPr>
            <w:r>
              <w:rPr>
                <w:color w:val="000000"/>
                <w:sz w:val="22"/>
                <w:szCs w:val="22"/>
              </w:rPr>
              <w:t>Privacy and Individual Rights focused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</w:pPr>
            <w:r>
              <w:rPr>
                <w:color w:val="000000"/>
                <w:sz w:val="22"/>
                <w:szCs w:val="22"/>
              </w:rPr>
              <w:t>Lyon (2015)</w:t>
            </w:r>
          </w:p>
        </w:tc>
      </w:tr>
      <w:tr w:rsidR="00004E65">
        <w:trPr>
          <w:trHeight w:val="1960"/>
          <w:jc w:val="center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Activist campaigning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Mobilisation of support for professional led interests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Organising of support to empower citizens to lead change </w:t>
            </w:r>
            <w:r>
              <w:rPr>
                <w:color w:val="000000"/>
                <w:sz w:val="22"/>
                <w:szCs w:val="22"/>
              </w:rPr>
              <w:t>themselves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" w:type="dxa"/>
              <w:right w:w="100" w:type="dxa"/>
            </w:tcMar>
            <w:vAlign w:val="center"/>
          </w:tcPr>
          <w:p w:rsidR="00004E65" w:rsidRDefault="00766CB7">
            <w:pPr>
              <w:pStyle w:val="TableContents"/>
              <w:spacing w:after="200" w:line="427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 (2014)</w:t>
            </w:r>
          </w:p>
        </w:tc>
      </w:tr>
    </w:tbl>
    <w:p w:rsidR="00004E65" w:rsidRDefault="00004E65">
      <w:pPr>
        <w:pStyle w:val="BodyText"/>
      </w:pPr>
    </w:p>
    <w:sectPr w:rsidR="00004E65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B7" w:rsidRDefault="00766CB7">
      <w:pPr>
        <w:spacing w:line="240" w:lineRule="auto"/>
      </w:pPr>
      <w:r>
        <w:separator/>
      </w:r>
    </w:p>
  </w:endnote>
  <w:endnote w:type="continuationSeparator" w:id="0">
    <w:p w:rsidR="00766CB7" w:rsidRDefault="00766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65" w:rsidRDefault="0000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B7" w:rsidRDefault="00766CB7">
      <w:pPr>
        <w:spacing w:line="240" w:lineRule="auto"/>
      </w:pPr>
      <w:r>
        <w:separator/>
      </w:r>
    </w:p>
  </w:footnote>
  <w:footnote w:type="continuationSeparator" w:id="0">
    <w:p w:rsidR="00766CB7" w:rsidRDefault="00766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65" w:rsidRDefault="00004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65"/>
    <w:rsid w:val="00004E65"/>
    <w:rsid w:val="002C51BB"/>
    <w:rsid w:val="007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36660-8192-45BF-8D90-73439865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qFormat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2"/>
      <w:szCs w:val="32"/>
    </w:rPr>
  </w:style>
  <w:style w:type="paragraph" w:styleId="Heading2">
    <w:name w:val="heading 2"/>
    <w:basedOn w:val="Normal"/>
    <w:next w:val="Paragraph"/>
    <w:qFormat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qFormat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Heading"/>
    <w:next w:val="Newparagraph"/>
    <w:qFormat/>
    <w:pPr>
      <w:widowControl w:val="0"/>
      <w:spacing w:before="360" w:after="0"/>
      <w:outlineLvl w:val="3"/>
    </w:pPr>
    <w:rPr>
      <w:rFonts w:ascii="Times New Roman" w:eastAsia="Times New Roman" w:hAnsi="Times New Roman" w:cs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qFormat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qFormat/>
    <w:rPr>
      <w:rFonts w:cs="Arial"/>
      <w:b/>
      <w:bCs/>
      <w:kern w:val="2"/>
      <w:sz w:val="24"/>
      <w:szCs w:val="32"/>
    </w:rPr>
  </w:style>
  <w:style w:type="character" w:customStyle="1" w:styleId="Heading3Char">
    <w:name w:val="Heading 3 Char"/>
    <w:basedOn w:val="DefaultParagraphFont"/>
    <w:qFormat/>
    <w:rPr>
      <w:rFonts w:eastAsia="Times New Roman" w:cs="Arial"/>
      <w:bCs/>
      <w:i/>
      <w:sz w:val="24"/>
      <w:szCs w:val="26"/>
      <w:lang w:eastAsia="en-GB"/>
    </w:rPr>
  </w:style>
  <w:style w:type="character" w:customStyle="1" w:styleId="FootnoteTextChar">
    <w:name w:val="Footnote Text Char"/>
    <w:basedOn w:val="DefaultParagraphFont"/>
    <w:qFormat/>
    <w:rPr>
      <w:sz w:val="22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basedOn w:val="DefaultParagraphFont"/>
    <w:qFormat/>
    <w:rPr>
      <w:sz w:val="22"/>
    </w:rPr>
  </w:style>
  <w:style w:type="character" w:customStyle="1" w:styleId="EndnoteCharacters">
    <w:name w:val="Endnote Characters"/>
    <w:basedOn w:val="DefaultParagraphFont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ing4Char">
    <w:name w:val="Heading 4 Char"/>
    <w:basedOn w:val="DefaultParagraphFont"/>
    <w:qFormat/>
    <w:rPr>
      <w:bCs/>
      <w:sz w:val="24"/>
      <w:szCs w:val="28"/>
    </w:rPr>
  </w:style>
  <w:style w:type="character" w:customStyle="1" w:styleId="HeaderChar">
    <w:name w:val="Header Char"/>
    <w:basedOn w:val="DefaultParagraphFont"/>
    <w:qFormat/>
    <w:rPr>
      <w:rFonts w:eastAsia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qFormat/>
    <w:rPr>
      <w:sz w:val="24"/>
      <w:szCs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2">
    <w:name w:val="ListLabel 22"/>
    <w:qFormat/>
    <w:rPr>
      <w:b w:val="0"/>
      <w:bCs w:val="0"/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b w:val="0"/>
      <w:bCs w:val="0"/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b w:val="0"/>
      <w:bCs w:val="0"/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b w:val="0"/>
      <w:bCs w:val="0"/>
      <w:sz w:val="22"/>
      <w:szCs w:val="22"/>
    </w:rPr>
  </w:style>
  <w:style w:type="character" w:customStyle="1" w:styleId="ListLabel29">
    <w:name w:val="ListLabel 29"/>
    <w:qFormat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rticletitle">
    <w:name w:val="Article title"/>
    <w:basedOn w:val="Normal"/>
    <w:next w:val="Normal"/>
    <w:qFormat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</w:style>
  <w:style w:type="paragraph" w:customStyle="1" w:styleId="Abstract">
    <w:name w:val="Abstract"/>
    <w:basedOn w:val="Normal"/>
    <w:next w:val="Keywords"/>
    <w:qFormat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pPr>
      <w:widowControl/>
      <w:spacing w:before="0"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pPr>
      <w:spacing w:before="240" w:line="360" w:lineRule="auto"/>
    </w:pPr>
  </w:style>
  <w:style w:type="paragraph" w:customStyle="1" w:styleId="Footnotes">
    <w:name w:val="Footnotes"/>
    <w:basedOn w:val="Normal"/>
    <w:qFormat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qFormat/>
  </w:style>
  <w:style w:type="paragraph" w:customStyle="1" w:styleId="Paragraph">
    <w:name w:val="Paragraph"/>
    <w:basedOn w:val="Normal"/>
    <w:next w:val="Newparagraph"/>
    <w:qFormat/>
    <w:pPr>
      <w:widowControl w:val="0"/>
      <w:spacing w:before="240"/>
    </w:pPr>
  </w:style>
  <w:style w:type="paragraph" w:customStyle="1" w:styleId="Newparagraph">
    <w:name w:val="New paragraph"/>
    <w:basedOn w:val="Normal"/>
    <w:qFormat/>
    <w:pPr>
      <w:ind w:firstLine="720"/>
    </w:pPr>
  </w:style>
  <w:style w:type="paragraph" w:styleId="NormalIndent">
    <w:name w:val="Normal Indent"/>
    <w:basedOn w:val="Normal"/>
    <w:qFormat/>
    <w:pPr>
      <w:ind w:left="720"/>
    </w:pPr>
  </w:style>
  <w:style w:type="paragraph" w:customStyle="1" w:styleId="References">
    <w:name w:val="References"/>
    <w:basedOn w:val="Normal"/>
    <w:qFormat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</w:style>
  <w:style w:type="paragraph" w:customStyle="1" w:styleId="Bulletedlist">
    <w:name w:val="Bulleted list"/>
    <w:basedOn w:val="Paragraph"/>
    <w:next w:val="Paragraph"/>
    <w:qFormat/>
    <w:pPr>
      <w:widowControl/>
      <w:spacing w:after="240"/>
      <w:contextualSpacing/>
    </w:pPr>
  </w:style>
  <w:style w:type="paragraph" w:styleId="FootnoteText">
    <w:name w:val="footnote text"/>
    <w:basedOn w:val="Normal"/>
    <w:autoRedefine/>
    <w:pPr>
      <w:ind w:left="284" w:hanging="284"/>
    </w:pPr>
    <w:rPr>
      <w:sz w:val="22"/>
      <w:szCs w:val="20"/>
    </w:rPr>
  </w:style>
  <w:style w:type="paragraph" w:styleId="EndnoteText">
    <w:name w:val="endnote text"/>
    <w:basedOn w:val="Normal"/>
    <w:autoRedefine/>
    <w:pPr>
      <w:ind w:left="284" w:hanging="284"/>
    </w:pPr>
    <w:rPr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120" w:line="240" w:lineRule="auto"/>
      <w:contextualSpacing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40" w:line="240" w:lineRule="auto"/>
      <w:contextualSpacing/>
    </w:pPr>
  </w:style>
  <w:style w:type="paragraph" w:customStyle="1" w:styleId="Heading4Paragraph">
    <w:name w:val="Heading 4 + Paragraph"/>
    <w:basedOn w:val="Paragraph"/>
    <w:next w:val="Newparagraph"/>
    <w:qFormat/>
    <w:pPr>
      <w:widowControl/>
      <w:spacing w:before="36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subject/>
  <dc:creator>Revan, Jade</dc:creator>
  <dc:description/>
  <cp:lastModifiedBy>Revan, Jade</cp:lastModifiedBy>
  <cp:revision>2</cp:revision>
  <cp:lastPrinted>2011-07-22T14:54:00Z</cp:lastPrinted>
  <dcterms:created xsi:type="dcterms:W3CDTF">2020-05-22T11:54:00Z</dcterms:created>
  <dcterms:modified xsi:type="dcterms:W3CDTF">2020-05-22T11:54:00Z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Informa Plc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