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BF948" w14:textId="2E432FBE" w:rsidR="000B10BD" w:rsidRPr="00A10D44" w:rsidRDefault="00D46E95" w:rsidP="000B10BD">
      <w:pPr>
        <w:rPr>
          <w:b/>
          <w:sz w:val="32"/>
          <w:szCs w:val="32"/>
        </w:rPr>
      </w:pPr>
      <w:r>
        <w:rPr>
          <w:b/>
          <w:sz w:val="32"/>
          <w:szCs w:val="32"/>
        </w:rPr>
        <w:t>Exploring</w:t>
      </w:r>
      <w:r w:rsidR="000B10BD" w:rsidRPr="00A10D44">
        <w:rPr>
          <w:b/>
          <w:sz w:val="32"/>
          <w:szCs w:val="32"/>
        </w:rPr>
        <w:t xml:space="preserve"> </w:t>
      </w:r>
      <w:r w:rsidR="005C37CB">
        <w:rPr>
          <w:b/>
          <w:sz w:val="32"/>
          <w:szCs w:val="32"/>
        </w:rPr>
        <w:t>the c</w:t>
      </w:r>
      <w:r w:rsidR="000B10BD" w:rsidRPr="00A10D44">
        <w:rPr>
          <w:b/>
          <w:sz w:val="32"/>
          <w:szCs w:val="32"/>
        </w:rPr>
        <w:t xml:space="preserve">hemotypes </w:t>
      </w:r>
      <w:r w:rsidR="005C37CB">
        <w:rPr>
          <w:b/>
          <w:sz w:val="32"/>
          <w:szCs w:val="32"/>
        </w:rPr>
        <w:t>underlying important</w:t>
      </w:r>
      <w:r>
        <w:rPr>
          <w:b/>
          <w:sz w:val="32"/>
          <w:szCs w:val="32"/>
        </w:rPr>
        <w:t xml:space="preserve"> </w:t>
      </w:r>
      <w:r w:rsidR="003A60A5">
        <w:rPr>
          <w:b/>
          <w:sz w:val="32"/>
          <w:szCs w:val="32"/>
        </w:rPr>
        <w:t>agronomic and consumer traits</w:t>
      </w:r>
      <w:r w:rsidR="003A60A5" w:rsidRPr="00A10D44">
        <w:rPr>
          <w:b/>
          <w:sz w:val="32"/>
          <w:szCs w:val="32"/>
        </w:rPr>
        <w:t xml:space="preserve"> </w:t>
      </w:r>
      <w:r w:rsidR="003A60A5">
        <w:rPr>
          <w:b/>
          <w:sz w:val="32"/>
          <w:szCs w:val="32"/>
        </w:rPr>
        <w:t xml:space="preserve">in </w:t>
      </w:r>
      <w:bookmarkStart w:id="0" w:name="_GoBack"/>
      <w:bookmarkEnd w:id="0"/>
      <w:r w:rsidR="000B10BD" w:rsidRPr="00A10D44">
        <w:rPr>
          <w:b/>
          <w:sz w:val="32"/>
          <w:szCs w:val="32"/>
        </w:rPr>
        <w:t>cassava (</w:t>
      </w:r>
      <w:r w:rsidR="000B10BD" w:rsidRPr="00A10D44">
        <w:rPr>
          <w:b/>
          <w:i/>
          <w:sz w:val="32"/>
          <w:szCs w:val="32"/>
        </w:rPr>
        <w:t xml:space="preserve">Manihot esculenta </w:t>
      </w:r>
      <w:r w:rsidR="000B10BD" w:rsidRPr="00A10D44">
        <w:rPr>
          <w:b/>
          <w:sz w:val="32"/>
          <w:szCs w:val="32"/>
        </w:rPr>
        <w:t xml:space="preserve">Crantz) </w:t>
      </w:r>
    </w:p>
    <w:p w14:paraId="4827231C" w14:textId="77777777" w:rsidR="000B10BD" w:rsidRPr="00E232CC" w:rsidRDefault="000B10BD" w:rsidP="000B10BD"/>
    <w:p w14:paraId="207ACEDA" w14:textId="77777777" w:rsidR="000B10BD" w:rsidRPr="005C37CB" w:rsidRDefault="000B10BD" w:rsidP="000B10BD">
      <w:pPr>
        <w:rPr>
          <w:iCs/>
          <w:lang w:val="es-ES_tradnl"/>
        </w:rPr>
      </w:pPr>
      <w:r w:rsidRPr="005C37CB">
        <w:rPr>
          <w:lang w:val="es-ES_tradnl"/>
        </w:rPr>
        <w:t>Margit Drapal</w:t>
      </w:r>
      <w:r w:rsidRPr="005C37CB">
        <w:rPr>
          <w:vertAlign w:val="superscript"/>
          <w:lang w:val="es-ES_tradnl"/>
        </w:rPr>
        <w:t>1</w:t>
      </w:r>
      <w:r w:rsidRPr="005C37CB">
        <w:rPr>
          <w:lang w:val="es-ES_tradnl"/>
        </w:rPr>
        <w:t>, Tatiana M. Ovalle Rivera</w:t>
      </w:r>
      <w:r w:rsidRPr="005C37CB">
        <w:rPr>
          <w:vertAlign w:val="superscript"/>
          <w:lang w:val="es-ES_tradnl"/>
        </w:rPr>
        <w:t>2</w:t>
      </w:r>
      <w:r w:rsidRPr="005C37CB">
        <w:rPr>
          <w:lang w:val="es-ES_tradnl"/>
        </w:rPr>
        <w:t xml:space="preserve">, Luis Augusto </w:t>
      </w:r>
      <w:r w:rsidRPr="005C37CB">
        <w:rPr>
          <w:iCs/>
          <w:lang w:val="es-ES_tradnl"/>
        </w:rPr>
        <w:t>Becerra Lopez-Lavalle</w:t>
      </w:r>
      <w:r w:rsidRPr="005C37CB">
        <w:rPr>
          <w:vertAlign w:val="superscript"/>
          <w:lang w:val="es-ES_tradnl"/>
        </w:rPr>
        <w:t>2</w:t>
      </w:r>
      <w:r w:rsidRPr="005C37CB">
        <w:rPr>
          <w:iCs/>
          <w:lang w:val="es-ES_tradnl"/>
        </w:rPr>
        <w:t xml:space="preserve"> and Paul D. Fraser</w:t>
      </w:r>
      <w:r w:rsidRPr="005C37CB">
        <w:rPr>
          <w:vertAlign w:val="superscript"/>
          <w:lang w:val="es-ES_tradnl"/>
        </w:rPr>
        <w:t>1</w:t>
      </w:r>
      <w:r w:rsidRPr="005C37CB">
        <w:rPr>
          <w:lang w:val="es-ES_tradnl"/>
        </w:rPr>
        <w:t>*</w:t>
      </w:r>
    </w:p>
    <w:p w14:paraId="225E4755" w14:textId="77777777" w:rsidR="000B10BD" w:rsidRPr="00E232CC" w:rsidRDefault="000B10BD" w:rsidP="000B10BD">
      <w:r w:rsidRPr="00E232CC">
        <w:rPr>
          <w:vertAlign w:val="superscript"/>
        </w:rPr>
        <w:t>1</w:t>
      </w:r>
      <w:r w:rsidRPr="00E232CC">
        <w:t xml:space="preserve"> School of Biological Sciences, Royal Holloway, University of London, Egham Hill, Egham, Surrey, TW20 0EX, UK.</w:t>
      </w:r>
    </w:p>
    <w:p w14:paraId="15E33BF5" w14:textId="77777777" w:rsidR="000B10BD" w:rsidRPr="00E232CC" w:rsidRDefault="000B10BD" w:rsidP="000B10BD">
      <w:pPr>
        <w:rPr>
          <w:iCs/>
        </w:rPr>
      </w:pPr>
      <w:r w:rsidRPr="00E232CC">
        <w:rPr>
          <w:vertAlign w:val="superscript"/>
        </w:rPr>
        <w:t xml:space="preserve">2 </w:t>
      </w:r>
      <w:r w:rsidRPr="00E232CC">
        <w:t>International Center for Tropical Agriculture (CIAT), Cali, Columbia.</w:t>
      </w:r>
    </w:p>
    <w:p w14:paraId="497FE2B2" w14:textId="77777777" w:rsidR="000B10BD" w:rsidRPr="00E232CC" w:rsidRDefault="000B10BD" w:rsidP="000B10BD">
      <w:r w:rsidRPr="00E232CC">
        <w:t xml:space="preserve">Corresponding author: </w:t>
      </w:r>
      <w:hyperlink r:id="rId8" w:history="1">
        <w:r w:rsidRPr="00E232CC">
          <w:rPr>
            <w:rStyle w:val="Hyperlink"/>
            <w:iCs/>
          </w:rPr>
          <w:t>P.Fraser@rhul.ac.uk</w:t>
        </w:r>
      </w:hyperlink>
      <w:r w:rsidRPr="00E232CC">
        <w:t>, Tel: +44 1784 443894</w:t>
      </w:r>
    </w:p>
    <w:p w14:paraId="4A28A573" w14:textId="77777777" w:rsidR="000B10BD" w:rsidRDefault="000B10BD" w:rsidP="000B10BD"/>
    <w:p w14:paraId="145FFE01" w14:textId="77777777" w:rsidR="000B10BD" w:rsidRDefault="000B10BD" w:rsidP="000B10BD"/>
    <w:p w14:paraId="41A01BF1" w14:textId="77777777" w:rsidR="000B10BD" w:rsidRDefault="000B10BD" w:rsidP="000B10BD"/>
    <w:p w14:paraId="365CD381" w14:textId="77777777" w:rsidR="000B10BD" w:rsidRDefault="000B10BD" w:rsidP="000B10BD"/>
    <w:p w14:paraId="222AC55F" w14:textId="77777777" w:rsidR="000B10BD" w:rsidRDefault="000B10BD" w:rsidP="000B10BD"/>
    <w:p w14:paraId="0CD0CC37" w14:textId="5FD92C47" w:rsidR="000B10BD" w:rsidRPr="00E232CC" w:rsidRDefault="000B10BD" w:rsidP="006B1700">
      <w:pPr>
        <w:pStyle w:val="Heading1"/>
        <w:numPr>
          <w:ilvl w:val="0"/>
          <w:numId w:val="0"/>
        </w:numPr>
        <w:ind w:left="432"/>
      </w:pPr>
      <w:r w:rsidRPr="00E232CC">
        <w:br w:type="column"/>
      </w:r>
      <w:r w:rsidR="00BD17BD">
        <w:lastRenderedPageBreak/>
        <w:t>Abstract</w:t>
      </w:r>
    </w:p>
    <w:p w14:paraId="2A14B674" w14:textId="000AC99A" w:rsidR="003E5C06" w:rsidRDefault="00BD17BD" w:rsidP="003E5C06">
      <w:r>
        <w:t xml:space="preserve">A broad diversity of phenotypes </w:t>
      </w:r>
      <w:r w:rsidR="005C37CB">
        <w:t>are</w:t>
      </w:r>
      <w:r>
        <w:t xml:space="preserve"> available </w:t>
      </w:r>
      <w:r w:rsidR="005C37CB">
        <w:t>with</w:t>
      </w:r>
      <w:r>
        <w:t>in</w:t>
      </w:r>
      <w:r w:rsidR="005C37CB">
        <w:t xml:space="preserve"> the cassava</w:t>
      </w:r>
      <w:r>
        <w:t xml:space="preserve"> germplasm collections. The phenotypes include improved nutritional, starch or culinary root quality as well as abiotic and biotic resistance properties. Some of these traits </w:t>
      </w:r>
      <w:r w:rsidR="005C37CB">
        <w:t>can be found</w:t>
      </w:r>
      <w:r>
        <w:t xml:space="preserve"> naturally </w:t>
      </w:r>
      <w:r w:rsidR="003E5C06">
        <w:t>occurring</w:t>
      </w:r>
      <w:r>
        <w:t xml:space="preserve"> in cassava landraces, whereas others </w:t>
      </w:r>
      <w:r w:rsidR="005C37CB">
        <w:t>a</w:t>
      </w:r>
      <w:r>
        <w:t>re the result of targeted breeding efforts. For future breeding programmes it is important to know the underlying mechanisms of the</w:t>
      </w:r>
      <w:r w:rsidR="005C37CB">
        <w:t>se desirable</w:t>
      </w:r>
      <w:r>
        <w:t xml:space="preserve"> traits. Metabolomics can assist in the elucidation of these mechanisms by measuring the end products of the cellular processes</w:t>
      </w:r>
      <w:r w:rsidR="005C37CB">
        <w:t xml:space="preserve"> conferring the traits of interest</w:t>
      </w:r>
      <w:r>
        <w:t>. The present stud</w:t>
      </w:r>
      <w:r w:rsidR="003727CF">
        <w:t>y focused on the comparison of two</w:t>
      </w:r>
      <w:r>
        <w:t xml:space="preserve"> or more variants of the same trait such as high and low culinary quality or resistance and susceptibility to thrips. Overall, eight different traits were assessed. </w:t>
      </w:r>
    </w:p>
    <w:p w14:paraId="15A633C4" w14:textId="1534AFF4" w:rsidR="00A81BDE" w:rsidRDefault="003E5C06" w:rsidP="003E5C06">
      <w:r>
        <w:t>Results showed that amino acids and umami compounds were associated with superior culinary attributes and the phenylpropanoid superpathway plays an important role in pest resistance. Furthermore, the data highlighted a low chemodiversity in African cassavas and that the source-sink relation was still active at the harvest stage.</w:t>
      </w:r>
    </w:p>
    <w:p w14:paraId="767C8526" w14:textId="77777777" w:rsidR="000B10BD" w:rsidRPr="00E232CC" w:rsidRDefault="000B10BD" w:rsidP="006B1700">
      <w:pPr>
        <w:pStyle w:val="Heading1"/>
        <w:numPr>
          <w:ilvl w:val="0"/>
          <w:numId w:val="0"/>
        </w:numPr>
        <w:ind w:left="432"/>
      </w:pPr>
      <w:r w:rsidRPr="00E232CC">
        <w:t>Keywords</w:t>
      </w:r>
    </w:p>
    <w:p w14:paraId="220CFFF0" w14:textId="031E33D5" w:rsidR="000B10BD" w:rsidRPr="00E232CC" w:rsidRDefault="000B10BD" w:rsidP="00D46E95">
      <w:r w:rsidRPr="00E232CC">
        <w:t>Cassava, characteristic traits, chemotypes, diversity, metabolite profi</w:t>
      </w:r>
      <w:r w:rsidR="001F38A9">
        <w:t>ling, modern breeding approach</w:t>
      </w:r>
    </w:p>
    <w:p w14:paraId="20CB8FEF" w14:textId="77777777" w:rsidR="006B1700" w:rsidRPr="00E232CC" w:rsidRDefault="006B1700" w:rsidP="006B1700">
      <w:pPr>
        <w:pStyle w:val="Heading1"/>
        <w:numPr>
          <w:ilvl w:val="0"/>
          <w:numId w:val="0"/>
        </w:numPr>
        <w:ind w:left="432"/>
      </w:pPr>
      <w:r w:rsidRPr="00E232CC">
        <w:t xml:space="preserve">Abbreviations </w:t>
      </w:r>
    </w:p>
    <w:p w14:paraId="3C5D86F6" w14:textId="2D3D1451" w:rsidR="006B1700" w:rsidRPr="00E232CC" w:rsidRDefault="00A81BDE" w:rsidP="00A81BDE">
      <w:r>
        <w:t xml:space="preserve">ANOVA, analysis of variance; </w:t>
      </w:r>
      <w:r w:rsidR="006B1700" w:rsidRPr="00E232CC">
        <w:t xml:space="preserve">CIAT, International Center for Tropical Agriculture; CMD, cassava mosaic virus; </w:t>
      </w:r>
      <w:r>
        <w:t xml:space="preserve">DW, dry weight; </w:t>
      </w:r>
      <w:r w:rsidR="006B1700" w:rsidRPr="00E232CC">
        <w:t>GC-MS, gas chromatography mass spectrometry;</w:t>
      </w:r>
      <w:r>
        <w:t xml:space="preserve"> HCN, hydrogen cyanide;</w:t>
      </w:r>
      <w:r w:rsidR="006B1700" w:rsidRPr="00E232CC">
        <w:t xml:space="preserve"> LC-MS, liquid chromatography mass spectrometry; </w:t>
      </w:r>
      <w:r>
        <w:t xml:space="preserve">PC, principle component; </w:t>
      </w:r>
      <w:r w:rsidR="006B1700" w:rsidRPr="00E232CC">
        <w:t xml:space="preserve">PCA, principle component analysis; </w:t>
      </w:r>
      <w:r>
        <w:t xml:space="preserve">QC, quality control; RSD, relative standard deviation; TCA, tricarboxylic acid; </w:t>
      </w:r>
      <w:r w:rsidR="006B1700" w:rsidRPr="00E232CC">
        <w:t>UPLC</w:t>
      </w:r>
      <w:r w:rsidR="006B1700">
        <w:t>-DAD</w:t>
      </w:r>
      <w:r w:rsidR="006B1700" w:rsidRPr="00E232CC">
        <w:t>, ultra-performance liquid chromatography</w:t>
      </w:r>
      <w:r w:rsidR="006B1700">
        <w:t xml:space="preserve"> – diode array detector</w:t>
      </w:r>
      <w:r w:rsidR="006B1700" w:rsidRPr="00E232CC">
        <w:t xml:space="preserve">; </w:t>
      </w:r>
      <w:r>
        <w:t>UV/VIS, ultra violet/visible light</w:t>
      </w:r>
    </w:p>
    <w:p w14:paraId="67C35AD9" w14:textId="77777777" w:rsidR="000B10BD" w:rsidRPr="00E232CC" w:rsidRDefault="000B10BD" w:rsidP="000B10BD">
      <w:r w:rsidRPr="00E232CC">
        <w:br w:type="page"/>
      </w:r>
    </w:p>
    <w:p w14:paraId="4C812DAB" w14:textId="77777777" w:rsidR="000B10BD" w:rsidRPr="00E232CC" w:rsidRDefault="000B10BD" w:rsidP="000B10BD">
      <w:pPr>
        <w:pStyle w:val="Heading1"/>
      </w:pPr>
      <w:r w:rsidRPr="00E232CC">
        <w:lastRenderedPageBreak/>
        <w:t>Introduction</w:t>
      </w:r>
    </w:p>
    <w:p w14:paraId="601A060E" w14:textId="14FEC5F8" w:rsidR="002812A9" w:rsidRPr="005C37CB" w:rsidRDefault="005C37CB" w:rsidP="0066041A">
      <w:pPr>
        <w:rPr>
          <w:lang w:val="es-ES_tradnl"/>
        </w:rPr>
      </w:pPr>
      <w:r>
        <w:t>The tuberous</w:t>
      </w:r>
      <w:r w:rsidR="0066041A">
        <w:t>roots of c</w:t>
      </w:r>
      <w:r w:rsidR="0076221F">
        <w:t>assava (</w:t>
      </w:r>
      <w:r w:rsidR="0076221F">
        <w:rPr>
          <w:i/>
        </w:rPr>
        <w:t>Manihot</w:t>
      </w:r>
      <w:r w:rsidR="0076221F">
        <w:t xml:space="preserve"> </w:t>
      </w:r>
      <w:r w:rsidR="0076221F">
        <w:rPr>
          <w:i/>
        </w:rPr>
        <w:t>esculenta</w:t>
      </w:r>
      <w:r w:rsidR="0076221F">
        <w:t xml:space="preserve"> Crantz) </w:t>
      </w:r>
      <w:r w:rsidR="0066041A">
        <w:t xml:space="preserve">provide a major source of calories for ~800 million people in the Americas, Asia and Africa </w:t>
      </w:r>
      <w:r w:rsidR="0066041A">
        <w:fldChar w:fldCharType="begin" w:fldLock="1"/>
      </w:r>
      <w:r w:rsidR="00007FD7">
        <w:instrText>ADDIN CSL_CITATION {"citationItems":[{"id":"ITEM-1","itemData":{"DOI":"https://doi.org/10.1016/B978-0-444-52512-3.00151-0","ISBN":"978-0-08-093139-5","abstract":"Root and tuber crops are plants yielding starchy roots, tubers, rhizomes, corms, and stems. They are used mainly for human food, animal feed, and for manufacturing starch, alcohol, and fermented beverages. Potato, sweet potato, and cassava are the most important root and tuber crops throughout the world. This article describes origin and distribution, botany and physiology, breeding and cultivation, diseases and insects, and uses and economic importance of the three crops.","author":[{"dropping-particle":"","family":"Liu","given":"Q","non-dropping-particle":"","parse-names":false,"suffix":""},{"dropping-particle":"","family":"Liu","given":"J","non-dropping-particle":"","parse-names":false,"suffix":""},{"dropping-particle":"","family":"Zhang","given":"P","non-dropping-particle":"","parse-names":false,"suffix":""},{"dropping-particle":"","family":"He","given":"S","non-dropping-particle":"","parse-names":false,"suffix":""}],"editor":[{"dropping-particle":"","family":"Alfen","given":"Neal K B T - Encyclopedia of Agriculture and Food Systems","non-dropping-particle":"Van","parse-names":false,"suffix":""}],"id":"ITEM-1","issued":{"date-parts":[["2014"]]},"page":"46-61","publisher":"Academic Press","publisher-place":"Oxford","title":"Root and Tuber Crops","type":"chapter"},"uris":["http://www.mendeley.com/documents/?uuid=12818f04-0d84-4c7a-8f63-7548158d64c7"]},{"id":"ITEM-2","itemData":{"ISBN":"978-92-5-107642-2","author":[{"dropping-particle":"","family":"Howeler","given":"RH","non-dropping-particle":"","parse-names":false,"suffix":""},{"dropping-particle":"","family":"Lutaladio","given":"N","non-dropping-particle":"","parse-names":false,"suffix":""},{"dropping-particle":"","family":"Thomas","given":"G.","non-dropping-particle":"","parse-names":false,"suffix":""}],"id":"ITEM-2","issued":{"date-parts":[["2013"]]},"publisher":"Food and Agriculture Organization of the United Nations","publisher-place":"Rome, Italy","title":"Save and Grow: Cassava - A guide to sustainable production intensification","type":"book"},"uris":["http://www.mendeley.com/documents/?uuid=5f5af30d-c5aa-4e38-a976-9ec0b79081cb"]}],"mendeley":{"formattedCitation":"(Liu &lt;i&gt;et al.&lt;/i&gt;, 2014; Howeler &lt;i&gt;et al.&lt;/i&gt;, 2013)","plainTextFormattedCitation":"(Liu et al., 2014; Howeler et al., 2013)","previouslyFormattedCitation":"(Liu &lt;i&gt;et al.&lt;/i&gt;, 2014; Howeler &lt;i&gt;et al.&lt;/i&gt;, 2013)"},"properties":{"noteIndex":0},"schema":"https://github.com/citation-style-language/schema/raw/master/csl-citation.json"}</w:instrText>
      </w:r>
      <w:r w:rsidR="0066041A">
        <w:fldChar w:fldCharType="separate"/>
      </w:r>
      <w:r w:rsidR="0066041A" w:rsidRPr="0066041A">
        <w:rPr>
          <w:noProof/>
        </w:rPr>
        <w:t xml:space="preserve">(Liu </w:t>
      </w:r>
      <w:r w:rsidR="0066041A" w:rsidRPr="0066041A">
        <w:rPr>
          <w:i/>
          <w:noProof/>
        </w:rPr>
        <w:t>et al.</w:t>
      </w:r>
      <w:r w:rsidR="0066041A" w:rsidRPr="0066041A">
        <w:rPr>
          <w:noProof/>
        </w:rPr>
        <w:t xml:space="preserve">, 2014; Howeler </w:t>
      </w:r>
      <w:r w:rsidR="0066041A" w:rsidRPr="0066041A">
        <w:rPr>
          <w:i/>
          <w:noProof/>
        </w:rPr>
        <w:t>et al.</w:t>
      </w:r>
      <w:r w:rsidR="0066041A" w:rsidRPr="0066041A">
        <w:rPr>
          <w:noProof/>
        </w:rPr>
        <w:t>, 2013)</w:t>
      </w:r>
      <w:r w:rsidR="0066041A">
        <w:fldChar w:fldCharType="end"/>
      </w:r>
      <w:r w:rsidR="0066041A">
        <w:t xml:space="preserve">. </w:t>
      </w:r>
      <w:r w:rsidR="00007FD7">
        <w:t>Cassava</w:t>
      </w:r>
      <w:r w:rsidR="0066041A">
        <w:t xml:space="preserve"> </w:t>
      </w:r>
      <w:r w:rsidR="003E735E">
        <w:t>plants can</w:t>
      </w:r>
      <w:r w:rsidR="0066041A">
        <w:t xml:space="preserve"> grow on </w:t>
      </w:r>
      <w:r>
        <w:t xml:space="preserve">degrades or </w:t>
      </w:r>
      <w:r w:rsidR="0066041A">
        <w:t xml:space="preserve">marginal soils </w:t>
      </w:r>
      <w:r>
        <w:t xml:space="preserve">where other crops cannot survive </w:t>
      </w:r>
      <w:r w:rsidR="0066041A">
        <w:t>and still provide feasible yields</w:t>
      </w:r>
      <w:r w:rsidR="00007FD7">
        <w:t>, even on small scales</w:t>
      </w:r>
      <w:r w:rsidR="00C400FF">
        <w:t xml:space="preserve"> </w:t>
      </w:r>
      <w:r w:rsidR="00C400FF">
        <w:fldChar w:fldCharType="begin" w:fldLock="1"/>
      </w:r>
      <w:r w:rsidR="00C400FF">
        <w:instrText>ADDIN CSL_CITATION {"citationItems":[{"id":"ITEM-1","itemData":{"author":[{"dropping-particle":"","family":"Henry","given":"G.","non-dropping-particle":"","parse-names":false,"suffix":""},{"dropping-particle":"","family":"Hershey","given":"C.","non-dropping-particle":"","parse-names":false,"suffix":""}],"container-title":"Cassava: Biology; production and utilization","editor":[{"dropping-particle":"","family":"Hillocks","given":"R. J.","non-dropping-particle":"","parse-names":false,"suffix":""},{"dropping-particle":"","family":"Thresh","given":"J. M.","non-dropping-particle":"","parse-names":false,"suffix":""},{"dropping-particle":"","family":"Bellotti","given":"A. C.","non-dropping-particle":"","parse-names":false,"suffix":""}],"id":"ITEM-1","issued":{"date-parts":[["2002"]]},"page":"17-40","publisher":"CABI Publishing","publisher-place":"Wallingford","title":"Cassava in South America and the Caribbean","type":"chapter"},"uris":["http://www.mendeley.com/documents/?uuid=e8b2a6e6-86ff-4c3b-b3ba-31e831f0954b"]}],"mendeley":{"formattedCitation":"(Henry and Hershey, 2002)","plainTextFormattedCitation":"(Henry and Hershey, 2002)","previouslyFormattedCitation":"(Henry and Hershey, 2002)"},"properties":{"noteIndex":0},"schema":"https://github.com/citation-style-language/schema/raw/master/csl-citation.json"}</w:instrText>
      </w:r>
      <w:r w:rsidR="00C400FF">
        <w:fldChar w:fldCharType="separate"/>
      </w:r>
      <w:r w:rsidR="00C400FF" w:rsidRPr="00C400FF">
        <w:rPr>
          <w:noProof/>
        </w:rPr>
        <w:t>(Henry and Hershey, 2002)</w:t>
      </w:r>
      <w:r w:rsidR="00C400FF">
        <w:fldChar w:fldCharType="end"/>
      </w:r>
      <w:r w:rsidR="00007FD7">
        <w:t xml:space="preserve">. This presents cassava as an attractive staple crop for low-income, smallholder farmers </w:t>
      </w:r>
      <w:r w:rsidR="00007FD7">
        <w:fldChar w:fldCharType="begin" w:fldLock="1"/>
      </w:r>
      <w:r w:rsidR="00E45016">
        <w:instrText>ADDIN CSL_CITATION {"citationItems":[{"id":"ITEM-1","itemData":{"ISBN":"978-92-5-107642-2","author":[{"dropping-particle":"","family":"Howeler","given":"RH","non-dropping-particle":"","parse-names":false,"suffix":""},{"dropping-particle":"","family":"Lutaladio","given":"N","non-dropping-particle":"","parse-names":false,"suffix":""},{"dropping-particle":"","family":"Thomas","given":"G.","non-dropping-particle":"","parse-names":false,"suffix":""}],"id":"ITEM-1","issued":{"date-parts":[["2013"]]},"publisher":"Food and Agriculture Organization of the United Nations","publisher-place":"Rome, Italy","title":"Save and Grow: Cassava - A guide to sustainable production intensification","type":"book"},"uris":["http://www.mendeley.com/documents/?uuid=5f5af30d-c5aa-4e38-a976-9ec0b79081cb"]}],"mendeley":{"formattedCitation":"(Howeler &lt;i&gt;et al.&lt;/i&gt;, 2013)","plainTextFormattedCitation":"(Howeler et al., 2013)","previouslyFormattedCitation":"(Howeler &lt;i&gt;et al.&lt;/i&gt;, 2013)"},"properties":{"noteIndex":0},"schema":"https://github.com/citation-style-language/schema/raw/master/csl-citation.json"}</w:instrText>
      </w:r>
      <w:r w:rsidR="00007FD7">
        <w:fldChar w:fldCharType="separate"/>
      </w:r>
      <w:r w:rsidR="00007FD7" w:rsidRPr="00007FD7">
        <w:rPr>
          <w:noProof/>
        </w:rPr>
        <w:t xml:space="preserve">(Howeler </w:t>
      </w:r>
      <w:r w:rsidR="00007FD7" w:rsidRPr="00007FD7">
        <w:rPr>
          <w:i/>
          <w:noProof/>
        </w:rPr>
        <w:t>et al.</w:t>
      </w:r>
      <w:r w:rsidR="00007FD7" w:rsidRPr="00007FD7">
        <w:rPr>
          <w:noProof/>
        </w:rPr>
        <w:t>, 2013)</w:t>
      </w:r>
      <w:r w:rsidR="00007FD7">
        <w:fldChar w:fldCharType="end"/>
      </w:r>
      <w:r w:rsidR="00007FD7">
        <w:t xml:space="preserve">. </w:t>
      </w:r>
      <w:r w:rsidR="003E735E">
        <w:t xml:space="preserve">In South America, cassava progenitors have been cultivated since ~9000 years and farmers have realised the adaptation potential of cassava to a wide range of </w:t>
      </w:r>
      <w:r w:rsidR="00D60481">
        <w:t>biotic and abiotic stresses</w:t>
      </w:r>
      <w:r w:rsidR="00C400FF">
        <w:t xml:space="preserve"> </w:t>
      </w:r>
      <w:r w:rsidR="00C400FF">
        <w:fldChar w:fldCharType="begin" w:fldLock="1"/>
      </w:r>
      <w:r w:rsidR="00C400FF">
        <w:instrText>ADDIN CSL_CITATION {"citationItems":[{"id":"ITEM-1","itemData":{"DOI":"10.1086/659998","ISSN":"00113204, 15375382","abstract":"The New World tropical forest is now considered to be an early and independent cradle of agriculture. As in other areas of the world, our understanding of this issue has been significantly advanced by a steady stream of archaeobotanical, paleoecological, and molecular/genetic data. Also importantly, a renewed focus on formulating testable theories and explanations for the transition from foraging to food production has led to applications from subdisciplines of ecology, economy, and evolution not previously applied to agricultural origins. Most recently, the integration of formerly separated disciplines, such as developmental and evolutionary biology, is causing reconsiderations of how novel phenotypes, including domesticated species, originate and the influence of artificial selection on the domestication process. It is becoming clear that the more interesting question may be the origins of plant cultivation rather than the origins of agriculture. This paper reviews this body of evidence and assesses current views about how and why domestication and plant food production arose.","author":[{"dropping-particle":"","family":"Piperno","given":"Dolores R","non-dropping-particle":"","parse-names":false,"suffix":""}],"container-title":"Current Anthropology","id":"ITEM-1","issue":"S4","issued":{"date-parts":[["2011"]]},"page":"S453-S470","publisher":"[The University of Chicago Press, Wenner-Gren Foundation for Anthropological Research]","title":"The Origins of Plant Cultivation and Domestication in the New World Tropics: Patterns, Process, and New Developments","type":"article-journal","volume":"52"},"uris":["http://www.mendeley.com/documents/?uuid=9729e307-02cc-4bb6-b67f-e9bf4470f189"]}],"mendeley":{"formattedCitation":"(Piperno, 2011)","plainTextFormattedCitation":"(Piperno, 2011)","previouslyFormattedCitation":"(Piperno, 2011)"},"properties":{"noteIndex":0},"schema":"https://github.com/citation-style-language/schema/raw/master/csl-citation.json"}</w:instrText>
      </w:r>
      <w:r w:rsidR="00C400FF">
        <w:fldChar w:fldCharType="separate"/>
      </w:r>
      <w:r w:rsidR="00C400FF" w:rsidRPr="00C400FF">
        <w:rPr>
          <w:noProof/>
        </w:rPr>
        <w:t>(Piperno, 2011)</w:t>
      </w:r>
      <w:r w:rsidR="00C400FF">
        <w:fldChar w:fldCharType="end"/>
      </w:r>
      <w:r w:rsidR="00D60481">
        <w:t>. Therefore, the International Center for Tropical Agriculture</w:t>
      </w:r>
      <w:r w:rsidR="00D60481" w:rsidRPr="00D60481">
        <w:t xml:space="preserve"> (CIAT) in Cali, Colombia</w:t>
      </w:r>
      <w:r w:rsidR="00D60481">
        <w:t xml:space="preserve"> </w:t>
      </w:r>
      <w:r w:rsidR="00E45016">
        <w:t>generated</w:t>
      </w:r>
      <w:r w:rsidR="00D60481">
        <w:t xml:space="preserve"> a genepool </w:t>
      </w:r>
      <w:r w:rsidR="00E45016">
        <w:t>for cassava l</w:t>
      </w:r>
      <w:r w:rsidR="002812A9">
        <w:t>andraces which perform better under</w:t>
      </w:r>
      <w:r w:rsidR="00E45016">
        <w:t xml:space="preserve"> </w:t>
      </w:r>
      <w:r w:rsidR="002812A9">
        <w:t>challenging</w:t>
      </w:r>
      <w:r w:rsidR="00E45016">
        <w:t xml:space="preserve"> environments </w:t>
      </w:r>
      <w:r w:rsidR="00E45016">
        <w:fldChar w:fldCharType="begin" w:fldLock="1"/>
      </w:r>
      <w:r w:rsidR="00E45016">
        <w:instrText>ADDIN CSL_CITATION {"citationItems":[{"id":"ITEM-1","itemData":{"abstract":"Cassava is grown principally in situations where there are few resources to improve soil fertility, control pests and diseases with chemical inputs, or apply irrigation. Breeders are therefore selecting for productivity and quality under many stress situations. Differences in photosynthetic rate have been discovered that are correlated with productivity under drought stress, genetic differences in efficiency of nutrient use on poor soils, and genetic variability for several mechanisms that confer tolerance of drought stress. The reduction of stresses caused by diseases and pests includes new research on root rot organisms. African cassava mosaic (geminivirus) disease is a major constraint in Africa but new resistant cultivars are increasingly being used, and the prospects for developing resistance by genetic engineering are promising. Root quality, particularly HCN content, is sensitive to drought stress but less so in cultivars selected for low HCN content. In terms of HCN content, cultivars are differentially sensitive to the nutrient status of the soil. Starch content and quality are also reduced less by stress in stress-tolerant clones. Genetic variation for tolerance of diverse stress situations exists in extensive collections of landrace cultivars from which breeding populations are derived and evaluated in diverse environments. New avenues involving genetic engineering and use of related wild species are being pursued","author":[{"dropping-particle":"","family":"Hershey","given":"C H","non-dropping-particle":"","parse-names":false,"suffix":""},{"dropping-particle":"","family":"Jennings","given":"D L","non-dropping-particle":"","parse-names":false,"suffix":""}],"container-title":"Plant Breeding Abstracts","id":"ITEM-1","issue":"8","issued":{"date-parts":[["1992"]]},"language":"English","page":"823-831","title":"Progress in breeding cassava for adaptation to stress","type":"article","volume":"62"},"uris":["http://www.mendeley.com/documents/?uuid=726a85e8-0304-491a-a4e5-5cadf0067c3f"]}],"mendeley":{"formattedCitation":"(Hershey and Jennings, 1992)","plainTextFormattedCitation":"(Hershey and Jennings, 1992)","previouslyFormattedCitation":"(Hershey and Jennings, 1992)"},"properties":{"noteIndex":0},"schema":"https://github.com/citation-style-language/schema/raw/master/csl-citation.json"}</w:instrText>
      </w:r>
      <w:r w:rsidR="00E45016">
        <w:fldChar w:fldCharType="separate"/>
      </w:r>
      <w:r w:rsidR="00E45016" w:rsidRPr="00E45016">
        <w:rPr>
          <w:noProof/>
        </w:rPr>
        <w:t>(Hershey and Jennings, 1992)</w:t>
      </w:r>
      <w:r w:rsidR="00E45016">
        <w:fldChar w:fldCharType="end"/>
      </w:r>
      <w:r w:rsidR="00E45016">
        <w:t xml:space="preserve">. Over the past decades, the genepool was </w:t>
      </w:r>
      <w:r w:rsidR="007A4401">
        <w:t xml:space="preserve">significantly </w:t>
      </w:r>
      <w:r w:rsidR="00E45016">
        <w:t xml:space="preserve">extended to include </w:t>
      </w:r>
      <w:r w:rsidR="007A4401">
        <w:t>other cassava traits and</w:t>
      </w:r>
      <w:r w:rsidR="00E45016">
        <w:t xml:space="preserve"> modern breeding techniques such as marker-assisted breeding were incorporated </w:t>
      </w:r>
      <w:r w:rsidR="007A4401">
        <w:t xml:space="preserve">to assist the </w:t>
      </w:r>
      <w:r w:rsidR="00331200">
        <w:t xml:space="preserve">international </w:t>
      </w:r>
      <w:r w:rsidR="007A4401">
        <w:t>breeding efforts</w:t>
      </w:r>
      <w:r w:rsidR="00E45016">
        <w:t xml:space="preserve"> </w:t>
      </w:r>
      <w:r w:rsidR="00E45016">
        <w:fldChar w:fldCharType="begin" w:fldLock="1"/>
      </w:r>
      <w:r w:rsidR="002812A9">
        <w:instrText>ADDIN CSL_CITATION {"citationItems":[{"id":"ITEM-1","itemData":{"DOI":"10.1038/nbt.3535","ISSN":"1546-1696 (Electronic) 1087-0156 (Linking)","author":[{"dropping-particle":"V","family":"Bredeson","given":"J","non-dropping-particle":"","parse-names":false,"suffix":""},{"dropping-particle":"","family":"Lyons","given":"J B","non-dropping-particle":"","parse-names":false,"suffix":""},{"dropping-particle":"","family":"Prochnik","given":"S E","non-dropping-particle":"","parse-names":false,"suffix":""},{"dropping-particle":"","family":"Wu","given":"G A","non-dropping-particle":"","parse-names":false,"suffix":""},{"dropping-particle":"","family":"Ha","given":"C M","non-dropping-particle":"","parse-names":false,"suffix":""},{"dropping-particle":"","family":"Edsinger-Gonzales","given":"E","non-dropping-particle":"","parse-names":false,"suffix":""},{"dropping-particle":"","family":"Grimwood","given":"J","non-dropping-particle":"","parse-names":false,"suffix":""},{"dropping-particle":"","family":"Schmutz","given":"J","non-dropping-particle":"","parse-names":false,"suffix":""},{"dropping-particle":"","family":"Rabbi","given":"I Y","non-dropping-particle":"","parse-names":false,"suffix":""},{"dropping-particle":"","family":"Egesi","given":"C","non-dropping-particle":"","parse-names":false,"suffix":""},{"dropping-particle":"","family":"Nauluvula","given":"P","non-dropping-particle":"","parse-names":false,"suffix":""},{"dropping-particle":"","family":"Lebot","given":"V","non-dropping-particle":"","parse-names":false,"suffix":""},{"dropping-particle":"","family":"Ndunguru","given":"J","non-dropping-particle":"","parse-names":false,"suffix":""},{"dropping-particle":"","family":"Mkamilo","given":"G","non-dropping-particle":"","parse-names":false,"suffix":""},{"dropping-particle":"","family":"Bart","given":"R S","non-dropping-particle":"","parse-names":false,"suffix":""},{"dropping-particle":"","family":"Setter","given":"T L","non-dropping-particle":"","parse-names":false,"suffix":""},{"dropping-particle":"","family":"Gleadow","given":"R M","non-dropping-particle":"","parse-names":false,"suffix":""},{"dropping-particle":"","family":"Kulakow","given":"P","non-dropping-particle":"","parse-names":false,"suffix":""},{"dropping-particle":"","family":"Ferguson","given":"M E","non-dropping-particle":"","parse-names":false,"suffix":""},{"dropping-particle":"","family":"Rounsley","given":"S","non-dropping-particle":"","parse-names":false,"suffix":""},{"dropping-particle":"","family":"Rokhsar","given":"D S","non-dropping-particle":"","parse-names":false,"suffix":""}],"container-title":"Nat Biotechnol","id":"ITEM-1","issue":"5","issued":{"date-parts":[["2016"]]},"page":"562-570","title":"Sequencing wild and cultivated cassava and related species reveals extensive interspecific hybridization and genetic diversity","type":"article-journal","volume":"34"},"uris":["http://www.mendeley.com/documents/?uuid=7dcebc7a-cc4d-4330-9592-e704dcc86e74"]},{"id":"ITEM-2","itemData":{"DOI":"http://dx.doi.org/10.1016/0378-4290(79)90024-8","ISSN":"0378-4290","author":[{"dropping-particle":"","family":"Hahn","given":"S K","non-dropping-particle":"","parse-names":false,"suffix":""},{"dropping-particle":"","family":"Terry","given":"E R","non-dropping-particle":"","parse-names":false,"suffix":""},{"dropping-particle":"","family":"Leuschner","given":"K","non-dropping-particle":"","parse-names":false,"suffix":""},{"dropping-particle":"","family":"Akobundu","given":"I O","non-dropping-particle":"","parse-names":false,"suffix":""},{"dropping-particle":"","family":"Okali","given":"C","non-dropping-particle":"","parse-names":false,"suffix":""},{"dropping-particle":"","family":"Lal","given":"R","non-dropping-particle":"","parse-names":false,"suffix":""}],"container-title":"Field Crops Research","id":"ITEM-2","issued":{"date-parts":[["1979"]]},"page":"193-226","title":"Cassava improvement in Africa","type":"article-journal","volume":"2"},"uris":["http://www.mendeley.com/documents/?uuid=81df70a2-97d6-49b2-980b-423c9e91ba65"]},{"id":"ITEM-3","itemData":{"DOI":"10.1038/ncomms6110","ISSN":"2041-1723 (Electronic) 2041-1723 (Linking)","author":[{"dropping-particle":"","family":"Wang","given":"W","non-dropping-particle":"","parse-names":false,"suffix":""},{"dropping-particle":"","family":"Feng","given":"B","non-dropping-particle":"","parse-names":false,"suffix":""},{"dropping-particle":"","family":"Xiao","given":"J","non-dropping-particle":"","parse-names":false,"suffix":""},{"dropping-particle":"","family":"Xia","given":"Z","non-dropping-particle":"","parse-names":false,"suffix":""},{"dropping-particle":"","family":"Zhou","given":"X","non-dropping-particle":"","parse-names":false,"suffix":""},{"dropping-particle":"","family":"Li","given":"P","non-dropping-particle":"","parse-names":false,"suffix":""},{"dropping-particle":"","family":"Zhang","given":"W","non-dropping-particle":"","parse-names":false,"suffix":""},{"dropping-particle":"","family":"Wang","given":"Y","non-dropping-particle":"","parse-names":false,"suffix":""},{"dropping-particle":"","family":"Moller","given":"B L","non-dropping-particle":"","parse-names":false,"suffix":""},{"dropping-particle":"","family":"Zhang","given":"P","non-dropping-particle":"","parse-names":false,"suffix":""},{"dropping-particle":"","family":"Luo","given":"M C","non-dropping-particle":"","parse-names":false,"suffix":""},{"dropping-particle":"","family":"Xiao","given":"G","non-dropping-particle":"","parse-names":false,"suffix":""},{"dropping-particle":"","family":"Liu","given":"J","non-dropping-particle":"","parse-names":false,"suffix":""},{"dropping-particle":"","family":"Yang","given":"J","non-dropping-particle":"","parse-names":false,"suffix":""},{"dropping-particle":"","family":"Chen","given":"S","non-dropping-particle":"","parse-names":false,"suffix":""},{"dropping-particle":"","family":"Rabinowicz","given":"P D","non-dropping-particle":"","parse-names":false,"suffix":""},{"dropping-particle":"","family":"Chen","given":"X","non-dropping-particle":"","parse-names":false,"suffix":""},{"dropping-particle":"","family":"Zhang","given":"H B","non-dropping-particle":"","parse-names":false,"suffix":""},{"dropping-particle":"","family":"Ceballos","given":"H","non-dropping-particle":"","parse-names":false,"suffix":""},{"dropping-particle":"","family":"Lou","given":"Q","non-dropping-particle":"","parse-names":false,"suffix":""},{"dropping-particle":"","family":"Zou","given":"M","non-dropping-particle":"","parse-names":false,"suffix":""},{"dropping-particle":"","family":"Carvalho","given":"L J","non-dropping-particle":"","parse-names":false,"suffix":""},{"dropping-particle":"","family":"Zeng","given":"C","non-dropping-particle":"","parse-names":false,"suffix":""},{"dropping-particle":"","family":"Xia","given":"J","non-dropping-particle":"","parse-names":false,"suffix":""},{"dropping-particle":"","family":"Sun","given":"S","non-dropping-particle":"","parse-names":false,"suffix":""},{"dropping-particle":"","family":"Fu","given":"Y","non-dropping-particle":"","parse-names":false,"suffix":""},{"dropping-particle":"","family":"Wang","given":"H","non-dropping-particle":"","parse-names":false,"suffix":""},{"dropping-particle":"","family":"Lu","given":"C","non-dropping-particle":"","parse-names":false,"suffix":""},{"dropping-particle":"","family":"Ruan","given":"M","non-dropping-particle":"","parse-names":false,"suffix":""},{"dropping-particle":"","family":"Zhou","given":"S","non-dropping-particle":"","parse-names":false,"suffix":""},{"dropping-particle":"","family":"Wu","given":"Z","non-dropping-particle":"","parse-names":false,"suffix":""},{"dropping-particle":"","family":"Liu","given":"H","non-dropping-particle":"","parse-names":false,"suffix":""},{"dropping-particle":"","family":"Kannangara","given":"R M","non-dropping-particle":"","parse-names":false,"suffix":""},{"dropping-particle":"","family":"Jorgensen","given":"K","non-dropping-particle":"","parse-names":false,"suffix":""},{"dropping-particle":"","family":"Neale","given":"R L","non-dropping-particle":"","parse-names":false,"suffix":""},{"dropping-particle":"","family":"Bonde","given":"M","non-dropping-particle":"","parse-names":false,"suffix":""},{"dropping-particle":"","family":"Heinz","given":"N","non-dropping-particle":"","parse-names":false,"suffix":""},{"dropping-particle":"","family":"Zhu","given":"W","non-dropping-particle":"","parse-names":false,"suffix":""},{"dropping-particle":"","family":"Wang","given":"S","non-dropping-particle":"","parse-names":false,"suffix":""},{"dropping-particle":"","family":"Zhang","given":"Y","non-dropping-particle":"","parse-names":false,"suffix":""},{"dropping-particle":"","family":"Pan","given":"K","non-dropping-particle":"","parse-names":false,"suffix":""},{"dropping-particle":"","family":"Wen","given":"M","non-dropping-particle":"","parse-names":false,"suffix":""},{"dropping-particle":"","family":"Ma","given":"P A","non-dropping-particle":"","parse-names":false,"suffix":""},{"dropping-particle":"","family":"Li","given":"Z","non-dropping-particle":"","parse-names":false,"suffix":""},{"dropping-particle":"","family":"Hu","given":"M","non-dropping-particle":"","parse-names":false,"suffix":""},{"dropping-particle":"","family":"Liao","given":"W","non-dropping-particle":"","parse-names":false,"suffix":""},{"dropping-particle":"","family":"Hu","given":"W","non-dropping-particle":"","parse-names":false,"suffix":""},{"dropping-particle":"","family":"Zhang","given":"S","non-dropping-particle":"","parse-names":false,"suffix":""},{"dropping-particle":"","family":"Pei","given":"J","non-dropping-particle":"","parse-names":false,"suffix":""},{"dropping-particle":"","family":"Guo","given":"A","non-dropping-particle":"","parse-names":false,"suffix":""},{"dropping-particle":"","family":"Guo","given":"J","non-dropping-particle":"","parse-names":false,"suffix":""},{"dropping-particle":"","family":"Zhang","given":"J","non-dropping-particle":"","parse-names":false,"suffix":""},{"dropping-particle":"","family":"Zhang","given":"Z","non-dropping-particle":"","parse-names":false,"suffix":""},{"dropping-particle":"","family":"Ye","given":"J","non-dropping-particle":"","parse-names":false,"suffix":""},{"dropping-particle":"","family":"Ou","given":"W","non-dropping-particle":"","parse-names":false,"suffix":""},{"dropping-particle":"","family":"Ma","given":"Y","non-dropping-particle":"","parse-names":false,"suffix":""},{"dropping-particle":"","family":"Liu","given":"X","non-dropping-particle":"","parse-names":false,"suffix":""},{"dropping-particle":"","family":"Tallon","given":"L J","non-dropping-particle":"","parse-names":false,"suffix":""},{"dropping-particle":"","family":"Galens","given":"K","non-dropping-particle":"","parse-names":false,"suffix":""},{"dropping-particle":"","family":"Ott","given":"S","non-dropping-particle":"","parse-names":false,"suffix":""},{"dropping-particle":"","family":"Huang","given":"J","non-dropping-particle":"","parse-names":false,"suffix":""},{"dropping-particle":"","family":"Xue","given":"J","non-dropping-particle":"","parse-names":false,"suffix":""},{"dropping-particle":"","family":"An","given":"F","non-dropping-particle":"","parse-names":false,"suffix":""},{"dropping-particle":"","family":"Yao","given":"Q","non-dropping-particle":"","parse-names":false,"suffix":""},{"dropping-particle":"","family":"Lu","given":"X","non-dropping-particle":"","parse-names":false,"suffix":""},{"dropping-particle":"","family":"Fregene","given":"M","non-dropping-particle":"","parse-names":false,"suffix":""},{"dropping-particle":"","family":"Lopez-Lavalle","given":"L A","non-dropping-particle":"","parse-names":false,"suffix":""},{"dropping-particle":"","family":"Wu","given":"J","non-dropping-particle":"","parse-names":false,"suffix":""},{"dropping-particle":"","family":"You","given":"F M","non-dropping-particle":"","parse-names":false,"suffix":""},{"dropping-particle":"","family":"Chen","given":"M","non-dropping-particle":"","parse-names":false,"suffix":""},{"dropping-particle":"","family":"Hu","given":"S","non-dropping-particle":"","parse-names":false,"suffix":""},{"dropping-particle":"","family":"Wu","given":"G","non-dropping-particle":"","parse-names":false,"suffix":""},{"dropping-particle":"","family":"Zhong","given":"S","non-dropping-particle":"","parse-names":false,"suffix":""},{"dropping-particle":"","family":"Ling","given":"P","non-dropping-particle":"","parse-names":false,"suffix":""},{"dropping-particle":"","family":"Chen","given":"Y","non-dropping-particle":"","parse-names":false,"suffix":""},{"dropping-particle":"","family":"Wang","given":"Q","non-dropping-particle":"","parse-names":false,"suffix":""},{"dropping-particle":"","family":"Liu","given":"G","non-dropping-particle":"","parse-names":false,"suffix":""},{"dropping-particle":"","family":"Liu","given":"B","non-dropping-particle":"","parse-names":false,"suffix":""},{"dropping-particle":"","family":"Li","given":"K","non-dropping-particle":"","parse-names":false,"suffix":""},{"dropping-particle":"","family":"Peng","given":"M","non-dropping-particle":"","parse-names":false,"suffix":""}],"container-title":"Nat Commun","id":"ITEM-3","issued":{"date-parts":[["2014"]]},"page":"5110","title":"Cassava genome from a wild ancestor to cultivated varieties","type":"article-journal","volume":"5"},"uris":["http://www.mendeley.com/documents/?uuid=8460fe5a-7d86-4dad-b48e-619d5f9b76cf"]}],"mendeley":{"formattedCitation":"(Bredeson &lt;i&gt;et al.&lt;/i&gt;, 2016; Hahn &lt;i&gt;et al.&lt;/i&gt;, 1979; Wang &lt;i&gt;et al.&lt;/i&gt;, 2014)","plainTextFormattedCitation":"(Bredeson et al., 2016; Hahn et al., 1979; Wang et al., 2014)","previouslyFormattedCitation":"(Bredeson &lt;i&gt;et al.&lt;/i&gt;, 2016; Hahn &lt;i&gt;et al.&lt;/i&gt;, 1979; Wang &lt;i&gt;et al.&lt;/i&gt;, 2014)"},"properties":{"noteIndex":0},"schema":"https://github.com/citation-style-language/schema/raw/master/csl-citation.json"}</w:instrText>
      </w:r>
      <w:r w:rsidR="00E45016">
        <w:fldChar w:fldCharType="separate"/>
      </w:r>
      <w:r w:rsidR="00E45016" w:rsidRPr="00E45016">
        <w:rPr>
          <w:noProof/>
        </w:rPr>
        <w:t xml:space="preserve">(Bredeson </w:t>
      </w:r>
      <w:r w:rsidR="00E45016" w:rsidRPr="00E45016">
        <w:rPr>
          <w:i/>
          <w:noProof/>
        </w:rPr>
        <w:t>et al.</w:t>
      </w:r>
      <w:r w:rsidR="00E45016" w:rsidRPr="00E45016">
        <w:rPr>
          <w:noProof/>
        </w:rPr>
        <w:t xml:space="preserve">, 2016; Hahn </w:t>
      </w:r>
      <w:r w:rsidR="00E45016" w:rsidRPr="00E45016">
        <w:rPr>
          <w:i/>
          <w:noProof/>
        </w:rPr>
        <w:t>et al.</w:t>
      </w:r>
      <w:r w:rsidR="00E45016" w:rsidRPr="00E45016">
        <w:rPr>
          <w:noProof/>
        </w:rPr>
        <w:t xml:space="preserve">, 1979; Wang </w:t>
      </w:r>
      <w:r w:rsidR="00E45016" w:rsidRPr="00E45016">
        <w:rPr>
          <w:i/>
          <w:noProof/>
        </w:rPr>
        <w:t>et al.</w:t>
      </w:r>
      <w:r w:rsidR="00E45016" w:rsidRPr="00E45016">
        <w:rPr>
          <w:noProof/>
        </w:rPr>
        <w:t>, 2014)</w:t>
      </w:r>
      <w:r w:rsidR="00E45016">
        <w:fldChar w:fldCharType="end"/>
      </w:r>
      <w:r w:rsidR="00E45016">
        <w:t>.</w:t>
      </w:r>
      <w:r w:rsidR="00902193">
        <w:t xml:space="preserve"> </w:t>
      </w:r>
      <w:r w:rsidR="002812A9">
        <w:t>The</w:t>
      </w:r>
      <w:r w:rsidR="00DB2EA0">
        <w:t xml:space="preserve"> outcome of</w:t>
      </w:r>
      <w:r w:rsidR="002812A9">
        <w:t xml:space="preserve"> </w:t>
      </w:r>
      <w:r w:rsidR="00331200">
        <w:t xml:space="preserve">these </w:t>
      </w:r>
      <w:r w:rsidR="002812A9">
        <w:t xml:space="preserve">efforts </w:t>
      </w:r>
      <w:r w:rsidR="00DB2EA0">
        <w:t>included</w:t>
      </w:r>
      <w:r w:rsidR="002812A9">
        <w:t xml:space="preserve"> cassava roots with improved nutritional values (e.g. high </w:t>
      </w:r>
      <w:r w:rsidR="00902193">
        <w:t>provitamin A</w:t>
      </w:r>
      <w:r w:rsidR="002812A9">
        <w:t xml:space="preserve"> content) </w:t>
      </w:r>
      <w:r w:rsidR="00DB2EA0">
        <w:t>and different starch properties (e.g. waxy phenotype)</w:t>
      </w:r>
      <w:r w:rsidR="002812A9">
        <w:t xml:space="preserve"> </w:t>
      </w:r>
      <w:r w:rsidR="002812A9">
        <w:fldChar w:fldCharType="begin" w:fldLock="1"/>
      </w:r>
      <w:r w:rsidR="00DB2EA0">
        <w:instrText>ADDIN CSL_CITATION {"citationItems":[{"id":"ITEM-1","itemData":{"DOI":"10.2135/cropsci2015.11.0701","author":[{"dropping-particle":"","family":"Belalcazar","given":"John","non-dropping-particle":"","parse-names":false,"suffix":""},{"dropping-particle":"","family":"Dufour","given":"Dominique","non-dropping-particle":"","parse-names":false,"suffix":""},{"dropping-particle":"","family":"Andersson","given":"Meike S","non-dropping-particle":"","parse-names":false,"suffix":""},{"dropping-particle":"","family":"Pizarro","given":"Mónica","non-dropping-particle":"","parse-names":false,"suffix":""},{"dropping-particle":"","family":"Luna","given":"Jorge","non-dropping-particle":"","parse-names":false,"suffix":""},{"dropping-particle":"","family":"Londoño","given":"Luis","non-dropping-particle":"","parse-names":false,"suffix":""},{"dropping-particle":"","family":"Morante","given":"Nelson","non-dropping-particle":"","parse-names":false,"suffix":""},{"dropping-particle":"","family":"Jaramillo","given":"Angélica M","non-dropping-particle":"","parse-names":false,"suffix":""},{"dropping-particle":"","family":"Pino","given":"Lizbeth","non-dropping-particle":"","parse-names":false,"suffix":""},{"dropping-particle":"","family":"Becerra López-Lavalle","given":"Luis A","non-dropping-particle":"","parse-names":false,"suffix":""},{"dropping-particle":"","family":"Davrieux","given":"Fabrice","non-dropping-particle":"","parse-names":false,"suffix":""},{"dropping-particle":"","family":"Talsma","given":"Elise F","non-dropping-particle":"","parse-names":false,"suffix":""},{"dropping-particle":"","family":"Ceballos","given":"Hernán","non-dropping-particle":"","parse-names":false,"suffix":""}],"container-title":"Crop Science","id":"ITEM-1","issue":"6","issued":{"date-parts":[["2016"]]},"page":"2916-2925","title":"High-Throughput Phenotyping and Improvements in Breeding Cassava for Increased Carotenoids in the Roots","type":"article-journal","volume":"56"},"uris":["http://www.mendeley.com/documents/?uuid=f0da4f38-78fa-4e45-9971-3d88e539dca0"]},{"id":"ITEM-2","itemData":{"DOI":"10.2135/cropsci2012.01.0058","ISSN":"0011-183X","abstract":"ABSTRACT Cassava (Manihot esculenta Crantz) starch is traded in international markets more than starch from any other source. The starch industry requires cassava cultivars with novel starch characteristics for commercial exploitation. A natural source of waxy (amylose-free) cassava starch, clone AM 206-5, was identified at the International Center for Tropical Agriculture (CIAT). The granule-bound starch synthase I (GBSSI) gene is related to the waxy starch trait. The objectives of this study were to introgress the waxy starch mutation into Thailand's cassava breeding populations, to analyze the inheritance of waxy starch in cassava, and to develop molecular markers for this trait. AM 206-5 (wxwx) was crossed with several elite cultivars (WxWx) to transfer the wx allele. Unrelated ?F1? (Wxwx) genotypes were crossed among themselves to produce a ?F2? segregating population with negligible levels of inbreeding depression. The waxy starch phenotype was recovered in 25.7% of the 11,192 genotypes tested. This result provides further evidence that cassava is a functional diploid and that only one copy of GBSSI is present in cassava. A full-length genomic DNA sequence of GBSSI was isolated and characterized from C8, a waxy starch ?F2? clone derived from AM 206-5. We exploited these sequence differences to develop two diagnostic single-nucleotide-amplified polymorphism (SNAP) markers to differentiate homozygous waxy (wxwx) from the heterozygous (Wxwx) and homozygous (WxWx) nonwaxy genotypes.","author":[{"dropping-particle":"","family":"Aiemnaka","given":"Pornsak","non-dropping-particle":"","parse-names":false,"suffix":""},{"dropping-particle":"","family":"Wongkaew","given":"Arunee","non-dropping-particle":"","parse-names":false,"suffix":""},{"dropping-particle":"","family":"Chanthaworn","given":"Jumnong","non-dropping-particle":"","parse-names":false,"suffix":""},{"dropping-particle":"","family":"Nagashima","given":"Sathakupt Ken","non-dropping-particle":"","parse-names":false,"suffix":""},{"dropping-particle":"","family":"Boonma","given":"Supawadee","non-dropping-particle":"","parse-names":false,"suffix":""},{"dropping-particle":"","family":"Authapun","given":"Jetsada","non-dropping-particle":"","parse-names":false,"suffix":""},{"dropping-particle":"","family":"Jenweerawat","given":"Sujin","non-dropping-particle":"","parse-names":false,"suffix":""},{"dropping-particle":"","family":"Kongsila","given":"Pasajee","non-dropping-particle":"","parse-names":false,"suffix":""},{"dropping-particle":"","family":"Kittipadakul","given":"Piya","non-dropping-particle":"","parse-names":false,"suffix":""},{"dropping-particle":"","family":"Nakasathien","given":"Sutkhet","non-dropping-particle":"","parse-names":false,"suffix":""},{"dropping-particle":"","family":"Sreewongchai","given":"Tanee","non-dropping-particle":"","parse-names":false,"suffix":""},{"dropping-particle":"","family":"Wannarat","given":"Wannasiri","non-dropping-particle":"","parse-names":false,"suffix":""},{"dropping-particle":"","family":"Vichukit","given":"Vichan","non-dropping-particle":"","parse-names":false,"suffix":""},{"dropping-particle":"","family":"López-Lavalle","given":"Luís Augusto Becerra","non-dropping-particle":"","parse-names":false,"suffix":""},{"dropping-particle":"","family":"Ceballos","given":"Hernán","non-dropping-particle":"","parse-names":false,"suffix":""},{"dropping-particle":"","family":"Rojanaridpiched","given":"Chareinsuk","non-dropping-particle":"","parse-names":false,"suffix":""},{"dropping-particle":"","family":"Phumichai","given":"Chalermpol","non-dropping-particle":"","parse-names":false,"suffix":""}],"container-title":"Crop Science","id":"ITEM-2","issue":"5","issued":{"date-parts":[["2012","9","1"]]},"note":"doi: 10.2135/cropsci2012.01.0058","page":"2121-2130","publisher":"John Wiley &amp; Sons, Ltd","title":"Molecular Characterization of a Spontaneous Waxy Starch Mutation in Cassava","type":"article-journal","volume":"52"},"uris":["http://www.mendeley.com/documents/?uuid=db338503-6ab2-4d09-956d-227c6cbf0a77"]}],"mendeley":{"formattedCitation":"(Belalcazar &lt;i&gt;et al.&lt;/i&gt;, 2016; Aiemnaka &lt;i&gt;et al.&lt;/i&gt;, 2012)","plainTextFormattedCitation":"(Belalcazar et al., 2016; Aiemnaka et al., 2012)","previouslyFormattedCitation":"(Belalcazar &lt;i&gt;et al.&lt;/i&gt;, 2016; Aiemnaka &lt;i&gt;et al.&lt;/i&gt;, 2012)"},"properties":{"noteIndex":0},"schema":"https://github.com/citation-style-language/schema/raw/master/csl-citation.json"}</w:instrText>
      </w:r>
      <w:r w:rsidR="002812A9">
        <w:fldChar w:fldCharType="separate"/>
      </w:r>
      <w:r w:rsidR="002812A9" w:rsidRPr="002812A9">
        <w:rPr>
          <w:noProof/>
        </w:rPr>
        <w:t xml:space="preserve">(Belalcazar </w:t>
      </w:r>
      <w:r w:rsidR="002812A9" w:rsidRPr="002812A9">
        <w:rPr>
          <w:i/>
          <w:noProof/>
        </w:rPr>
        <w:t>et al.</w:t>
      </w:r>
      <w:r w:rsidR="002812A9" w:rsidRPr="002812A9">
        <w:rPr>
          <w:noProof/>
        </w:rPr>
        <w:t xml:space="preserve">, 2016; Aiemnaka </w:t>
      </w:r>
      <w:r w:rsidR="002812A9" w:rsidRPr="002812A9">
        <w:rPr>
          <w:i/>
          <w:noProof/>
        </w:rPr>
        <w:t>et al.</w:t>
      </w:r>
      <w:r w:rsidR="002812A9" w:rsidRPr="002812A9">
        <w:rPr>
          <w:noProof/>
        </w:rPr>
        <w:t>, 2012)</w:t>
      </w:r>
      <w:r w:rsidR="002812A9">
        <w:fldChar w:fldCharType="end"/>
      </w:r>
      <w:r w:rsidR="002812A9">
        <w:t xml:space="preserve">. However, </w:t>
      </w:r>
      <w:r w:rsidR="00DB2EA0">
        <w:t>biotic stresses</w:t>
      </w:r>
      <w:r w:rsidR="0045624C">
        <w:t xml:space="preserve"> </w:t>
      </w:r>
      <w:r w:rsidR="00331200">
        <w:t>started to</w:t>
      </w:r>
      <w:r w:rsidR="00DB2EA0">
        <w:t xml:space="preserve"> threaten the yield of these elite varieties, especially since the main propagation of cassava plants is </w:t>
      </w:r>
      <w:r w:rsidR="00B77AE1">
        <w:t xml:space="preserve">through </w:t>
      </w:r>
      <w:r w:rsidR="00DB2EA0">
        <w:t>cuttings</w:t>
      </w:r>
      <w:r w:rsidR="0076052E">
        <w:t>. Therefore, the focus of cassava breeding was divided into improving root quality and elucidating the mechanism of pest and virus resistant cassava plants</w:t>
      </w:r>
      <w:r w:rsidR="0045624C">
        <w:t xml:space="preserve"> </w:t>
      </w:r>
      <w:r w:rsidR="00902193">
        <w:fldChar w:fldCharType="begin" w:fldLock="1"/>
      </w:r>
      <w:r w:rsidR="001464A0">
        <w:instrText>ADDIN CSL_CITATION {"citationItems":[{"id":"ITEM-1","itemData":{"DOI":"http://dx.doi.org/10.1016/0378-4290(79)90024-8","ISSN":"0378-4290","author":[{"dropping-particle":"","family":"Hahn","given":"S K","non-dropping-particle":"","parse-names":false,"suffix":""},{"dropping-particle":"","family":"Terry","given":"E R","non-dropping-particle":"","parse-names":false,"suffix":""},{"dropping-particle":"","family":"Leuschner","given":"K","non-dropping-particle":"","parse-names":false,"suffix":""},{"dropping-particle":"","family":"Akobundu","given":"I O","non-dropping-particle":"","parse-names":false,"suffix":""},{"dropping-particle":"","family":"Okali","given":"C","non-dropping-particle":"","parse-names":false,"suffix":""},{"dropping-particle":"","family":"Lal","given":"R","non-dropping-particle":"","parse-names":false,"suffix":""}],"container-title":"Field Crops Research","id":"ITEM-1","issued":{"date-parts":[["1979"]]},"page":"193-226","title":"Cassava improvement in Africa","type":"article-journal","volume":"2"},"uris":["http://www.mendeley.com/documents/?uuid=81df70a2-97d6-49b2-980b-423c9e91ba65"]},{"id":"ITEM-2","itemData":{"DOI":"10.1094/PDIS-93-11-1139","ISSN":"0191-2917","author":[{"dropping-particle":"","family":"Alvarez","given":"Elizabeth","non-dropping-particle":"","parse-names":false,"suffix":""},{"dropping-particle":"","family":"Mejía","given":"Juan F","non-dropping-particle":"","parse-names":false,"suffix":""},{"dropping-particle":"","family":"Llano","given":"Germán A","non-dropping-particle":"","parse-names":false,"suffix":""},{"dropping-particle":"","family":"Loke","given":"John B","non-dropping-particle":"","parse-names":false,"suffix":""},{"dropping-particle":"","family":"Calari","given":"Alberto","non-dropping-particle":"","parse-names":false,"suffix":""},{"dropping-particle":"","family":"Duduk","given":"Bojan","non-dropping-particle":"","parse-names":false,"suffix":""},{"dropping-particle":"","family":"Bertaccini","given":"Assunta","non-dropping-particle":"","parse-names":false,"suffix":""}],"container-title":"Plant Disease","id":"ITEM-2","issue":"11","issued":{"date-parts":[["2009"]]},"page":"1139-1145","title":"Characterization of a Phytoplasma Associated with Frogskin Disease in Cassava","type":"article-journal","volume":"93"},"uris":["http://www.mendeley.com/documents/?uuid=3c64c3c7-defc-4e57-83e7-f85d74f0b0ae"]},{"id":"ITEM-3","itemData":{"DOI":"10.1007/BF00156943","ISSN":"1572-9702","abstract":"The effect of the cassava green mite Mononychellus tanajoa on the growth and yield of cassava Manihot esculenta was studied over a 10-month period in two field trials near Lake Victoria in Kenya. One plot was maintained free of mites by means of acaricide, while the other was artificially infested.","author":[{"dropping-particle":"","family":"Skovgård","given":"Henrik","non-dropping-particle":"","parse-names":false,"suffix":""},{"dropping-particle":"","family":"Tomkiewicz","given":"Jonna","non-dropping-particle":"","parse-names":false,"suffix":""},{"dropping-particle":"","family":"Nachman","given":"Gösta","non-dropping-particle":"","parse-names":false,"suffix":""},{"dropping-particle":"","family":"Münster-Swendsen","given":"Mikael","non-dropping-particle":"","parse-names":false,"suffix":""}],"container-title":"Experimental &amp; Applied Acarology","id":"ITEM-3","issue":"1","issued":{"date-parts":[["1993"]]},"page":"41-58","title":"The effect of the cassava green mite Mononychellus tanajoa on the growth and yield of cassava Manihot esculenta in a seasonally dry area in Kenya","type":"article-journal","volume":"17"},"uris":["http://www.mendeley.com/documents/?uuid=5a77de87-bb68-4047-862b-a8588af8beea"]},{"id":"ITEM-4","itemData":{"DOI":"https://doi.org/10.1016/S2095-3119(12)60017-3","ISSN":"2095-3119","abstract":"The whitefly, Bemisia tabaci, is a major pest of cassava, particularly in Africa where it is responsible both for the transmission of plant viruses and, increasingly, for direct damage due to feeding by high populations. To date, there have been no practical solutions to combat this emerging problem, due to the inability of the subsistence farmers that grow cassava to afford expensive inputs such as insecticides. A programme of research was carried out linking institutes in Africa, the UK and South America, to identify possible resistance sources in cassava to the whitefly, Bemisia tabaci. The South American genotype MEcu 72 and several Ugandan cassava landraces including Ofumba Chai, Nabwire 1 and Mercury showed good levels of resistance to B. tabaci. Field and screen-house experiments showed that all of the improved, high-yielding cassava mosaic disease (CMD) resistant cassava genotypes assessed were highly susceptible to B. tabaci and supported high populations of all life stages. These data support the hypothesis that the continuing high populations of cassava B. tabaci in Uganda are due, in part, to the widespread adoption of CMD-resistant cassava varieties during the CMD pandemic. They also show that the whitefly, Aleurotrachelus socialis, resistance present in the South American cassava genotypes could have broader applicability in the Old World.","author":[{"dropping-particle":"","family":"Omongo","given":"Christopher A","non-dropping-particle":"","parse-names":false,"suffix":""},{"dropping-particle":"","family":"Kawuki","given":"Robert","non-dropping-particle":"","parse-names":false,"suffix":""},{"dropping-particle":"","family":"Bellotti","given":"Antony C","non-dropping-particle":"","parse-names":false,"suf</w:instrText>
      </w:r>
      <w:r w:rsidR="001464A0" w:rsidRPr="005C37CB">
        <w:rPr>
          <w:lang w:val="es-ES_tradnl"/>
        </w:rPr>
        <w:instrText>fix":""},{"dropping-particle":"","family":"Alicai","given":"Titus","non-dropping-particle":"","parse-names":false,"suffix":""},{"dropping-particle":"","family":"Baguma","given":"Yona","non-dropping-particle":"","parse-names":false,"suffix":""},{"dropping-particle":"","family":"Maruthi","given":"M N","non-dropping-particle":"","parse-names":false,"suffix":""},{"dropping-particle":"","family":"Bua","given":"Anton","non-dropping-particle":"","parse-names":false,"suffix":""},{"dropping-particle":"","family":"Colvin","given":"John","non-dropping-particle":"","parse-names":false,"suffix":""}],"container-title":"Journal of Integrative Agriculture","id":"ITEM-4","issue":"2","issued":{"date-parts":[["2012"]]},"page":"327-336","title":"African Cassava Whitefly, Bemisia tabaci, Resistance in African and South American Cassava Genotypes","type":"article-journal","volume":"11"},"uris":["http://www.mendeley.com/documents/?uuid=41011255-103b-48c3-b636-cf738326a2f0"]}],"mendeley":{"formattedCitation":"(Hahn &lt;i&gt;et al.&lt;/i&gt;, 1979; Alvarez &lt;i&gt;et al.&lt;/i&gt;, 2009; Skovgård &lt;i&gt;et al.&lt;/i&gt;, 1993; Omongo &lt;i&gt;et al.&lt;/i&gt;, 2012)","plainTextFormattedCitation":"(Hahn et al., 1979; Alvarez et al., 2009; Skovgård et al., 1993; Omongo et al., 2012)","previouslyFormattedCitation":"(Hahn &lt;i&gt;et al.&lt;/i&gt;, 1979; Alvarez &lt;i&gt;et al.&lt;/i&gt;, 2009; Skovgård &lt;i&gt;et al.&lt;/i&gt;, 1993; Omongo &lt;i&gt;et al.&lt;/i&gt;, 2012)"},"properties":{"noteIndex":0},"schema":"https://github.com/citation-style-language/schema/raw/master/csl-citation.json"}</w:instrText>
      </w:r>
      <w:r w:rsidR="00902193">
        <w:fldChar w:fldCharType="separate"/>
      </w:r>
      <w:r w:rsidR="00902193" w:rsidRPr="005C37CB">
        <w:rPr>
          <w:noProof/>
          <w:lang w:val="es-ES_tradnl"/>
        </w:rPr>
        <w:t xml:space="preserve">(Hahn </w:t>
      </w:r>
      <w:r w:rsidR="00902193" w:rsidRPr="005C37CB">
        <w:rPr>
          <w:i/>
          <w:noProof/>
          <w:lang w:val="es-ES_tradnl"/>
        </w:rPr>
        <w:t>et al.</w:t>
      </w:r>
      <w:r w:rsidR="00902193" w:rsidRPr="005C37CB">
        <w:rPr>
          <w:noProof/>
          <w:lang w:val="es-ES_tradnl"/>
        </w:rPr>
        <w:t xml:space="preserve">, 1979; Alvarez </w:t>
      </w:r>
      <w:r w:rsidR="00902193" w:rsidRPr="005C37CB">
        <w:rPr>
          <w:i/>
          <w:noProof/>
          <w:lang w:val="es-ES_tradnl"/>
        </w:rPr>
        <w:t>et al.</w:t>
      </w:r>
      <w:r w:rsidR="00902193" w:rsidRPr="005C37CB">
        <w:rPr>
          <w:noProof/>
          <w:lang w:val="es-ES_tradnl"/>
        </w:rPr>
        <w:t xml:space="preserve">, 2009; Skovgård </w:t>
      </w:r>
      <w:r w:rsidR="00902193" w:rsidRPr="005C37CB">
        <w:rPr>
          <w:i/>
          <w:noProof/>
          <w:lang w:val="es-ES_tradnl"/>
        </w:rPr>
        <w:t>et al.</w:t>
      </w:r>
      <w:r w:rsidR="00902193" w:rsidRPr="005C37CB">
        <w:rPr>
          <w:noProof/>
          <w:lang w:val="es-ES_tradnl"/>
        </w:rPr>
        <w:t xml:space="preserve">, 1993; Omongo </w:t>
      </w:r>
      <w:r w:rsidR="00902193" w:rsidRPr="005C37CB">
        <w:rPr>
          <w:i/>
          <w:noProof/>
          <w:lang w:val="es-ES_tradnl"/>
        </w:rPr>
        <w:t>et al.</w:t>
      </w:r>
      <w:r w:rsidR="00902193" w:rsidRPr="005C37CB">
        <w:rPr>
          <w:noProof/>
          <w:lang w:val="es-ES_tradnl"/>
        </w:rPr>
        <w:t>, 2012)</w:t>
      </w:r>
      <w:r w:rsidR="00902193">
        <w:fldChar w:fldCharType="end"/>
      </w:r>
      <w:r w:rsidR="0045624C" w:rsidRPr="005C37CB">
        <w:rPr>
          <w:lang w:val="es-ES_tradnl"/>
        </w:rPr>
        <w:t>.</w:t>
      </w:r>
    </w:p>
    <w:p w14:paraId="675E45A9" w14:textId="4F07B103" w:rsidR="002812A9" w:rsidRDefault="00C9212F" w:rsidP="002812A9">
      <w:r>
        <w:t xml:space="preserve">The biological phenotype of a plant </w:t>
      </w:r>
      <w:r w:rsidR="00D45B02">
        <w:t xml:space="preserve">is a combination of cellular processes, which </w:t>
      </w:r>
      <w:r w:rsidR="001464A0">
        <w:t>create</w:t>
      </w:r>
      <w:r w:rsidR="00D45B02">
        <w:t xml:space="preserve"> the chemically distinct entity (chemotype)</w:t>
      </w:r>
      <w:r w:rsidR="002A66A8">
        <w:t xml:space="preserve"> manifesting the phenotype</w:t>
      </w:r>
      <w:r w:rsidR="00D45B02">
        <w:t xml:space="preserve">. </w:t>
      </w:r>
      <w:r w:rsidR="001464A0">
        <w:t xml:space="preserve">The chemotype can be measured through metabolomics to elucidate the </w:t>
      </w:r>
      <w:r w:rsidR="002A66A8">
        <w:t>metabolites or metabolic pathways responsible for the trait</w:t>
      </w:r>
      <w:r w:rsidR="001464A0">
        <w:t xml:space="preserve"> </w:t>
      </w:r>
      <w:r w:rsidR="001464A0">
        <w:fldChar w:fldCharType="begin" w:fldLock="1"/>
      </w:r>
      <w:r w:rsidR="00C643C2">
        <w:instrText>ADDIN CSL_CITATION {"citationItems":[{"id":"ITEM-1","itemData":{"DOI":"10.2144/000113133","ISSN":"0736-6205","author":[{"dropping-particle":"","family":"Roessner","given":"Ute","non-dropping-particle":"","parse-names":false,"suffix":""},{"dropping-particle":"","family":"Bowne","given":"Jairus","non-dropping-particle":"","parse-names":false,"suffix":""}],"container-title":"BioTechniques","id":"ITEM-1","issue":"5","issued":{"date-parts":[["2009"]]},"page":"363-365","title":"What is metabolomics all about?","type":"article-journal","volume":"46"},"uris":["http://www.mendeley.com/documents/?uuid=0980f9a8-01fd-4ff2-892a-4860f6c7c76b"]},{"id":"ITEM-2","itemData":{"DOI":"10.1016/j.tplants.2004.07.004","ISSN":"1360-1385","author":[{"dropping-particle":"","family":"Bino","given":"R J","non-dropping-particle":"","parse-names":false,"suffix":""},{"dropping-particle":"","family":"Hall","given":"R D","non-dropping-particle":"","parse-names":false,"suffix":""},{"dropping-particle":"","family":"Fiehn","given":"O","non-dropping-particle":"","parse-names":false,"suffix":""},{"dropping-particle":"","family":"Kopka","given":"J","non-dropping-particle":"","parse-names":false,"suffix":""},{"dropping-particle":"","family":"Saito","given":"K","non-dropping-particle":"","parse-names":false,"suffix":""},{"dropping-particle":"","family":"Draper","given":"J","non-dropping-particle":"","parse-names":false,"suffix":""},{"dropping-particle":"","family":"Nikolau","given":"B J","non-dropping-particle":"","parse-names":false,"suffix":""},{"dropping-particle":"","family":"Mendes","given":"P","non-dropping-particle":"","parse-names":false,"suffix":""},{"dropping-particle":"","family":"Roessner-Tunali","given":"U","non-dropping-particle":"","parse-names":false,"suffix":""},{"dropping-particle":"","family":"Beale","given":"M H","non-dropping-particle":"","parse-names":false,"suffix":""},{"dropping-particle":"","family":"Trethewey","given":"R N","non-dropping-particle":"","parse-names":false,"suffix":""},{"dropping-particle":"","family":"Lange","given":"B M","non-dropping-particle":"","parse-names":false,"suffix":""},{"dropping-particle":"","family":"Wurtele","given":"E S","non-dropping-particle":"","parse-names":false,"suffix":""},{"dropping-particle":"","family":"Sumner","given":"L W","non-dropping-particle":"","parse-names":false,"suffix":""}],"container-title":"Trends Plant Sci","id":"ITEM-2","issued":{"date-parts":[["2004"]]},"page":"418-425","title":"Potential of metabolomics as a functional genomics tool","type":"article-journal","volume":"9"},"uris":["http://www.mendeley.com/documents/?uuid=c81db433-dc51-407e-a467-e5740f3b0384"]}],"mendeley":{"formattedCitation":"(Roessner and Bowne, 2009; Bino &lt;i&gt;et al.&lt;/i&gt;, 2004)","plainTextFormattedCitation":"(Roessner and Bowne, 2009; Bino et al., 2004)","previouslyFormattedCitation":"(Roessner and Bowne, 2009; Bino &lt;i&gt;et al.&lt;/i&gt;, 2004)"},"properties":{"noteIndex":0},"schema":"https://github.com/citation-style-language/schema/raw/master/csl-citation.json"}</w:instrText>
      </w:r>
      <w:r w:rsidR="001464A0">
        <w:fldChar w:fldCharType="separate"/>
      </w:r>
      <w:r w:rsidR="001464A0" w:rsidRPr="001464A0">
        <w:rPr>
          <w:noProof/>
        </w:rPr>
        <w:t xml:space="preserve">(Roessner and Bowne, 2009; Bino </w:t>
      </w:r>
      <w:r w:rsidR="001464A0" w:rsidRPr="001464A0">
        <w:rPr>
          <w:i/>
          <w:noProof/>
        </w:rPr>
        <w:t>et al.</w:t>
      </w:r>
      <w:r w:rsidR="001464A0" w:rsidRPr="001464A0">
        <w:rPr>
          <w:noProof/>
        </w:rPr>
        <w:t>, 2004)</w:t>
      </w:r>
      <w:r w:rsidR="001464A0">
        <w:fldChar w:fldCharType="end"/>
      </w:r>
      <w:r w:rsidR="001464A0">
        <w:t xml:space="preserve">. The distinct metabolite profile can then be used to </w:t>
      </w:r>
      <w:r w:rsidR="002A66A8">
        <w:t>facilitate and focus</w:t>
      </w:r>
      <w:r w:rsidR="001464A0">
        <w:t xml:space="preserve"> breeding efforts</w:t>
      </w:r>
      <w:r w:rsidR="002A66A8">
        <w:t xml:space="preserve"> of complex crops such as the </w:t>
      </w:r>
      <w:r w:rsidR="00C643C2">
        <w:t>heterozygous cassava</w:t>
      </w:r>
      <w:r w:rsidR="00C91C96">
        <w:t>. T</w:t>
      </w:r>
      <w:r w:rsidR="00C91C96" w:rsidRPr="00C91C96">
        <w:t xml:space="preserve">he CGIAR Research Program on Roots, Tubers and Bananas </w:t>
      </w:r>
      <w:r w:rsidR="00C91C96">
        <w:t>(</w:t>
      </w:r>
      <w:hyperlink r:id="rId9" w:history="1">
        <w:r w:rsidR="00C91C96" w:rsidRPr="009C2F91">
          <w:rPr>
            <w:rStyle w:val="Hyperlink"/>
          </w:rPr>
          <w:t>www.rtb.cgiar.org</w:t>
        </w:r>
      </w:hyperlink>
      <w:r w:rsidR="00C91C96">
        <w:t xml:space="preserve">) is promoting the </w:t>
      </w:r>
      <w:r w:rsidR="002A66A8">
        <w:t xml:space="preserve">metabolic </w:t>
      </w:r>
      <w:r w:rsidR="00C91C96">
        <w:t xml:space="preserve">characterisation of </w:t>
      </w:r>
      <w:r w:rsidR="002A66A8">
        <w:t>exist</w:t>
      </w:r>
      <w:r w:rsidR="00C643C2">
        <w:t xml:space="preserve">ing diversity panels which has resulted in established screening techniques </w:t>
      </w:r>
      <w:r w:rsidR="00C643C2">
        <w:fldChar w:fldCharType="begin" w:fldLock="1"/>
      </w:r>
      <w:r w:rsidR="001F38A9">
        <w:instrText>ADDIN CSL_CITATION {"citationItems":[{"id":"ITEM-1","itemData":{"DOI":"10.1021/acs.jafc.8b04769","ISSN":"1520-5118 (Electronic) 0021-8561 (Linking)","author":[{"dropping-particle":"","family":"Drapal","given":"M","non-dropping-particle":"","parse-names":false,"suffix":""},{"dropping-particle":"","family":"Carvalho","given":"E","non-dropping-particle":"de","parse-names":false,"suffix":""},{"dropping-particle":"","family":"Ovalle Rivera","given":"T M","non-dropping-particle":"","parse-names":false,"suffix":""},{"dropping-particle":"","family":"Becerra Lopez-Lavalle","given":"L A","non-dropping-particle":"","parse-names":false,"suffix":""},{"dropping-particle":"","family":"Fraser","given":"P D","non-dropping-particle":"","parse-names":false,"suffix":""}],"container-title":"J Agric Food Chem","id":"ITEM-1","issued":{"date-parts":[["2018"]]},"page":"986-993","title":"Capturing biochemical diversity in cassava (Manihot esculenta Crantz) through the application of metabolite profiling","type":"article-journal","volume":"67"},"uris":["http://www.mendeley.com/documents/?uuid=490f8af9-8974-4b95-9ee7-e1668f8fe857"]},{"id":"ITEM-2","itemData":{"DOI":"10.1186/s12870-019-2107-1","ISSN":"1471-2229","abstract":"Cassava whitefly outbreaks were initially reported in East and Central Africa cassava (Manihot esculenta Crantz) growing regions in the 1990’s and have now spread to other geographical locations, becoming a global pest severely affecting farmers and smallholder income. Whiteflies impact plant yield via feeding and vectoring cassava mosaic and brown streak viruses, making roots unsuitable for food or trading. Deployment of virus resistant varieties has had little impact on whitefly populations and therefore development of whitefly resistant varieties is also necessary as part of integrated pest management strategies. Suitable sources of whitefly resistance exist in germplasm collections that require further characterization to facilitate and assist breeding programs.","author":[{"dropping-particle":"","family":"Perez-Fons","given":"Laura","non-dropping-particle":"","parse-names":false,"suffix":""},{"dropping-particle":"","family":"Bohorquez-Chaux","given":"Adriana","non-dropping-particle":"","parse-names":false,"suffix":""},{"dropping-particle":"","family":"Irigoyen","given":"Maria L","non-dropping-particle":"","parse-names":false,"suffix":""},{"dropping-particle":"","family":"Garceau","given":"Danielle C","non-dropping-particle":"","parse-names":false,"suffix":""},{"dropping-particle":"","family":"Morreel","given":"Kris","non-dropping-particle":"","parse-names":false,"suffix":""},{"dropping-particle":"","family":"Boerjan","given":"Wout","non-dropping-particle":"","parse-names":false,"suffix":""},{"dropping-particle":"","family":"Walling","given":"Linda L","non-dropping-particle":"","parse-names":false,"suffix":""},{"dropping-particle":"","family":"Becerra Lopez-Lavalle","given":"Luis Augusto","non-dropping-particle":"","parse-names":false,"suffix":""},{"dropping-particle":"","family":"Fraser","given":"Paul D","non-dropping-particle":"","parse-names":false,"suffix":""}],"container-title":"BMC Plant Biology","id":"ITEM-2","issue":"1","issued":{"date-parts":[["2019"]]},"page":"518","title":"A metabolomics characterisation of natural variation in the resistance of cassava to whitefly","type":"article-journal","volume":"19"},"uris":["http://www.mendeley.com/documents/?uuid=44518549-0061-40d3-bf71-2818770444ea"]},{"id":"ITEM-3","itemData":{"DOI":"10.1111/tpj.14649","ISSN":"0960-7412","abstract":"Summary Roots, tubers, and bananas (RTB) are vital staples for food security in the world's poorest nations. A major constraint to current RTB breeding programmes is limited knowledge on the available diversity due to lack of efficient germplasm characterization and structure. In recent years large-scale efforts have begun to elucidate the genetic and phenotypic diversity of germplasm collections and populations and, yet, biochemical measurements have often been overlooked despite metabolite composition being directly associated with agronomic and consumer traits. Here we present a compound database and concentration range for metabolites detected in the major RTB crops: banana (Musa spp.), cassava (Manihot esculenta), potato (Solanum tuberosum), sweet potato (Ipomoea batatas), and yam (Dioscorea spp.), following metabolomics-based diversity screening of global collections held within the CGIAR institutes. The dataset including 711 chemical features provides a valuable resource regarding the comparative biochemical composition of each RTB crop and highlights the potential diversity available for incorporation into crop improvement programmes. Particularly, the tropical crops cassava, sweet potato and banana displayed more complex compositional metabolite profiles with representations of up to 22 chemical classes (unknowns excluded) than that of potato, for which only metabolites from 10 chemical classes were detected. Additionally, over 20% of biochemical signatures remained unidentified for every crop analyzed. Integration of metabolomics with the on-going genomic and phenotypic studies will enhance ?omics-wide associations of molecular signatures with agronomic and consumer traits via easily quantifiable biochemical markers to aid gene discovery and functional characterization.","author":[{"dropping-particle":"","family":"Price","given":"Elliott J","non-dropping-particle":"","parse-names":false,"suffix":""},{"dropping-particle":"","family":"Drapal","given":"Margit","non-dropping-particle":"","parse-names":false,"suffix":""},{"dropping-particle":"","family":"Perez-Fons","given":"Laura","non-dropping-particle":"","parse-names":false,"suffix":""},{"dropping-particle":"","family":"Amah","given":"Delphine","non-dropping-particle":"","parse-names":false,"suffix":""},{"dropping-particle":"","family":"Bhattacharjee","given":"Ranjana","non-dropping-particle":"","parse-names":false,"suffix":""},{"dropping-particle":</w:instrText>
      </w:r>
      <w:r w:rsidR="001F38A9" w:rsidRPr="005C37CB">
        <w:rPr>
          <w:lang w:val="es-ES_tradnl"/>
        </w:rPr>
        <w:instrText>"","family":"Heider","given":"Bettina","non-dropping-particle":"","parse-names":false,"suffix":""},{"dropping-particle":"","family":"Rouard","given":"Mathieu","non-dropping-particle":"","parse-names":false,"suffix":""},{"dropping-particle":"","family":"Swennen","given":"Rony","non-dropping-particle":"","parse-names":false,"suffix":""},{"dropping-particle":"","family":"Becerra Lopez-Lavalle","given":"Luis Augusto","non-dropping-particle":"","parse-names":false,"suffix":""},{"dropping-particle":"","family":"Fraser","given":"Paul D","non-dropping-particle":"","parse-names":false,"suffix":""}],"container-title":"The Plant Journal","id":"ITEM-3","issue":"6","issued":{"date-parts":[["2020","3","1"]]},"note":"doi: 10.1111/tpj.14649","page":"1258-1268","publisher":"John Wiley &amp; Sons, Ltd","title":"Metabolite database for root, tuber, and banana crops to facilitate modern breeding in understudied crops","type":"article-journal","volume":"101"},"uris":["http://www.mendeley.com/documents/?uuid=664f57fc-c91c-414e-a896-c9448def36bb"]}],"mendeley":{"formattedCitation":"(Drapal &lt;i&gt;et al.&lt;/i&gt;, 2018; Perez-Fons &lt;i&gt;et al.&lt;/i&gt;, 2019; Price &lt;i&gt;et al.&lt;/i&gt;, 2020)","plainTextFormattedCitation":"(Drapal et al., 2018; Perez-Fons et al., 2019; Price et al., 2020)","previouslyFormattedCitation":"(Drapal &lt;i&gt;et al.&lt;/i&gt;, 2018; Perez-Fons &lt;i&gt;et al.&lt;/i&gt;, 2019; Price &lt;i&gt;et al.&lt;/i&gt;, 2020)"},"properties":{"noteIndex":0},"schema":"https://github.com/citation-style-language/schema/raw/master/csl-citation.json"}</w:instrText>
      </w:r>
      <w:r w:rsidR="00C643C2">
        <w:fldChar w:fldCharType="separate"/>
      </w:r>
      <w:r w:rsidR="00C643C2" w:rsidRPr="005C37CB">
        <w:rPr>
          <w:noProof/>
          <w:lang w:val="es-ES_tradnl"/>
        </w:rPr>
        <w:t xml:space="preserve">(Drapal </w:t>
      </w:r>
      <w:r w:rsidR="00C643C2" w:rsidRPr="005C37CB">
        <w:rPr>
          <w:i/>
          <w:noProof/>
          <w:lang w:val="es-ES_tradnl"/>
        </w:rPr>
        <w:t>et al.</w:t>
      </w:r>
      <w:r w:rsidR="00C643C2" w:rsidRPr="005C37CB">
        <w:rPr>
          <w:noProof/>
          <w:lang w:val="es-ES_tradnl"/>
        </w:rPr>
        <w:t xml:space="preserve">, 2018; Perez-Fons </w:t>
      </w:r>
      <w:r w:rsidR="00C643C2" w:rsidRPr="005C37CB">
        <w:rPr>
          <w:i/>
          <w:noProof/>
          <w:lang w:val="es-ES_tradnl"/>
        </w:rPr>
        <w:t>et al.</w:t>
      </w:r>
      <w:r w:rsidR="00C643C2" w:rsidRPr="005C37CB">
        <w:rPr>
          <w:noProof/>
          <w:lang w:val="es-ES_tradnl"/>
        </w:rPr>
        <w:t xml:space="preserve">, 2019; Price </w:t>
      </w:r>
      <w:r w:rsidR="00C643C2" w:rsidRPr="005C37CB">
        <w:rPr>
          <w:i/>
          <w:noProof/>
          <w:lang w:val="es-ES_tradnl"/>
        </w:rPr>
        <w:t>et al.</w:t>
      </w:r>
      <w:r w:rsidR="00C643C2" w:rsidRPr="005C37CB">
        <w:rPr>
          <w:noProof/>
          <w:lang w:val="es-ES_tradnl"/>
        </w:rPr>
        <w:t>, 2020)</w:t>
      </w:r>
      <w:r w:rsidR="00C643C2">
        <w:fldChar w:fldCharType="end"/>
      </w:r>
      <w:r w:rsidR="00C643C2" w:rsidRPr="005C37CB">
        <w:rPr>
          <w:lang w:val="es-ES_tradnl"/>
        </w:rPr>
        <w:t xml:space="preserve">. </w:t>
      </w:r>
      <w:r w:rsidR="00F03213">
        <w:t>These techniques were applied to a cassava diversity panel including different root phenotypes (e.g. amylose content, culinary quality) and abiotic and biotic stress phenotypes</w:t>
      </w:r>
      <w:r w:rsidR="00436423">
        <w:t xml:space="preserve"> (Table 1)</w:t>
      </w:r>
      <w:r w:rsidR="00F03213">
        <w:t xml:space="preserve">. The biotic stresses included landraces known for the </w:t>
      </w:r>
      <w:r w:rsidR="00F03213">
        <w:lastRenderedPageBreak/>
        <w:t xml:space="preserve">resistance or susceptibility to the herbivorous pests </w:t>
      </w:r>
      <w:r w:rsidR="002812A9">
        <w:t>green mites (</w:t>
      </w:r>
      <w:r w:rsidR="002812A9">
        <w:rPr>
          <w:i/>
        </w:rPr>
        <w:t>Mononychellus tanajoa</w:t>
      </w:r>
      <w:r w:rsidR="002812A9">
        <w:t>), thrips (</w:t>
      </w:r>
      <w:r w:rsidR="002812A9" w:rsidRPr="00D705EC">
        <w:rPr>
          <w:rStyle w:val="st"/>
          <w:i/>
        </w:rPr>
        <w:t>Corynothrips stenopterus</w:t>
      </w:r>
      <w:r w:rsidR="002812A9">
        <w:t>) and whitefly (</w:t>
      </w:r>
      <w:r w:rsidR="002812A9" w:rsidRPr="00186CA7">
        <w:rPr>
          <w:i/>
        </w:rPr>
        <w:t>Bemisia</w:t>
      </w:r>
      <w:r w:rsidR="002812A9">
        <w:t xml:space="preserve"> </w:t>
      </w:r>
      <w:r w:rsidR="002812A9" w:rsidRPr="00186CA7">
        <w:rPr>
          <w:i/>
        </w:rPr>
        <w:t>tabaci</w:t>
      </w:r>
      <w:r w:rsidR="00F03213">
        <w:t xml:space="preserve">) as well as to the virus-induced cassava mosaic disease (CMD). Metabolite data of the present study highlighted key metabolite pathways related to the characteristic traits such as the source-sink relation of </w:t>
      </w:r>
      <w:r w:rsidR="00436423">
        <w:t>monosaccharides affecting dry matter content, the high amino acid levels related to the high culinary quality and the different sub</w:t>
      </w:r>
      <w:r w:rsidR="003E5C06">
        <w:t>-</w:t>
      </w:r>
      <w:r w:rsidR="00436423">
        <w:t>pathways within the phenylpropanoid superpathway correlated to defensive traits.</w:t>
      </w:r>
    </w:p>
    <w:p w14:paraId="05A38029" w14:textId="070BE04D" w:rsidR="0066041A" w:rsidRDefault="0066041A" w:rsidP="006B1700"/>
    <w:p w14:paraId="5D7FB64D" w14:textId="24F9ABB7" w:rsidR="00397241" w:rsidRPr="00E232CC" w:rsidRDefault="00397241" w:rsidP="00397241">
      <w:pPr>
        <w:pStyle w:val="Caption"/>
        <w:rPr>
          <w:i/>
        </w:rPr>
      </w:pPr>
      <w:r w:rsidRPr="00E232CC">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E232CC">
        <w:t>: List of cassava varieties including country of collection and characteristic trait.</w:t>
      </w:r>
      <w:r>
        <w:t xml:space="preserve"> Responses to biotic stresses are indicated as resistant (res.) or susceptible (susc.). CMD, cassava mosaic disease.</w:t>
      </w:r>
    </w:p>
    <w:tbl>
      <w:tblPr>
        <w:tblStyle w:val="TableGrid"/>
        <w:tblW w:w="8789" w:type="dxa"/>
        <w:tblLayout w:type="fixed"/>
        <w:tblLook w:val="04A0" w:firstRow="1" w:lastRow="0" w:firstColumn="1" w:lastColumn="0" w:noHBand="0" w:noVBand="1"/>
      </w:tblPr>
      <w:tblGrid>
        <w:gridCol w:w="1276"/>
        <w:gridCol w:w="1418"/>
        <w:gridCol w:w="4677"/>
        <w:gridCol w:w="1418"/>
      </w:tblGrid>
      <w:tr w:rsidR="00397241" w:rsidRPr="00E232CC" w14:paraId="5078D659" w14:textId="77777777" w:rsidTr="007A4401">
        <w:trPr>
          <w:trHeight w:val="588"/>
        </w:trPr>
        <w:tc>
          <w:tcPr>
            <w:tcW w:w="1276" w:type="dxa"/>
            <w:tcBorders>
              <w:top w:val="single" w:sz="18" w:space="0" w:color="auto"/>
              <w:left w:val="nil"/>
              <w:bottom w:val="single" w:sz="8" w:space="0" w:color="auto"/>
              <w:right w:val="nil"/>
            </w:tcBorders>
            <w:vAlign w:val="center"/>
          </w:tcPr>
          <w:p w14:paraId="07819CCA" w14:textId="77777777" w:rsidR="00397241" w:rsidRPr="00E232CC" w:rsidRDefault="00397241" w:rsidP="007A4401">
            <w:pPr>
              <w:spacing w:line="240" w:lineRule="auto"/>
            </w:pPr>
            <w:r w:rsidRPr="00E232CC">
              <w:t>Sample code</w:t>
            </w:r>
          </w:p>
        </w:tc>
        <w:tc>
          <w:tcPr>
            <w:tcW w:w="1418" w:type="dxa"/>
            <w:tcBorders>
              <w:top w:val="single" w:sz="18" w:space="0" w:color="auto"/>
              <w:left w:val="nil"/>
              <w:bottom w:val="single" w:sz="8" w:space="0" w:color="auto"/>
              <w:right w:val="nil"/>
            </w:tcBorders>
            <w:vAlign w:val="center"/>
          </w:tcPr>
          <w:p w14:paraId="1268ABAE" w14:textId="77777777" w:rsidR="00397241" w:rsidRPr="00E232CC" w:rsidRDefault="00397241" w:rsidP="007A4401">
            <w:pPr>
              <w:spacing w:line="240" w:lineRule="auto"/>
            </w:pPr>
            <w:r w:rsidRPr="00E232CC">
              <w:t>Country of collection</w:t>
            </w:r>
          </w:p>
        </w:tc>
        <w:tc>
          <w:tcPr>
            <w:tcW w:w="4677" w:type="dxa"/>
            <w:tcBorders>
              <w:top w:val="single" w:sz="18" w:space="0" w:color="auto"/>
              <w:left w:val="nil"/>
              <w:bottom w:val="single" w:sz="8" w:space="0" w:color="auto"/>
              <w:right w:val="nil"/>
            </w:tcBorders>
            <w:vAlign w:val="center"/>
          </w:tcPr>
          <w:p w14:paraId="548EF1D3" w14:textId="77777777" w:rsidR="00397241" w:rsidRPr="00E232CC" w:rsidRDefault="00397241" w:rsidP="007A4401">
            <w:pPr>
              <w:spacing w:line="240" w:lineRule="auto"/>
            </w:pPr>
            <w:r w:rsidRPr="00E232CC">
              <w:t>Characteristic trait</w:t>
            </w:r>
          </w:p>
        </w:tc>
        <w:tc>
          <w:tcPr>
            <w:tcW w:w="1418" w:type="dxa"/>
            <w:tcBorders>
              <w:top w:val="single" w:sz="18" w:space="0" w:color="auto"/>
              <w:left w:val="nil"/>
              <w:bottom w:val="single" w:sz="8" w:space="0" w:color="auto"/>
              <w:right w:val="nil"/>
            </w:tcBorders>
          </w:tcPr>
          <w:p w14:paraId="0AE00DAA" w14:textId="77777777" w:rsidR="00397241" w:rsidRPr="00E232CC" w:rsidRDefault="00397241" w:rsidP="007A4401">
            <w:pPr>
              <w:spacing w:line="240" w:lineRule="auto"/>
              <w:jc w:val="left"/>
            </w:pPr>
            <w:r>
              <w:t>Response to green mites</w:t>
            </w:r>
          </w:p>
        </w:tc>
      </w:tr>
      <w:tr w:rsidR="00397241" w:rsidRPr="00E232CC" w14:paraId="6A75C262" w14:textId="77777777" w:rsidTr="007A4401">
        <w:tc>
          <w:tcPr>
            <w:tcW w:w="1276" w:type="dxa"/>
            <w:tcBorders>
              <w:top w:val="nil"/>
              <w:left w:val="nil"/>
              <w:bottom w:val="nil"/>
              <w:right w:val="nil"/>
            </w:tcBorders>
            <w:vAlign w:val="center"/>
          </w:tcPr>
          <w:p w14:paraId="46C3F8E3" w14:textId="77777777" w:rsidR="00397241" w:rsidRPr="00E232CC" w:rsidRDefault="00397241" w:rsidP="007A4401">
            <w:pPr>
              <w:spacing w:line="240" w:lineRule="auto"/>
            </w:pPr>
            <w:r w:rsidRPr="00E232CC">
              <w:t>BRA488</w:t>
            </w:r>
          </w:p>
        </w:tc>
        <w:tc>
          <w:tcPr>
            <w:tcW w:w="1418" w:type="dxa"/>
            <w:tcBorders>
              <w:top w:val="nil"/>
              <w:left w:val="nil"/>
              <w:bottom w:val="nil"/>
              <w:right w:val="nil"/>
            </w:tcBorders>
            <w:vAlign w:val="center"/>
          </w:tcPr>
          <w:p w14:paraId="672FED29" w14:textId="77777777" w:rsidR="00397241" w:rsidRPr="00E232CC" w:rsidRDefault="00397241" w:rsidP="007A4401">
            <w:pPr>
              <w:spacing w:line="240" w:lineRule="auto"/>
            </w:pPr>
            <w:r w:rsidRPr="00E232CC">
              <w:t>Brazil</w:t>
            </w:r>
          </w:p>
        </w:tc>
        <w:tc>
          <w:tcPr>
            <w:tcW w:w="4677" w:type="dxa"/>
            <w:tcBorders>
              <w:top w:val="nil"/>
              <w:left w:val="nil"/>
              <w:bottom w:val="nil"/>
              <w:right w:val="nil"/>
            </w:tcBorders>
            <w:vAlign w:val="center"/>
          </w:tcPr>
          <w:p w14:paraId="34AA2FC9" w14:textId="77777777" w:rsidR="00397241" w:rsidRPr="00E232CC" w:rsidRDefault="00397241" w:rsidP="007A4401">
            <w:pPr>
              <w:spacing w:line="240" w:lineRule="auto"/>
              <w:jc w:val="left"/>
            </w:pPr>
            <w:r w:rsidRPr="00E232CC">
              <w:t>High cyanide content</w:t>
            </w:r>
          </w:p>
        </w:tc>
        <w:tc>
          <w:tcPr>
            <w:tcW w:w="1418" w:type="dxa"/>
            <w:tcBorders>
              <w:top w:val="nil"/>
              <w:left w:val="nil"/>
              <w:bottom w:val="nil"/>
              <w:right w:val="nil"/>
            </w:tcBorders>
          </w:tcPr>
          <w:p w14:paraId="7FF80F74" w14:textId="77777777" w:rsidR="00397241" w:rsidRPr="00E232CC" w:rsidRDefault="00397241" w:rsidP="007A4401">
            <w:pPr>
              <w:spacing w:line="240" w:lineRule="auto"/>
              <w:jc w:val="center"/>
            </w:pPr>
          </w:p>
        </w:tc>
      </w:tr>
      <w:tr w:rsidR="00397241" w:rsidRPr="00E232CC" w14:paraId="4F20A6E2" w14:textId="77777777" w:rsidTr="007A4401">
        <w:tc>
          <w:tcPr>
            <w:tcW w:w="1276" w:type="dxa"/>
            <w:tcBorders>
              <w:top w:val="nil"/>
              <w:left w:val="nil"/>
              <w:bottom w:val="nil"/>
              <w:right w:val="nil"/>
            </w:tcBorders>
            <w:vAlign w:val="center"/>
          </w:tcPr>
          <w:p w14:paraId="42AF2383" w14:textId="77777777" w:rsidR="00397241" w:rsidRPr="00E232CC" w:rsidRDefault="00397241" w:rsidP="007A4401">
            <w:pPr>
              <w:spacing w:line="240" w:lineRule="auto"/>
            </w:pPr>
            <w:r w:rsidRPr="00E232CC">
              <w:t>COL113</w:t>
            </w:r>
          </w:p>
        </w:tc>
        <w:tc>
          <w:tcPr>
            <w:tcW w:w="1418" w:type="dxa"/>
            <w:tcBorders>
              <w:top w:val="nil"/>
              <w:left w:val="nil"/>
              <w:bottom w:val="nil"/>
              <w:right w:val="nil"/>
            </w:tcBorders>
            <w:vAlign w:val="center"/>
          </w:tcPr>
          <w:p w14:paraId="53F2205F" w14:textId="77777777" w:rsidR="00397241" w:rsidRPr="00E232CC" w:rsidRDefault="00397241" w:rsidP="007A4401">
            <w:pPr>
              <w:spacing w:line="240" w:lineRule="auto"/>
            </w:pPr>
            <w:r w:rsidRPr="00E232CC">
              <w:t>Columbia</w:t>
            </w:r>
          </w:p>
        </w:tc>
        <w:tc>
          <w:tcPr>
            <w:tcW w:w="4677" w:type="dxa"/>
            <w:tcBorders>
              <w:top w:val="nil"/>
              <w:left w:val="nil"/>
              <w:bottom w:val="nil"/>
              <w:right w:val="nil"/>
            </w:tcBorders>
            <w:vAlign w:val="center"/>
          </w:tcPr>
          <w:p w14:paraId="0AD0B6CE" w14:textId="77777777" w:rsidR="00397241" w:rsidRPr="00E232CC" w:rsidRDefault="00397241" w:rsidP="007A4401">
            <w:pPr>
              <w:spacing w:line="240" w:lineRule="auto"/>
              <w:jc w:val="left"/>
            </w:pPr>
          </w:p>
        </w:tc>
        <w:tc>
          <w:tcPr>
            <w:tcW w:w="1418" w:type="dxa"/>
            <w:tcBorders>
              <w:top w:val="nil"/>
              <w:left w:val="nil"/>
              <w:bottom w:val="nil"/>
              <w:right w:val="nil"/>
            </w:tcBorders>
          </w:tcPr>
          <w:p w14:paraId="0401AB98" w14:textId="77777777" w:rsidR="00397241" w:rsidRPr="00E232CC" w:rsidRDefault="00397241" w:rsidP="007A4401">
            <w:pPr>
              <w:spacing w:line="240" w:lineRule="auto"/>
              <w:jc w:val="center"/>
            </w:pPr>
            <w:r>
              <w:t>res.</w:t>
            </w:r>
          </w:p>
        </w:tc>
      </w:tr>
      <w:tr w:rsidR="00397241" w:rsidRPr="00E232CC" w14:paraId="7EB2F653" w14:textId="77777777" w:rsidTr="007A4401">
        <w:tc>
          <w:tcPr>
            <w:tcW w:w="1276" w:type="dxa"/>
            <w:tcBorders>
              <w:top w:val="nil"/>
              <w:left w:val="nil"/>
              <w:bottom w:val="nil"/>
              <w:right w:val="nil"/>
            </w:tcBorders>
            <w:vAlign w:val="center"/>
          </w:tcPr>
          <w:p w14:paraId="32AEFC93" w14:textId="77777777" w:rsidR="00397241" w:rsidRPr="00E232CC" w:rsidRDefault="00397241" w:rsidP="007A4401">
            <w:pPr>
              <w:spacing w:line="240" w:lineRule="auto"/>
            </w:pPr>
            <w:r w:rsidRPr="00E232CC">
              <w:t>COL1505</w:t>
            </w:r>
          </w:p>
        </w:tc>
        <w:tc>
          <w:tcPr>
            <w:tcW w:w="1418" w:type="dxa"/>
            <w:tcBorders>
              <w:top w:val="nil"/>
              <w:left w:val="nil"/>
              <w:bottom w:val="nil"/>
              <w:right w:val="nil"/>
            </w:tcBorders>
            <w:vAlign w:val="center"/>
          </w:tcPr>
          <w:p w14:paraId="7E1C7063" w14:textId="77777777" w:rsidR="00397241" w:rsidRPr="00E232CC" w:rsidRDefault="00397241" w:rsidP="007A4401">
            <w:pPr>
              <w:spacing w:line="240" w:lineRule="auto"/>
            </w:pPr>
            <w:r w:rsidRPr="00E232CC">
              <w:t>Columbia</w:t>
            </w:r>
          </w:p>
        </w:tc>
        <w:tc>
          <w:tcPr>
            <w:tcW w:w="4677" w:type="dxa"/>
            <w:tcBorders>
              <w:top w:val="nil"/>
              <w:left w:val="nil"/>
              <w:bottom w:val="nil"/>
              <w:right w:val="nil"/>
            </w:tcBorders>
            <w:vAlign w:val="center"/>
          </w:tcPr>
          <w:p w14:paraId="24106FC4" w14:textId="77777777" w:rsidR="00397241" w:rsidRPr="00E232CC" w:rsidRDefault="00397241" w:rsidP="007A4401">
            <w:pPr>
              <w:spacing w:line="240" w:lineRule="auto"/>
              <w:jc w:val="left"/>
            </w:pPr>
            <w:r w:rsidRPr="00E232CC">
              <w:t>Z01 and Z04 adaptation</w:t>
            </w:r>
          </w:p>
        </w:tc>
        <w:tc>
          <w:tcPr>
            <w:tcW w:w="1418" w:type="dxa"/>
            <w:tcBorders>
              <w:top w:val="nil"/>
              <w:left w:val="nil"/>
              <w:bottom w:val="nil"/>
              <w:right w:val="nil"/>
            </w:tcBorders>
          </w:tcPr>
          <w:p w14:paraId="259C77F7" w14:textId="77777777" w:rsidR="00397241" w:rsidRPr="00E232CC" w:rsidRDefault="00397241" w:rsidP="007A4401">
            <w:pPr>
              <w:spacing w:line="240" w:lineRule="auto"/>
              <w:jc w:val="center"/>
            </w:pPr>
          </w:p>
        </w:tc>
      </w:tr>
      <w:tr w:rsidR="00397241" w:rsidRPr="00E232CC" w14:paraId="392FCC34" w14:textId="77777777" w:rsidTr="007A4401">
        <w:tc>
          <w:tcPr>
            <w:tcW w:w="1276" w:type="dxa"/>
            <w:tcBorders>
              <w:top w:val="nil"/>
              <w:left w:val="nil"/>
              <w:bottom w:val="nil"/>
              <w:right w:val="nil"/>
            </w:tcBorders>
            <w:vAlign w:val="center"/>
          </w:tcPr>
          <w:p w14:paraId="32A0C5D0" w14:textId="77777777" w:rsidR="00397241" w:rsidRPr="00E232CC" w:rsidRDefault="00397241" w:rsidP="007A4401">
            <w:pPr>
              <w:spacing w:line="240" w:lineRule="auto"/>
            </w:pPr>
            <w:r>
              <w:t>COL1522</w:t>
            </w:r>
          </w:p>
        </w:tc>
        <w:tc>
          <w:tcPr>
            <w:tcW w:w="1418" w:type="dxa"/>
            <w:tcBorders>
              <w:top w:val="nil"/>
              <w:left w:val="nil"/>
              <w:bottom w:val="nil"/>
              <w:right w:val="nil"/>
            </w:tcBorders>
            <w:vAlign w:val="center"/>
          </w:tcPr>
          <w:p w14:paraId="5CD1998C" w14:textId="77777777" w:rsidR="00397241" w:rsidRPr="00E232CC" w:rsidRDefault="00397241" w:rsidP="007A4401">
            <w:pPr>
              <w:spacing w:line="240" w:lineRule="auto"/>
            </w:pPr>
            <w:r>
              <w:t>Columbia</w:t>
            </w:r>
          </w:p>
        </w:tc>
        <w:tc>
          <w:tcPr>
            <w:tcW w:w="4677" w:type="dxa"/>
            <w:tcBorders>
              <w:top w:val="nil"/>
              <w:left w:val="nil"/>
              <w:bottom w:val="nil"/>
              <w:right w:val="nil"/>
            </w:tcBorders>
            <w:vAlign w:val="center"/>
          </w:tcPr>
          <w:p w14:paraId="6FFC79A8" w14:textId="77777777" w:rsidR="00397241" w:rsidRPr="00E232CC" w:rsidRDefault="00397241" w:rsidP="007A4401">
            <w:pPr>
              <w:spacing w:line="240" w:lineRule="auto"/>
              <w:jc w:val="left"/>
            </w:pPr>
            <w:r>
              <w:t>G</w:t>
            </w:r>
            <w:r w:rsidRPr="00CD11CE">
              <w:t>ood for bread</w:t>
            </w:r>
            <w:r>
              <w:t xml:space="preserve"> baking</w:t>
            </w:r>
            <w:r w:rsidRPr="00CD11CE">
              <w:t xml:space="preserve"> (low amylose content</w:t>
            </w:r>
            <w:r>
              <w:t>)</w:t>
            </w:r>
          </w:p>
        </w:tc>
        <w:tc>
          <w:tcPr>
            <w:tcW w:w="1418" w:type="dxa"/>
            <w:tcBorders>
              <w:top w:val="nil"/>
              <w:left w:val="nil"/>
              <w:bottom w:val="nil"/>
              <w:right w:val="nil"/>
            </w:tcBorders>
          </w:tcPr>
          <w:p w14:paraId="43D40E27" w14:textId="77777777" w:rsidR="00397241" w:rsidRDefault="00397241" w:rsidP="007A4401">
            <w:pPr>
              <w:spacing w:line="240" w:lineRule="auto"/>
              <w:jc w:val="center"/>
            </w:pPr>
            <w:r>
              <w:t>res.</w:t>
            </w:r>
          </w:p>
        </w:tc>
      </w:tr>
      <w:tr w:rsidR="00397241" w:rsidRPr="00E232CC" w14:paraId="1D7AA383" w14:textId="77777777" w:rsidTr="007A4401">
        <w:tc>
          <w:tcPr>
            <w:tcW w:w="1276" w:type="dxa"/>
            <w:tcBorders>
              <w:top w:val="nil"/>
              <w:left w:val="nil"/>
              <w:bottom w:val="nil"/>
              <w:right w:val="nil"/>
            </w:tcBorders>
            <w:vAlign w:val="center"/>
          </w:tcPr>
          <w:p w14:paraId="79B9BF27" w14:textId="77777777" w:rsidR="00397241" w:rsidRPr="00E232CC" w:rsidRDefault="00397241" w:rsidP="007A4401">
            <w:pPr>
              <w:spacing w:line="240" w:lineRule="auto"/>
            </w:pPr>
            <w:r w:rsidRPr="00E232CC">
              <w:t>COL1684</w:t>
            </w:r>
          </w:p>
        </w:tc>
        <w:tc>
          <w:tcPr>
            <w:tcW w:w="1418" w:type="dxa"/>
            <w:tcBorders>
              <w:top w:val="nil"/>
              <w:left w:val="nil"/>
              <w:bottom w:val="nil"/>
              <w:right w:val="nil"/>
            </w:tcBorders>
            <w:vAlign w:val="center"/>
          </w:tcPr>
          <w:p w14:paraId="65E73A52" w14:textId="77777777" w:rsidR="00397241" w:rsidRPr="00E232CC" w:rsidRDefault="00397241" w:rsidP="007A4401">
            <w:pPr>
              <w:spacing w:line="240" w:lineRule="auto"/>
            </w:pPr>
            <w:r w:rsidRPr="00E232CC">
              <w:t>Columbia</w:t>
            </w:r>
          </w:p>
        </w:tc>
        <w:tc>
          <w:tcPr>
            <w:tcW w:w="4677" w:type="dxa"/>
            <w:tcBorders>
              <w:top w:val="nil"/>
              <w:left w:val="nil"/>
              <w:bottom w:val="nil"/>
              <w:right w:val="nil"/>
            </w:tcBorders>
            <w:vAlign w:val="center"/>
          </w:tcPr>
          <w:p w14:paraId="72B53F11" w14:textId="77777777" w:rsidR="00397241" w:rsidRPr="00E232CC" w:rsidRDefault="00397241" w:rsidP="007A4401">
            <w:pPr>
              <w:spacing w:line="240" w:lineRule="auto"/>
              <w:jc w:val="left"/>
            </w:pPr>
            <w:r w:rsidRPr="00E232CC">
              <w:t>Z03 adaptation</w:t>
            </w:r>
          </w:p>
        </w:tc>
        <w:tc>
          <w:tcPr>
            <w:tcW w:w="1418" w:type="dxa"/>
            <w:tcBorders>
              <w:top w:val="nil"/>
              <w:left w:val="nil"/>
              <w:bottom w:val="nil"/>
              <w:right w:val="nil"/>
            </w:tcBorders>
          </w:tcPr>
          <w:p w14:paraId="2E4162DE" w14:textId="77777777" w:rsidR="00397241" w:rsidRPr="00E232CC" w:rsidRDefault="00397241" w:rsidP="007A4401">
            <w:pPr>
              <w:spacing w:line="240" w:lineRule="auto"/>
              <w:jc w:val="center"/>
            </w:pPr>
            <w:r w:rsidRPr="00E232CC">
              <w:t>susc</w:t>
            </w:r>
            <w:r>
              <w:t>.</w:t>
            </w:r>
          </w:p>
        </w:tc>
      </w:tr>
      <w:tr w:rsidR="00397241" w:rsidRPr="00E232CC" w14:paraId="39915EED" w14:textId="77777777" w:rsidTr="007A4401">
        <w:tc>
          <w:tcPr>
            <w:tcW w:w="1276" w:type="dxa"/>
            <w:tcBorders>
              <w:top w:val="nil"/>
              <w:left w:val="nil"/>
              <w:bottom w:val="nil"/>
              <w:right w:val="nil"/>
            </w:tcBorders>
            <w:vAlign w:val="center"/>
          </w:tcPr>
          <w:p w14:paraId="04DF894C" w14:textId="77777777" w:rsidR="00397241" w:rsidRPr="00E232CC" w:rsidRDefault="00397241" w:rsidP="007A4401">
            <w:pPr>
              <w:spacing w:line="240" w:lineRule="auto"/>
            </w:pPr>
            <w:r w:rsidRPr="00E232CC">
              <w:t>COL2017</w:t>
            </w:r>
          </w:p>
        </w:tc>
        <w:tc>
          <w:tcPr>
            <w:tcW w:w="1418" w:type="dxa"/>
            <w:tcBorders>
              <w:top w:val="nil"/>
              <w:left w:val="nil"/>
              <w:bottom w:val="nil"/>
              <w:right w:val="nil"/>
            </w:tcBorders>
            <w:vAlign w:val="center"/>
          </w:tcPr>
          <w:p w14:paraId="0EA2DEA3" w14:textId="77777777" w:rsidR="00397241" w:rsidRPr="00E232CC" w:rsidRDefault="00397241" w:rsidP="007A4401">
            <w:pPr>
              <w:spacing w:line="240" w:lineRule="auto"/>
            </w:pPr>
            <w:r w:rsidRPr="00E232CC">
              <w:t>Columbia</w:t>
            </w:r>
          </w:p>
        </w:tc>
        <w:tc>
          <w:tcPr>
            <w:tcW w:w="4677" w:type="dxa"/>
            <w:tcBorders>
              <w:top w:val="nil"/>
              <w:left w:val="nil"/>
              <w:bottom w:val="nil"/>
              <w:right w:val="nil"/>
            </w:tcBorders>
            <w:vAlign w:val="center"/>
          </w:tcPr>
          <w:p w14:paraId="1943C545" w14:textId="77777777" w:rsidR="00397241" w:rsidRPr="00E232CC" w:rsidRDefault="00397241" w:rsidP="007A4401">
            <w:pPr>
              <w:spacing w:line="240" w:lineRule="auto"/>
              <w:jc w:val="left"/>
            </w:pPr>
            <w:r w:rsidRPr="00E232CC">
              <w:t>High sugar content</w:t>
            </w:r>
          </w:p>
        </w:tc>
        <w:tc>
          <w:tcPr>
            <w:tcW w:w="1418" w:type="dxa"/>
            <w:tcBorders>
              <w:top w:val="nil"/>
              <w:left w:val="nil"/>
              <w:bottom w:val="nil"/>
              <w:right w:val="nil"/>
            </w:tcBorders>
          </w:tcPr>
          <w:p w14:paraId="57F3A86E" w14:textId="77777777" w:rsidR="00397241" w:rsidRPr="00E232CC" w:rsidRDefault="00397241" w:rsidP="007A4401">
            <w:pPr>
              <w:spacing w:line="240" w:lineRule="auto"/>
              <w:jc w:val="center"/>
            </w:pPr>
          </w:p>
        </w:tc>
      </w:tr>
      <w:tr w:rsidR="00397241" w:rsidRPr="00E232CC" w14:paraId="76264362" w14:textId="77777777" w:rsidTr="007A4401">
        <w:tc>
          <w:tcPr>
            <w:tcW w:w="1276" w:type="dxa"/>
            <w:tcBorders>
              <w:top w:val="nil"/>
              <w:left w:val="nil"/>
              <w:bottom w:val="nil"/>
              <w:right w:val="nil"/>
            </w:tcBorders>
            <w:vAlign w:val="center"/>
          </w:tcPr>
          <w:p w14:paraId="18F37135" w14:textId="77777777" w:rsidR="00397241" w:rsidRPr="00E232CC" w:rsidRDefault="00397241" w:rsidP="007A4401">
            <w:pPr>
              <w:spacing w:line="240" w:lineRule="auto"/>
            </w:pPr>
            <w:r w:rsidRPr="00E232CC">
              <w:t>COL2436</w:t>
            </w:r>
          </w:p>
        </w:tc>
        <w:tc>
          <w:tcPr>
            <w:tcW w:w="1418" w:type="dxa"/>
            <w:tcBorders>
              <w:top w:val="nil"/>
              <w:left w:val="nil"/>
              <w:bottom w:val="nil"/>
              <w:right w:val="nil"/>
            </w:tcBorders>
            <w:vAlign w:val="center"/>
          </w:tcPr>
          <w:p w14:paraId="4E4AC031" w14:textId="77777777" w:rsidR="00397241" w:rsidRPr="00E232CC" w:rsidRDefault="00397241" w:rsidP="007A4401">
            <w:pPr>
              <w:spacing w:line="240" w:lineRule="auto"/>
            </w:pPr>
            <w:r w:rsidRPr="00E232CC">
              <w:t>Columbia</w:t>
            </w:r>
          </w:p>
        </w:tc>
        <w:tc>
          <w:tcPr>
            <w:tcW w:w="4677" w:type="dxa"/>
            <w:tcBorders>
              <w:top w:val="nil"/>
              <w:left w:val="nil"/>
              <w:bottom w:val="nil"/>
              <w:right w:val="nil"/>
            </w:tcBorders>
            <w:vAlign w:val="center"/>
          </w:tcPr>
          <w:p w14:paraId="24BBEBA6" w14:textId="77777777" w:rsidR="00397241" w:rsidRPr="00E232CC" w:rsidRDefault="00397241" w:rsidP="007A4401">
            <w:pPr>
              <w:spacing w:line="240" w:lineRule="auto"/>
              <w:jc w:val="left"/>
            </w:pPr>
            <w:r w:rsidRPr="00E232CC">
              <w:t>High carotene content/thrips susc</w:t>
            </w:r>
            <w:r>
              <w:t>.</w:t>
            </w:r>
          </w:p>
        </w:tc>
        <w:tc>
          <w:tcPr>
            <w:tcW w:w="1418" w:type="dxa"/>
            <w:tcBorders>
              <w:top w:val="nil"/>
              <w:left w:val="nil"/>
              <w:bottom w:val="nil"/>
              <w:right w:val="nil"/>
            </w:tcBorders>
          </w:tcPr>
          <w:p w14:paraId="584BFC98" w14:textId="77777777" w:rsidR="00397241" w:rsidRPr="00E232CC" w:rsidRDefault="00397241" w:rsidP="007A4401">
            <w:pPr>
              <w:spacing w:line="240" w:lineRule="auto"/>
              <w:jc w:val="center"/>
            </w:pPr>
          </w:p>
        </w:tc>
      </w:tr>
      <w:tr w:rsidR="00397241" w:rsidRPr="00E232CC" w14:paraId="7E069202" w14:textId="77777777" w:rsidTr="007A4401">
        <w:tc>
          <w:tcPr>
            <w:tcW w:w="1276" w:type="dxa"/>
            <w:tcBorders>
              <w:top w:val="nil"/>
              <w:left w:val="nil"/>
              <w:bottom w:val="nil"/>
              <w:right w:val="nil"/>
            </w:tcBorders>
            <w:vAlign w:val="center"/>
          </w:tcPr>
          <w:p w14:paraId="34F40395" w14:textId="77777777" w:rsidR="00397241" w:rsidRPr="00E232CC" w:rsidRDefault="00397241" w:rsidP="007A4401">
            <w:pPr>
              <w:spacing w:line="240" w:lineRule="auto"/>
            </w:pPr>
            <w:r>
              <w:t>COL912B</w:t>
            </w:r>
          </w:p>
        </w:tc>
        <w:tc>
          <w:tcPr>
            <w:tcW w:w="1418" w:type="dxa"/>
            <w:tcBorders>
              <w:top w:val="nil"/>
              <w:left w:val="nil"/>
              <w:bottom w:val="nil"/>
              <w:right w:val="nil"/>
            </w:tcBorders>
            <w:vAlign w:val="center"/>
          </w:tcPr>
          <w:p w14:paraId="103A4412" w14:textId="77777777" w:rsidR="00397241" w:rsidRPr="00E232CC" w:rsidRDefault="00397241" w:rsidP="007A4401">
            <w:pPr>
              <w:spacing w:line="240" w:lineRule="auto"/>
            </w:pPr>
            <w:r>
              <w:t>Columbia</w:t>
            </w:r>
          </w:p>
        </w:tc>
        <w:tc>
          <w:tcPr>
            <w:tcW w:w="4677" w:type="dxa"/>
            <w:tcBorders>
              <w:top w:val="nil"/>
              <w:left w:val="nil"/>
              <w:bottom w:val="nil"/>
              <w:right w:val="nil"/>
            </w:tcBorders>
            <w:vAlign w:val="center"/>
          </w:tcPr>
          <w:p w14:paraId="26523152" w14:textId="77777777" w:rsidR="00397241" w:rsidRPr="00E232CC" w:rsidRDefault="00397241" w:rsidP="007A4401">
            <w:pPr>
              <w:spacing w:line="240" w:lineRule="auto"/>
              <w:jc w:val="left"/>
            </w:pPr>
            <w:r>
              <w:t>Unknown</w:t>
            </w:r>
          </w:p>
        </w:tc>
        <w:tc>
          <w:tcPr>
            <w:tcW w:w="1418" w:type="dxa"/>
            <w:tcBorders>
              <w:top w:val="nil"/>
              <w:left w:val="nil"/>
              <w:bottom w:val="nil"/>
              <w:right w:val="nil"/>
            </w:tcBorders>
          </w:tcPr>
          <w:p w14:paraId="3A3AD4E8" w14:textId="77777777" w:rsidR="00397241" w:rsidRDefault="00397241" w:rsidP="007A4401">
            <w:pPr>
              <w:spacing w:line="240" w:lineRule="auto"/>
              <w:jc w:val="center"/>
            </w:pPr>
          </w:p>
        </w:tc>
      </w:tr>
      <w:tr w:rsidR="00397241" w:rsidRPr="00E232CC" w14:paraId="2E0AEF06" w14:textId="77777777" w:rsidTr="007A4401">
        <w:tc>
          <w:tcPr>
            <w:tcW w:w="1276" w:type="dxa"/>
            <w:tcBorders>
              <w:top w:val="nil"/>
              <w:left w:val="nil"/>
              <w:bottom w:val="nil"/>
              <w:right w:val="nil"/>
            </w:tcBorders>
            <w:vAlign w:val="center"/>
          </w:tcPr>
          <w:p w14:paraId="5D1C4CBD" w14:textId="77777777" w:rsidR="00397241" w:rsidRPr="00E232CC" w:rsidRDefault="00397241" w:rsidP="007A4401">
            <w:pPr>
              <w:spacing w:line="240" w:lineRule="auto"/>
            </w:pPr>
            <w:r w:rsidRPr="00E232CC">
              <w:t>CUB25</w:t>
            </w:r>
          </w:p>
        </w:tc>
        <w:tc>
          <w:tcPr>
            <w:tcW w:w="1418" w:type="dxa"/>
            <w:tcBorders>
              <w:top w:val="nil"/>
              <w:left w:val="nil"/>
              <w:bottom w:val="nil"/>
              <w:right w:val="nil"/>
            </w:tcBorders>
            <w:vAlign w:val="center"/>
          </w:tcPr>
          <w:p w14:paraId="21B8CBCC" w14:textId="77777777" w:rsidR="00397241" w:rsidRPr="00E232CC" w:rsidRDefault="00397241" w:rsidP="007A4401">
            <w:pPr>
              <w:spacing w:line="240" w:lineRule="auto"/>
            </w:pPr>
            <w:r w:rsidRPr="00E232CC">
              <w:t>Cuba</w:t>
            </w:r>
          </w:p>
        </w:tc>
        <w:tc>
          <w:tcPr>
            <w:tcW w:w="4677" w:type="dxa"/>
            <w:tcBorders>
              <w:top w:val="nil"/>
              <w:left w:val="nil"/>
              <w:bottom w:val="nil"/>
              <w:right w:val="nil"/>
            </w:tcBorders>
            <w:vAlign w:val="center"/>
          </w:tcPr>
          <w:p w14:paraId="496F227B" w14:textId="77777777" w:rsidR="00397241" w:rsidRPr="00E232CC" w:rsidRDefault="00397241" w:rsidP="007A4401">
            <w:pPr>
              <w:spacing w:line="240" w:lineRule="auto"/>
              <w:jc w:val="left"/>
            </w:pPr>
            <w:r w:rsidRPr="00E232CC">
              <w:t>Low amylose content</w:t>
            </w:r>
          </w:p>
        </w:tc>
        <w:tc>
          <w:tcPr>
            <w:tcW w:w="1418" w:type="dxa"/>
            <w:tcBorders>
              <w:top w:val="nil"/>
              <w:left w:val="nil"/>
              <w:bottom w:val="nil"/>
              <w:right w:val="nil"/>
            </w:tcBorders>
          </w:tcPr>
          <w:p w14:paraId="478AAC90" w14:textId="77777777" w:rsidR="00397241" w:rsidRPr="00E232CC" w:rsidRDefault="00397241" w:rsidP="007A4401">
            <w:pPr>
              <w:spacing w:line="240" w:lineRule="auto"/>
              <w:jc w:val="center"/>
            </w:pPr>
          </w:p>
        </w:tc>
      </w:tr>
      <w:tr w:rsidR="00397241" w:rsidRPr="00E232CC" w14:paraId="4D713B59" w14:textId="77777777" w:rsidTr="007A4401">
        <w:tc>
          <w:tcPr>
            <w:tcW w:w="1276" w:type="dxa"/>
            <w:tcBorders>
              <w:top w:val="nil"/>
              <w:left w:val="nil"/>
              <w:bottom w:val="nil"/>
              <w:right w:val="nil"/>
            </w:tcBorders>
            <w:vAlign w:val="center"/>
          </w:tcPr>
          <w:p w14:paraId="7480836E" w14:textId="77777777" w:rsidR="00397241" w:rsidRPr="00E232CC" w:rsidRDefault="00397241" w:rsidP="007A4401">
            <w:pPr>
              <w:spacing w:line="240" w:lineRule="auto"/>
            </w:pPr>
            <w:r w:rsidRPr="00E232CC">
              <w:t>CUB74</w:t>
            </w:r>
          </w:p>
        </w:tc>
        <w:tc>
          <w:tcPr>
            <w:tcW w:w="1418" w:type="dxa"/>
            <w:tcBorders>
              <w:top w:val="nil"/>
              <w:left w:val="nil"/>
              <w:bottom w:val="nil"/>
              <w:right w:val="nil"/>
            </w:tcBorders>
            <w:vAlign w:val="center"/>
          </w:tcPr>
          <w:p w14:paraId="013F1364" w14:textId="77777777" w:rsidR="00397241" w:rsidRPr="00E232CC" w:rsidRDefault="00397241" w:rsidP="007A4401">
            <w:pPr>
              <w:spacing w:line="240" w:lineRule="auto"/>
            </w:pPr>
            <w:r w:rsidRPr="00E232CC">
              <w:t>Cuba</w:t>
            </w:r>
          </w:p>
        </w:tc>
        <w:tc>
          <w:tcPr>
            <w:tcW w:w="4677" w:type="dxa"/>
            <w:tcBorders>
              <w:top w:val="nil"/>
              <w:left w:val="nil"/>
              <w:bottom w:val="nil"/>
              <w:right w:val="nil"/>
            </w:tcBorders>
            <w:vAlign w:val="center"/>
          </w:tcPr>
          <w:p w14:paraId="6BD7A3B0" w14:textId="77777777" w:rsidR="00397241" w:rsidRPr="00E232CC" w:rsidRDefault="00397241" w:rsidP="007A4401">
            <w:pPr>
              <w:spacing w:line="240" w:lineRule="auto"/>
              <w:jc w:val="left"/>
            </w:pPr>
            <w:r w:rsidRPr="00E232CC">
              <w:t>High culinary quality/</w:t>
            </w:r>
            <w:r>
              <w:t xml:space="preserve"> </w:t>
            </w:r>
            <w:r w:rsidRPr="00E232CC">
              <w:t>Z06 adaptation</w:t>
            </w:r>
            <w:r>
              <w:t xml:space="preserve">/ </w:t>
            </w:r>
            <w:r>
              <w:br/>
              <w:t>Frog skin disease res.</w:t>
            </w:r>
          </w:p>
        </w:tc>
        <w:tc>
          <w:tcPr>
            <w:tcW w:w="1418" w:type="dxa"/>
            <w:tcBorders>
              <w:top w:val="nil"/>
              <w:left w:val="nil"/>
              <w:bottom w:val="nil"/>
              <w:right w:val="nil"/>
            </w:tcBorders>
          </w:tcPr>
          <w:p w14:paraId="4AAF9844" w14:textId="77777777" w:rsidR="00397241" w:rsidRPr="00E232CC" w:rsidRDefault="00397241" w:rsidP="007A4401">
            <w:pPr>
              <w:spacing w:line="240" w:lineRule="auto"/>
              <w:jc w:val="center"/>
            </w:pPr>
            <w:r>
              <w:t>res.</w:t>
            </w:r>
          </w:p>
        </w:tc>
      </w:tr>
      <w:tr w:rsidR="00397241" w:rsidRPr="00E232CC" w14:paraId="1B358CBF" w14:textId="77777777" w:rsidTr="007A4401">
        <w:tc>
          <w:tcPr>
            <w:tcW w:w="1276" w:type="dxa"/>
            <w:tcBorders>
              <w:top w:val="nil"/>
              <w:left w:val="nil"/>
              <w:bottom w:val="nil"/>
              <w:right w:val="nil"/>
            </w:tcBorders>
            <w:vAlign w:val="center"/>
          </w:tcPr>
          <w:p w14:paraId="0BFEAC96" w14:textId="77777777" w:rsidR="00397241" w:rsidRPr="00E232CC" w:rsidRDefault="00397241" w:rsidP="007A4401">
            <w:pPr>
              <w:spacing w:line="240" w:lineRule="auto"/>
            </w:pPr>
            <w:r w:rsidRPr="00E232CC">
              <w:t>ECU72</w:t>
            </w:r>
          </w:p>
        </w:tc>
        <w:tc>
          <w:tcPr>
            <w:tcW w:w="1418" w:type="dxa"/>
            <w:tcBorders>
              <w:top w:val="nil"/>
              <w:left w:val="nil"/>
              <w:bottom w:val="nil"/>
              <w:right w:val="nil"/>
            </w:tcBorders>
            <w:vAlign w:val="center"/>
          </w:tcPr>
          <w:p w14:paraId="442FB582" w14:textId="77777777" w:rsidR="00397241" w:rsidRPr="00E232CC" w:rsidRDefault="00397241" w:rsidP="007A4401">
            <w:pPr>
              <w:spacing w:line="240" w:lineRule="auto"/>
            </w:pPr>
            <w:r w:rsidRPr="00E232CC">
              <w:t>Ecuador</w:t>
            </w:r>
          </w:p>
        </w:tc>
        <w:tc>
          <w:tcPr>
            <w:tcW w:w="4677" w:type="dxa"/>
            <w:tcBorders>
              <w:top w:val="nil"/>
              <w:left w:val="nil"/>
              <w:bottom w:val="nil"/>
              <w:right w:val="nil"/>
            </w:tcBorders>
            <w:vAlign w:val="center"/>
          </w:tcPr>
          <w:p w14:paraId="75530CD9" w14:textId="3AE7063F" w:rsidR="00397241" w:rsidRPr="00E232CC" w:rsidRDefault="001F38A9" w:rsidP="007A4401">
            <w:pPr>
              <w:spacing w:line="240" w:lineRule="auto"/>
              <w:jc w:val="left"/>
            </w:pPr>
            <w:r>
              <w:t>White</w:t>
            </w:r>
            <w:r w:rsidR="00397241" w:rsidRPr="00E232CC">
              <w:t xml:space="preserve">fly </w:t>
            </w:r>
            <w:r w:rsidR="00397241">
              <w:t>res.</w:t>
            </w:r>
            <w:r w:rsidR="00397241" w:rsidRPr="00E232CC">
              <w:t xml:space="preserve"> /Bacteriosis susc</w:t>
            </w:r>
            <w:r w:rsidR="00397241">
              <w:t>.</w:t>
            </w:r>
          </w:p>
        </w:tc>
        <w:tc>
          <w:tcPr>
            <w:tcW w:w="1418" w:type="dxa"/>
            <w:tcBorders>
              <w:top w:val="nil"/>
              <w:left w:val="nil"/>
              <w:bottom w:val="nil"/>
              <w:right w:val="nil"/>
            </w:tcBorders>
          </w:tcPr>
          <w:p w14:paraId="0E20CBC2" w14:textId="77777777" w:rsidR="00397241" w:rsidRPr="00E232CC" w:rsidRDefault="00397241" w:rsidP="007A4401">
            <w:pPr>
              <w:spacing w:line="240" w:lineRule="auto"/>
              <w:jc w:val="center"/>
            </w:pPr>
          </w:p>
        </w:tc>
      </w:tr>
      <w:tr w:rsidR="00397241" w:rsidRPr="00E232CC" w14:paraId="0537B2EE" w14:textId="77777777" w:rsidTr="007A4401">
        <w:tc>
          <w:tcPr>
            <w:tcW w:w="1276" w:type="dxa"/>
            <w:tcBorders>
              <w:top w:val="nil"/>
              <w:left w:val="nil"/>
              <w:bottom w:val="nil"/>
              <w:right w:val="nil"/>
            </w:tcBorders>
            <w:vAlign w:val="center"/>
          </w:tcPr>
          <w:p w14:paraId="706548DC" w14:textId="77777777" w:rsidR="00397241" w:rsidRPr="00E232CC" w:rsidRDefault="00397241" w:rsidP="007A4401">
            <w:pPr>
              <w:spacing w:line="240" w:lineRule="auto"/>
            </w:pPr>
            <w:r w:rsidRPr="00E232CC">
              <w:t>GUA35</w:t>
            </w:r>
          </w:p>
        </w:tc>
        <w:tc>
          <w:tcPr>
            <w:tcW w:w="1418" w:type="dxa"/>
            <w:tcBorders>
              <w:top w:val="nil"/>
              <w:left w:val="nil"/>
              <w:bottom w:val="nil"/>
              <w:right w:val="nil"/>
            </w:tcBorders>
            <w:vAlign w:val="center"/>
          </w:tcPr>
          <w:p w14:paraId="78A91914" w14:textId="77777777" w:rsidR="00397241" w:rsidRPr="00E232CC" w:rsidRDefault="00397241" w:rsidP="007A4401">
            <w:pPr>
              <w:spacing w:line="240" w:lineRule="auto"/>
            </w:pPr>
            <w:r w:rsidRPr="00E232CC">
              <w:t>Guatemala</w:t>
            </w:r>
          </w:p>
        </w:tc>
        <w:tc>
          <w:tcPr>
            <w:tcW w:w="4677" w:type="dxa"/>
            <w:tcBorders>
              <w:top w:val="nil"/>
              <w:left w:val="nil"/>
              <w:bottom w:val="nil"/>
              <w:right w:val="nil"/>
            </w:tcBorders>
            <w:vAlign w:val="center"/>
          </w:tcPr>
          <w:p w14:paraId="0A340988" w14:textId="77777777" w:rsidR="00397241" w:rsidRPr="00E232CC" w:rsidRDefault="00397241" w:rsidP="007A4401">
            <w:pPr>
              <w:spacing w:line="240" w:lineRule="auto"/>
              <w:jc w:val="left"/>
            </w:pPr>
            <w:r w:rsidRPr="00E232CC">
              <w:t>Low sugar content</w:t>
            </w:r>
            <w:r>
              <w:t>/Frog skin disease susc.</w:t>
            </w:r>
          </w:p>
        </w:tc>
        <w:tc>
          <w:tcPr>
            <w:tcW w:w="1418" w:type="dxa"/>
            <w:tcBorders>
              <w:top w:val="nil"/>
              <w:left w:val="nil"/>
              <w:bottom w:val="nil"/>
              <w:right w:val="nil"/>
            </w:tcBorders>
          </w:tcPr>
          <w:p w14:paraId="095E643A" w14:textId="77777777" w:rsidR="00397241" w:rsidRPr="00E232CC" w:rsidRDefault="00397241" w:rsidP="007A4401">
            <w:pPr>
              <w:spacing w:line="240" w:lineRule="auto"/>
              <w:jc w:val="center"/>
            </w:pPr>
          </w:p>
        </w:tc>
      </w:tr>
      <w:tr w:rsidR="00397241" w:rsidRPr="00E232CC" w14:paraId="62AB04A1" w14:textId="77777777" w:rsidTr="007A4401">
        <w:tc>
          <w:tcPr>
            <w:tcW w:w="1276" w:type="dxa"/>
            <w:tcBorders>
              <w:top w:val="nil"/>
              <w:left w:val="nil"/>
              <w:bottom w:val="nil"/>
              <w:right w:val="nil"/>
            </w:tcBorders>
            <w:vAlign w:val="center"/>
          </w:tcPr>
          <w:p w14:paraId="44D80E3B" w14:textId="77777777" w:rsidR="00397241" w:rsidRPr="00E232CC" w:rsidRDefault="00397241" w:rsidP="007A4401">
            <w:pPr>
              <w:spacing w:line="240" w:lineRule="auto"/>
            </w:pPr>
            <w:r w:rsidRPr="00E232CC">
              <w:t>PAN139</w:t>
            </w:r>
          </w:p>
        </w:tc>
        <w:tc>
          <w:tcPr>
            <w:tcW w:w="1418" w:type="dxa"/>
            <w:tcBorders>
              <w:top w:val="nil"/>
              <w:left w:val="nil"/>
              <w:bottom w:val="nil"/>
              <w:right w:val="nil"/>
            </w:tcBorders>
            <w:vAlign w:val="center"/>
          </w:tcPr>
          <w:p w14:paraId="2FA6C8FF" w14:textId="77777777" w:rsidR="00397241" w:rsidRPr="00E232CC" w:rsidRDefault="00397241" w:rsidP="007A4401">
            <w:pPr>
              <w:spacing w:line="240" w:lineRule="auto"/>
            </w:pPr>
            <w:r w:rsidRPr="00E232CC">
              <w:t>Panama</w:t>
            </w:r>
          </w:p>
        </w:tc>
        <w:tc>
          <w:tcPr>
            <w:tcW w:w="4677" w:type="dxa"/>
            <w:tcBorders>
              <w:top w:val="nil"/>
              <w:left w:val="nil"/>
              <w:bottom w:val="nil"/>
              <w:right w:val="nil"/>
            </w:tcBorders>
            <w:vAlign w:val="center"/>
          </w:tcPr>
          <w:p w14:paraId="2C79B721" w14:textId="77777777" w:rsidR="00397241" w:rsidRPr="00E232CC" w:rsidRDefault="00397241" w:rsidP="007A4401">
            <w:pPr>
              <w:spacing w:line="240" w:lineRule="auto"/>
              <w:jc w:val="left"/>
            </w:pPr>
            <w:r>
              <w:t>T</w:t>
            </w:r>
            <w:r w:rsidRPr="00E232CC">
              <w:t xml:space="preserve">hrips </w:t>
            </w:r>
            <w:r>
              <w:t>res.</w:t>
            </w:r>
          </w:p>
        </w:tc>
        <w:tc>
          <w:tcPr>
            <w:tcW w:w="1418" w:type="dxa"/>
            <w:tcBorders>
              <w:top w:val="nil"/>
              <w:left w:val="nil"/>
              <w:bottom w:val="nil"/>
              <w:right w:val="nil"/>
            </w:tcBorders>
          </w:tcPr>
          <w:p w14:paraId="54733452" w14:textId="77777777" w:rsidR="00397241" w:rsidRDefault="00397241" w:rsidP="007A4401">
            <w:pPr>
              <w:spacing w:line="240" w:lineRule="auto"/>
              <w:jc w:val="center"/>
            </w:pPr>
          </w:p>
        </w:tc>
      </w:tr>
      <w:tr w:rsidR="00397241" w:rsidRPr="00E232CC" w14:paraId="0FBFCCCD" w14:textId="77777777" w:rsidTr="007A4401">
        <w:tc>
          <w:tcPr>
            <w:tcW w:w="1276" w:type="dxa"/>
            <w:tcBorders>
              <w:top w:val="nil"/>
              <w:left w:val="nil"/>
              <w:bottom w:val="nil"/>
              <w:right w:val="nil"/>
            </w:tcBorders>
            <w:vAlign w:val="center"/>
          </w:tcPr>
          <w:p w14:paraId="55DD8255" w14:textId="77777777" w:rsidR="00397241" w:rsidRPr="00E232CC" w:rsidRDefault="00397241" w:rsidP="007A4401">
            <w:pPr>
              <w:spacing w:line="240" w:lineRule="auto"/>
            </w:pPr>
            <w:r w:rsidRPr="00E232CC">
              <w:t>PAR36</w:t>
            </w:r>
          </w:p>
        </w:tc>
        <w:tc>
          <w:tcPr>
            <w:tcW w:w="1418" w:type="dxa"/>
            <w:tcBorders>
              <w:top w:val="nil"/>
              <w:left w:val="nil"/>
              <w:bottom w:val="nil"/>
              <w:right w:val="nil"/>
            </w:tcBorders>
            <w:vAlign w:val="center"/>
          </w:tcPr>
          <w:p w14:paraId="2DDDDBA9" w14:textId="77777777" w:rsidR="00397241" w:rsidRPr="00E232CC" w:rsidRDefault="00397241" w:rsidP="007A4401">
            <w:pPr>
              <w:spacing w:line="240" w:lineRule="auto"/>
            </w:pPr>
            <w:r w:rsidRPr="00E232CC">
              <w:t>Paraguay</w:t>
            </w:r>
          </w:p>
        </w:tc>
        <w:tc>
          <w:tcPr>
            <w:tcW w:w="4677" w:type="dxa"/>
            <w:tcBorders>
              <w:top w:val="nil"/>
              <w:left w:val="nil"/>
              <w:bottom w:val="nil"/>
              <w:right w:val="nil"/>
            </w:tcBorders>
            <w:vAlign w:val="center"/>
          </w:tcPr>
          <w:p w14:paraId="3340A1A3" w14:textId="77777777" w:rsidR="00397241" w:rsidRPr="00E232CC" w:rsidRDefault="00397241" w:rsidP="007A4401">
            <w:pPr>
              <w:spacing w:line="240" w:lineRule="auto"/>
              <w:jc w:val="left"/>
            </w:pPr>
            <w:r w:rsidRPr="00E232CC">
              <w:t>High amylose content</w:t>
            </w:r>
          </w:p>
        </w:tc>
        <w:tc>
          <w:tcPr>
            <w:tcW w:w="1418" w:type="dxa"/>
            <w:tcBorders>
              <w:top w:val="nil"/>
              <w:left w:val="nil"/>
              <w:bottom w:val="nil"/>
              <w:right w:val="nil"/>
            </w:tcBorders>
          </w:tcPr>
          <w:p w14:paraId="5185A961" w14:textId="77777777" w:rsidR="00397241" w:rsidRPr="00E232CC" w:rsidRDefault="00397241" w:rsidP="007A4401">
            <w:pPr>
              <w:spacing w:line="240" w:lineRule="auto"/>
              <w:jc w:val="center"/>
            </w:pPr>
          </w:p>
        </w:tc>
      </w:tr>
      <w:tr w:rsidR="00397241" w:rsidRPr="00E232CC" w14:paraId="2B9956A1" w14:textId="77777777" w:rsidTr="007A4401">
        <w:tc>
          <w:tcPr>
            <w:tcW w:w="1276" w:type="dxa"/>
            <w:tcBorders>
              <w:top w:val="nil"/>
              <w:left w:val="nil"/>
              <w:bottom w:val="nil"/>
              <w:right w:val="nil"/>
            </w:tcBorders>
            <w:vAlign w:val="center"/>
          </w:tcPr>
          <w:p w14:paraId="4C2090CA" w14:textId="77777777" w:rsidR="00397241" w:rsidRPr="00E232CC" w:rsidRDefault="00397241" w:rsidP="007A4401">
            <w:pPr>
              <w:spacing w:line="240" w:lineRule="auto"/>
            </w:pPr>
            <w:r w:rsidRPr="00E232CC">
              <w:t>PER 496</w:t>
            </w:r>
          </w:p>
        </w:tc>
        <w:tc>
          <w:tcPr>
            <w:tcW w:w="1418" w:type="dxa"/>
            <w:tcBorders>
              <w:top w:val="nil"/>
              <w:left w:val="nil"/>
              <w:bottom w:val="nil"/>
              <w:right w:val="nil"/>
            </w:tcBorders>
            <w:vAlign w:val="center"/>
          </w:tcPr>
          <w:p w14:paraId="185F77B1" w14:textId="77777777" w:rsidR="00397241" w:rsidRPr="00E232CC" w:rsidRDefault="00397241" w:rsidP="007A4401">
            <w:pPr>
              <w:spacing w:line="240" w:lineRule="auto"/>
            </w:pPr>
            <w:r w:rsidRPr="00E232CC">
              <w:t>Peru</w:t>
            </w:r>
          </w:p>
        </w:tc>
        <w:tc>
          <w:tcPr>
            <w:tcW w:w="4677" w:type="dxa"/>
            <w:tcBorders>
              <w:top w:val="nil"/>
              <w:left w:val="nil"/>
              <w:bottom w:val="nil"/>
              <w:right w:val="nil"/>
            </w:tcBorders>
            <w:vAlign w:val="center"/>
          </w:tcPr>
          <w:p w14:paraId="217F80C4" w14:textId="77777777" w:rsidR="00397241" w:rsidRPr="00E232CC" w:rsidRDefault="00397241" w:rsidP="007A4401">
            <w:pPr>
              <w:spacing w:line="240" w:lineRule="auto"/>
              <w:jc w:val="left"/>
            </w:pPr>
            <w:r>
              <w:t>Low cyanide content</w:t>
            </w:r>
          </w:p>
        </w:tc>
        <w:tc>
          <w:tcPr>
            <w:tcW w:w="1418" w:type="dxa"/>
            <w:tcBorders>
              <w:top w:val="nil"/>
              <w:left w:val="nil"/>
              <w:bottom w:val="nil"/>
              <w:right w:val="nil"/>
            </w:tcBorders>
          </w:tcPr>
          <w:p w14:paraId="337BB346" w14:textId="77777777" w:rsidR="00397241" w:rsidRPr="00E232CC" w:rsidRDefault="00397241" w:rsidP="007A4401">
            <w:pPr>
              <w:spacing w:line="240" w:lineRule="auto"/>
              <w:jc w:val="center"/>
            </w:pPr>
          </w:p>
        </w:tc>
      </w:tr>
      <w:tr w:rsidR="00397241" w:rsidRPr="00E232CC" w14:paraId="1ABA3E6E" w14:textId="77777777" w:rsidTr="007A4401">
        <w:tc>
          <w:tcPr>
            <w:tcW w:w="1276" w:type="dxa"/>
            <w:tcBorders>
              <w:top w:val="nil"/>
              <w:left w:val="nil"/>
              <w:bottom w:val="nil"/>
              <w:right w:val="nil"/>
            </w:tcBorders>
            <w:vAlign w:val="center"/>
          </w:tcPr>
          <w:p w14:paraId="349D1BEE" w14:textId="77777777" w:rsidR="00397241" w:rsidRPr="00E232CC" w:rsidRDefault="00397241" w:rsidP="007A4401">
            <w:pPr>
              <w:spacing w:line="240" w:lineRule="auto"/>
            </w:pPr>
            <w:r w:rsidRPr="00E232CC">
              <w:t>TME3</w:t>
            </w:r>
          </w:p>
        </w:tc>
        <w:tc>
          <w:tcPr>
            <w:tcW w:w="1418" w:type="dxa"/>
            <w:tcBorders>
              <w:top w:val="nil"/>
              <w:left w:val="nil"/>
              <w:bottom w:val="nil"/>
              <w:right w:val="nil"/>
            </w:tcBorders>
            <w:vAlign w:val="center"/>
          </w:tcPr>
          <w:p w14:paraId="0A455135" w14:textId="77777777" w:rsidR="00397241" w:rsidRPr="00E232CC" w:rsidRDefault="00397241" w:rsidP="007A4401">
            <w:pPr>
              <w:spacing w:line="240" w:lineRule="auto"/>
            </w:pPr>
            <w:r w:rsidRPr="00E232CC">
              <w:t>Africa</w:t>
            </w:r>
          </w:p>
        </w:tc>
        <w:tc>
          <w:tcPr>
            <w:tcW w:w="4677" w:type="dxa"/>
            <w:tcBorders>
              <w:top w:val="nil"/>
              <w:left w:val="nil"/>
              <w:bottom w:val="nil"/>
              <w:right w:val="nil"/>
            </w:tcBorders>
            <w:vAlign w:val="center"/>
          </w:tcPr>
          <w:p w14:paraId="20490645" w14:textId="77777777" w:rsidR="00397241" w:rsidRPr="00E232CC" w:rsidRDefault="00397241" w:rsidP="007A4401">
            <w:pPr>
              <w:spacing w:line="240" w:lineRule="auto"/>
              <w:jc w:val="left"/>
            </w:pPr>
            <w:r>
              <w:t>CMD res.</w:t>
            </w:r>
          </w:p>
        </w:tc>
        <w:tc>
          <w:tcPr>
            <w:tcW w:w="1418" w:type="dxa"/>
            <w:tcBorders>
              <w:top w:val="nil"/>
              <w:left w:val="nil"/>
              <w:bottom w:val="nil"/>
              <w:right w:val="nil"/>
            </w:tcBorders>
          </w:tcPr>
          <w:p w14:paraId="2C823865" w14:textId="77777777" w:rsidR="00397241" w:rsidRPr="00E232CC" w:rsidRDefault="00397241" w:rsidP="007A4401">
            <w:pPr>
              <w:spacing w:line="240" w:lineRule="auto"/>
              <w:jc w:val="center"/>
            </w:pPr>
          </w:p>
        </w:tc>
      </w:tr>
      <w:tr w:rsidR="00397241" w:rsidRPr="00E232CC" w14:paraId="5D15D14A" w14:textId="77777777" w:rsidTr="007A4401">
        <w:tc>
          <w:tcPr>
            <w:tcW w:w="1276" w:type="dxa"/>
            <w:tcBorders>
              <w:top w:val="nil"/>
              <w:left w:val="nil"/>
              <w:bottom w:val="nil"/>
              <w:right w:val="nil"/>
            </w:tcBorders>
            <w:vAlign w:val="center"/>
          </w:tcPr>
          <w:p w14:paraId="75F9BD3A" w14:textId="77777777" w:rsidR="00397241" w:rsidRPr="00E232CC" w:rsidRDefault="00397241" w:rsidP="007A4401">
            <w:pPr>
              <w:spacing w:line="240" w:lineRule="auto"/>
            </w:pPr>
            <w:r>
              <w:t>NGA5*</w:t>
            </w:r>
          </w:p>
        </w:tc>
        <w:tc>
          <w:tcPr>
            <w:tcW w:w="1418" w:type="dxa"/>
            <w:tcBorders>
              <w:top w:val="nil"/>
              <w:left w:val="nil"/>
              <w:bottom w:val="nil"/>
              <w:right w:val="nil"/>
            </w:tcBorders>
            <w:vAlign w:val="center"/>
          </w:tcPr>
          <w:p w14:paraId="08DD4DEA" w14:textId="77777777" w:rsidR="00397241" w:rsidRPr="00E232CC" w:rsidRDefault="00397241" w:rsidP="007A4401">
            <w:pPr>
              <w:spacing w:line="240" w:lineRule="auto"/>
            </w:pPr>
            <w:r w:rsidRPr="00E232CC">
              <w:t>Africa</w:t>
            </w:r>
          </w:p>
        </w:tc>
        <w:tc>
          <w:tcPr>
            <w:tcW w:w="4677" w:type="dxa"/>
            <w:tcBorders>
              <w:top w:val="nil"/>
              <w:left w:val="nil"/>
              <w:bottom w:val="nil"/>
              <w:right w:val="nil"/>
            </w:tcBorders>
            <w:vAlign w:val="center"/>
          </w:tcPr>
          <w:p w14:paraId="2D02B697" w14:textId="77777777" w:rsidR="00397241" w:rsidRPr="00E232CC" w:rsidRDefault="00397241" w:rsidP="007A4401">
            <w:pPr>
              <w:spacing w:line="240" w:lineRule="auto"/>
              <w:jc w:val="left"/>
            </w:pPr>
            <w:r w:rsidRPr="00E232CC">
              <w:t>CMD</w:t>
            </w:r>
            <w:r>
              <w:t xml:space="preserve"> moderate susc.</w:t>
            </w:r>
          </w:p>
        </w:tc>
        <w:tc>
          <w:tcPr>
            <w:tcW w:w="1418" w:type="dxa"/>
            <w:tcBorders>
              <w:top w:val="nil"/>
              <w:left w:val="nil"/>
              <w:bottom w:val="nil"/>
              <w:right w:val="nil"/>
            </w:tcBorders>
          </w:tcPr>
          <w:p w14:paraId="5C239B9E" w14:textId="77777777" w:rsidR="00397241" w:rsidRPr="00E232CC" w:rsidRDefault="00397241" w:rsidP="007A4401">
            <w:pPr>
              <w:spacing w:line="240" w:lineRule="auto"/>
              <w:jc w:val="center"/>
            </w:pPr>
          </w:p>
        </w:tc>
      </w:tr>
      <w:tr w:rsidR="00397241" w:rsidRPr="00E232CC" w14:paraId="0400D7A8" w14:textId="77777777" w:rsidTr="007A4401">
        <w:tc>
          <w:tcPr>
            <w:tcW w:w="1276" w:type="dxa"/>
            <w:tcBorders>
              <w:top w:val="nil"/>
              <w:left w:val="nil"/>
              <w:bottom w:val="nil"/>
              <w:right w:val="nil"/>
            </w:tcBorders>
            <w:vAlign w:val="center"/>
          </w:tcPr>
          <w:p w14:paraId="290AFC5F" w14:textId="77777777" w:rsidR="00397241" w:rsidRPr="00E232CC" w:rsidRDefault="00397241" w:rsidP="007A4401">
            <w:pPr>
              <w:spacing w:line="240" w:lineRule="auto"/>
            </w:pPr>
            <w:r>
              <w:t>NGA11*</w:t>
            </w:r>
          </w:p>
        </w:tc>
        <w:tc>
          <w:tcPr>
            <w:tcW w:w="1418" w:type="dxa"/>
            <w:tcBorders>
              <w:top w:val="nil"/>
              <w:left w:val="nil"/>
              <w:bottom w:val="nil"/>
              <w:right w:val="nil"/>
            </w:tcBorders>
            <w:vAlign w:val="center"/>
          </w:tcPr>
          <w:p w14:paraId="25807EFD" w14:textId="77777777" w:rsidR="00397241" w:rsidRPr="00E232CC" w:rsidRDefault="00397241" w:rsidP="007A4401">
            <w:pPr>
              <w:spacing w:line="240" w:lineRule="auto"/>
            </w:pPr>
            <w:r w:rsidRPr="00E232CC">
              <w:t>Africa</w:t>
            </w:r>
          </w:p>
        </w:tc>
        <w:tc>
          <w:tcPr>
            <w:tcW w:w="4677" w:type="dxa"/>
            <w:tcBorders>
              <w:top w:val="nil"/>
              <w:left w:val="nil"/>
              <w:bottom w:val="nil"/>
              <w:right w:val="nil"/>
            </w:tcBorders>
            <w:vAlign w:val="center"/>
          </w:tcPr>
          <w:p w14:paraId="4D946569" w14:textId="77777777" w:rsidR="00397241" w:rsidRPr="00E232CC" w:rsidRDefault="00397241" w:rsidP="007A4401">
            <w:pPr>
              <w:spacing w:line="240" w:lineRule="auto"/>
              <w:jc w:val="left"/>
            </w:pPr>
            <w:r>
              <w:t>Amenable to t</w:t>
            </w:r>
            <w:r w:rsidRPr="00E232CC">
              <w:t>ransformation</w:t>
            </w:r>
            <w:r>
              <w:t>, CMD susc.</w:t>
            </w:r>
          </w:p>
        </w:tc>
        <w:tc>
          <w:tcPr>
            <w:tcW w:w="1418" w:type="dxa"/>
            <w:tcBorders>
              <w:top w:val="nil"/>
              <w:left w:val="nil"/>
              <w:bottom w:val="nil"/>
              <w:right w:val="nil"/>
            </w:tcBorders>
          </w:tcPr>
          <w:p w14:paraId="51033B25" w14:textId="77777777" w:rsidR="00397241" w:rsidRDefault="00397241" w:rsidP="007A4401">
            <w:pPr>
              <w:spacing w:line="240" w:lineRule="auto"/>
              <w:jc w:val="center"/>
            </w:pPr>
          </w:p>
        </w:tc>
      </w:tr>
      <w:tr w:rsidR="00397241" w:rsidRPr="00E232CC" w14:paraId="78EF1E73" w14:textId="77777777" w:rsidTr="007A4401">
        <w:tc>
          <w:tcPr>
            <w:tcW w:w="1276" w:type="dxa"/>
            <w:tcBorders>
              <w:top w:val="nil"/>
              <w:left w:val="nil"/>
              <w:bottom w:val="nil"/>
              <w:right w:val="nil"/>
            </w:tcBorders>
            <w:vAlign w:val="center"/>
          </w:tcPr>
          <w:p w14:paraId="2F5DFA03" w14:textId="77777777" w:rsidR="00397241" w:rsidRPr="00E232CC" w:rsidRDefault="00397241" w:rsidP="007A4401">
            <w:pPr>
              <w:spacing w:line="240" w:lineRule="auto"/>
            </w:pPr>
            <w:r w:rsidRPr="00E232CC">
              <w:t>VEN25</w:t>
            </w:r>
          </w:p>
        </w:tc>
        <w:tc>
          <w:tcPr>
            <w:tcW w:w="1418" w:type="dxa"/>
            <w:tcBorders>
              <w:top w:val="nil"/>
              <w:left w:val="nil"/>
              <w:bottom w:val="nil"/>
              <w:right w:val="nil"/>
            </w:tcBorders>
            <w:vAlign w:val="center"/>
          </w:tcPr>
          <w:p w14:paraId="434CFE7C" w14:textId="77777777" w:rsidR="00397241" w:rsidRPr="00E232CC" w:rsidRDefault="00397241" w:rsidP="007A4401">
            <w:pPr>
              <w:spacing w:line="240" w:lineRule="auto"/>
            </w:pPr>
            <w:r w:rsidRPr="00E232CC">
              <w:t>Venezuela</w:t>
            </w:r>
          </w:p>
        </w:tc>
        <w:tc>
          <w:tcPr>
            <w:tcW w:w="4677" w:type="dxa"/>
            <w:tcBorders>
              <w:top w:val="nil"/>
              <w:left w:val="nil"/>
              <w:bottom w:val="nil"/>
              <w:right w:val="nil"/>
            </w:tcBorders>
            <w:vAlign w:val="center"/>
          </w:tcPr>
          <w:p w14:paraId="7BCBBA21" w14:textId="77777777" w:rsidR="00397241" w:rsidRPr="00E232CC" w:rsidRDefault="00397241" w:rsidP="007A4401">
            <w:pPr>
              <w:spacing w:line="240" w:lineRule="auto"/>
              <w:jc w:val="left"/>
            </w:pPr>
            <w:r w:rsidRPr="00E232CC">
              <w:t>Low culinary quality</w:t>
            </w:r>
          </w:p>
        </w:tc>
        <w:tc>
          <w:tcPr>
            <w:tcW w:w="1418" w:type="dxa"/>
            <w:tcBorders>
              <w:top w:val="nil"/>
              <w:left w:val="nil"/>
              <w:bottom w:val="nil"/>
              <w:right w:val="nil"/>
            </w:tcBorders>
          </w:tcPr>
          <w:p w14:paraId="51B07115" w14:textId="77777777" w:rsidR="00397241" w:rsidRPr="00E232CC" w:rsidRDefault="00397241" w:rsidP="007A4401">
            <w:pPr>
              <w:spacing w:line="240" w:lineRule="auto"/>
              <w:jc w:val="center"/>
            </w:pPr>
          </w:p>
        </w:tc>
      </w:tr>
      <w:tr w:rsidR="00397241" w:rsidRPr="00E232CC" w14:paraId="37D9FA20" w14:textId="77777777" w:rsidTr="007A4401">
        <w:tc>
          <w:tcPr>
            <w:tcW w:w="1276" w:type="dxa"/>
            <w:tcBorders>
              <w:top w:val="nil"/>
              <w:left w:val="nil"/>
              <w:bottom w:val="single" w:sz="12" w:space="0" w:color="auto"/>
              <w:right w:val="nil"/>
            </w:tcBorders>
            <w:vAlign w:val="center"/>
          </w:tcPr>
          <w:p w14:paraId="08700A3B" w14:textId="77777777" w:rsidR="00397241" w:rsidRPr="00E232CC" w:rsidRDefault="00397241" w:rsidP="007A4401">
            <w:pPr>
              <w:spacing w:line="240" w:lineRule="auto"/>
            </w:pPr>
            <w:r w:rsidRPr="00E232CC">
              <w:t>VEN77</w:t>
            </w:r>
          </w:p>
        </w:tc>
        <w:tc>
          <w:tcPr>
            <w:tcW w:w="1418" w:type="dxa"/>
            <w:tcBorders>
              <w:top w:val="nil"/>
              <w:left w:val="nil"/>
              <w:bottom w:val="single" w:sz="12" w:space="0" w:color="auto"/>
              <w:right w:val="nil"/>
            </w:tcBorders>
            <w:vAlign w:val="center"/>
          </w:tcPr>
          <w:p w14:paraId="4D453500" w14:textId="77777777" w:rsidR="00397241" w:rsidRPr="00E232CC" w:rsidRDefault="00397241" w:rsidP="007A4401">
            <w:pPr>
              <w:spacing w:line="240" w:lineRule="auto"/>
            </w:pPr>
            <w:r w:rsidRPr="00E232CC">
              <w:t>Venezuela</w:t>
            </w:r>
          </w:p>
        </w:tc>
        <w:tc>
          <w:tcPr>
            <w:tcW w:w="4677" w:type="dxa"/>
            <w:tcBorders>
              <w:top w:val="nil"/>
              <w:left w:val="nil"/>
              <w:bottom w:val="single" w:sz="12" w:space="0" w:color="auto"/>
              <w:right w:val="nil"/>
            </w:tcBorders>
            <w:vAlign w:val="center"/>
          </w:tcPr>
          <w:p w14:paraId="730F2A59" w14:textId="77777777" w:rsidR="00397241" w:rsidRPr="00E232CC" w:rsidRDefault="00397241" w:rsidP="007A4401">
            <w:pPr>
              <w:spacing w:line="240" w:lineRule="auto"/>
              <w:jc w:val="left"/>
            </w:pPr>
            <w:r>
              <w:t>Drought tolerant</w:t>
            </w:r>
          </w:p>
        </w:tc>
        <w:tc>
          <w:tcPr>
            <w:tcW w:w="1418" w:type="dxa"/>
            <w:tcBorders>
              <w:top w:val="nil"/>
              <w:left w:val="nil"/>
              <w:bottom w:val="single" w:sz="12" w:space="0" w:color="auto"/>
              <w:right w:val="nil"/>
            </w:tcBorders>
          </w:tcPr>
          <w:p w14:paraId="27D88102" w14:textId="77777777" w:rsidR="00397241" w:rsidRPr="00E232CC" w:rsidRDefault="00397241" w:rsidP="007A4401">
            <w:pPr>
              <w:spacing w:line="240" w:lineRule="auto"/>
              <w:jc w:val="center"/>
            </w:pPr>
            <w:r w:rsidRPr="00E232CC">
              <w:t>susc</w:t>
            </w:r>
            <w:r>
              <w:t>.</w:t>
            </w:r>
          </w:p>
        </w:tc>
      </w:tr>
    </w:tbl>
    <w:p w14:paraId="405D73A5" w14:textId="77777777" w:rsidR="00397241" w:rsidRPr="00DF59EA" w:rsidRDefault="00397241" w:rsidP="00397241">
      <w:pPr>
        <w:rPr>
          <w:sz w:val="20"/>
          <w:szCs w:val="20"/>
        </w:rPr>
      </w:pPr>
      <w:r w:rsidRPr="00DF59EA">
        <w:rPr>
          <w:sz w:val="20"/>
          <w:szCs w:val="20"/>
        </w:rPr>
        <w:t>*These varieties are also known as TMS30555 (NGA5) and TMS60444 (NGA11).</w:t>
      </w:r>
    </w:p>
    <w:p w14:paraId="4BB9A48F" w14:textId="77777777" w:rsidR="000B10BD" w:rsidRPr="00E232CC" w:rsidRDefault="000B10BD" w:rsidP="000B10BD">
      <w:pPr>
        <w:pStyle w:val="Heading1"/>
      </w:pPr>
      <w:r w:rsidRPr="00E232CC">
        <w:t>Material and methods</w:t>
      </w:r>
    </w:p>
    <w:p w14:paraId="2BEADCB0" w14:textId="77777777" w:rsidR="000B10BD" w:rsidRPr="00E232CC" w:rsidRDefault="000B10BD" w:rsidP="000B10BD">
      <w:pPr>
        <w:pStyle w:val="Heading2"/>
      </w:pPr>
      <w:r w:rsidRPr="00E232CC">
        <w:t>Plant material</w:t>
      </w:r>
    </w:p>
    <w:p w14:paraId="66AAB83F" w14:textId="1C472E1D" w:rsidR="00397241" w:rsidRPr="00E232CC" w:rsidRDefault="00397241" w:rsidP="00B11424">
      <w:r>
        <w:rPr>
          <w:lang w:val="en-US"/>
        </w:rPr>
        <w:t>Twenty cassava landraces (Table 1</w:t>
      </w:r>
      <w:r w:rsidR="000B10BD" w:rsidRPr="00E232CC">
        <w:rPr>
          <w:lang w:val="en-US"/>
        </w:rPr>
        <w:t>) were grown under CIAT’s standard field conditions.</w:t>
      </w:r>
      <w:r w:rsidR="00B11424">
        <w:rPr>
          <w:lang w:val="en-US"/>
        </w:rPr>
        <w:t xml:space="preserve"> Six biological replicates were planted for each landrace.</w:t>
      </w:r>
      <w:r w:rsidR="000B10BD" w:rsidRPr="00E232CC">
        <w:rPr>
          <w:lang w:val="en-US"/>
        </w:rPr>
        <w:t xml:space="preserve"> </w:t>
      </w:r>
      <w:r w:rsidR="00B11424">
        <w:rPr>
          <w:lang w:val="en-US"/>
        </w:rPr>
        <w:t xml:space="preserve">Leaf, stem and root tissue </w:t>
      </w:r>
      <w:r w:rsidR="00B11424" w:rsidRPr="00E232CC">
        <w:t>(approx. 200g)</w:t>
      </w:r>
      <w:r w:rsidR="00B11424">
        <w:rPr>
          <w:lang w:val="en-US"/>
        </w:rPr>
        <w:t xml:space="preserve"> </w:t>
      </w:r>
      <w:r w:rsidR="00B11424">
        <w:rPr>
          <w:lang w:val="en-US"/>
        </w:rPr>
        <w:lastRenderedPageBreak/>
        <w:t>was collected from t</w:t>
      </w:r>
      <w:r w:rsidR="000B10BD" w:rsidRPr="00E232CC">
        <w:rPr>
          <w:lang w:val="en-US"/>
        </w:rPr>
        <w:t xml:space="preserve">en months </w:t>
      </w:r>
      <w:r w:rsidR="00B11424">
        <w:rPr>
          <w:lang w:val="en-US"/>
        </w:rPr>
        <w:t>old plants,</w:t>
      </w:r>
      <w:r w:rsidR="000B10BD" w:rsidRPr="00E232CC">
        <w:rPr>
          <w:lang w:val="en-US"/>
        </w:rPr>
        <w:t xml:space="preserve"> immediately frozen in liquid nitrogen and lyophilized.</w:t>
      </w:r>
    </w:p>
    <w:p w14:paraId="4E82372A" w14:textId="5FCB1288" w:rsidR="000B10BD" w:rsidRPr="00E232CC" w:rsidRDefault="000B10BD" w:rsidP="000B10BD">
      <w:pPr>
        <w:pStyle w:val="Heading2"/>
      </w:pPr>
      <w:r w:rsidRPr="00E232CC">
        <w:t>Extraction</w:t>
      </w:r>
      <w:r w:rsidR="00187C28">
        <w:t xml:space="preserve"> and analysis</w:t>
      </w:r>
      <w:r w:rsidRPr="00E232CC">
        <w:t xml:space="preserve"> of </w:t>
      </w:r>
      <w:r w:rsidR="00187C28">
        <w:t xml:space="preserve">polar </w:t>
      </w:r>
      <w:r w:rsidRPr="00E232CC">
        <w:t>metabolites</w:t>
      </w:r>
    </w:p>
    <w:p w14:paraId="441ED3C9" w14:textId="25AAC8DE" w:rsidR="00B11424" w:rsidRDefault="000B10BD" w:rsidP="00B11424">
      <w:r w:rsidRPr="00E232CC">
        <w:t>Freeze-dried tissue was ground into a fine powder</w:t>
      </w:r>
      <w:r w:rsidR="00B11424">
        <w:t xml:space="preserve"> and a quality control (pool of all samples, QC) created</w:t>
      </w:r>
      <w:r w:rsidRPr="00E232CC">
        <w:t>. Samples</w:t>
      </w:r>
      <w:r w:rsidR="00B11424">
        <w:t xml:space="preserve"> and QCs</w:t>
      </w:r>
      <w:r w:rsidR="00A174EE">
        <w:t xml:space="preserve"> were weighed (10±0.5</w:t>
      </w:r>
      <w:r w:rsidRPr="00E232CC">
        <w:t xml:space="preserve">mg) into plastic tubes and extracted </w:t>
      </w:r>
      <w:r w:rsidR="00B11424">
        <w:t xml:space="preserve">with methanol/water/chloroform </w:t>
      </w:r>
      <w:r w:rsidR="00B11424">
        <w:fldChar w:fldCharType="begin" w:fldLock="1"/>
      </w:r>
      <w:r w:rsidR="00D93D1E">
        <w:instrText>ADDIN CSL_CITATION {"citationItems":[{"id":"ITEM-1","itemData":{"DOI":"10.1021/acs.jafc.8b04769","ISSN":"15205118","abstract":"© 2018 American Chemical Society. Cassava (Manihot esculenta Crantz) is the predominant staple food in Sub-Saharan Africa (SSA) and an industrial crop in South East Asia. Despite focused breeding efforts for increased yield, resistance, and nutritional value, cassava breeding has not advanced at the same rapidity as other staple crops. In the present study, metabolomic techniques were implemented to characterize the chemotypes of selected cassava accessions and assess potential resources for the breeding program. The metabolite data analyzed was applied to describe the biochemical diversity available in the panel, identifying South American accessions as the most diverse. Genotypes with distinct phenotypic traits showed a representative metabolite profile and could be clearly identified, even if the phenotypic trait was a root characteristic, e.g., high amylose content.","author":[{"dropping-particle":"","family":"Drapal","given":"M.","non-dropping-particle":"","parse-names":false,"suffix":""},{"dropping-particle":"","family":"Barros De Carvalho","given":"E.","non-dropping-particle":"","parse-names":false,"suffix":""},{"dropping-particle":"","family":"Ovalle Rivera","given":"T.M.","non-dropping-particle":"","parse-names":false,"suffix":""},{"dropping-particle":"","family":"Becerra Lopez-Lavalle","given":"L.A.","non-dropping-particle":"","parse-names":false,"suffix":""},{"dropping-particle":"","family":"Fraser","given":"P.D.","non-dropping-particle":"","parse-names":false,"suffix":""}],"container-title":"Journal of Agricultural and Food Chemistry","id":"ITEM-1","issue":"3","issued":{"date-parts":[["2019"]]},"title":"Capturing Biochemical Diversity in Cassava (Manihot esculenta Crantz) through the Application of Metabolite Profiling","type":"article-journal","volume":"67"},"uris":["http://www.mendeley.com/documents/?uuid=df8c287c-6ec3-3309-af88-7124731a5d69"]}],"mendeley":{"formattedCitation":"(Drapal &lt;i&gt;et al.&lt;/i&gt;, 2019)","plainTextFormattedCitation":"(Drapal et al., 2019)","previouslyFormattedCitation":"(Drapal &lt;i&gt;et al.&lt;/i&gt;, 2019)"},"properties":{"noteIndex":0},"schema":"https://github.com/citation-style-language/schema/raw/master/csl-citation.json"}</w:instrText>
      </w:r>
      <w:r w:rsidR="00B11424">
        <w:fldChar w:fldCharType="separate"/>
      </w:r>
      <w:r w:rsidR="00B11424" w:rsidRPr="00B11424">
        <w:rPr>
          <w:noProof/>
        </w:rPr>
        <w:t xml:space="preserve">(Drapal </w:t>
      </w:r>
      <w:r w:rsidR="00B11424" w:rsidRPr="00B11424">
        <w:rPr>
          <w:i/>
          <w:noProof/>
        </w:rPr>
        <w:t>et al.</w:t>
      </w:r>
      <w:r w:rsidR="00B11424" w:rsidRPr="00B11424">
        <w:rPr>
          <w:noProof/>
        </w:rPr>
        <w:t>, 2019)</w:t>
      </w:r>
      <w:r w:rsidR="00B11424">
        <w:fldChar w:fldCharType="end"/>
      </w:r>
      <w:r w:rsidRPr="00E232CC">
        <w:t xml:space="preserve">. </w:t>
      </w:r>
      <w:r w:rsidR="00B11424">
        <w:t>After phase separation</w:t>
      </w:r>
      <w:r w:rsidR="000E6008">
        <w:t>,</w:t>
      </w:r>
      <w:r w:rsidR="00B11424">
        <w:t xml:space="preserve"> aliquots of </w:t>
      </w:r>
      <w:r w:rsidR="000E6008">
        <w:t>the polar phase</w:t>
      </w:r>
      <w:r w:rsidR="00B11424">
        <w:t xml:space="preserve"> were immediately used for LC-MS analysis or dried down for GC-MS</w:t>
      </w:r>
      <w:r w:rsidR="00187C28">
        <w:t xml:space="preserve"> analysis</w:t>
      </w:r>
      <w:r w:rsidR="00B11424">
        <w:t>.</w:t>
      </w:r>
    </w:p>
    <w:p w14:paraId="388DF107" w14:textId="77777777" w:rsidR="000B10BD" w:rsidRPr="00E232CC" w:rsidRDefault="000B10BD" w:rsidP="00187C28">
      <w:pPr>
        <w:pStyle w:val="Heading3"/>
      </w:pPr>
      <w:r w:rsidRPr="00E232CC">
        <w:t>LC-MS analysis of polar extracts</w:t>
      </w:r>
    </w:p>
    <w:p w14:paraId="2E91F555" w14:textId="34EA031B" w:rsidR="004F51E0" w:rsidRDefault="00187C28" w:rsidP="00187C28">
      <w:r>
        <w:t xml:space="preserve">An aliquot of the polar phase (150µl) was filtered using syringe filters (0.45µm, nylon). The filtrate (100µl) was transferred to a glass insert and internal standard genistein (5µl of 0.2mg/ml stock solution) added. </w:t>
      </w:r>
      <w:r w:rsidR="003A0DF6">
        <w:t xml:space="preserve">Analysis was performed with an Agilent 6560 Ion Mobility Q-TOF coupled to an Agilent 1290 Infinity II (Agilent Technologies, Inc.). </w:t>
      </w:r>
      <w:r w:rsidR="00D93D1E">
        <w:t xml:space="preserve">All solvents used for LC-MS analysis were of LC-MS grade and comprised solvent A </w:t>
      </w:r>
      <w:r w:rsidR="00D93D1E" w:rsidRPr="00E232CC">
        <w:t>(water and 0.1% formic acid)</w:t>
      </w:r>
      <w:r w:rsidR="00D93D1E">
        <w:t xml:space="preserve"> and solvent B </w:t>
      </w:r>
      <w:r w:rsidR="00D93D1E" w:rsidRPr="00E232CC">
        <w:t>(acetonitrile and 0.1% formic acid)</w:t>
      </w:r>
      <w:r w:rsidR="00D93D1E">
        <w:t xml:space="preserve">. The samples were separated </w:t>
      </w:r>
      <w:r w:rsidR="004F51E0">
        <w:t>with a</w:t>
      </w:r>
      <w:r w:rsidR="003A0DF6">
        <w:t>n</w:t>
      </w:r>
      <w:r w:rsidR="004F51E0">
        <w:t xml:space="preserve"> </w:t>
      </w:r>
      <w:r w:rsidR="004F51E0" w:rsidRPr="004F51E0">
        <w:t>YMC-UltraHTPro C18 column (100 × 2mm</w:t>
      </w:r>
      <w:r w:rsidR="004F51E0">
        <w:t xml:space="preserve"> </w:t>
      </w:r>
      <w:r w:rsidR="004F51E0" w:rsidRPr="004F51E0">
        <w:t>i.d.</w:t>
      </w:r>
      <w:r w:rsidR="004F51E0">
        <w:t xml:space="preserve"> </w:t>
      </w:r>
      <w:r w:rsidR="00A174EE">
        <w:t>2</w:t>
      </w:r>
      <w:r w:rsidR="004F51E0" w:rsidRPr="004F51E0">
        <w:t>μm)</w:t>
      </w:r>
      <w:r w:rsidR="004F51E0">
        <w:t xml:space="preserve"> at 0.2ml/min. The solvent gradient started at 95% (A) for 0.5min, followed by a linear decrease to 75% (A) at 3min, 70% (A) at 6min, 0% (A) at 6.5min</w:t>
      </w:r>
      <w:r w:rsidR="003A0DF6">
        <w:t>, which was held until 7.5min before return to initial conditions of 95% (A) at 9.5min. After the last step, the column was re-equilibrated for 1min.</w:t>
      </w:r>
      <w:r w:rsidR="00A01E83">
        <w:t xml:space="preserve"> The eluate was split for simultaneously analysis by DAD (scan mode 200-600nm) and MS.</w:t>
      </w:r>
      <w:r w:rsidR="003A0DF6">
        <w:t xml:space="preserve"> Mass spectrum data of the eluting compounds was collected in nega</w:t>
      </w:r>
      <w:r w:rsidR="00A174EE">
        <w:t>tive centroid mode (100 to 1700</w:t>
      </w:r>
      <w:r w:rsidR="003A0DF6">
        <w:t>m/z</w:t>
      </w:r>
      <w:r w:rsidR="00A174EE">
        <w:t>, 0.9</w:t>
      </w:r>
      <w:r w:rsidR="00463D52">
        <w:t>spectra/second</w:t>
      </w:r>
      <w:r w:rsidR="003A0DF6">
        <w:t xml:space="preserve">). The source settings included </w:t>
      </w:r>
      <w:r w:rsidR="00091646">
        <w:t>nozzle</w:t>
      </w:r>
      <w:r w:rsidR="003A0DF6">
        <w:t xml:space="preserve"> and capillary voltages at </w:t>
      </w:r>
      <w:r w:rsidR="00091646">
        <w:t>-500V</w:t>
      </w:r>
      <w:r w:rsidR="003A0DF6">
        <w:t xml:space="preserve"> and </w:t>
      </w:r>
      <w:r w:rsidR="00091646">
        <w:t>4000V</w:t>
      </w:r>
      <w:r w:rsidR="003A0DF6">
        <w:t xml:space="preserve">, nebulizer gas (nitrogen) at </w:t>
      </w:r>
      <w:r w:rsidR="00091646">
        <w:t>35psi</w:t>
      </w:r>
      <w:r w:rsidR="003A0DF6">
        <w:t>,</w:t>
      </w:r>
      <w:r w:rsidR="00A174EE">
        <w:t xml:space="preserve"> dry gas at 5</w:t>
      </w:r>
      <w:r w:rsidR="00091646">
        <w:t>l/min and 325°C and</w:t>
      </w:r>
      <w:r w:rsidR="003A0DF6">
        <w:t xml:space="preserve"> </w:t>
      </w:r>
      <w:r w:rsidR="00091646">
        <w:t>sheath</w:t>
      </w:r>
      <w:r w:rsidR="003A0DF6">
        <w:t xml:space="preserve"> gas at </w:t>
      </w:r>
      <w:r w:rsidR="00091646">
        <w:t>12</w:t>
      </w:r>
      <w:r w:rsidR="003A0DF6">
        <w:t xml:space="preserve">l/min and </w:t>
      </w:r>
      <w:r w:rsidR="00091646">
        <w:t>275</w:t>
      </w:r>
      <w:r w:rsidR="003A0DF6">
        <w:t xml:space="preserve">°C. Calibration was performed during each run to a </w:t>
      </w:r>
      <w:r w:rsidR="00A01E83">
        <w:t>reference solution.</w:t>
      </w:r>
    </w:p>
    <w:p w14:paraId="585412CC" w14:textId="07E7B829" w:rsidR="00A01E83" w:rsidRDefault="00A01E83" w:rsidP="00187C28">
      <w:r>
        <w:t>Molecular feature extraction was performed with Agilent Profinder (V10.0 SP1, Agilent Technologies, Inc.) with retention time tolerance 0.3min and mass tolerance 10ppm for peaks &gt;400 counts. The resulting data table included molecular features which were a compilation of all adducts and isotopes detected. The data was corrected by corresponding internal standard and quality control. Quantification was performed relative to the internal standard. Metabolites were identified through comparison of UV/VIS spectrum, mass spectrum and retention time to an in-house library of authentic standards.</w:t>
      </w:r>
    </w:p>
    <w:p w14:paraId="44E3DA1A" w14:textId="77777777" w:rsidR="00B11424" w:rsidRPr="00E232CC" w:rsidRDefault="00B11424" w:rsidP="00187C28">
      <w:pPr>
        <w:pStyle w:val="Heading3"/>
      </w:pPr>
      <w:r w:rsidRPr="00E232CC">
        <w:lastRenderedPageBreak/>
        <w:t>GC-MS analysis of polar extracts</w:t>
      </w:r>
    </w:p>
    <w:p w14:paraId="762E2696" w14:textId="0DB6193C" w:rsidR="003A4653" w:rsidRDefault="000E6008" w:rsidP="003A4653">
      <w:r>
        <w:t xml:space="preserve">Aliquots of the polar phase (120µl) were dried down with internal standard </w:t>
      </w:r>
      <w:r>
        <w:rPr>
          <w:vertAlign w:val="subscript"/>
        </w:rPr>
        <w:t>d4</w:t>
      </w:r>
      <w:r>
        <w:t xml:space="preserve">-suiccinic acid (10µg). The dried extracts were stored at -20°C </w:t>
      </w:r>
      <w:r w:rsidR="003A4653">
        <w:t>and</w:t>
      </w:r>
      <w:r>
        <w:t xml:space="preserve"> </w:t>
      </w:r>
      <w:r w:rsidR="003A4653">
        <w:t>derivatised (methoxymation and silylation) in batches before analysis</w:t>
      </w:r>
      <w:r>
        <w:t xml:space="preserve"> </w:t>
      </w:r>
      <w:r>
        <w:fldChar w:fldCharType="begin" w:fldLock="1"/>
      </w:r>
      <w:r w:rsidR="00D93D1E">
        <w:instrText>ADDIN CSL_CITATION {"citationItems":[{"id":"ITEM-1","itemData":{"DOI":"10.1021/acs.jafc.8b04769","ISSN":"15205118","abstract":"© 2018 American Chemical Society. Cassava (Manihot esculenta Crantz) is the predominant staple food in Sub-Saharan Africa (SSA) and an industrial crop in South East Asia. Despite focused breeding efforts for increased yield, resistance, and nutritional value, cassava breeding has not advanced at the same rapidity as other staple crops. In the present study, metabolomic techniques were implemented to characterize the chemotypes of selected cassava accessions and assess potential resources for the breeding program. The metabolite data analyzed was applied to describe the biochemical diversity available in the panel, identifying South American accessions as the most diverse. Genotypes with distinct phenotypic traits showed a representative metabolite profile and could be clearly identified, even if the phenotypic trait was a root characteristic, e.g., high amylose content.","author":[{"dropping-particle":"","family":"Drapal","given":"M.","non-dropping-particle":"","parse-names":false,"suffix":""},{"dropping-particle":"","family":"Barros De Carvalho","given":"E.","non-dropping-particle":"","parse-names":false,"suffix":""},{"dropping-particle":"","family":"Ovalle Rivera","given":"T.M.","non-dropping-particle":"","parse-names":false,"suffix":""},{"dropping-particle":"","family":"Becerra Lopez-Lavalle","given":"L.A.","non-dropping-particle":"","parse-names":false,"suffix":""},{"dropping-particle":"","family":"Fraser","given":"P.D.","non-dropping-particle":"","parse-names":false,"suffix":""}],"container-title":"Journal of Agricultural and Food Chemistry","id":"ITEM-1","issue":"3","issued":{"date-parts":[["2019"]]},"title":"Capturing Biochemical Diversity in Cassava (Manihot esculenta Crantz) through the Application of Metabolite Profiling","type":"article-journal","volume":"67"},"uris":["http://www.mendeley.com/documents/?uuid=df8c287c-6ec3-3309-af88-7124731a5d69"]}],"mendeley":{"formattedCitation":"(Drapal &lt;i&gt;et al.&lt;/i&gt;, 2019)","plainTextFormattedCitation":"(Drapal et al., 2019)","previouslyFormattedCitation":"(Drapal &lt;i&gt;et al.&lt;/i&gt;, 2019)"},"properties":{"noteIndex":0},"schema":"https://github.com/citation-style-language/schema/raw/master/csl-citation.json"}</w:instrText>
      </w:r>
      <w:r>
        <w:fldChar w:fldCharType="separate"/>
      </w:r>
      <w:r w:rsidRPr="00B11424">
        <w:rPr>
          <w:noProof/>
        </w:rPr>
        <w:t xml:space="preserve">(Drapal </w:t>
      </w:r>
      <w:r w:rsidRPr="00B11424">
        <w:rPr>
          <w:i/>
          <w:noProof/>
        </w:rPr>
        <w:t>et al.</w:t>
      </w:r>
      <w:r w:rsidRPr="00B11424">
        <w:rPr>
          <w:noProof/>
        </w:rPr>
        <w:t>, 2019)</w:t>
      </w:r>
      <w:r>
        <w:fldChar w:fldCharType="end"/>
      </w:r>
      <w:r>
        <w:t>.</w:t>
      </w:r>
      <w:r w:rsidR="003A4653">
        <w:t xml:space="preserve"> </w:t>
      </w:r>
      <w:r w:rsidR="008A36C2">
        <w:t xml:space="preserve">The analysis was performed as reported </w:t>
      </w:r>
      <w:r w:rsidR="003E211B">
        <w:t xml:space="preserve">with an </w:t>
      </w:r>
      <w:r w:rsidR="003E211B">
        <w:rPr>
          <w:sz w:val="23"/>
          <w:szCs w:val="23"/>
        </w:rPr>
        <w:t xml:space="preserve">7890A gas chromatography (GC) system coupled with a mass spectrometer (MS) 5795C MSD </w:t>
      </w:r>
      <w:r w:rsidR="003E211B">
        <w:t xml:space="preserve">(Agilent Technologies, Inc.) </w:t>
      </w:r>
      <w:r w:rsidR="008A36C2">
        <w:t xml:space="preserve">in splitless mode. </w:t>
      </w:r>
      <w:r w:rsidR="003A4653">
        <w:t>Metabolites were identified with AMDIS (V</w:t>
      </w:r>
      <w:r w:rsidR="005B36CF">
        <w:t>2.71</w:t>
      </w:r>
      <w:r w:rsidR="003A4653">
        <w:t>) including an in-house library. Identification parameters included retention time, retention indices and mass spectrum. The resulting data was quantified relative to the internal standard and sample weight.</w:t>
      </w:r>
    </w:p>
    <w:p w14:paraId="42FCC62D" w14:textId="6B7FBBBB" w:rsidR="000B10BD" w:rsidRPr="00E232CC" w:rsidRDefault="00187C28" w:rsidP="000B10BD">
      <w:pPr>
        <w:pStyle w:val="Heading2"/>
      </w:pPr>
      <w:r>
        <w:t>Extraction and analysis of non-polar metabolites</w:t>
      </w:r>
    </w:p>
    <w:p w14:paraId="0B7D38BA" w14:textId="411B79EC" w:rsidR="005B36CF" w:rsidRDefault="005B36CF" w:rsidP="005B36CF">
      <w:r>
        <w:t>The extraction</w:t>
      </w:r>
      <w:r w:rsidR="00D93D1E">
        <w:t xml:space="preserve"> and analysis</w:t>
      </w:r>
      <w:r>
        <w:t xml:space="preserve"> of carotenoids and chlorophylls from cassava leaf tissue was performed as previously described </w:t>
      </w:r>
      <w:r w:rsidR="00D93D1E">
        <w:fldChar w:fldCharType="begin" w:fldLock="1"/>
      </w:r>
      <w:r w:rsidR="00D93D1E">
        <w:instrText>ADDIN CSL_CITATION {"citationItems":[{"id":"ITEM-1","itemData":{"DOI":"10.1105/tpc.113.116210","ISSN":"1532-298X (Electronic) 1040-4651 (Linking)","author":[{"dropping-particle":"","family":"Nogueira","given":"M","non-dropping-particle":"","parse-names":false,"suffix":""},{"dropping-particle":"","family":"Mora","given":"L","non-dropping-particle":"","parse-names":false,"suffix":""},{"dropping-particle":"","family":"Enfissi","given":"E M","non-dropping-particle":"","parse-names":false,"suffix":""},{"dropping-particle":"","family":"Bramley","given":"P M","non-dropping-particle":"","parse-names":false,"suffix":""},{"dropping-particle":"","family":"Fraser","given":"P D","non-dropping-particle":"","parse-names":false,"suffix":""}],"container-title":"Plant Cell","id":"ITEM-1","issue":"11","issued":{"date-parts":[["2013"]]},"page":"4560-4579","title":"Subchromoplast sequestration of carotenoids affects regulatory mechanisms in tomato lines expressing different carotenoid gene combinations","type":"article-journal","volume":"25"},"uris":["http://www.mendeley.com/documents/?uuid=b5204a81-9d0e-43f7-be85-868101b8a0b8"]}],"mendeley":{"formattedCitation":"(Nogueira &lt;i&gt;et al.&lt;/i&gt;, 2013)","plainTextFormattedCitation":"(Nogueira et al., 2013)","previouslyFormattedCitation":"(Nogueira &lt;i&gt;et al.&lt;/i&gt;, 2013)"},"properties":{"noteIndex":0},"schema":"https://github.com/citation-style-language/schema/raw/master/csl-citation.json"}</w:instrText>
      </w:r>
      <w:r w:rsidR="00D93D1E">
        <w:fldChar w:fldCharType="separate"/>
      </w:r>
      <w:r w:rsidR="00D93D1E" w:rsidRPr="00D93D1E">
        <w:rPr>
          <w:noProof/>
        </w:rPr>
        <w:t xml:space="preserve">(Nogueira </w:t>
      </w:r>
      <w:r w:rsidR="00D93D1E" w:rsidRPr="00D93D1E">
        <w:rPr>
          <w:i/>
          <w:noProof/>
        </w:rPr>
        <w:t>et al.</w:t>
      </w:r>
      <w:r w:rsidR="00D93D1E" w:rsidRPr="00D93D1E">
        <w:rPr>
          <w:noProof/>
        </w:rPr>
        <w:t>, 2013)</w:t>
      </w:r>
      <w:r w:rsidR="00D93D1E">
        <w:fldChar w:fldCharType="end"/>
      </w:r>
      <w:r>
        <w:t>. After phase separation, an aliquot (350µl) of the non-polar chloroform phase was dried down and stored at -20°C until analysis. The dried aliquots were resuspended in ethyl</w:t>
      </w:r>
      <w:r w:rsidR="00954C99">
        <w:t xml:space="preserve"> </w:t>
      </w:r>
      <w:r>
        <w:t>acetate</w:t>
      </w:r>
      <w:r w:rsidR="00D93D1E">
        <w:t>/</w:t>
      </w:r>
      <w:r>
        <w:t>acetonitrile (100µl, 1:9 (v/v))</w:t>
      </w:r>
      <w:r w:rsidR="00D93D1E">
        <w:t xml:space="preserve">, centrifuged for 5 min at full speed and an aliquot (80µl) transferred to a glass insert. The injection volume was 3µl. Carotenoids and chlorophylls were identified by their specific retention time and UV/VIS spectrum </w:t>
      </w:r>
      <w:r w:rsidR="00D93D1E">
        <w:fldChar w:fldCharType="begin" w:fldLock="1"/>
      </w:r>
      <w:r w:rsidR="00BA44BF">
        <w:instrText>ADDIN CSL_CITATION {"citationItems":[{"id":"ITEM-1","itemData":{"ISSN":"0960-7412 (Print) 0960-7412 (Linking)","author":[{"dropping-particle":"","family":"Fraser","given":"P D","non-dropping-particle":"","parse-names":false,"suffix":""},{"dropping-particle":"","family":"Pinto","given":"M E","non-dropping-particle":"","parse-names":false,"suffix":""},{"dropping-particle":"","family":"Holloway","given":"D E","non-dropping-particle":"","parse-names":false,"suffix":""},{"dropping-particle":"","family":"Bramley","given":"P M","non-dropping-particle":"","parse-names":false,"suffix":""}],"container-title":"Plant J","id":"ITEM-1","issue":"4","issued":{"date-parts":[["2000"]]},"page":"551-558","title":"Technical advance: application of high-performance liquid chromatography with photodiode array detection to the metabolic profiling of plant isoprenoids","type":"article-journal","volume":"24"},"uris":["http://www.mendeley.com/documents/?uuid=8118454a-c34c-41ef-974a-5b63c839a6d9"]}],"mendeley":{"formattedCitation":"(Fraser &lt;i&gt;et al.&lt;/i&gt;, 2000)","plainTextFormattedCitation":"(Fraser et al., 2000)","previouslyFormattedCitation":"(Fraser &lt;i&gt;et al.&lt;/i&gt;, 2000)"},"properties":{"noteIndex":0},"schema":"https://github.com/citation-style-language/schema/raw/master/csl-citation.json"}</w:instrText>
      </w:r>
      <w:r w:rsidR="00D93D1E">
        <w:fldChar w:fldCharType="separate"/>
      </w:r>
      <w:r w:rsidR="00D93D1E" w:rsidRPr="00D93D1E">
        <w:rPr>
          <w:noProof/>
        </w:rPr>
        <w:t xml:space="preserve">(Fraser </w:t>
      </w:r>
      <w:r w:rsidR="00D93D1E" w:rsidRPr="00D93D1E">
        <w:rPr>
          <w:i/>
          <w:noProof/>
        </w:rPr>
        <w:t>et al.</w:t>
      </w:r>
      <w:r w:rsidR="00D93D1E" w:rsidRPr="00D93D1E">
        <w:rPr>
          <w:noProof/>
        </w:rPr>
        <w:t>, 2000)</w:t>
      </w:r>
      <w:r w:rsidR="00D93D1E">
        <w:fldChar w:fldCharType="end"/>
      </w:r>
      <w:r w:rsidR="00D93D1E">
        <w:t>. Quantification was performed with individual dose-response curves.</w:t>
      </w:r>
    </w:p>
    <w:p w14:paraId="730313E7" w14:textId="2E30CCCC" w:rsidR="000B10BD" w:rsidRPr="00E232CC" w:rsidRDefault="00BA44BF" w:rsidP="000B10BD">
      <w:pPr>
        <w:pStyle w:val="Heading2"/>
      </w:pPr>
      <w:r>
        <w:t>S</w:t>
      </w:r>
      <w:r w:rsidR="000B10BD" w:rsidRPr="00E232CC">
        <w:t>tatistical analysis</w:t>
      </w:r>
    </w:p>
    <w:p w14:paraId="4A1DC0A2" w14:textId="48EEF737" w:rsidR="000B10BD" w:rsidRDefault="00BA44BF" w:rsidP="000B10BD">
      <w:pPr>
        <w:rPr>
          <w:rFonts w:eastAsiaTheme="majorEastAsia" w:cstheme="majorBidi"/>
        </w:rPr>
      </w:pPr>
      <w:r>
        <w:t xml:space="preserve">Statistical analysis was performed with Simca P (13.0.3.0, </w:t>
      </w:r>
      <w:r w:rsidRPr="00E232CC">
        <w:t>Umetrics)</w:t>
      </w:r>
      <w:r>
        <w:t xml:space="preserve">, XLSTAT (2017, Addinsoft), GraphPad Prism (8.3.0, ) and Metaboanalyst </w:t>
      </w:r>
      <w:r>
        <w:fldChar w:fldCharType="begin" w:fldLock="1"/>
      </w:r>
      <w:r w:rsidR="0076221F">
        <w:instrText>ADDIN CSL_CITATION {"citationItems":[{"id":"ITEM-1","itemData":{"DOI":"10.1002/cpbi.11","ISBN":"9780471250951","author":[{"dropping-particle":"","family":"Xia","given":"Jianguo","non-dropping-particle":"","parse-names":false,"suffix":""},{"dropping-particle":"","family":"Wishart","given":"David S","non-dropping-particle":"","parse-names":false,"suffix":""}],"container-title":"Current Protocols in Bioinformatics","id":"ITEM-1","issued":{"date-parts":[["2016"]]},"publisher":"John Wiley &amp; Sons, Inc.","title":"Using MetaboAnalyst 3.0 for comprehensive metabolomics data analysis","type":"chapter"},"uris":["http://www.mendeley.com/documents/?uuid=c615dfff-1de8-4e36-b211-3874ec658d72"]}],"mendeley":{"formattedCitation":"(Xia and Wishart, 2016)","plainTextFormattedCitation":"(Xia and Wishart, 2016)","previouslyFormattedCitation":"(Xia and Wishart, 2016)"},"properties":{"noteIndex":0},"schema":"https://github.com/citation-style-language/schema/raw/master/csl-citation.json"}</w:instrText>
      </w:r>
      <w:r>
        <w:fldChar w:fldCharType="separate"/>
      </w:r>
      <w:r w:rsidRPr="00BA44BF">
        <w:rPr>
          <w:noProof/>
        </w:rPr>
        <w:t>(Xia and Wishart, 2016)</w:t>
      </w:r>
      <w:r>
        <w:fldChar w:fldCharType="end"/>
      </w:r>
      <w:r>
        <w:t xml:space="preserve">. Statistical tests included Student’s </w:t>
      </w:r>
      <w:r>
        <w:rPr>
          <w:i/>
        </w:rPr>
        <w:t>t</w:t>
      </w:r>
      <w:r>
        <w:t>-test for pairwise comparisons and parametric ANOVA with false discovery rate</w:t>
      </w:r>
      <w:r w:rsidR="007F029E">
        <w:t xml:space="preserve"> correction</w:t>
      </w:r>
      <w:r>
        <w:t xml:space="preserve"> for multiple comparisons. Graphs were produced with Simca P, GraphPad Prism and Metaboanalyst. Pathway displays were </w:t>
      </w:r>
      <w:r w:rsidR="00B77AE1">
        <w:t xml:space="preserve">initially </w:t>
      </w:r>
      <w:r>
        <w:t>created</w:t>
      </w:r>
      <w:r w:rsidR="00B77AE1">
        <w:t xml:space="preserve"> in-house</w:t>
      </w:r>
      <w:r>
        <w:t xml:space="preserve"> with BioSynLab (Royal Holloway University of London).</w:t>
      </w:r>
    </w:p>
    <w:p w14:paraId="7BA5026A" w14:textId="77777777" w:rsidR="00F460CF" w:rsidRDefault="00F460CF" w:rsidP="00F460CF">
      <w:pPr>
        <w:pStyle w:val="Heading1"/>
      </w:pPr>
      <w:r w:rsidRPr="00555258">
        <w:t>Results</w:t>
      </w:r>
    </w:p>
    <w:p w14:paraId="045A893C" w14:textId="3D064D5D" w:rsidR="00F460CF" w:rsidRDefault="00CF5CFE" w:rsidP="00F460CF">
      <w:pPr>
        <w:pStyle w:val="Heading2"/>
      </w:pPr>
      <w:r>
        <w:rPr>
          <w:noProof/>
        </w:rPr>
        <w:t>LC-MS metabolite profiling</w:t>
      </w:r>
      <w:r w:rsidR="00F460CF">
        <w:t xml:space="preserve"> of three tissues regarding phenotype</w:t>
      </w:r>
    </w:p>
    <w:p w14:paraId="204F657E" w14:textId="63E3244D" w:rsidR="00F460CF" w:rsidRPr="00EB7E69" w:rsidRDefault="00F460CF" w:rsidP="00F460CF">
      <w:r w:rsidRPr="00EB7E69">
        <w:t xml:space="preserve">Polar extracts of leaf, stem and root tissue of 20 cassava landraces, grown under standard field conditions, were analysed by LC-MS as previously reported </w:t>
      </w:r>
      <w:r w:rsidRPr="00EB7E69">
        <w:fldChar w:fldCharType="begin" w:fldLock="1"/>
      </w:r>
      <w:r w:rsidRPr="00EB7E69">
        <w:instrText>ADDIN CSL_CITATION {"citationItems":[{"id":"ITEM-1","itemData":{"DOI":"10.1021/acs.jafc.8b04769","ISSN":"1520-5118 (Electronic) 0021-8561 (Linking)","author":[{"dropping-particle":"","family":"Drapal","given":"M","non-dropping-particle":"","parse-names":false,"suffix":""},{"dropping-particle":"","family":"Carvalho","given":"E","non-dropping-particle":"de","parse-names":false,"suffix":""},{"dropping-particle":"","family":"Ovalle Rivera","given":"T M","non-dropping-particle":"","parse-names":false,"suffix":""},{"dropping-particle":"","family":"Becerra Lopez-Lavalle","given":"L A","non-dropping-particle":"","parse-names":false,"suffix":""},{"dropping-particle":"","family":"Fraser","given":"P D","non-dropping-particle":"","parse-names":false,"suffix":""}],"container-title":"J Agric Food Chem","id":"ITEM-1","issued":{"date-parts":[["2018"]]},"page":"986-993","title":"Capturing biochemical diversity in cassava (Manihot esculenta Crantz) through the application of metabolite profiling","type":"article-journal","volume":"67"},"uris":["http://www.mendeley.com/documents/?uuid=490f8af9-8974-4b95-9ee7-e1668f8fe857"]}],"mendeley":{"formattedCitation":"(Drapal &lt;i&gt;et al.&lt;/i&gt;, 2018)","plainTextFormattedCitation":"(Drapal et al., 2018)","previouslyFormattedCitation":"(Drapal &lt;i&gt;et al.&lt;/i&gt;, 2018)"},"properties":{"noteIndex":0},"schema":"https://github.com/citation-style-language/schema/raw/master/csl-citation.json"}</w:instrText>
      </w:r>
      <w:r w:rsidRPr="00EB7E69">
        <w:fldChar w:fldCharType="separate"/>
      </w:r>
      <w:r w:rsidRPr="00EB7E69">
        <w:rPr>
          <w:noProof/>
        </w:rPr>
        <w:t xml:space="preserve">(Drapal </w:t>
      </w:r>
      <w:r w:rsidRPr="00EB7E69">
        <w:rPr>
          <w:i/>
          <w:noProof/>
        </w:rPr>
        <w:t>et al.</w:t>
      </w:r>
      <w:r w:rsidRPr="00EB7E69">
        <w:rPr>
          <w:noProof/>
        </w:rPr>
        <w:t>, 2018)</w:t>
      </w:r>
      <w:r w:rsidRPr="00EB7E69">
        <w:fldChar w:fldCharType="end"/>
      </w:r>
      <w:r w:rsidRPr="00EB7E69">
        <w:t xml:space="preserve">. </w:t>
      </w:r>
      <w:r w:rsidR="000E0BC5" w:rsidRPr="00EB7E69">
        <w:t>Within the</w:t>
      </w:r>
      <w:r w:rsidRPr="00EB7E69">
        <w:t xml:space="preserve"> </w:t>
      </w:r>
      <w:r w:rsidR="00CF5CFE" w:rsidRPr="00EB7E69">
        <w:rPr>
          <w:noProof/>
        </w:rPr>
        <w:t>LC-MS metabolite profiling</w:t>
      </w:r>
      <w:r w:rsidR="00CF5CFE" w:rsidRPr="00EB7E69" w:rsidDel="00CF5CFE">
        <w:t xml:space="preserve"> </w:t>
      </w:r>
      <w:r w:rsidRPr="00EB7E69">
        <w:t xml:space="preserve">118 </w:t>
      </w:r>
      <w:r w:rsidR="00CF5CFE" w:rsidRPr="00EB7E69">
        <w:t xml:space="preserve">molecular features </w:t>
      </w:r>
      <w:r w:rsidR="000E0BC5" w:rsidRPr="00EB7E69">
        <w:t>were detected</w:t>
      </w:r>
      <w:r w:rsidRPr="00EB7E69">
        <w:t xml:space="preserve"> in all three tissues and </w:t>
      </w:r>
      <w:r w:rsidRPr="00EB7E69">
        <w:lastRenderedPageBreak/>
        <w:t xml:space="preserve">an additional 300 </w:t>
      </w:r>
      <w:r w:rsidR="00CF5CFE" w:rsidRPr="00EB7E69">
        <w:t>molecular features</w:t>
      </w:r>
      <w:r w:rsidRPr="00EB7E69">
        <w:t xml:space="preserve"> solely in le</w:t>
      </w:r>
      <w:r w:rsidR="003A4653" w:rsidRPr="00EB7E69">
        <w:t xml:space="preserve">af tissue (Table </w:t>
      </w:r>
      <w:r w:rsidR="00EB333E" w:rsidRPr="00EB7E69">
        <w:t>A.</w:t>
      </w:r>
      <w:r w:rsidR="00A174EE">
        <w:t>2</w:t>
      </w:r>
      <w:r w:rsidRPr="00EB7E69">
        <w:t xml:space="preserve">). The initial data analysis will focus on the </w:t>
      </w:r>
      <w:r w:rsidR="00EB7E69" w:rsidRPr="00EB7E69">
        <w:t>molecular features</w:t>
      </w:r>
      <w:r w:rsidRPr="00EB7E69">
        <w:t xml:space="preserve"> detected in all three tissues to assess whether the chemotype of a trait is associated to a specific tissue type or can be observed in all plant organs. PCA analysis showed that the metabolite variation between the three tissues, leaf, stem and root, was explained by the first two principal components (PC) with 54.1% (</w:t>
      </w:r>
      <w:r w:rsidRPr="00EB7E69">
        <w:fldChar w:fldCharType="begin"/>
      </w:r>
      <w:r w:rsidRPr="00EB7E69">
        <w:instrText xml:space="preserve"> REF _Ref36476862 \h  \* MERGEFORMAT </w:instrText>
      </w:r>
      <w:r w:rsidRPr="00EB7E69">
        <w:fldChar w:fldCharType="separate"/>
      </w:r>
      <w:r w:rsidR="00397241" w:rsidRPr="00EB7E69">
        <w:t>Fig. 1</w:t>
      </w:r>
      <w:r w:rsidRPr="00EB7E69">
        <w:fldChar w:fldCharType="end"/>
      </w:r>
      <w:r w:rsidRPr="00EB7E69">
        <w:t>A). Leaf samples separated along the x-axis (PC1) from stem and root sample, whereas stem and root separated along the y-axis (PC2). This suggests that the metabolite composition of stem and root is</w:t>
      </w:r>
      <w:r w:rsidR="00CF5CFE" w:rsidRPr="00EB7E69">
        <w:t xml:space="preserve"> </w:t>
      </w:r>
      <w:r w:rsidRPr="00EB7E69">
        <w:t xml:space="preserve">more similar compared to leaf. This was confirmed by RV coefficient, which only showed a significant correlation between stem and root samples (R=0.44 , </w:t>
      </w:r>
      <w:r w:rsidRPr="00EB7E69">
        <w:rPr>
          <w:i/>
        </w:rPr>
        <w:t>P</w:t>
      </w:r>
      <w:r w:rsidRPr="00EB7E69">
        <w:t xml:space="preserve">-value 0.033). </w:t>
      </w:r>
    </w:p>
    <w:p w14:paraId="20F54A13" w14:textId="6B49CD76" w:rsidR="00F460CF" w:rsidRPr="00EB7E69" w:rsidRDefault="00F460CF" w:rsidP="00F460CF">
      <w:r w:rsidRPr="00EB7E69">
        <w:t>The combined score plot highlighted that the root tissue of GUA35 clustered with the stem tissue (</w:t>
      </w:r>
      <w:r w:rsidRPr="00EB7E69">
        <w:fldChar w:fldCharType="begin"/>
      </w:r>
      <w:r w:rsidRPr="00EB7E69">
        <w:instrText xml:space="preserve"> REF _Ref36476862 \h  \* MERGEFORMAT </w:instrText>
      </w:r>
      <w:r w:rsidRPr="00EB7E69">
        <w:fldChar w:fldCharType="separate"/>
      </w:r>
      <w:r w:rsidR="00397241" w:rsidRPr="00EB7E69">
        <w:t>Fig. 1</w:t>
      </w:r>
      <w:r w:rsidRPr="00EB7E69">
        <w:fldChar w:fldCharType="end"/>
      </w:r>
      <w:r w:rsidRPr="00EB7E69">
        <w:t>A). In the individual score plots of roots and stem, GUA35 was located away from the main cluster including all other landraces (</w:t>
      </w:r>
      <w:r w:rsidRPr="00EB7E69">
        <w:fldChar w:fldCharType="begin"/>
      </w:r>
      <w:r w:rsidRPr="00EB7E69">
        <w:instrText xml:space="preserve"> REF _Ref36476862 \h  \* MERGEFORMAT </w:instrText>
      </w:r>
      <w:r w:rsidRPr="00EB7E69">
        <w:fldChar w:fldCharType="separate"/>
      </w:r>
      <w:r w:rsidR="00397241" w:rsidRPr="00EB7E69">
        <w:t>Fig. 1</w:t>
      </w:r>
      <w:r w:rsidRPr="00EB7E69">
        <w:fldChar w:fldCharType="end"/>
      </w:r>
      <w:r w:rsidRPr="00EB7E69">
        <w:t>C, D). This trend could not be observed in the score plot of leaf tissue (</w:t>
      </w:r>
      <w:r w:rsidRPr="00EB7E69">
        <w:fldChar w:fldCharType="begin"/>
      </w:r>
      <w:r w:rsidRPr="00EB7E69">
        <w:instrText xml:space="preserve"> REF _Ref36476862 \h  \* MERGEFORMAT </w:instrText>
      </w:r>
      <w:r w:rsidRPr="00EB7E69">
        <w:fldChar w:fldCharType="separate"/>
      </w:r>
      <w:r w:rsidR="00397241" w:rsidRPr="00EB7E69">
        <w:t>Fig. 1</w:t>
      </w:r>
      <w:r w:rsidRPr="00EB7E69">
        <w:fldChar w:fldCharType="end"/>
      </w:r>
      <w:r w:rsidRPr="00EB7E69">
        <w:t xml:space="preserve">B). After harvest, it became obvious that none of the GUA35 plants underwent proper tuber formation, resulting in thickened roots with brown epidermis-like structure throughout. No visual difference </w:t>
      </w:r>
      <w:r w:rsidR="000B10BD" w:rsidRPr="00EB7E69">
        <w:t>of</w:t>
      </w:r>
      <w:r w:rsidRPr="00EB7E69">
        <w:t xml:space="preserve"> the stem and leaf tissue</w:t>
      </w:r>
      <w:r w:rsidR="000B10BD" w:rsidRPr="00EB7E69">
        <w:t xml:space="preserve"> of GUA35 could be observed compared to the other cassava landraces</w:t>
      </w:r>
      <w:r w:rsidRPr="00EB7E69">
        <w:t xml:space="preserve">. Nevertheless, the </w:t>
      </w:r>
      <w:r w:rsidR="00CF5CFE" w:rsidRPr="00EB7E69">
        <w:rPr>
          <w:noProof/>
        </w:rPr>
        <w:t>LC-MS metabolite profiling</w:t>
      </w:r>
      <w:r w:rsidRPr="00EB7E69">
        <w:t xml:space="preserve"> </w:t>
      </w:r>
      <w:r w:rsidR="000B10BD" w:rsidRPr="00EB7E69">
        <w:t>indicated</w:t>
      </w:r>
      <w:r w:rsidRPr="00EB7E69">
        <w:t xml:space="preserve"> metabolic </w:t>
      </w:r>
      <w:r w:rsidR="000B10BD" w:rsidRPr="00EB7E69">
        <w:t>differences</w:t>
      </w:r>
      <w:r w:rsidRPr="00EB7E69">
        <w:t xml:space="preserve"> of the stem tissue of GUA35. As the cause of th</w:t>
      </w:r>
      <w:r w:rsidR="00CF5CFE" w:rsidRPr="00EB7E69">
        <w:t>e extreme root</w:t>
      </w:r>
      <w:r w:rsidRPr="00EB7E69">
        <w:t xml:space="preserve"> phenotype and underlying metabolic extend throughout the plant could not be determined, GUA35 was excluded from any further analysis.</w:t>
      </w:r>
    </w:p>
    <w:p w14:paraId="7D277053" w14:textId="401FA9F5" w:rsidR="00F460CF" w:rsidRDefault="00F460CF" w:rsidP="00F460CF">
      <w:r w:rsidRPr="00EB7E69">
        <w:t xml:space="preserve">After removal of GUA35, differential expression between the tissues was performed and relative standard deviation (RSD) was calculated to depict the variation within the data set. The differential expression showed almost 90% of the detected </w:t>
      </w:r>
      <w:r w:rsidR="00EB7E69" w:rsidRPr="00EB7E69">
        <w:t>molecular features</w:t>
      </w:r>
      <w:r w:rsidRPr="00EB7E69">
        <w:t xml:space="preserve"> were significantly different between the three tissues and coincides with the PCA analysis. The highest </w:t>
      </w:r>
      <w:r w:rsidR="00CF5CFE" w:rsidRPr="00EB7E69">
        <w:t>amounts</w:t>
      </w:r>
      <w:r w:rsidRPr="00EB7E69">
        <w:t xml:space="preserve"> for the majority of </w:t>
      </w:r>
      <w:r w:rsidR="00EB7E69" w:rsidRPr="00EB7E69">
        <w:t>molecular features</w:t>
      </w:r>
      <w:r w:rsidRPr="00EB7E69">
        <w:t xml:space="preserve"> were detected in leaf tissue. PCA analysis of individual tissues highlighted prominent landraces COL2436 and BRA488 in leaf</w:t>
      </w:r>
      <w:r>
        <w:t xml:space="preserve"> tissue and ECU72 in stem tissue and (</w:t>
      </w:r>
      <w:r>
        <w:fldChar w:fldCharType="begin"/>
      </w:r>
      <w:r>
        <w:instrText xml:space="preserve"> REF _Ref36476862 \h  \* MERGEFORMAT </w:instrText>
      </w:r>
      <w:r>
        <w:fldChar w:fldCharType="separate"/>
      </w:r>
      <w:r w:rsidR="00397241">
        <w:t>Fig. 1</w:t>
      </w:r>
      <w:r>
        <w:fldChar w:fldCharType="end"/>
      </w:r>
      <w:r>
        <w:t>B and C). The average biological variation of the diversity panel was ~84% for leaf and root</w:t>
      </w:r>
      <w:r w:rsidR="000B10BD">
        <w:t xml:space="preserve"> tissue</w:t>
      </w:r>
      <w:r>
        <w:t xml:space="preserve"> and 96% for stem</w:t>
      </w:r>
      <w:r w:rsidR="000B10BD">
        <w:t xml:space="preserve"> tissue</w:t>
      </w:r>
      <w:r>
        <w:t>. The African varieties TME3, NGA5 and NGA11 had a RSD of ~68% for all three tissues.</w:t>
      </w:r>
    </w:p>
    <w:p w14:paraId="71E150D7" w14:textId="77777777" w:rsidR="00F460CF" w:rsidRPr="00E232CC" w:rsidRDefault="00F460CF" w:rsidP="00F460CF">
      <w:pPr>
        <w:pStyle w:val="Heading2"/>
      </w:pPr>
      <w:r>
        <w:t>Targeted analysis of leaf, stem and root tissue</w:t>
      </w:r>
    </w:p>
    <w:p w14:paraId="6BE7325A" w14:textId="61C87C78" w:rsidR="00F460CF" w:rsidRDefault="00F460CF" w:rsidP="00F460CF">
      <w:r>
        <w:t xml:space="preserve">Targeted analysis identified 102 compounds in the polar extracts of leaf, stem and root tissue over the two platforms GC-MS and LC-MS </w:t>
      </w:r>
      <w:r w:rsidR="00EB333E">
        <w:t>(</w:t>
      </w:r>
      <w:r w:rsidR="003A4653">
        <w:t xml:space="preserve">Table </w:t>
      </w:r>
      <w:r w:rsidR="00EB333E">
        <w:t>A.</w:t>
      </w:r>
      <w:r>
        <w:t>4</w:t>
      </w:r>
      <w:r w:rsidR="00A174EE">
        <w:t>3</w:t>
      </w:r>
      <w:r>
        <w:t xml:space="preserve">). The compounds detected in all three </w:t>
      </w:r>
      <w:r>
        <w:lastRenderedPageBreak/>
        <w:t xml:space="preserve">tissues comprised 85 confirmed metabolites (identification level 1 and 2), 13 unidentified sugars (identification level 3) and four level 4 unknowns </w:t>
      </w:r>
      <w:r>
        <w:fldChar w:fldCharType="begin" w:fldLock="1"/>
      </w:r>
      <w:r>
        <w:instrText>ADDIN CSL_CITATION {"citationItems":[{"id":"ITEM-1","itemData":{"author":[{"dropping-particle":"","family":"Sumner","given":"Lloyd W","non-dropping-particle":"","parse-names":false,"suffix":""},{"dropping-particle":"","family":"Amberg","given":"Alexander","non-dropping-particle":"","parse-names":false,"suffix":""},{"dropping-particle":"","family":"Barrett","given":"Dave","non-dropping-particle":"","parse-names":false,"suffix":""},{"dropping-particle":"","family":"Beale","given":"Michael H","non-dropping-particle":"","parse-names":false,"suffix":""},{"dropping-particle":"","family":"Beger","given":"Richard","non-dropping-particle":"","parse-names":false,"suffix":""},{"dropping-particle":"","family":"Daykin","given":"Clare A","non-dropping-particle":"","parse-names":false,"suffix":""},{"dropping-particle":"","family":"Fan","given":"Teresa W M","non-dropping-particle":"","parse-names":false,"suffix":""},{"dropping-particle":"","family":"Fiehn","given":"Oliver","non-dropping-particle":"","parse-names":false,"suffix":""},{"dropping-particle":"","family":"Goodacre","given":"Royston","non-dropping-particle":"","parse-names":false,"suffix":""},{"dropping-particle":"","family":"Griffin","given":"Julian L","non-dropping-particle":"","parse-names":false,"suffix":""},{"dropping-particle":"","family":"Hankemeier","given":"Thomas","non-dropping-particle":"","parse-names":false,"suffix":""},{"dropping-particle":"","family":"Hardy","given":"Nigel","non-dropping-particle":"","parse-names":false,"suffix":""},{"dropping-particle":"","family":"Harnly","given":"James","non-dropping-particle":"","parse-names":false,"suffix":""},{"dropping-particle":"","family":"Higashi","given":"Richard","non-dropping-particle":"","parse-names":false,"suffix":""},{"dropping-particle":"","family":"Kopka","given":"Joachim","non-dropping-particle":"","parse-names":false,"suffix":""},{"dropping-particle":"","family":"Lane","given":"Andrew N","non-dropping-particle":"","parse-names":false,"suffix":""},{"dropping-particle":"","family":"Lindon","given":"John C","non-dropping-particle":"","parse-names":false,"suffix":""},{"dropping-particle":"","family":"Marriott","given":"Philip","non-dropping-particle":"","parse-names":false,"suffix":""},{"dropping-particle":"","family":"Nicholls","given":"Andrew W","non-dropping-particle":"","parse-names":false,"suffix":""},{"dropping-particle":"","family":"Reily","given":"Michael D","non-dropping-particle":"","parse-names":false,"suffix":""},{"dropping-particle":"","family":"Thaden","given":"John J","non-dropping-particle":"","parse-names":false,"suffix":""},{"dropping-particle":"","family":"Viant","given":"Mark R","non-dropping-particle":"","parse-names":false,"suffix":""}],"container-title":"Metabolomics","id":"ITEM-1","issued":{"date-parts":[["2007"]]},"page":"211-221","title":"Proposed minimum reporting standards for chemical analysis","type":"article-journal","volume":"3"},"uris":["http://www.mendeley.com/documents/?uuid=70ebb7f1-dd3a-4cc7-a7e4-8e73412e5843"]}],"mendeley":{"formattedCitation":"(Sumner &lt;i&gt;et al.&lt;/i&gt;, 2007)","plainTextFormattedCitation":"(Sumner et al., 2007)","previouslyFormattedCitation":"(Sumner &lt;i&gt;et al.&lt;/i&gt;, 2007)"},"properties":{"noteIndex":0},"schema":"https://github.com/citation-style-language/schema/raw/master/csl-citation.json"}</w:instrText>
      </w:r>
      <w:r>
        <w:fldChar w:fldCharType="separate"/>
      </w:r>
      <w:r w:rsidRPr="00910EBD">
        <w:rPr>
          <w:noProof/>
        </w:rPr>
        <w:t xml:space="preserve">(Sumner </w:t>
      </w:r>
      <w:r w:rsidRPr="00910EBD">
        <w:rPr>
          <w:i/>
          <w:noProof/>
        </w:rPr>
        <w:t>et al.</w:t>
      </w:r>
      <w:r w:rsidRPr="00910EBD">
        <w:rPr>
          <w:noProof/>
        </w:rPr>
        <w:t>, 2007)</w:t>
      </w:r>
      <w:r>
        <w:fldChar w:fldCharType="end"/>
      </w:r>
      <w:r>
        <w:t>. Additionally, eight isoprenoids (carotenoids and chlorophylls) and 15 phenolic compounds were identified in leaf tissue by UPLC-DAD and LC-MS</w:t>
      </w:r>
      <w:r w:rsidR="00CD0D23">
        <w:t xml:space="preserve"> (Table A.</w:t>
      </w:r>
      <w:r w:rsidR="00A174EE">
        <w:t>4</w:t>
      </w:r>
      <w:r w:rsidR="00CD0D23">
        <w:t>)</w:t>
      </w:r>
      <w:r>
        <w:t xml:space="preserve">. This data will be used to (i) establish a correlation between the metabolites and phenotypic traits of roots such as dry matter and cyanide (HCN) content and (ii) assess the diversity panel for apparent chemotypes underlying phenotypic traits (e.g. zone adaptation and green mites resistance), including individual comparisons of opposed traits (e.g. high and low amylose content). </w:t>
      </w:r>
    </w:p>
    <w:p w14:paraId="1F83966A" w14:textId="77777777" w:rsidR="00F460CF" w:rsidRPr="00555258" w:rsidRDefault="00F460CF" w:rsidP="00F460CF">
      <w:pPr>
        <w:pStyle w:val="Heading3"/>
      </w:pPr>
      <w:r w:rsidRPr="00555258">
        <w:t>Correlation between chemotypes and cyanide and dry matter content</w:t>
      </w:r>
      <w:r>
        <w:t xml:space="preserve"> of roots</w:t>
      </w:r>
    </w:p>
    <w:p w14:paraId="162E33C2" w14:textId="58CEEAFD" w:rsidR="00F460CF" w:rsidRDefault="00F460CF" w:rsidP="00F460CF">
      <w:r>
        <w:t xml:space="preserve">A comparison was performed between root dry matter content, the metabolites fructose, glucose and sucrose and the total sugar content and total content of TCA cycle intermediates measured by GC-MS. Only in root tissue, sucrose and total sugar content showed a significantly negative correlation to root dry matter content (R=0.3 </w:t>
      </w:r>
      <w:r>
        <w:rPr>
          <w:i/>
        </w:rPr>
        <w:t>P-</w:t>
      </w:r>
      <w:r>
        <w:t xml:space="preserve">value ~0.011; R=0.2 </w:t>
      </w:r>
      <w:r>
        <w:rPr>
          <w:i/>
        </w:rPr>
        <w:t>P-</w:t>
      </w:r>
      <w:r>
        <w:t xml:space="preserve">value ~0.047; </w:t>
      </w:r>
      <w:r>
        <w:fldChar w:fldCharType="begin"/>
      </w:r>
      <w:r>
        <w:instrText xml:space="preserve"> REF _Ref36807961 \h  \* MERGEFORMAT </w:instrText>
      </w:r>
      <w:r>
        <w:fldChar w:fldCharType="separate"/>
      </w:r>
      <w:r w:rsidR="00397241">
        <w:t>Fig. 2</w:t>
      </w:r>
      <w:r>
        <w:fldChar w:fldCharType="end"/>
      </w:r>
      <w:r>
        <w:t>C). Leaf and stem tissue showed a positive trend between the total sugar content and root dry matter content</w:t>
      </w:r>
      <w:r w:rsidR="00FD0281">
        <w:t xml:space="preserve"> (Fig. 2A-B)</w:t>
      </w:r>
      <w:r>
        <w:t>.</w:t>
      </w:r>
    </w:p>
    <w:p w14:paraId="05844563" w14:textId="04D66627" w:rsidR="00F460CF" w:rsidRDefault="00F460CF" w:rsidP="00F460CF">
      <w:r>
        <w:t xml:space="preserve">Correlation analysis between metabolites highlighted a positive correlation between intermediates of the TCA cycle and total sugar levels (R=0.16, </w:t>
      </w:r>
      <w:r>
        <w:rPr>
          <w:i/>
        </w:rPr>
        <w:t>P</w:t>
      </w:r>
      <w:r>
        <w:t xml:space="preserve">-value ~0.002) </w:t>
      </w:r>
      <w:r w:rsidR="00F1340C">
        <w:t>with</w:t>
      </w:r>
      <w:r>
        <w:t xml:space="preserve"> all three tissues</w:t>
      </w:r>
      <w:r w:rsidR="00F1340C">
        <w:t xml:space="preserve"> used</w:t>
      </w:r>
      <w:r>
        <w:t xml:space="preserve"> (</w:t>
      </w:r>
      <w:r w:rsidR="00EB333E">
        <w:t>Fig. A.</w:t>
      </w:r>
      <w:r>
        <w:t xml:space="preserve"> 1). Additionally, glucose and fructose showed a positive correlation to sucrose (R=0.31 </w:t>
      </w:r>
      <w:r>
        <w:rPr>
          <w:i/>
        </w:rPr>
        <w:t>P</w:t>
      </w:r>
      <w:r>
        <w:t xml:space="preserve">-value ~0.011; R=0.33 </w:t>
      </w:r>
      <w:r>
        <w:rPr>
          <w:i/>
        </w:rPr>
        <w:t>P</w:t>
      </w:r>
      <w:r>
        <w:t>-value ~0.008) in roots. Exceptions to this trend were PAR36 (high amylose content), CUB74 (high culinary quality) and PAN139 (thrips resistant). The root tissue of these three varieties contained glucose and fructose levels which corresponded to half or a third of the expected average (</w:t>
      </w:r>
      <w:r w:rsidR="00EB333E">
        <w:t>Fig. A.</w:t>
      </w:r>
      <w:r>
        <w:t xml:space="preserve"> 1).</w:t>
      </w:r>
    </w:p>
    <w:p w14:paraId="3E66AB60" w14:textId="445105BA" w:rsidR="00F460CF" w:rsidRDefault="00F460CF" w:rsidP="00F460CF">
      <w:r>
        <w:t xml:space="preserve">The cyanogenic glucosides detected in </w:t>
      </w:r>
      <w:r w:rsidR="00EC2A36">
        <w:t xml:space="preserve">cassava </w:t>
      </w:r>
      <w:r>
        <w:t>diversity panel included linamarin and lotaustralin. Linamarin comprised 75-93% of the total cyanogenic glucoside content in stem and root; and 65-90% in leaf tissue with the exception of PAR36, which had a 40.8% linamarin and was the only variety with a higher lotaustralin content in leaf. The ratio between the two metabolites varied between 0.7 and 15- fold and did not correlate to overall amounts detected in the tissue. Nevertheless, linamarin and lotaustralin were significantly correlated (</w:t>
      </w:r>
      <w:r>
        <w:rPr>
          <w:i/>
        </w:rPr>
        <w:t>P</w:t>
      </w:r>
      <w:r>
        <w:t xml:space="preserve"> &lt;0.001) with a coefficient of 0.82. This was consistent </w:t>
      </w:r>
      <w:r w:rsidR="00EC2A36">
        <w:t>across</w:t>
      </w:r>
      <w:r>
        <w:t xml:space="preserve"> all three tissues</w:t>
      </w:r>
      <w:r w:rsidR="00EC2A36">
        <w:t xml:space="preserve"> analysed</w:t>
      </w:r>
      <w:r>
        <w:t xml:space="preserve"> (</w:t>
      </w:r>
      <w:r w:rsidR="00EB333E">
        <w:t>Fig. A.</w:t>
      </w:r>
      <w:r>
        <w:t xml:space="preserve"> 1). Furthermore, cyanogenic glucosides and HCN content showed a positive correlation in leaf and root tissue (R=0.3 </w:t>
      </w:r>
      <w:r>
        <w:rPr>
          <w:i/>
        </w:rPr>
        <w:t>P-</w:t>
      </w:r>
      <w:r>
        <w:t xml:space="preserve">value ~0.011; R=0.2 </w:t>
      </w:r>
      <w:r>
        <w:rPr>
          <w:i/>
        </w:rPr>
        <w:t>P-</w:t>
      </w:r>
      <w:r>
        <w:t xml:space="preserve">value ~0.047; </w:t>
      </w:r>
      <w:r>
        <w:fldChar w:fldCharType="begin"/>
      </w:r>
      <w:r>
        <w:instrText xml:space="preserve"> REF _Ref36807961 \h  \* MERGEFORMAT </w:instrText>
      </w:r>
      <w:r>
        <w:fldChar w:fldCharType="separate"/>
      </w:r>
      <w:r w:rsidR="00397241">
        <w:t>Fig. 2</w:t>
      </w:r>
      <w:r>
        <w:fldChar w:fldCharType="end"/>
      </w:r>
      <w:r>
        <w:t xml:space="preserve">D and F). The root tissue </w:t>
      </w:r>
      <w:r>
        <w:lastRenderedPageBreak/>
        <w:t>showed a better trend compared to the leaf tissue. The landrace BRA488, characterised with the trait high cyanide content, had the highest levels of linamarin in leaf and root (~680 and ~490µg/g DW). Contrary to this, the cyanogenic glucoside levels detected in stem tissue of BRA488 were ~30% lower than the average (~70µg/g DW).</w:t>
      </w:r>
    </w:p>
    <w:p w14:paraId="52D9FD58" w14:textId="77777777" w:rsidR="00F460CF" w:rsidRDefault="00F460CF" w:rsidP="00F460CF">
      <w:pPr>
        <w:pStyle w:val="Heading3"/>
      </w:pPr>
      <w:r>
        <w:t>Metabolic changes as a result of zone adaptation</w:t>
      </w:r>
    </w:p>
    <w:p w14:paraId="0FD8FC7A" w14:textId="6C7DABFC" w:rsidR="00F460CF" w:rsidRDefault="00F460CF" w:rsidP="00BA44BF">
      <w:pPr>
        <w:rPr>
          <w:noProof/>
        </w:rPr>
      </w:pPr>
      <w:r>
        <w:t>The four landraces representing a genepool adapted to edapho</w:t>
      </w:r>
      <w:r w:rsidR="00FD0281">
        <w:t>-</w:t>
      </w:r>
      <w:r>
        <w:t xml:space="preserve">climatic zones and drought grouped </w:t>
      </w:r>
      <w:r w:rsidR="00EC2A36">
        <w:t xml:space="preserve">in a separate manner to each other across tissues </w:t>
      </w:r>
      <w:r w:rsidR="00BA44BF">
        <w:t>(Fig. 3</w:t>
      </w:r>
      <w:r>
        <w:t>). In the leaf tissue comparison, VEN77 and COL1684 were the most similar and grouped with COL1505, whereas CUB74 was</w:t>
      </w:r>
      <w:r w:rsidR="00EC2A36">
        <w:t xml:space="preserve"> the </w:t>
      </w:r>
      <w:r w:rsidR="000B10BD">
        <w:t>landrace</w:t>
      </w:r>
      <w:r w:rsidR="00EC2A36">
        <w:t xml:space="preserve"> with the most variance in its metabolome</w:t>
      </w:r>
      <w:r>
        <w:t>. The heat map included 47 significantly different metabolites and did not include catechin gallates, procyanidins, chlorophylls and half of the carotenoids detected. COL1684 was distinguishable by high levels of feruloyl- and coumaroyl-malate and ferulic acid. VEN77 had high levels of catechin, xylose, trehalose, 4-hydroxy-proline and β-alanine. COL1505 had high levels of kaempferol and its glycosides, epicatechin, ribose, tryptophan, glycine, glutamic acid and precursors for glycerolipids. CUB74 showed the highest levels for half of the significantly different metabolites. These included glucose, sucrose, myo-inositol, mannose and other unknown sugars, the amino acids isoleucine, proline, valine, GABA, serine and threonine as well as galactosylglycerol.</w:t>
      </w:r>
    </w:p>
    <w:p w14:paraId="125A9031" w14:textId="77777777" w:rsidR="00F460CF" w:rsidRDefault="00F460CF" w:rsidP="00F460CF">
      <w:r>
        <w:t>The stem tissue comparison showed the least significant difference and included amino acids, sugars, intermediates of the TCA cycle, cyanogenic glucosides (COL1684 and COL1505) and epicatechin gallates (CUB74). CUB74 and VEN77 grouped together based on similarities of monosaccharides and sugar alcohols such as myo-inositol, ribose and galactinol and of amino acids GABA, valine and glutamine.</w:t>
      </w:r>
    </w:p>
    <w:p w14:paraId="1C4AC263" w14:textId="52104103" w:rsidR="00F460CF" w:rsidRDefault="00F460CF" w:rsidP="00F460CF">
      <w:r>
        <w:t>The most visual difference in root tissue was that the drought tolerant VEN77 showed the lowest levels for significantly different metabolites. CUB74 showed the highest levels of amino acids. COL1684 had the highest levels of malic and maleic acid and COL1505 had the highest levels of all other TCA cycle intermediates. In addition, COL1684 had the highest levels of phenolic compounds such as epicatechin gallates, proc</w:t>
      </w:r>
      <w:r w:rsidR="00FD0281">
        <w:t>y</w:t>
      </w:r>
      <w:r>
        <w:t>anidin, flavonol glycosides and of aromatic amino acids, proline and valine.</w:t>
      </w:r>
    </w:p>
    <w:p w14:paraId="7B101C9D" w14:textId="77777777" w:rsidR="00F460CF" w:rsidRDefault="00F460CF" w:rsidP="00F460CF">
      <w:pPr>
        <w:pStyle w:val="Heading3"/>
      </w:pPr>
      <w:r>
        <w:lastRenderedPageBreak/>
        <w:t>Assessing metabolite profiles of phenotypic cassava root traits</w:t>
      </w:r>
    </w:p>
    <w:p w14:paraId="3426AC45" w14:textId="77777777" w:rsidR="00F460CF" w:rsidRDefault="00F460CF" w:rsidP="00F460CF">
      <w:r>
        <w:t>The cassava diversity panel included three root traits (culinary quality, cyanide and amylose content) which were represented by landraces with opposing traits. A direct comparison of the high and low content landraces highlighted metabolic differences related to the phenotypic trait. Only significant differences are described and summarised for each characteristic trait (</w:t>
      </w:r>
      <w:r>
        <w:fldChar w:fldCharType="begin"/>
      </w:r>
      <w:r>
        <w:instrText xml:space="preserve"> REF _Ref37424733 \h </w:instrText>
      </w:r>
      <w:r>
        <w:fldChar w:fldCharType="separate"/>
      </w:r>
      <w:r w:rsidR="00397241">
        <w:t xml:space="preserve">Table </w:t>
      </w:r>
      <w:r w:rsidR="00397241">
        <w:rPr>
          <w:noProof/>
        </w:rPr>
        <w:t>2</w:t>
      </w:r>
      <w:r>
        <w:fldChar w:fldCharType="end"/>
      </w:r>
      <w:r>
        <w:t>).</w:t>
      </w:r>
    </w:p>
    <w:p w14:paraId="4AABA902" w14:textId="4675674A" w:rsidR="00F460CF" w:rsidRDefault="00F460CF" w:rsidP="00F460CF">
      <w:r>
        <w:t>The two cassava landraces with high (CUB74) and low (VEN25) culinary quality showed significant differences of the majority of amino acids detected in root tissue (</w:t>
      </w:r>
      <w:r w:rsidR="00EB333E">
        <w:t>Fig. A.</w:t>
      </w:r>
      <w:r>
        <w:t>2). The root tissue of CUB74 showed higher levels of amino acids with the exception of β-alanine and threonine. This chemotype of high amino acids levels was also detected in leaf and root tissue of CUB74. In a comparison to all other landraces, CUB74 had significantly higher (~2-times) levels of the amino acids glutamic acid, citrulline, ornithine, alanine, serine and norvaline. Other differences between the two culinary quality traits included lower levels of cyanogenic glucosides and four unidentified sugars and chlorogenic acid and higher levels of epicatechin gallate and procyanidin B. The comparison of sugar levels showed no definitive pattern with even amount of higher and lower levels. Within the diversity panel, CUB74 showed sugar levels in the lower range (~76mg/g DW). Additional differences in the stem tissue included higher levels of TCA cycle intermediates and lower levels of shikimic acid. The latter was also observed in leaf tissue as well as lower levels of xanthophyll epoxides.</w:t>
      </w:r>
    </w:p>
    <w:p w14:paraId="367F98AE" w14:textId="260B8BEC" w:rsidR="00F460CF" w:rsidRDefault="00F460CF" w:rsidP="00F460CF">
      <w:r>
        <w:t xml:space="preserve">As expected, roots of the two landraces classified with high (BRA488) and low (PER496) cyanide content had the highest </w:t>
      </w:r>
      <w:r w:rsidRPr="00780014">
        <w:t>(~490µg/g DW)</w:t>
      </w:r>
      <w:r>
        <w:t xml:space="preserve"> and lowest (~62µg/g DW) linamarin content in the diversity panel. These amounts equated to more than double and less than half of the average linamarin content, respectively. The linamarin content in stem was ~2.5 times higher in BRA488 compared to PER496. No differences in cyanogenic glucosides could be observed in leaf tissue of the two landraces (</w:t>
      </w:r>
      <w:r w:rsidR="00EB333E">
        <w:t>Fig. A.</w:t>
      </w:r>
      <w:r>
        <w:t>3). Intermediates of the TCA cycle, epicatechin gallate and threonic acid were lower in BRA488 in all three tissues and over half of the sugars detected were lower in stem tissue of BRA488. The amino acids putrescine and threonine were detected in lower levels in leaf and stem tissue of BRA488. The phenolic compounds were detected in varying levels with no consistent trends between the three tissues.</w:t>
      </w:r>
    </w:p>
    <w:p w14:paraId="581114B7" w14:textId="701E3597" w:rsidR="00F460CF" w:rsidRDefault="00F460CF" w:rsidP="00F460CF">
      <w:r>
        <w:t>The direct comparison of the landraces with low (CUB25) and high (PAR36) amylose content showed differences of photosynthesis related pigments in leaf tissue (</w:t>
      </w:r>
      <w:r w:rsidR="00EB333E">
        <w:t>Fig. A.</w:t>
      </w:r>
      <w:r>
        <w:t xml:space="preserve">4). Within the </w:t>
      </w:r>
      <w:r>
        <w:lastRenderedPageBreak/>
        <w:t>diversity panel, CUB25 had the highest content of chlorophylls and carotenoids in leaf (3.8 and 1.54µg/g DW), whereas PAR36 showed average levels of chlorophylls</w:t>
      </w:r>
      <w:r w:rsidR="001F38A9">
        <w:t xml:space="preserve"> and carotenoids (~2.6 and ~1.4</w:t>
      </w:r>
      <w:r>
        <w:t>µg/g DW). Other differences in leaf included higher levels of the majority of phenolic compounds detected in CUB25. Chlorogenic acid and ferulic acid was also higher in stem and root tissue. In the root tissue, CUB25 showed higher levels of monosaccharides including glucose and fructose and of cyanogenic glucosides. A similar trend for sugars was observed in stem tissue. An additional comparison of CUB25 and PAR36 was performed with COL1522 (</w:t>
      </w:r>
      <w:r w:rsidR="00EB333E">
        <w:t>Fig. A.</w:t>
      </w:r>
      <w:r>
        <w:t>5). This landrace is known for its flour expansion properties during bread baking due to the lower amylose content. The dendrogram of the heatmap highlighted that CUB25 and PAR36 were more similar to each other than to COL1522. The metabolite levels related to this were higher levels of sugars, including glucose and fructose, in COL1522 and higher levels of amino acids glutamic acid, glutamine, valine, serine, glycine and tyrosine in the other two landraces.</w:t>
      </w:r>
    </w:p>
    <w:p w14:paraId="216210EB" w14:textId="77777777" w:rsidR="00F460CF" w:rsidRPr="00CD6FE8" w:rsidRDefault="00F460CF" w:rsidP="00F460CF"/>
    <w:p w14:paraId="4A2FD0A7" w14:textId="77777777" w:rsidR="00F460CF" w:rsidRDefault="00F460CF" w:rsidP="00F460CF">
      <w:pPr>
        <w:pStyle w:val="Caption"/>
        <w:keepNext/>
      </w:pPr>
      <w:bookmarkStart w:id="1" w:name="_Ref37424733"/>
      <w:r>
        <w:t xml:space="preserve">Table </w:t>
      </w:r>
      <w:r>
        <w:rPr>
          <w:noProof/>
        </w:rPr>
        <w:fldChar w:fldCharType="begin"/>
      </w:r>
      <w:r>
        <w:rPr>
          <w:noProof/>
        </w:rPr>
        <w:instrText xml:space="preserve"> SEQ Table \* ARABIC </w:instrText>
      </w:r>
      <w:r>
        <w:rPr>
          <w:noProof/>
        </w:rPr>
        <w:fldChar w:fldCharType="separate"/>
      </w:r>
      <w:r w:rsidR="00397241">
        <w:rPr>
          <w:noProof/>
        </w:rPr>
        <w:t>2</w:t>
      </w:r>
      <w:r>
        <w:rPr>
          <w:noProof/>
        </w:rPr>
        <w:fldChar w:fldCharType="end"/>
      </w:r>
      <w:bookmarkEnd w:id="1"/>
      <w:r>
        <w:t>. Metabolic difference detected between landraces with different physiological root traits. Landrace with a high content of the trait is indicated with an asterisk. Metabolic changes are listed by metabolite or chemical group, by their tissue location leaf (L), stem (S) and root (R) and by amounts higher (</w:t>
      </w:r>
      <w:r w:rsidRPr="00F25DFE">
        <w:t>↑</w:t>
      </w:r>
      <w:r>
        <w:t>) or lower (</w:t>
      </w:r>
      <w:r w:rsidRPr="00F25DFE">
        <w:t>↓</w:t>
      </w:r>
      <w:r>
        <w:t>).</w:t>
      </w:r>
    </w:p>
    <w:tbl>
      <w:tblPr>
        <w:tblW w:w="9204" w:type="dxa"/>
        <w:tblCellMar>
          <w:left w:w="0" w:type="dxa"/>
          <w:right w:w="0" w:type="dxa"/>
        </w:tblCellMar>
        <w:tblLook w:val="0420" w:firstRow="1" w:lastRow="0" w:firstColumn="0" w:lastColumn="0" w:noHBand="0" w:noVBand="1"/>
      </w:tblPr>
      <w:tblGrid>
        <w:gridCol w:w="2268"/>
        <w:gridCol w:w="6936"/>
      </w:tblGrid>
      <w:tr w:rsidR="00F460CF" w:rsidRPr="00F25DFE" w14:paraId="7FAF94D7" w14:textId="77777777" w:rsidTr="00B11424">
        <w:trPr>
          <w:cantSplit/>
        </w:trPr>
        <w:tc>
          <w:tcPr>
            <w:tcW w:w="2268" w:type="dxa"/>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276462DF" w14:textId="77777777" w:rsidR="00F460CF" w:rsidRPr="00F25DFE" w:rsidRDefault="00F460CF" w:rsidP="00B11424">
            <w:pPr>
              <w:spacing w:line="240" w:lineRule="auto"/>
            </w:pPr>
            <w:r>
              <w:rPr>
                <w:b/>
              </w:rPr>
              <w:t>Trait (landraces)</w:t>
            </w:r>
          </w:p>
        </w:tc>
        <w:tc>
          <w:tcPr>
            <w:tcW w:w="6936" w:type="dxa"/>
            <w:tcBorders>
              <w:top w:val="single" w:sz="12" w:space="0" w:color="auto"/>
              <w:bottom w:val="single" w:sz="12" w:space="0" w:color="auto"/>
            </w:tcBorders>
            <w:shd w:val="clear" w:color="auto" w:fill="auto"/>
            <w:tcMar>
              <w:top w:w="72" w:type="dxa"/>
              <w:left w:w="144" w:type="dxa"/>
              <w:bottom w:w="72" w:type="dxa"/>
              <w:right w:w="144" w:type="dxa"/>
            </w:tcMar>
            <w:vAlign w:val="center"/>
            <w:hideMark/>
          </w:tcPr>
          <w:p w14:paraId="5131D46F" w14:textId="77777777" w:rsidR="00F460CF" w:rsidRPr="00F25DFE" w:rsidRDefault="00F460CF" w:rsidP="00B11424">
            <w:pPr>
              <w:spacing w:line="240" w:lineRule="auto"/>
            </w:pPr>
            <w:r>
              <w:rPr>
                <w:b/>
              </w:rPr>
              <w:t>Significantly higher metabolites</w:t>
            </w:r>
          </w:p>
        </w:tc>
      </w:tr>
      <w:tr w:rsidR="00F460CF" w:rsidRPr="00F25DFE" w14:paraId="061B2C0F" w14:textId="77777777" w:rsidTr="00B11424">
        <w:trPr>
          <w:cantSplit/>
        </w:trPr>
        <w:tc>
          <w:tcPr>
            <w:tcW w:w="2268" w:type="dxa"/>
            <w:tcBorders>
              <w:top w:val="single" w:sz="12" w:space="0" w:color="auto"/>
            </w:tcBorders>
            <w:shd w:val="clear" w:color="auto" w:fill="auto"/>
            <w:tcMar>
              <w:top w:w="72" w:type="dxa"/>
              <w:left w:w="144" w:type="dxa"/>
              <w:bottom w:w="72" w:type="dxa"/>
              <w:right w:w="144" w:type="dxa"/>
            </w:tcMar>
            <w:hideMark/>
          </w:tcPr>
          <w:p w14:paraId="0DEDF93D" w14:textId="77777777" w:rsidR="00F460CF" w:rsidRPr="00F25DFE" w:rsidRDefault="00F460CF" w:rsidP="00B11424">
            <w:pPr>
              <w:spacing w:line="240" w:lineRule="auto"/>
              <w:jc w:val="left"/>
              <w:rPr>
                <w:b/>
              </w:rPr>
            </w:pPr>
            <w:r w:rsidRPr="00F25DFE">
              <w:rPr>
                <w:b/>
              </w:rPr>
              <w:t>Culinary quality</w:t>
            </w:r>
          </w:p>
          <w:p w14:paraId="7D7F59D2" w14:textId="77777777" w:rsidR="00F460CF" w:rsidRDefault="00F460CF" w:rsidP="00B11424">
            <w:pPr>
              <w:spacing w:line="240" w:lineRule="auto"/>
              <w:jc w:val="left"/>
            </w:pPr>
            <w:r>
              <w:t>CUB74*</w:t>
            </w:r>
          </w:p>
          <w:p w14:paraId="19A5C421" w14:textId="77777777" w:rsidR="00F460CF" w:rsidRPr="00450EE1" w:rsidRDefault="00F460CF" w:rsidP="00B11424">
            <w:pPr>
              <w:spacing w:line="240" w:lineRule="auto"/>
              <w:jc w:val="left"/>
              <w:rPr>
                <w:sz w:val="10"/>
                <w:szCs w:val="10"/>
              </w:rPr>
            </w:pPr>
          </w:p>
          <w:p w14:paraId="0761DCC4" w14:textId="77777777" w:rsidR="00F460CF" w:rsidRPr="00F25DFE" w:rsidRDefault="00F460CF" w:rsidP="00B11424">
            <w:pPr>
              <w:spacing w:line="240" w:lineRule="auto"/>
              <w:jc w:val="left"/>
            </w:pPr>
            <w:r w:rsidRPr="00F25DFE">
              <w:t>VEN25</w:t>
            </w:r>
          </w:p>
        </w:tc>
        <w:tc>
          <w:tcPr>
            <w:tcW w:w="6936" w:type="dxa"/>
            <w:tcBorders>
              <w:top w:val="single" w:sz="12" w:space="0" w:color="auto"/>
            </w:tcBorders>
            <w:shd w:val="clear" w:color="auto" w:fill="auto"/>
            <w:tcMar>
              <w:top w:w="72" w:type="dxa"/>
              <w:left w:w="144" w:type="dxa"/>
              <w:bottom w:w="72" w:type="dxa"/>
              <w:right w:w="144" w:type="dxa"/>
            </w:tcMar>
            <w:hideMark/>
          </w:tcPr>
          <w:p w14:paraId="505EF636" w14:textId="77777777" w:rsidR="00F460CF" w:rsidRDefault="00F460CF" w:rsidP="00B11424">
            <w:pPr>
              <w:spacing w:line="240" w:lineRule="auto"/>
              <w:jc w:val="left"/>
            </w:pPr>
          </w:p>
          <w:p w14:paraId="6618597F" w14:textId="77777777" w:rsidR="00F460CF" w:rsidRPr="00F25DFE" w:rsidRDefault="00F460CF" w:rsidP="00B11424">
            <w:pPr>
              <w:spacing w:line="240" w:lineRule="auto"/>
              <w:jc w:val="left"/>
            </w:pPr>
            <w:r>
              <w:t>Amino acids (L,S,R)</w:t>
            </w:r>
          </w:p>
          <w:p w14:paraId="4F2E3BD8" w14:textId="77777777" w:rsidR="00F460CF" w:rsidRPr="00450EE1" w:rsidRDefault="00F460CF" w:rsidP="00B11424">
            <w:pPr>
              <w:spacing w:line="240" w:lineRule="auto"/>
              <w:jc w:val="left"/>
              <w:rPr>
                <w:sz w:val="10"/>
                <w:szCs w:val="10"/>
              </w:rPr>
            </w:pPr>
          </w:p>
          <w:p w14:paraId="3BBABE16" w14:textId="77777777" w:rsidR="00F460CF" w:rsidRPr="00F25DFE" w:rsidRDefault="00F460CF" w:rsidP="00B11424">
            <w:pPr>
              <w:spacing w:line="240" w:lineRule="auto"/>
              <w:jc w:val="left"/>
            </w:pPr>
            <w:r>
              <w:t>Cyanogenic glucosides (R)</w:t>
            </w:r>
          </w:p>
        </w:tc>
      </w:tr>
      <w:tr w:rsidR="00F460CF" w:rsidRPr="00F25DFE" w14:paraId="6A0A5EBC" w14:textId="77777777" w:rsidTr="00B11424">
        <w:trPr>
          <w:cantSplit/>
        </w:trPr>
        <w:tc>
          <w:tcPr>
            <w:tcW w:w="2268" w:type="dxa"/>
            <w:shd w:val="clear" w:color="auto" w:fill="auto"/>
            <w:tcMar>
              <w:top w:w="72" w:type="dxa"/>
              <w:left w:w="144" w:type="dxa"/>
              <w:bottom w:w="72" w:type="dxa"/>
              <w:right w:w="144" w:type="dxa"/>
            </w:tcMar>
            <w:hideMark/>
          </w:tcPr>
          <w:p w14:paraId="5B75FBA9" w14:textId="77777777" w:rsidR="00F460CF" w:rsidRPr="00F25DFE" w:rsidRDefault="00F460CF" w:rsidP="00B11424">
            <w:pPr>
              <w:spacing w:line="240" w:lineRule="auto"/>
              <w:jc w:val="left"/>
              <w:rPr>
                <w:b/>
              </w:rPr>
            </w:pPr>
            <w:r w:rsidRPr="00F25DFE">
              <w:rPr>
                <w:b/>
              </w:rPr>
              <w:t>Cyanide content</w:t>
            </w:r>
          </w:p>
          <w:p w14:paraId="584475C8" w14:textId="77777777" w:rsidR="00F460CF" w:rsidRDefault="00F460CF" w:rsidP="00B11424">
            <w:pPr>
              <w:spacing w:line="240" w:lineRule="auto"/>
              <w:jc w:val="left"/>
            </w:pPr>
            <w:r>
              <w:t>BRA488*</w:t>
            </w:r>
          </w:p>
          <w:p w14:paraId="55676F5E" w14:textId="77777777" w:rsidR="00F460CF" w:rsidRPr="00450EE1" w:rsidRDefault="00F460CF" w:rsidP="00B11424">
            <w:pPr>
              <w:spacing w:line="240" w:lineRule="auto"/>
              <w:jc w:val="left"/>
              <w:rPr>
                <w:sz w:val="10"/>
                <w:szCs w:val="10"/>
              </w:rPr>
            </w:pPr>
          </w:p>
          <w:p w14:paraId="7C2850B2" w14:textId="77777777" w:rsidR="00F460CF" w:rsidRPr="00F25DFE" w:rsidRDefault="00F460CF" w:rsidP="00B11424">
            <w:pPr>
              <w:spacing w:line="240" w:lineRule="auto"/>
              <w:jc w:val="left"/>
            </w:pPr>
            <w:r>
              <w:t>PER496</w:t>
            </w:r>
          </w:p>
        </w:tc>
        <w:tc>
          <w:tcPr>
            <w:tcW w:w="6936" w:type="dxa"/>
            <w:shd w:val="clear" w:color="auto" w:fill="auto"/>
            <w:tcMar>
              <w:top w:w="72" w:type="dxa"/>
              <w:left w:w="144" w:type="dxa"/>
              <w:bottom w:w="72" w:type="dxa"/>
              <w:right w:w="144" w:type="dxa"/>
            </w:tcMar>
            <w:hideMark/>
          </w:tcPr>
          <w:p w14:paraId="31ACBDEB" w14:textId="77777777" w:rsidR="00F460CF" w:rsidRDefault="00F460CF" w:rsidP="00B11424">
            <w:pPr>
              <w:spacing w:line="240" w:lineRule="auto"/>
              <w:jc w:val="left"/>
            </w:pPr>
          </w:p>
          <w:p w14:paraId="4AFEA096" w14:textId="77777777" w:rsidR="00F460CF" w:rsidRPr="00F25DFE" w:rsidRDefault="00F460CF" w:rsidP="00B11424">
            <w:pPr>
              <w:spacing w:line="240" w:lineRule="auto"/>
              <w:jc w:val="left"/>
            </w:pPr>
            <w:r w:rsidRPr="00F25DFE">
              <w:t>Cyanogenic glucosides (</w:t>
            </w:r>
            <w:r>
              <w:t>S,R)</w:t>
            </w:r>
          </w:p>
          <w:p w14:paraId="25636785" w14:textId="77777777" w:rsidR="00F460CF" w:rsidRPr="00450EE1" w:rsidRDefault="00F460CF" w:rsidP="00B11424">
            <w:pPr>
              <w:spacing w:line="240" w:lineRule="auto"/>
              <w:jc w:val="left"/>
              <w:rPr>
                <w:sz w:val="10"/>
                <w:szCs w:val="10"/>
              </w:rPr>
            </w:pPr>
          </w:p>
          <w:p w14:paraId="718728AA" w14:textId="77777777" w:rsidR="00F460CF" w:rsidRDefault="00F460CF" w:rsidP="00B11424">
            <w:pPr>
              <w:spacing w:line="240" w:lineRule="auto"/>
              <w:jc w:val="left"/>
            </w:pPr>
            <w:r>
              <w:t>TCA cycle, threonic acid and epicatechin gallate (L,S,R)</w:t>
            </w:r>
          </w:p>
          <w:p w14:paraId="692FE94E" w14:textId="77777777" w:rsidR="00F460CF" w:rsidRDefault="00F460CF" w:rsidP="00B11424">
            <w:pPr>
              <w:spacing w:line="240" w:lineRule="auto"/>
              <w:jc w:val="left"/>
            </w:pPr>
            <w:r>
              <w:t>Sugars (S)</w:t>
            </w:r>
          </w:p>
          <w:p w14:paraId="6E1656BC" w14:textId="77777777" w:rsidR="00F460CF" w:rsidRPr="00F25DFE" w:rsidRDefault="00F460CF" w:rsidP="00B11424">
            <w:pPr>
              <w:spacing w:line="240" w:lineRule="auto"/>
              <w:jc w:val="left"/>
            </w:pPr>
            <w:r>
              <w:t>Putrescine and threonine (L,S)</w:t>
            </w:r>
          </w:p>
        </w:tc>
      </w:tr>
      <w:tr w:rsidR="00F460CF" w:rsidRPr="00F25DFE" w14:paraId="0FF8E132" w14:textId="77777777" w:rsidTr="00B11424">
        <w:trPr>
          <w:cantSplit/>
        </w:trPr>
        <w:tc>
          <w:tcPr>
            <w:tcW w:w="2268" w:type="dxa"/>
            <w:tcBorders>
              <w:bottom w:val="single" w:sz="12" w:space="0" w:color="auto"/>
            </w:tcBorders>
            <w:shd w:val="clear" w:color="auto" w:fill="auto"/>
            <w:tcMar>
              <w:top w:w="72" w:type="dxa"/>
              <w:left w:w="144" w:type="dxa"/>
              <w:bottom w:w="72" w:type="dxa"/>
              <w:right w:w="144" w:type="dxa"/>
            </w:tcMar>
            <w:hideMark/>
          </w:tcPr>
          <w:p w14:paraId="2AE136A1" w14:textId="77777777" w:rsidR="00F460CF" w:rsidRPr="00F25DFE" w:rsidRDefault="00F460CF" w:rsidP="00B11424">
            <w:pPr>
              <w:spacing w:line="240" w:lineRule="auto"/>
              <w:jc w:val="left"/>
              <w:rPr>
                <w:b/>
              </w:rPr>
            </w:pPr>
            <w:r w:rsidRPr="00F25DFE">
              <w:rPr>
                <w:b/>
              </w:rPr>
              <w:t>Amylose content</w:t>
            </w:r>
          </w:p>
          <w:p w14:paraId="1CF97A49" w14:textId="77777777" w:rsidR="00F460CF" w:rsidRDefault="00F460CF" w:rsidP="00B11424">
            <w:pPr>
              <w:spacing w:line="240" w:lineRule="auto"/>
              <w:jc w:val="left"/>
            </w:pPr>
            <w:r w:rsidRPr="00F25DFE">
              <w:t>PAR36</w:t>
            </w:r>
            <w:r>
              <w:t>*</w:t>
            </w:r>
          </w:p>
          <w:p w14:paraId="29D4F40C" w14:textId="77777777" w:rsidR="00F460CF" w:rsidRDefault="00F460CF" w:rsidP="00B11424">
            <w:pPr>
              <w:spacing w:line="240" w:lineRule="auto"/>
              <w:jc w:val="left"/>
            </w:pPr>
          </w:p>
          <w:p w14:paraId="69A34CAB" w14:textId="77777777" w:rsidR="00F460CF" w:rsidRDefault="00F460CF" w:rsidP="00B11424">
            <w:pPr>
              <w:spacing w:line="240" w:lineRule="auto"/>
              <w:jc w:val="left"/>
            </w:pPr>
          </w:p>
          <w:p w14:paraId="38C133EF" w14:textId="77777777" w:rsidR="00F460CF" w:rsidRDefault="00F460CF" w:rsidP="00B11424">
            <w:pPr>
              <w:spacing w:line="240" w:lineRule="auto"/>
              <w:jc w:val="left"/>
            </w:pPr>
          </w:p>
          <w:p w14:paraId="66F21C4E" w14:textId="77777777" w:rsidR="00F460CF" w:rsidRPr="00EB01EE" w:rsidRDefault="00F460CF" w:rsidP="00B11424">
            <w:pPr>
              <w:spacing w:line="240" w:lineRule="auto"/>
              <w:jc w:val="left"/>
              <w:rPr>
                <w:sz w:val="10"/>
                <w:szCs w:val="10"/>
              </w:rPr>
            </w:pPr>
          </w:p>
          <w:p w14:paraId="7134DD49" w14:textId="77777777" w:rsidR="00F460CF" w:rsidRPr="00F25DFE" w:rsidRDefault="00F460CF" w:rsidP="00B11424">
            <w:pPr>
              <w:spacing w:line="240" w:lineRule="auto"/>
              <w:jc w:val="left"/>
            </w:pPr>
            <w:r w:rsidRPr="00F25DFE">
              <w:t>CUB25</w:t>
            </w:r>
          </w:p>
        </w:tc>
        <w:tc>
          <w:tcPr>
            <w:tcW w:w="6936" w:type="dxa"/>
            <w:tcBorders>
              <w:bottom w:val="single" w:sz="12" w:space="0" w:color="auto"/>
            </w:tcBorders>
            <w:shd w:val="clear" w:color="auto" w:fill="auto"/>
            <w:tcMar>
              <w:top w:w="72" w:type="dxa"/>
              <w:left w:w="144" w:type="dxa"/>
              <w:bottom w:w="72" w:type="dxa"/>
              <w:right w:w="144" w:type="dxa"/>
            </w:tcMar>
            <w:hideMark/>
          </w:tcPr>
          <w:p w14:paraId="141A2A84" w14:textId="77777777" w:rsidR="00F460CF" w:rsidRDefault="00F460CF" w:rsidP="00B11424">
            <w:pPr>
              <w:spacing w:line="240" w:lineRule="auto"/>
              <w:jc w:val="left"/>
            </w:pPr>
          </w:p>
          <w:p w14:paraId="4ADDBA22" w14:textId="77777777" w:rsidR="00F460CF" w:rsidRPr="00F25DFE" w:rsidRDefault="00F460CF" w:rsidP="00B11424">
            <w:pPr>
              <w:spacing w:line="240" w:lineRule="auto"/>
              <w:jc w:val="left"/>
            </w:pPr>
            <w:r>
              <w:t>Cyanogenic glucosides (R)</w:t>
            </w:r>
          </w:p>
          <w:p w14:paraId="373A7C53" w14:textId="77777777" w:rsidR="00F460CF" w:rsidRPr="00F25DFE" w:rsidRDefault="00F460CF" w:rsidP="00B11424">
            <w:pPr>
              <w:spacing w:line="240" w:lineRule="auto"/>
              <w:jc w:val="left"/>
            </w:pPr>
            <w:r w:rsidRPr="00F25DFE">
              <w:t>Monosaccharides (</w:t>
            </w:r>
            <w:r>
              <w:t>S,R)</w:t>
            </w:r>
          </w:p>
          <w:p w14:paraId="59C04B0D" w14:textId="77777777" w:rsidR="00F460CF" w:rsidRPr="00F25DFE" w:rsidRDefault="00F460CF" w:rsidP="00B11424">
            <w:pPr>
              <w:spacing w:line="240" w:lineRule="auto"/>
              <w:jc w:val="left"/>
            </w:pPr>
            <w:r w:rsidRPr="00F25DFE">
              <w:t>Ch</w:t>
            </w:r>
            <w:r>
              <w:t>lorogenic/ferulic acid (L,S,R)</w:t>
            </w:r>
          </w:p>
          <w:p w14:paraId="410C15D4" w14:textId="77777777" w:rsidR="00F460CF" w:rsidRDefault="00F460CF" w:rsidP="00B11424">
            <w:pPr>
              <w:spacing w:line="240" w:lineRule="auto"/>
              <w:jc w:val="left"/>
            </w:pPr>
            <w:r w:rsidRPr="00F25DFE">
              <w:t xml:space="preserve">Chlorophylls, </w:t>
            </w:r>
            <w:r>
              <w:t>carotenoids (L)</w:t>
            </w:r>
          </w:p>
          <w:p w14:paraId="07AE3345" w14:textId="77777777" w:rsidR="00F460CF" w:rsidRPr="00EB01EE" w:rsidRDefault="00F460CF" w:rsidP="00B11424">
            <w:pPr>
              <w:spacing w:line="240" w:lineRule="auto"/>
              <w:jc w:val="left"/>
              <w:rPr>
                <w:sz w:val="10"/>
                <w:szCs w:val="10"/>
              </w:rPr>
            </w:pPr>
          </w:p>
          <w:p w14:paraId="40F19BF5" w14:textId="77777777" w:rsidR="00F460CF" w:rsidRPr="00F25DFE" w:rsidRDefault="00F460CF" w:rsidP="00B11424">
            <w:pPr>
              <w:spacing w:line="240" w:lineRule="auto"/>
              <w:jc w:val="left"/>
            </w:pPr>
            <w:r>
              <w:t>Amino acids of nitrogen metabolism (L,S,R)</w:t>
            </w:r>
          </w:p>
        </w:tc>
      </w:tr>
    </w:tbl>
    <w:p w14:paraId="59E3F0D0" w14:textId="77777777" w:rsidR="00F460CF" w:rsidRPr="00F25DFE" w:rsidRDefault="00F460CF" w:rsidP="00F460CF"/>
    <w:p w14:paraId="189A3781" w14:textId="77777777" w:rsidR="00F460CF" w:rsidRDefault="00F460CF" w:rsidP="00F460CF">
      <w:pPr>
        <w:pStyle w:val="Heading3"/>
      </w:pPr>
      <w:r>
        <w:lastRenderedPageBreak/>
        <w:t>Assessing metabolite profiles of phenotypic cassava leaf traits</w:t>
      </w:r>
    </w:p>
    <w:p w14:paraId="6F4FFE77" w14:textId="24B23AF4" w:rsidR="00F460CF" w:rsidRDefault="00F460CF" w:rsidP="00F460CF">
      <w:r>
        <w:t>The primary effect of biotic stresses on cassava plants can be detected in leaves and can lead to a det</w:t>
      </w:r>
      <w:r w:rsidR="00B77AE1">
        <w:t>rimental impact on the tuberous</w:t>
      </w:r>
      <w:r>
        <w:t>root formation. The present study included plants grown under standard field conditions and should not have been affected by any biotic stresses. Hence, the comparison of the landraces was focused on leaf metabolites, which could refer antixenosis properties and contribute to the resistance of the respective landrace. This was followed by a comparison of root tissues to assess the differences to the high culinary quality landrace CUB74. The metabolic differences detected between the landraces were summarised for each trait (</w:t>
      </w:r>
      <w:r>
        <w:fldChar w:fldCharType="begin"/>
      </w:r>
      <w:r>
        <w:instrText xml:space="preserve"> REF _Ref37675268 \h </w:instrText>
      </w:r>
      <w:r>
        <w:fldChar w:fldCharType="separate"/>
      </w:r>
      <w:r w:rsidR="00397241">
        <w:t xml:space="preserve">Table </w:t>
      </w:r>
      <w:r w:rsidR="00397241">
        <w:rPr>
          <w:noProof/>
        </w:rPr>
        <w:t>3</w:t>
      </w:r>
      <w:r>
        <w:fldChar w:fldCharType="end"/>
      </w:r>
      <w:r>
        <w:t>).</w:t>
      </w:r>
    </w:p>
    <w:p w14:paraId="6AE21AAE" w14:textId="0E398CBB" w:rsidR="00F460CF" w:rsidRDefault="00F460CF" w:rsidP="00F460CF">
      <w:r>
        <w:t>The two cassava landraces with resistant (PAN139) and susceptible (COL2436) thrips properties showed distinct differences of chlorophyll and carotenoid levels, which were higher in PAN139 (</w:t>
      </w:r>
      <w:r w:rsidR="00EB333E">
        <w:t>Fig. A.</w:t>
      </w:r>
      <w:r>
        <w:t xml:space="preserve">6). The levels of cyanogenic glucosides were higher in COL2436 for both leaf and root tissue. The phenolic compounds in leaf tissue followed two trends. Kaempferol and derived compounds were higher in PAN139 and catechin and derived compounds (gallates and procyanidins) were higher in COL2436. Additionally, PAN139 had higher levels of ferulic acid and glycerolipid precursors and COL2436 had higher levels of quercetin, shikimic acid and chlorogenic acid. Fructose and intermediates of the TCA cylce were higher in COL2436 root tissue. Interestingly, the stem tissue only showed three significantly different metabolites including threonine, lotaustralin and chlorogenic acid. </w:t>
      </w:r>
    </w:p>
    <w:p w14:paraId="7F26845C" w14:textId="3EB5184E" w:rsidR="00F460CF" w:rsidRDefault="00F460CF" w:rsidP="00F460CF">
      <w:r>
        <w:t>Five landraces in the diversity panel were previously tested for their green mite resistance. The resistant landraces included COL113, COL1522 and CUB74 and the susceptible landraces COL1684 and VEN77. The hierarchical relationship of leaf metabolites showed that CUB74 was more similar to the susceptible landraces (</w:t>
      </w:r>
      <w:r w:rsidR="00EB333E">
        <w:t>Fig. A.</w:t>
      </w:r>
      <w:r>
        <w:t xml:space="preserve">7). Overall, 79 metabolites were significantly different between the five landraces. Chlorophyll and carotenoids were higher in COL113 and COL1522 as well as epicatechin gallates and kaempferol-pentoside. As described for culinary quality, CUB74 showed the highest levels of a majority of amino acids in both leaf and root tissue. The susceptible landraces COL1684 and VEN77 had higher levels of amino acids involved in the nitrogen metabolism, hydroxycinnamic acids and derivatives, catechin and procyanidin B3. Despite these similarities, the levels for the metabolite groups varied between the two landraces susceptible to green mites. COL1684 had the highest levels of </w:t>
      </w:r>
      <w:r>
        <w:lastRenderedPageBreak/>
        <w:t>hydroxycinnamic acids and VEN77 of catechin and procyanidin B3. The heatmap of root metabolites did not show any metabolic trends detected in leaf tissue.</w:t>
      </w:r>
    </w:p>
    <w:p w14:paraId="03B0C712" w14:textId="7F9310B7" w:rsidR="00F460CF" w:rsidRDefault="00F460CF" w:rsidP="00F460CF">
      <w:r>
        <w:t>A comprehensive comparison between eight landraces with herbivorous pest traits (green mites, thrips and whitefly) was performed and highlighted some metabolic similarities (</w:t>
      </w:r>
      <w:r w:rsidR="00EB333E">
        <w:t>Fig. A.</w:t>
      </w:r>
      <w:r>
        <w:t>8). The resistant green mite landraces COL113 and COL1522 were grouped with ECU72, a resistant whitefly landrace (Fig. 4). The two green mite resistant landraces show the highest levels for metabolites already described in the green mite trait comparison. ECU72 was distinguishable by higher levels of sucrose and precursors for glycolipids, whereas most other compounds showed average levels compared to the other seven landraces. The second hierarchical arm comprised the susceptible green mite landraces COL1684 and VEN77, the resistant green mite landrace CUB74 and the two landraces included for thrips traits. The thrips resistant PAN139 showed the most metabolite similarity to the two susceptible green mite landraces. Common metabolite levels included amino acids, intermediates of the TCA cycle and sugars. The thrips susceptible COL2436 had the highest levels of metabolites described for the thrips trait comparison. In the comparison of the root tissues, the green mite susceptible COL1684 and the thrips susceptible COL2436 were grouped with CUB74, known for high culinary quality and green mite resistance. These three landraces had the highest levels of metabolites described for CUB74 in the culinary quality comparison. All other resistant landraces were grouped with the low culinary quality landrace VEN25. Interestingly, COL113, COL1522 and ECU72 were grouped in one hierarchical arm, as observed for the leaf tissue. The heatmap highlighted that COL113 had levels of amino acids and TCA cycle intermediates similar to CUB74. In addition, COL113 had the highest levels of catechin, quercetin and their derivatives and rutin, which was the opposite of CUB74. In comparison, ECU72 and COL1522 showed the opposite trends in contents for the majority of metabolites.</w:t>
      </w:r>
    </w:p>
    <w:p w14:paraId="557BD32A" w14:textId="2200B55E" w:rsidR="00F460CF" w:rsidRDefault="00F460CF" w:rsidP="00F460CF">
      <w:r>
        <w:t>The three African varieties TME3, NGA5 and NGA11 were the result of a CMD breeding program and are known for their resistance, moderate susceptibility and high susceptibility to the virus, respectively. As described for other traits, the hierarchical relationships between the varieties varied between the three tissues (</w:t>
      </w:r>
      <w:r w:rsidR="00EB333E">
        <w:t>Fig. A.</w:t>
      </w:r>
      <w:r>
        <w:t xml:space="preserve">9). The leaf tissue showed more similarity between TME3 and NGA11, the stem tissue between NGA5 and NGA11 and in root tissue between TME3 and NGA5. Yet, some metabolite trends could be observed between leaf and root tissue. NGA11 had higher levels of monosaccharides and NGA5 had higher levels of epicatechin gallate. Overall, 22 metabolites were significantly different between leaf tissue </w:t>
      </w:r>
      <w:r>
        <w:lastRenderedPageBreak/>
        <w:t>of the three varieties and included mainly primary metabolites. The exception were higher levels of kaempferol-rutinoside and –glucoside and coumaroyl-malate in TME3, epicatechin gallate and epigallocatechin gallate in NGA5. In the root tissue, only 17 metabolites showed significant difference and included amino acids, monosaccharides, linamarin and epicatechin gallate.</w:t>
      </w:r>
    </w:p>
    <w:p w14:paraId="3EF2C7B6" w14:textId="77777777" w:rsidR="00F460CF" w:rsidRPr="00AB056F" w:rsidRDefault="00F460CF" w:rsidP="00F460CF"/>
    <w:p w14:paraId="02E4633E" w14:textId="77777777" w:rsidR="00F460CF" w:rsidRDefault="00F460CF" w:rsidP="00F460CF">
      <w:pPr>
        <w:pStyle w:val="Caption"/>
        <w:keepNext/>
      </w:pPr>
      <w:bookmarkStart w:id="2" w:name="_Ref37675268"/>
      <w:r>
        <w:t xml:space="preserve">Table </w:t>
      </w:r>
      <w:r>
        <w:rPr>
          <w:noProof/>
        </w:rPr>
        <w:fldChar w:fldCharType="begin"/>
      </w:r>
      <w:r>
        <w:rPr>
          <w:noProof/>
        </w:rPr>
        <w:instrText xml:space="preserve"> SEQ Table \* ARABIC </w:instrText>
      </w:r>
      <w:r>
        <w:rPr>
          <w:noProof/>
        </w:rPr>
        <w:fldChar w:fldCharType="separate"/>
      </w:r>
      <w:r w:rsidR="00397241">
        <w:rPr>
          <w:noProof/>
        </w:rPr>
        <w:t>3</w:t>
      </w:r>
      <w:r>
        <w:rPr>
          <w:noProof/>
        </w:rPr>
        <w:fldChar w:fldCharType="end"/>
      </w:r>
      <w:bookmarkEnd w:id="2"/>
      <w:r>
        <w:t xml:space="preserve">. Metabolic differences detected between landraces with resistant and susceptible phenotypes. Resistant landraces are indicated by an asterisk. </w:t>
      </w:r>
    </w:p>
    <w:tbl>
      <w:tblPr>
        <w:tblW w:w="9204" w:type="dxa"/>
        <w:tblCellMar>
          <w:left w:w="0" w:type="dxa"/>
          <w:right w:w="0" w:type="dxa"/>
        </w:tblCellMar>
        <w:tblLook w:val="0420" w:firstRow="1" w:lastRow="0" w:firstColumn="0" w:lastColumn="0" w:noHBand="0" w:noVBand="1"/>
      </w:tblPr>
      <w:tblGrid>
        <w:gridCol w:w="2410"/>
        <w:gridCol w:w="6794"/>
      </w:tblGrid>
      <w:tr w:rsidR="00F460CF" w:rsidRPr="00F25DFE" w14:paraId="286D8C81" w14:textId="77777777" w:rsidTr="00B11424">
        <w:trPr>
          <w:cantSplit/>
        </w:trPr>
        <w:tc>
          <w:tcPr>
            <w:tcW w:w="2410" w:type="dxa"/>
            <w:tcBorders>
              <w:top w:val="single" w:sz="12" w:space="0" w:color="auto"/>
            </w:tcBorders>
            <w:shd w:val="clear" w:color="auto" w:fill="auto"/>
            <w:tcMar>
              <w:top w:w="72" w:type="dxa"/>
              <w:left w:w="144" w:type="dxa"/>
              <w:bottom w:w="72" w:type="dxa"/>
              <w:right w:w="144" w:type="dxa"/>
            </w:tcMar>
          </w:tcPr>
          <w:p w14:paraId="0EBFF800" w14:textId="77777777" w:rsidR="00F460CF" w:rsidRDefault="00F460CF" w:rsidP="00B11424">
            <w:pPr>
              <w:spacing w:line="240" w:lineRule="auto"/>
              <w:jc w:val="left"/>
              <w:rPr>
                <w:b/>
              </w:rPr>
            </w:pPr>
            <w:r>
              <w:rPr>
                <w:b/>
              </w:rPr>
              <w:t>Trait (landraces)</w:t>
            </w:r>
          </w:p>
        </w:tc>
        <w:tc>
          <w:tcPr>
            <w:tcW w:w="6794" w:type="dxa"/>
            <w:tcBorders>
              <w:top w:val="single" w:sz="12" w:space="0" w:color="auto"/>
            </w:tcBorders>
            <w:shd w:val="clear" w:color="auto" w:fill="auto"/>
          </w:tcPr>
          <w:p w14:paraId="7599CD80" w14:textId="77777777" w:rsidR="00F460CF" w:rsidRDefault="00F460CF" w:rsidP="00B11424">
            <w:pPr>
              <w:spacing w:line="240" w:lineRule="auto"/>
              <w:jc w:val="left"/>
              <w:rPr>
                <w:b/>
              </w:rPr>
            </w:pPr>
            <w:r>
              <w:rPr>
                <w:b/>
              </w:rPr>
              <w:t>Significantly higher metabolites</w:t>
            </w:r>
          </w:p>
        </w:tc>
      </w:tr>
      <w:tr w:rsidR="00F460CF" w:rsidRPr="00F25DFE" w14:paraId="4E30F6E4" w14:textId="77777777" w:rsidTr="00B11424">
        <w:trPr>
          <w:cantSplit/>
        </w:trPr>
        <w:tc>
          <w:tcPr>
            <w:tcW w:w="9204" w:type="dxa"/>
            <w:gridSpan w:val="2"/>
            <w:tcBorders>
              <w:top w:val="single" w:sz="12" w:space="0" w:color="auto"/>
            </w:tcBorders>
            <w:shd w:val="clear" w:color="auto" w:fill="auto"/>
            <w:tcMar>
              <w:top w:w="72" w:type="dxa"/>
              <w:left w:w="144" w:type="dxa"/>
              <w:bottom w:w="72" w:type="dxa"/>
              <w:right w:w="144" w:type="dxa"/>
            </w:tcMar>
            <w:hideMark/>
          </w:tcPr>
          <w:p w14:paraId="0DB40503" w14:textId="77777777" w:rsidR="00F460CF" w:rsidRPr="00F25DFE" w:rsidRDefault="00F460CF" w:rsidP="00B11424">
            <w:pPr>
              <w:spacing w:line="240" w:lineRule="auto"/>
              <w:jc w:val="left"/>
            </w:pPr>
            <w:r>
              <w:rPr>
                <w:b/>
              </w:rPr>
              <w:t>Thrips</w:t>
            </w:r>
          </w:p>
        </w:tc>
      </w:tr>
      <w:tr w:rsidR="00F460CF" w:rsidRPr="00F25DFE" w14:paraId="4548FE12" w14:textId="77777777" w:rsidTr="00B11424">
        <w:trPr>
          <w:cantSplit/>
        </w:trPr>
        <w:tc>
          <w:tcPr>
            <w:tcW w:w="2410" w:type="dxa"/>
            <w:tcBorders>
              <w:bottom w:val="single" w:sz="4" w:space="0" w:color="auto"/>
            </w:tcBorders>
            <w:shd w:val="clear" w:color="auto" w:fill="auto"/>
            <w:tcMar>
              <w:top w:w="72" w:type="dxa"/>
              <w:left w:w="144" w:type="dxa"/>
              <w:bottom w:w="72" w:type="dxa"/>
              <w:right w:w="144" w:type="dxa"/>
            </w:tcMar>
          </w:tcPr>
          <w:p w14:paraId="477C6883" w14:textId="77777777" w:rsidR="00F460CF" w:rsidRDefault="00F460CF" w:rsidP="00B11424">
            <w:pPr>
              <w:spacing w:line="240" w:lineRule="auto"/>
              <w:jc w:val="left"/>
            </w:pPr>
            <w:r>
              <w:t>PAN139*</w:t>
            </w:r>
          </w:p>
          <w:p w14:paraId="0AC241B6" w14:textId="77777777" w:rsidR="00F460CF" w:rsidRDefault="00F460CF" w:rsidP="00B11424">
            <w:pPr>
              <w:spacing w:line="240" w:lineRule="auto"/>
              <w:jc w:val="left"/>
            </w:pPr>
          </w:p>
          <w:p w14:paraId="595F879B" w14:textId="77777777" w:rsidR="00F460CF" w:rsidRPr="00F25DFE" w:rsidRDefault="00F460CF" w:rsidP="00B11424">
            <w:pPr>
              <w:spacing w:line="240" w:lineRule="auto"/>
              <w:jc w:val="left"/>
            </w:pPr>
            <w:r>
              <w:t>COL2436</w:t>
            </w:r>
          </w:p>
        </w:tc>
        <w:tc>
          <w:tcPr>
            <w:tcW w:w="6794" w:type="dxa"/>
            <w:tcBorders>
              <w:bottom w:val="single" w:sz="4" w:space="0" w:color="auto"/>
            </w:tcBorders>
            <w:shd w:val="clear" w:color="auto" w:fill="auto"/>
          </w:tcPr>
          <w:p w14:paraId="40E230C2" w14:textId="77777777" w:rsidR="00F460CF" w:rsidRDefault="00F460CF" w:rsidP="00B11424">
            <w:pPr>
              <w:spacing w:line="240" w:lineRule="auto"/>
              <w:jc w:val="left"/>
            </w:pPr>
            <w:r>
              <w:t>Chlorophylls and carotenoids (L)</w:t>
            </w:r>
          </w:p>
          <w:p w14:paraId="40754816" w14:textId="77777777" w:rsidR="00F460CF" w:rsidRDefault="00F460CF" w:rsidP="00B11424">
            <w:pPr>
              <w:spacing w:line="240" w:lineRule="auto"/>
              <w:jc w:val="left"/>
            </w:pPr>
            <w:r>
              <w:t>Kaempferol-rutinoside, ferulic acid (L)</w:t>
            </w:r>
          </w:p>
          <w:p w14:paraId="6E5B4403" w14:textId="77777777" w:rsidR="00F460CF" w:rsidRDefault="00F460CF" w:rsidP="00B11424">
            <w:pPr>
              <w:spacing w:line="240" w:lineRule="auto"/>
              <w:jc w:val="left"/>
            </w:pPr>
            <w:r>
              <w:t>Cyanogenic glucosides (L,R)</w:t>
            </w:r>
          </w:p>
          <w:p w14:paraId="3E4D26FE" w14:textId="77777777" w:rsidR="00F460CF" w:rsidRDefault="00F460CF" w:rsidP="00B11424">
            <w:pPr>
              <w:spacing w:line="240" w:lineRule="auto"/>
              <w:jc w:val="left"/>
            </w:pPr>
            <w:r>
              <w:t>Catechin (L,R)</w:t>
            </w:r>
          </w:p>
          <w:p w14:paraId="30DDBA83" w14:textId="77777777" w:rsidR="00F460CF" w:rsidRDefault="00F460CF" w:rsidP="00B11424">
            <w:pPr>
              <w:spacing w:line="240" w:lineRule="auto"/>
              <w:jc w:val="left"/>
            </w:pPr>
            <w:r>
              <w:t>Gallocatechin gallate, procyanidins (L)</w:t>
            </w:r>
          </w:p>
        </w:tc>
      </w:tr>
      <w:tr w:rsidR="00F460CF" w:rsidRPr="00F25DFE" w14:paraId="07C982A9" w14:textId="77777777" w:rsidTr="00B11424">
        <w:trPr>
          <w:cantSplit/>
        </w:trPr>
        <w:tc>
          <w:tcPr>
            <w:tcW w:w="9204" w:type="dxa"/>
            <w:gridSpan w:val="2"/>
            <w:tcBorders>
              <w:top w:val="single" w:sz="4" w:space="0" w:color="auto"/>
            </w:tcBorders>
            <w:shd w:val="clear" w:color="auto" w:fill="auto"/>
            <w:tcMar>
              <w:top w:w="72" w:type="dxa"/>
              <w:left w:w="144" w:type="dxa"/>
              <w:bottom w:w="72" w:type="dxa"/>
              <w:right w:w="144" w:type="dxa"/>
            </w:tcMar>
            <w:hideMark/>
          </w:tcPr>
          <w:p w14:paraId="1C47C126" w14:textId="77777777" w:rsidR="00F460CF" w:rsidRPr="00F25DFE" w:rsidRDefault="00F460CF" w:rsidP="00B11424">
            <w:pPr>
              <w:spacing w:line="240" w:lineRule="auto"/>
              <w:jc w:val="left"/>
            </w:pPr>
            <w:r>
              <w:rPr>
                <w:b/>
              </w:rPr>
              <w:t>Green mites</w:t>
            </w:r>
          </w:p>
        </w:tc>
      </w:tr>
      <w:tr w:rsidR="00F460CF" w:rsidRPr="00F25DFE" w14:paraId="2C30EB12" w14:textId="77777777" w:rsidTr="00B11424">
        <w:trPr>
          <w:cantSplit/>
        </w:trPr>
        <w:tc>
          <w:tcPr>
            <w:tcW w:w="2410" w:type="dxa"/>
            <w:tcBorders>
              <w:bottom w:val="single" w:sz="4" w:space="0" w:color="auto"/>
            </w:tcBorders>
            <w:shd w:val="clear" w:color="auto" w:fill="auto"/>
            <w:tcMar>
              <w:top w:w="72" w:type="dxa"/>
              <w:left w:w="144" w:type="dxa"/>
              <w:bottom w:w="72" w:type="dxa"/>
              <w:right w:w="144" w:type="dxa"/>
            </w:tcMar>
            <w:hideMark/>
          </w:tcPr>
          <w:p w14:paraId="58A6352E" w14:textId="77777777" w:rsidR="00F460CF" w:rsidRDefault="00F460CF" w:rsidP="00B11424">
            <w:pPr>
              <w:spacing w:line="240" w:lineRule="auto"/>
              <w:jc w:val="left"/>
            </w:pPr>
            <w:r>
              <w:t>COL113*, COL1522*</w:t>
            </w:r>
          </w:p>
          <w:p w14:paraId="7B5310DB" w14:textId="77777777" w:rsidR="00F460CF" w:rsidRDefault="00F460CF" w:rsidP="00B11424">
            <w:pPr>
              <w:spacing w:line="240" w:lineRule="auto"/>
              <w:jc w:val="left"/>
            </w:pPr>
          </w:p>
          <w:p w14:paraId="3CBA9805" w14:textId="77777777" w:rsidR="00F460CF" w:rsidRDefault="00F460CF" w:rsidP="00B11424">
            <w:pPr>
              <w:spacing w:line="240" w:lineRule="auto"/>
              <w:jc w:val="left"/>
            </w:pPr>
          </w:p>
          <w:p w14:paraId="5D66D866" w14:textId="77777777" w:rsidR="00F460CF" w:rsidRDefault="00F460CF" w:rsidP="00B11424">
            <w:pPr>
              <w:spacing w:line="240" w:lineRule="auto"/>
              <w:jc w:val="left"/>
            </w:pPr>
            <w:r>
              <w:t>CUB74*</w:t>
            </w:r>
          </w:p>
          <w:p w14:paraId="4D88A010" w14:textId="77777777" w:rsidR="00F460CF" w:rsidRDefault="00F460CF" w:rsidP="00B11424">
            <w:pPr>
              <w:spacing w:line="240" w:lineRule="auto"/>
              <w:jc w:val="left"/>
            </w:pPr>
          </w:p>
          <w:p w14:paraId="0D716BF1" w14:textId="77777777" w:rsidR="00F460CF" w:rsidRDefault="00F460CF" w:rsidP="00B11424">
            <w:pPr>
              <w:spacing w:line="240" w:lineRule="auto"/>
              <w:jc w:val="left"/>
            </w:pPr>
          </w:p>
          <w:p w14:paraId="5346C621" w14:textId="77777777" w:rsidR="00F460CF" w:rsidRDefault="00F460CF" w:rsidP="00B11424">
            <w:pPr>
              <w:spacing w:line="240" w:lineRule="auto"/>
              <w:jc w:val="left"/>
            </w:pPr>
            <w:r>
              <w:t>COL1684, VEN77</w:t>
            </w:r>
          </w:p>
          <w:p w14:paraId="5D2BC810" w14:textId="77777777" w:rsidR="00F460CF" w:rsidRDefault="00F460CF" w:rsidP="00B11424">
            <w:pPr>
              <w:spacing w:line="240" w:lineRule="auto"/>
              <w:jc w:val="left"/>
            </w:pPr>
          </w:p>
          <w:p w14:paraId="73A6F31D" w14:textId="77777777" w:rsidR="00F460CF" w:rsidRPr="00F25DFE" w:rsidRDefault="00F460CF" w:rsidP="00B11424">
            <w:pPr>
              <w:spacing w:line="240" w:lineRule="auto"/>
              <w:jc w:val="left"/>
            </w:pPr>
          </w:p>
        </w:tc>
        <w:tc>
          <w:tcPr>
            <w:tcW w:w="6794" w:type="dxa"/>
            <w:tcBorders>
              <w:bottom w:val="single" w:sz="4" w:space="0" w:color="auto"/>
            </w:tcBorders>
            <w:shd w:val="clear" w:color="auto" w:fill="auto"/>
          </w:tcPr>
          <w:p w14:paraId="66C98F8D" w14:textId="77777777" w:rsidR="00F460CF" w:rsidRDefault="00F460CF" w:rsidP="00B11424">
            <w:pPr>
              <w:spacing w:line="240" w:lineRule="auto"/>
              <w:jc w:val="left"/>
            </w:pPr>
            <w:r>
              <w:t>Chlorophyll and carotenoids (L)</w:t>
            </w:r>
          </w:p>
          <w:p w14:paraId="5D950357" w14:textId="77777777" w:rsidR="00F460CF" w:rsidRDefault="00F460CF" w:rsidP="00B11424">
            <w:pPr>
              <w:spacing w:line="240" w:lineRule="auto"/>
              <w:jc w:val="left"/>
            </w:pPr>
            <w:r>
              <w:t>Epicatechin gallates (L)</w:t>
            </w:r>
          </w:p>
          <w:p w14:paraId="38AE08C2" w14:textId="77777777" w:rsidR="00F460CF" w:rsidRPr="005C37CB" w:rsidRDefault="00F460CF" w:rsidP="00B11424">
            <w:pPr>
              <w:spacing w:line="240" w:lineRule="auto"/>
              <w:jc w:val="left"/>
              <w:rPr>
                <w:lang w:val="es-ES_tradnl"/>
              </w:rPr>
            </w:pPr>
            <w:r w:rsidRPr="005C37CB">
              <w:rPr>
                <w:lang w:val="es-ES_tradnl"/>
              </w:rPr>
              <w:t>Kaempferol-pentoside (L)</w:t>
            </w:r>
          </w:p>
          <w:p w14:paraId="0792C063" w14:textId="77777777" w:rsidR="00F460CF" w:rsidRPr="005C37CB" w:rsidRDefault="00F460CF" w:rsidP="00B11424">
            <w:pPr>
              <w:spacing w:line="240" w:lineRule="auto"/>
              <w:jc w:val="left"/>
              <w:rPr>
                <w:lang w:val="es-ES_tradnl"/>
              </w:rPr>
            </w:pPr>
            <w:r w:rsidRPr="005C37CB">
              <w:rPr>
                <w:lang w:val="es-ES_tradnl"/>
              </w:rPr>
              <w:t>Fructose, sucrose (L)</w:t>
            </w:r>
          </w:p>
          <w:p w14:paraId="23EB5B80" w14:textId="77777777" w:rsidR="00F460CF" w:rsidRDefault="00F460CF" w:rsidP="00B11424">
            <w:pPr>
              <w:spacing w:line="240" w:lineRule="auto"/>
              <w:jc w:val="left"/>
            </w:pPr>
            <w:r>
              <w:t>Majority of amino acids (L)</w:t>
            </w:r>
          </w:p>
          <w:p w14:paraId="1722068F" w14:textId="77777777" w:rsidR="00F460CF" w:rsidRDefault="00F460CF" w:rsidP="00B11424">
            <w:pPr>
              <w:spacing w:line="240" w:lineRule="auto"/>
              <w:jc w:val="left"/>
            </w:pPr>
            <w:r>
              <w:t>Chlorogenic acid (L)</w:t>
            </w:r>
          </w:p>
          <w:p w14:paraId="0F625340" w14:textId="77777777" w:rsidR="00F460CF" w:rsidRDefault="00F460CF" w:rsidP="00B11424">
            <w:pPr>
              <w:spacing w:line="240" w:lineRule="auto"/>
              <w:jc w:val="left"/>
            </w:pPr>
            <w:r>
              <w:t>Nitrogen metabolism (L)</w:t>
            </w:r>
          </w:p>
          <w:p w14:paraId="4A2073AC" w14:textId="77777777" w:rsidR="00F460CF" w:rsidRDefault="00F460CF" w:rsidP="00B11424">
            <w:pPr>
              <w:spacing w:line="240" w:lineRule="auto"/>
              <w:jc w:val="left"/>
            </w:pPr>
            <w:r>
              <w:t>Feruloyl- and coumaroyl-malate (L)</w:t>
            </w:r>
          </w:p>
          <w:p w14:paraId="5A027AE1" w14:textId="77777777" w:rsidR="00F460CF" w:rsidRPr="00F25DFE" w:rsidRDefault="00F460CF" w:rsidP="00B11424">
            <w:pPr>
              <w:spacing w:line="240" w:lineRule="auto"/>
              <w:jc w:val="left"/>
            </w:pPr>
            <w:r>
              <w:t>Catechin, procyanidin B3 (L)</w:t>
            </w:r>
          </w:p>
        </w:tc>
      </w:tr>
      <w:tr w:rsidR="00F460CF" w:rsidRPr="00F25DFE" w14:paraId="6328DD24" w14:textId="77777777" w:rsidTr="00B11424">
        <w:trPr>
          <w:cantSplit/>
        </w:trPr>
        <w:tc>
          <w:tcPr>
            <w:tcW w:w="9204" w:type="dxa"/>
            <w:gridSpan w:val="2"/>
            <w:tcBorders>
              <w:top w:val="single" w:sz="4" w:space="0" w:color="auto"/>
            </w:tcBorders>
            <w:shd w:val="clear" w:color="auto" w:fill="auto"/>
            <w:tcMar>
              <w:top w:w="72" w:type="dxa"/>
              <w:left w:w="144" w:type="dxa"/>
              <w:bottom w:w="72" w:type="dxa"/>
              <w:right w:w="144" w:type="dxa"/>
            </w:tcMar>
            <w:vAlign w:val="center"/>
            <w:hideMark/>
          </w:tcPr>
          <w:p w14:paraId="6BB6E981" w14:textId="77777777" w:rsidR="00F460CF" w:rsidRPr="00F25DFE" w:rsidRDefault="00F460CF" w:rsidP="00B11424">
            <w:pPr>
              <w:spacing w:line="240" w:lineRule="auto"/>
              <w:jc w:val="left"/>
            </w:pPr>
            <w:r>
              <w:rPr>
                <w:b/>
              </w:rPr>
              <w:t>Cassava mosaic virus (CMD)</w:t>
            </w:r>
          </w:p>
        </w:tc>
      </w:tr>
      <w:tr w:rsidR="00F460CF" w:rsidRPr="00F25DFE" w14:paraId="306CD382" w14:textId="77777777" w:rsidTr="00B11424">
        <w:trPr>
          <w:cantSplit/>
        </w:trPr>
        <w:tc>
          <w:tcPr>
            <w:tcW w:w="2410" w:type="dxa"/>
            <w:tcBorders>
              <w:bottom w:val="single" w:sz="12" w:space="0" w:color="auto"/>
            </w:tcBorders>
            <w:shd w:val="clear" w:color="auto" w:fill="auto"/>
            <w:tcMar>
              <w:top w:w="72" w:type="dxa"/>
              <w:left w:w="144" w:type="dxa"/>
              <w:bottom w:w="72" w:type="dxa"/>
              <w:right w:w="144" w:type="dxa"/>
            </w:tcMar>
          </w:tcPr>
          <w:p w14:paraId="31B8A1D8" w14:textId="77777777" w:rsidR="00F460CF" w:rsidRPr="00F25DFE" w:rsidRDefault="00F460CF" w:rsidP="00B11424">
            <w:pPr>
              <w:spacing w:line="240" w:lineRule="auto"/>
              <w:jc w:val="left"/>
            </w:pPr>
            <w:r>
              <w:t>TME3*</w:t>
            </w:r>
          </w:p>
          <w:p w14:paraId="1325A74D" w14:textId="77777777" w:rsidR="00F460CF" w:rsidRDefault="00F460CF" w:rsidP="00B11424">
            <w:pPr>
              <w:spacing w:line="240" w:lineRule="auto"/>
              <w:jc w:val="left"/>
            </w:pPr>
            <w:r>
              <w:t>NGA5</w:t>
            </w:r>
          </w:p>
          <w:p w14:paraId="268FE18F" w14:textId="77777777" w:rsidR="00F460CF" w:rsidRPr="00F25DFE" w:rsidRDefault="00F460CF" w:rsidP="00B11424">
            <w:pPr>
              <w:spacing w:line="240" w:lineRule="auto"/>
              <w:jc w:val="left"/>
            </w:pPr>
            <w:r>
              <w:t>NG11</w:t>
            </w:r>
          </w:p>
        </w:tc>
        <w:tc>
          <w:tcPr>
            <w:tcW w:w="6794" w:type="dxa"/>
            <w:tcBorders>
              <w:bottom w:val="single" w:sz="12" w:space="0" w:color="auto"/>
            </w:tcBorders>
            <w:shd w:val="clear" w:color="auto" w:fill="auto"/>
          </w:tcPr>
          <w:p w14:paraId="78CCE158" w14:textId="77777777" w:rsidR="00F460CF" w:rsidRDefault="00F460CF" w:rsidP="00B11424">
            <w:pPr>
              <w:spacing w:line="240" w:lineRule="auto"/>
              <w:jc w:val="left"/>
            </w:pPr>
            <w:r>
              <w:t>Kaempferol-sugars (L)</w:t>
            </w:r>
          </w:p>
          <w:p w14:paraId="66EDE839" w14:textId="77777777" w:rsidR="00F460CF" w:rsidRDefault="00F460CF" w:rsidP="00B11424">
            <w:pPr>
              <w:spacing w:line="240" w:lineRule="auto"/>
              <w:jc w:val="left"/>
            </w:pPr>
            <w:r>
              <w:t>Epicatechin gallate (L,R)</w:t>
            </w:r>
          </w:p>
          <w:p w14:paraId="4FF2CB44" w14:textId="77777777" w:rsidR="00F460CF" w:rsidRDefault="00F460CF" w:rsidP="00B11424">
            <w:pPr>
              <w:spacing w:line="240" w:lineRule="auto"/>
              <w:jc w:val="left"/>
            </w:pPr>
            <w:r>
              <w:t>Monosaccharides (L,R)</w:t>
            </w:r>
          </w:p>
        </w:tc>
      </w:tr>
    </w:tbl>
    <w:p w14:paraId="59FAF9F7" w14:textId="77777777" w:rsidR="00F460CF" w:rsidRPr="002913C5" w:rsidRDefault="00F460CF" w:rsidP="00F460CF"/>
    <w:p w14:paraId="1DF86E49" w14:textId="77777777" w:rsidR="00F460CF" w:rsidRDefault="00F460CF" w:rsidP="00F460CF">
      <w:pPr>
        <w:pStyle w:val="Heading1"/>
      </w:pPr>
      <w:r>
        <w:t>Discussion</w:t>
      </w:r>
    </w:p>
    <w:p w14:paraId="5EABAA41" w14:textId="34BA0FE7" w:rsidR="00F460CF" w:rsidRDefault="00F460CF" w:rsidP="00F460CF">
      <w:r>
        <w:t xml:space="preserve">Metabolite profiling is a useful tool to characterise potential breeding materials and elucidate the mechanisms </w:t>
      </w:r>
      <w:r w:rsidR="004A2175">
        <w:t xml:space="preserve">underlying </w:t>
      </w:r>
      <w:r>
        <w:t xml:space="preserve">desired traits. The present study included 19 cassava landraces grown under standard field conditions, which presents an environment with reduced biotic and abiotic stress conditions. Hence, the metabolic information derived from this data set </w:t>
      </w:r>
      <w:r>
        <w:lastRenderedPageBreak/>
        <w:t>does not include induced metabolic responses to the stress, but rather the constitutive metabolite composition of the respective phenotypes.</w:t>
      </w:r>
    </w:p>
    <w:p w14:paraId="7AAF613E" w14:textId="77777777" w:rsidR="00F460CF" w:rsidRDefault="00F460CF" w:rsidP="00F460CF">
      <w:pPr>
        <w:pStyle w:val="Heading2"/>
      </w:pPr>
      <w:r>
        <w:t>Metabolite composition of root phenotypes</w:t>
      </w:r>
    </w:p>
    <w:p w14:paraId="35327B5D" w14:textId="77777777" w:rsidR="00F460CF" w:rsidRDefault="00F460CF" w:rsidP="00F460CF">
      <w:r>
        <w:t xml:space="preserve">Leaves produce carbohydrates throughout their life cycle and store them in the form of starch molecules. During the tuberous root development, the plant changes its signalling to transport carbohydrates from the leaf to the roots </w:t>
      </w:r>
      <w:r>
        <w:fldChar w:fldCharType="begin" w:fldLock="1"/>
      </w:r>
      <w:r>
        <w:instrText>ADDIN CSL_CITATION {"citationItems":[{"id":"ITEM-1","itemData":{"DOI":"10.1007/s12042-014-9145-5","ISSN":"1935-9764","abstract":"Formation of storage root organs in cassava (Manihot esculenta) is poorly understood, but considered to occur when a subset of fibrous roots receive unknown signals to undergo secondary thickening. Large amounts of secondary xylem parenchyma are then produced in which starch is synthesized and stored. Anatomical studies were undertaken to examine rhizogenesis from greenhouse-grown cassava stem cuttings. Root formation was observed from the stem cut end (basal) and from close to the buried nodes (nodal) 5–10 days after planting. Transverse sectioning of the stem provided evidence that the basal roots were initiated from the cambium, while the nodal-derived roots developed from tissues deeper within the stem, at the boundary of the xylem and pith. Basal root anatomy remained constant with age, with minimal development of metaxylem. No tuberization was seen to occur from the basal roots. In contrast, nodal roots produced significant amounts of metaxylem and subsequently secondary xylem to form a large central stele. Further development established the storage organ in which secondary xylem parenchyma, tracheids and vessels were produced from the cambium. As a result, the nodal-derived roots were seen as precursors of the storage organs. It is proposed that nodal-derived and basal-derived fibrous roots are fundamentally different organs, that they originate through different rhizogenic processes and are committed to their respective developmental fates from the earliest stages of their initiation. These anatomical investigations offer new insight into root tuberization in cassava and should guide better focused studies into the underlying molecular and developmental control mechanisms.","author":[{"dropping-particle":"","family":"Chaweewan","given":"Yeetoh","non-dropping-particle":"","parse-names":false,"suffix":""},{"dropping-particle":"","family":"Taylor","given":"Nigel","non-dropping-particle":"","parse-names":false,"suffix":""}],"container-title":"Tropical Plant Biology","id":"ITEM-1","issue":"1","issued":{"date-parts":[["2015"]]},"page":"1-8","title":"Anatomical Assessment of Root Formation and Tuberization in Cassava (Manihot esculenta Crantz)","type":"article-journal","volume":"8"},"uris":["http://www.mendeley.com/documents/?uuid=23a71f7d-1ad7-488f-952b-19a6858ad7ca"]},{"id":"ITEM-2","itemData":{"DOI":"10.1007/s00425-011-1373-4","ISSN":"1432-2048","abstract":"Tuberization in cassava (Manihot esculenta Crantz) occurs simultaneously with plant development, suggesting competition of photoassimilate partitioning between the shoot and the root organs. In potato, which is the most widely studied tuber crop, there is ample evidence suggesting that metabolism and regulatory processes in leaf may have an impact on tuber formation. To search for leaf proteins putatively involved in regulating tuber generation and/or development in cassava, comparative proteomic approaches have been applied to monitor differentially expressed leaf proteins during root transition from fibrous to tuberous. Stringent cross comparison and statistical analysis between two groups with different plant ages using Student’s t test with 95% significance level revealed a number of protein spots whose abundance were significantly altered (P &lt; 0.05) during week 4 to week 8 of growth. Of these, 39 spots were successfully identified by ion trap LC–MS/MS. The proteins span various functional categories from antioxidant and defense, carbohydrate metabolism, cyanogenesis, energy metabolism, miscellaneous and unknown proteins. Results suggested possible metabolic switches in the leaf that may trigger/regulate storage root initiation and growth. This study provides a basis for further functional characterization of differentially expressed leaf proteins, which can help understand how biochemical processes in cassava leaves may be involved in storage root development.","author":[{"dropping-particle":"","family":"Mitprasat","given":"Mashamon","non-dropping-particle":"","parse-names":false,"suffix":""},{"dropping-particle":"","family":"Roytrakul","given":"Sittiruk","non-dropping-particle":"","parse-names":false,"suffix":""},{"dropping-particle":"","family":"Jiemsup","given":"Surasak","non-dropping-particle":"","parse-names":false,"suffix":""},{"dropping-particle":"","family":"Boonseng","given":"Opas","non-dropping-particle":"","parse-names":false,"suffix":""},{"dropping-particle":"","family":"Yokthongwattana","given":"Kittisak","non-dropping-particle":"","parse-names":false,"suffix":""}],"container-title":"Planta","id":"ITEM-2","issue":"6","issued":{"date-parts":[["2011"]]},"page":"1209-1221","title":"Leaf proteomic analysis in cassava (Manihot esculenta, Crantz) during plant development, from planting of stem cutting to storage root formation","type":"article-journal","volume":"233"},"uris":["http://www.mendeley.com/documents/?uuid=4d95304d-b8b9-432a-9ddb-d6af2c2e0b0f"]}],"mendeley":{"formattedCitation":"(Chaweewan and Taylor, 2015; Mitprasat &lt;i&gt;et al.&lt;/i&gt;, 2011)","plainTextFormattedCitation":"(Chaweewan and Taylor, 2015; Mitprasat et al., 2011)","previouslyFormattedCitation":"(Chaweewan and Taylor, 2015; Mitprasat &lt;i&gt;et al.&lt;/i&gt;, 2011)"},"properties":{"noteIndex":0},"schema":"https://github.com/citation-style-language/schema/raw/master/csl-citation.json"}</w:instrText>
      </w:r>
      <w:r>
        <w:fldChar w:fldCharType="separate"/>
      </w:r>
      <w:r w:rsidRPr="00003DA2">
        <w:rPr>
          <w:noProof/>
        </w:rPr>
        <w:t xml:space="preserve">(Chaweewan and Taylor, 2015; Mitprasat </w:t>
      </w:r>
      <w:r w:rsidRPr="00003DA2">
        <w:rPr>
          <w:i/>
          <w:noProof/>
        </w:rPr>
        <w:t>et al.</w:t>
      </w:r>
      <w:r w:rsidRPr="00003DA2">
        <w:rPr>
          <w:noProof/>
        </w:rPr>
        <w:t>, 2011)</w:t>
      </w:r>
      <w:r>
        <w:fldChar w:fldCharType="end"/>
      </w:r>
      <w:r>
        <w:t>. The present study highlighted that the source-sink relation, observed by the positive correlation between leaf sugar root dry matter content, was still active</w:t>
      </w:r>
      <w:r w:rsidRPr="005209A0">
        <w:t xml:space="preserve"> </w:t>
      </w:r>
      <w:r>
        <w:t xml:space="preserve">at the harvest stage, contrary to previous findings </w:t>
      </w:r>
      <w:r>
        <w:fldChar w:fldCharType="begin" w:fldLock="1"/>
      </w:r>
      <w:r>
        <w:instrText>ADDIN CSL_CITATION {"citationItems":[{"id":"ITEM-1","itemData":{"DOI":"10.5539/jas.v3n2p64","ISSN":"1916-9760","author":[{"dropping-particle":"","family":"Luo","given":"Xinglu","non-dropping-particle":"","parse-names":false,"suffix":""},{"dropping-particle":"","family":"Huang","given":"Qiufeng","non-dropping-particle":"","parse-names":false,"suffix":""}],"container-title":"2011","id":"ITEM-1","issue":"2","issued":{"date-parts":[["2011"]]},"title":"Relationships between Leaf and Stem Soluble Sugar Content and Tuberous Root Starch Accumulation in Cassava","type":"article-journal","volume":"3"},"uris":["http://www.mendeley.com/documents/?uuid=c7f31f6f-b316-4434-bbd5-fc92cb6eb6fc"]}],"mendeley":{"formattedCitation":"(Luo and Huang, 2011)","plainTextFormattedCitation":"(Luo and Huang, 2011)","previouslyFormattedCitation":"(Luo and Huang, 2011)"},"properties":{"noteIndex":0},"schema":"https://github.com/citation-style-language/schema/raw/master/csl-citation.json"}</w:instrText>
      </w:r>
      <w:r>
        <w:fldChar w:fldCharType="separate"/>
      </w:r>
      <w:r w:rsidRPr="00E50EAB">
        <w:rPr>
          <w:noProof/>
        </w:rPr>
        <w:t>(Luo and Huang, 2011)</w:t>
      </w:r>
      <w:r>
        <w:fldChar w:fldCharType="end"/>
      </w:r>
      <w:r>
        <w:t xml:space="preserve">. This was further corroborated by the positive correlation between the TCA cycle and sugar content in all three tissues. As expected, the correlation between sugar and dry matter content was negative in root tissue </w:t>
      </w:r>
      <w:r>
        <w:fldChar w:fldCharType="begin" w:fldLock="1"/>
      </w:r>
      <w:r>
        <w:instrText>ADDIN CSL_CITATION {"citationItems":[{"id":"ITEM-1","itemData":{"DOI":"10.1534/g3.114.012377","ISSN":"2160-1836","author":[{"dropping-particle":"","family":"Schreiber","given":"Lena","non-dropping-particle":"","parse-names":false,"suffix":""},{"dropping-particle":"","family":"Nader-Nieto","given":"Anna Camila","non-dropping-particle":"","parse-names":false,"suffix":""},{"dropping-particle":"","family":"Schönhals","given":"Elske Maria","non-dropping-particle":"","parse-names":false,"suffix":""},{"dropping-particle":"","family":"Walkemeier","given":"Birgit","non-dropping-particle":"","parse-names":false,"suffix":""},{"dropping-particle":"","family":"Gebhardt","given":"Christiane","non-dropping-particle":"","parse-names":false,"suffix":""}],"container-title":"G3: Genes|Genomes|Genetics","id":"ITEM-1","issue":"10","issued":{"date-parts":[["2014"]]},"page":"1797-1811","title":"SNPs in Genes Functional in Starch-Sugar Interconversion Associate with Natural Variation of Tuber Starch and Sugar Content of Potato (Solanum tuberosum L.)","type":"article-journal","volume":"4"},"uris":["http://www.mendeley.com/documents/?uuid=05e4fc85-9e32-4ff8-9cfb-5a43630803dc"]}],"mendeley":{"formattedCitation":"(Schreiber &lt;i&gt;et al.&lt;/i&gt;, 2014)","plainTextFormattedCitation":"(Schreiber et al., 2014)","previouslyFormattedCitation":"(Schreiber &lt;i&gt;et al.&lt;/i&gt;, 2014)"},"properties":{"noteIndex":0},"schema":"https://github.com/citation-style-language/schema/raw/master/csl-citation.json"}</w:instrText>
      </w:r>
      <w:r>
        <w:fldChar w:fldCharType="separate"/>
      </w:r>
      <w:r w:rsidRPr="00A4065D">
        <w:rPr>
          <w:noProof/>
        </w:rPr>
        <w:t xml:space="preserve">(Schreiber </w:t>
      </w:r>
      <w:r w:rsidRPr="00A4065D">
        <w:rPr>
          <w:i/>
          <w:noProof/>
        </w:rPr>
        <w:t>et al.</w:t>
      </w:r>
      <w:r w:rsidRPr="00A4065D">
        <w:rPr>
          <w:noProof/>
        </w:rPr>
        <w:t>, 2014)</w:t>
      </w:r>
      <w:r>
        <w:fldChar w:fldCharType="end"/>
      </w:r>
      <w:r>
        <w:t>.</w:t>
      </w:r>
    </w:p>
    <w:p w14:paraId="6CB371BA" w14:textId="77777777" w:rsidR="00F460CF" w:rsidRDefault="00F460CF" w:rsidP="00F460CF">
      <w:r>
        <w:t xml:space="preserve">A major proportion of cassava dry matter are carbohydrates, which are mainly present in the form of starch molecules </w:t>
      </w:r>
      <w:r>
        <w:fldChar w:fldCharType="begin" w:fldLock="1"/>
      </w:r>
      <w:r>
        <w:instrText>ADDIN CSL_CITATION {"citationItems":[{"id":"ITEM-1","itemData":{"DOI":"10.1111/j.1541-4337.2009.00077.x","ISSN":"1541-4337","abstract":"ABSTRACT:? Cassava is a drought-tolerant, staple food crop grown in tropical and subtropical areas where many people are afflicted with undernutrition, making it a potentially valuable food source for developing countries. Cassava roots are a good source of energy while the leaves provide protein, vitamins, and minerals. However, cassava roots and leaves are deficient in sulfur-containing amino acids (methionine and cysteine) and some nutrients are not optimally distributed within the plant. Cassava also contains antinutrients that can have either positive or adverse effects on health depending upon the amount ingested. Although some of these compounds act as antioxidants and anticarcinogens, they can interfere with nutrient absorption and utilization and may have toxic side effects. Efforts to add nutritional value to cassava (biofortification) by increasing the contents of protein, minerals, starch, and ?-carotene are underway. The transfer of a 284 bp synthetic gene coding for a storage protein rich in essential amino acids and the crossbreeding of wild-type cassava varieties with Manihot dichotoma or Manihot oligantha have shown promising results regarding cassava protein content. Enhancing ADP glucose pyrophosphorylase activity in cassava roots or adding amylase to cassava gruels increases cassava energy density. Moreover, carotenoid-rich yellow and orange cassava may be a foodstuff for delivering provitamin A to vitamin A?depleted populations. Researchers are currently investigating the effects of cassava processing techniques on carotenoid stability and isomerization, as well as the vitamin A value of different varieties of cassava. Biofortified cassava could alleviate some aspects of food insecurity in developing countries if widely adopted.","author":[{"dropping-particle":"","family":"Montagnac","given":"Julie A","non-dropping-particle":"","parse-names":false,"suffix":""},{"dropping-particle":"","family":"Davis","given":"Christopher R","non-dropping-particle":"","parse-names":false,"suffix":""},{"dropping-particle":"","family":"Tanumihardjo","given":"Sherry A","non-dropping-particle":"","parse-names":false,"suffix":""}],"container-title":"Comprehensive Reviews in Food Science and Food Safety","id":"ITEM-1","issue":"3","issued":{"date-parts":[["2009","7","1"]]},"note":"doi: 10.1111/j.1541-4337.2009.00077.x","page":"181-194","publisher":"John Wiley &amp; Sons, Ltd","title":"Nutritional Value of Cassava for Use as a Staple Food and Recent Advances for Improvement","type":"article-journal","volume":"8"},"uris":["http://www.mendeley.com/documents/?uuid=f05e6ae9-3fb0-46cb-aa19-d65f7cb707ec"]}],"mendeley":{"formattedCitation":"(Montagnac &lt;i&gt;et al.&lt;/i&gt;, 2009)","plainTextFormattedCitation":"(Montagnac et al., 2009)","previouslyFormattedCitation":"(Montagnac &lt;i&gt;et al.&lt;/i&gt;, 2009)"},"properties":{"noteIndex":0},"schema":"https://github.com/citation-style-language/schema/raw/master/csl-citation.json"}</w:instrText>
      </w:r>
      <w:r>
        <w:fldChar w:fldCharType="separate"/>
      </w:r>
      <w:r w:rsidRPr="0002181F">
        <w:rPr>
          <w:noProof/>
        </w:rPr>
        <w:t xml:space="preserve">(Montagnac </w:t>
      </w:r>
      <w:r w:rsidRPr="0002181F">
        <w:rPr>
          <w:i/>
          <w:noProof/>
        </w:rPr>
        <w:t>et al.</w:t>
      </w:r>
      <w:r w:rsidRPr="0002181F">
        <w:rPr>
          <w:noProof/>
        </w:rPr>
        <w:t>, 2009)</w:t>
      </w:r>
      <w:r>
        <w:fldChar w:fldCharType="end"/>
      </w:r>
      <w:r>
        <w:t xml:space="preserve">. Cassava starch has risen to the second most important source worldwide, due to its novel properties of low to no amylose content </w:t>
      </w:r>
      <w:r>
        <w:fldChar w:fldCharType="begin" w:fldLock="1"/>
      </w:r>
      <w:r>
        <w:instrText>ADDIN CSL_CITATION {"citationItems":[{"id":"ITEM-1","itemData":{"ISBN":"1664-462X","abstract":"Cassava (Manihot esculenta, Crantz) is an important food security crop, but it is becoming an important raw material for different industrial applications. Cassava is the second most important source of starch worldwide. Novel starch properties are of interest to the starch industry, and one them is the recently identified amylose-free (waxy) cassava starch. Waxy mutants have been found in different crops and have been often associated with a yield penalty. There are ongoing efforts to develop commercial cassava varieties with amylose-free starch. However, little information is available regarding the biological and agronomic implications of starch mutations in cassava, nor in other root and tuber crops. In this study, siblings from eight full-sib families, segregating for the waxy trait, were used to determine if the mutation has implications for yield, dry matter content (DMC) and harvest index in cassava. A total of 87 waxy and 87 wild-type starch genotypes from the eight families were used in the study. The only significant effect of starch type was on DMC (p &lt; 0.01), with waxy clones having a 0.8% lower content than their wild type counterparts. There was no effect of starch type on fresh root yield (FRY), adjusted FRY and harvest index. It is not clear if lower DMC is a pleiotropic effect of the waxy starch mutation or else the result of linked genes introgressed along with the mutation. It is expected that commercial waxy cassava varieties will have competitive FRYs but special efforts will be required to attain adequate DMCs. This study contributes to the limited knowledge available of the impact of starch mutations on the agronomic performance of root and tuber crops.","author":[{"dropping-particle":"","family":"Karlström","given":"Amanda","non-dropping-particle":"","parse-names":false,"suffix":""},{"dropping-particle":"","family":"Calle","given":"Fernando","non-dropping-particle":"","parse-names":false,"suffix":""},{"dropping-particle":"","family":"Salazar","given":"Sandra","non-dropping-particle":"","parse-names":false,"suffix":""},{"dropping-particle":"","family":"Morante","given":"Nelson","non-dropping-particle":"","parse-names":false,"suffix":""},{"dropping-particle":"","family":"Dufour","given":"Dominique","non-dropping-particle":"","parse-names":false,"suffix":""},{"dropping-particle":"","family":"Ceballos","given":"Hernán","non-dropping-particle":"","parse-names":false,"suffix":""}],"container-title":"Frontiers in Plant Science  ","id":"ITEM-1","issued":{"date-parts":[["2016"]]},"page":"604","title":"Biological Implications in Cassava for the Production of Amylose-Free Starch: Impact on Root Yield and Related Traits   ","type":"article","volume":"7      "},"uris":["http://www.mendeley.com/documents/?uuid=ff5cfcca-3546-4675-b430-a0f531055478"]}],"mendeley":{"formattedCitation":"(Karlström &lt;i&gt;et al.&lt;/i&gt;, 2016)","plainTextFormattedCitation":"(Karlström et al., 2016)","previouslyFormattedCitation":"(Karlström &lt;i&gt;et al.&lt;/i&gt;, 2016)"},"properties":{"noteIndex":0},"schema":"https://github.com/citation-style-language/schema/raw/master/csl-citation.json"}</w:instrText>
      </w:r>
      <w:r>
        <w:fldChar w:fldCharType="separate"/>
      </w:r>
      <w:r w:rsidRPr="00B57C9D">
        <w:rPr>
          <w:noProof/>
        </w:rPr>
        <w:t xml:space="preserve">(Karlström </w:t>
      </w:r>
      <w:r w:rsidRPr="00B57C9D">
        <w:rPr>
          <w:i/>
          <w:noProof/>
        </w:rPr>
        <w:t>et al.</w:t>
      </w:r>
      <w:r w:rsidRPr="00B57C9D">
        <w:rPr>
          <w:noProof/>
        </w:rPr>
        <w:t>, 2016)</w:t>
      </w:r>
      <w:r>
        <w:fldChar w:fldCharType="end"/>
      </w:r>
      <w:r>
        <w:t xml:space="preserve">. The landraces with amylose traits showed different contents of glucose, fructose and dry matter, which was lowest in high amylose PAR36, followed by low amylose CUB25 and highest in low amylose COL1522. The levels of fructose and glucose is probably related to both the dry matter content of the roots and the mutations related to amylose synthesis. Cassava chromosome 2 contains the genetic code for four enzymes involved in starch biosynthesis including granule bound starch synthase (GBSS) responsible for amylose formation </w:t>
      </w:r>
      <w:r>
        <w:fldChar w:fldCharType="begin" w:fldLock="1"/>
      </w:r>
      <w:r>
        <w:instrText>ADDIN CSL_CITATION {"citationItems":[{"id":"ITEM-1","itemData":{"DOI":"10.1016/J.TIFS.2018.11.019","ISSN":"0924-2244","abstract":"BACKGROUND\nStarch is the most important carbohydrate source of plant species. Both amylose and amylopectin are components of starch whose content and structures contribute to its unique properties used in food processing and industrial applications. Cassava (Manihot esculenta Crantz) is a starchy root crop used as a staple food for human consumption in tropical and sub-tropical regions, as well as in numerous industrial applications. Starch biosynthesis is controlled by various isoforms of several enzymes which are expressed during root development, and considerable effort has been made in understanding the mechanisms of starch biosynthesis and regulation. The improvement of cassava starch for both consumption and the starch industry has been a major goal of breeders. \n\nSCOPE AND APPROACH\nThe review summarizes the identification of genes and enzymes involved in starch biosynthesis and the mechanisms of gene regulation in cassava. Quantitative trait loci (QTLs) and candidate genes associated with the important quality traits and mutations affecting starch physicochemical properties are also summarized. \n\nKEY FINDINGS AND CONCLUSIONS\nA total of 45 genes participating in starch biosynthesis in cassava including ADPG pyrophosphorylase (AGPase), granule bound starch synthase (GBSS), starch synthase (SS), starch branching enzyme (SBE), de-branching enzyme (DBE) and glucan, water dikinase (GWD) have been identified and their functions have been characterized. A total of 110 QTLs for starch content and pasting properties have been identified. These genes and QTLs will contribute to the improvement of starch quality by current biotechnologies, such as transgenic breeding and molecular marker assisted selection.","author":[{"dropping-particle":"","family":"Tappiban","given":"Piengtawan","non-dropping-particle":"","parse-names":false,"suffix":""},{"dropping-particle":"","family":"Smith","given":"Duncan R.","non-dropping-particle":"","parse-names":false,"suffix":""},{"dropping-particle":"","family":"Triwitayakorn","given":"Kanokporn","non-dropping-particle":"","parse-names":false,"suffix":""},{"dropping-particle":"","family":"Bao","given":"Jinsong","non-dropping-particle":"","parse-names":false,"suffix":""}],"container-title":"Trends in Food Science &amp; Technology","id":"ITEM-1","issued":{"date-parts":[["2019","1","1"]]},"page":"167-180","publisher":"Elsevier","title":"Recent understanding of starch biosynthesis in cassava for quality improvement: A review","type":"article-journal","volume":"83"},"uris":["http://www.mendeley.com/documents/?uuid=7c78c963-eff9-3705-904b-e31fc843c800"]}],"mendeley":{"formattedCitation":"(Tappiban &lt;i&gt;et al.&lt;/i&gt;, 2019)","plainTextFormattedCitation":"(Tappiban et al., 2019)","previouslyFormattedCitation":"(Tappiban &lt;i&gt;et al.&lt;/i&gt;, 2019)"},"properties":{"noteIndex":0},"schema":"https://github.com/citation-style-language/schema/raw/master/csl-citation.json"}</w:instrText>
      </w:r>
      <w:r>
        <w:fldChar w:fldCharType="separate"/>
      </w:r>
      <w:r w:rsidRPr="00551D45">
        <w:rPr>
          <w:noProof/>
        </w:rPr>
        <w:t xml:space="preserve">(Tappiban </w:t>
      </w:r>
      <w:r w:rsidRPr="00551D45">
        <w:rPr>
          <w:i/>
          <w:noProof/>
        </w:rPr>
        <w:t>et al.</w:t>
      </w:r>
      <w:r w:rsidRPr="00551D45">
        <w:rPr>
          <w:noProof/>
        </w:rPr>
        <w:t>, 2019)</w:t>
      </w:r>
      <w:r>
        <w:fldChar w:fldCharType="end"/>
      </w:r>
      <w:r>
        <w:t>. Overexpression and suppression efforts through breeding of these landraces could have led to additional mutations leading to an overall more or less efficient starch synthesis, which is reflected in the total sugar content present in root tissue.</w:t>
      </w:r>
    </w:p>
    <w:p w14:paraId="3B1EEFB2" w14:textId="77777777" w:rsidR="00F460CF" w:rsidRDefault="00F460CF" w:rsidP="00F460CF">
      <w:r>
        <w:t xml:space="preserve">Cyanogenic glucosides are present in all cassava plants and refer, depending on the content levels, a sweet or bitter phenotype. Previous studies elucidated the function of cyanogenic glucosides as herbivore deterrent and source of reduced nitrogen for protein synthesis </w:t>
      </w:r>
      <w:r>
        <w:fldChar w:fldCharType="begin" w:fldLock="1"/>
      </w:r>
      <w:r>
        <w:instrText>ADDIN CSL_CITATION {"citationItems":[{"id":"ITEM-1","itemData":{"DOI":"10.1104/pp.116.4.1219","ISSN":"1532-2548","abstract":"In the cyanogenic crop cassava (Manihot esculenta, Crantz), the final step in cyanide production is the conversion of acetone cyanohydrin, the deglycosylation product of linamarin, to cyanide plus acetone. This process occurs spontaneously at pH greater than 5. 0 or enzymatically and is catalyzed by hydroxynitrile lyase (HNL). Recently, it has been demonstrated that acetone cyanohydrin is present in poorly processed cassava root food products. Since it has generally been assumed that HNL is present in all cassava tissues, we reinvestigated the enzymatic properties and tissue-specific distribution of HNL in cassava. We report the development of a rapid two-step purification protocol for cassava HNL, which yields an enzyme that is catalytically more efficient than previously reported (Hughes, J., Carvalho, F., and Hughes, M. [1994] Arch Biochem Biophys 311: 496-502). Analyses of the distribution of HNL activity and protein indicate that the accumulation of acetone cyanohydrin in roots is due to the absence of HNL, not to inhibition of the enzyme. Furthermore, the absence of HNL in roots and stems is associated with very low steady-state HNL transcript levels. It is proposed that the lack of HNL in cassava roots accounts for the high acetone cyanohydrin levels in poorly processed cassava food products.","author":[{"dropping-particle":"","family":"White","given":"W L B","non-dropping-particle":"","parse-names":false,"suffix":""},{"dropping-particle":"","family":"Arias-Garzon","given":"D I","non-dropping-particle":"","parse-names":false,"suffix":""},{"dropping-particle":"","family":"McMahon","given":"J M","non-dropping-particle":"","parse-names":false,"suffix":""},{"dropping-particle":"","family":"Sayre","given":"R T","non-dropping-particle":"","parse-names":false,"suffix":""}],"container-title":"Plant physiology","id":"ITEM-1","issue":"4","issued":{"date-parts":[["1998","4"]]},"language":"eng","page":"1219-1225","publisher":"American Society of Plant Physiologists","title":"Cyanogenesis in cassava. The role of hydroxynitrile lyase in root cyanide production","type":"article-journal","volume":"116"},"prefix":"e.g.","uris":["http://www.mendeley.com/documents/?uuid=de54d579-41ec-41eb-a16a-8acdd95bc48b"]},{"id":"ITEM-2","itemData":{"ISBN":"1664-462X","abstract":"Cassava (Manihot esculenta Crantz), a staple crop for millions of sub-Saharan Africans, contains high levels of cyanogenic glycosides which protect it against herbivory. However, cyanogens have also been proposed to play a role in nitrogen transport from leaves to roots. Consistent with this hypothesis, analyses of the distribution and activities of enzymes involved in cyanide metabolism provides evidence for cyanide assimilation, derived from linamarin, into amino acids in cassava roots. Both β-cyanoalanine synthase (CAS) and nitrilase (NIT), two enzymes involved in cyanide assimilation to produce asparagine, were observed to have higher activities in roots compared to leaves, consistent with their proposed role in reduced nitrogen assimilation. In addition, rhodanese activity was not detected in cassava roots, indicating that this competing means for cyanide metabolism was not a factor in cyanide detoxification. In contrast, leaves had sufficient rhodanese activity to compete with cyanide assimilation into amino acids. Using transgenic low cyanogen plants, it was shown that reducing root cyanogen levels is associated with elevated root nitrate reductase activity, presumably to compensate for the loss of reduced nitrogen from cyanogens. Finally, we overexpressed Arabidopsis CAS and NIT4 genes in cassava roots to study the feasibility of enhancing root cyanide assimilation into protein. Optimal overexpression of CAS and NIT4 resulted in up to a 50% increase in root total amino acids and a 9% increase in root protein accumulation. However, plant growth and morphology was altered in plants overexpressing these enzymes, demonstrating a complex interaction between cyanide metabolism and hormonal regulation of plant growth.","author":[{"dropping-particle":"","family":"Zidenga","given":"Tawanda","non-dropping-particle":"","parse-names":false,"suffix":""},{"dropping-particle":"","family":"Siritunga","given":"Dimuth","non-dropping-particle":"","parse-names":false,"suffix":""},{"dropping-particle":"","family":"Sayre","given":"Richard T","non-dropping-particle":"","parse-names":false,"suffix":""}],"container-title":"Frontiers in Plant Science  ","id":"ITEM-2","issued":{"date-parts":[["2017"]]},"page":"220","title":"Cyanogen Metabolism in Cassava Roots: Impact on Protein Synthesis and Root Development   ","type":"article","volume":"8      "},"uris":["http://www.mendeley.com/documents/?uuid=21cb2a80-7a91-4bfa-9290-295b197669ba"]}],"mendeley":{"formattedCitation":"(e.g. White &lt;i&gt;et al.&lt;/i&gt;, 1998; Zidenga &lt;i&gt;et al.&lt;/i&gt;, 2017)","plainTextFormattedCitation":"(e.g. White et al., 1998; Zidenga et al., 2017)","previouslyFormattedCitation":"(e.g. White &lt;i&gt;et al.&lt;/i&gt;, 1998; Zidenga &lt;i&gt;et al.&lt;/i&gt;, 2017)"},"properties":{"noteIndex":0},"schema":"https://github.com/citation-style-language/schema/raw/master/csl-citation.json"}</w:instrText>
      </w:r>
      <w:r>
        <w:fldChar w:fldCharType="separate"/>
      </w:r>
      <w:r w:rsidRPr="00233D3E">
        <w:rPr>
          <w:noProof/>
        </w:rPr>
        <w:t xml:space="preserve">(e.g. White </w:t>
      </w:r>
      <w:r w:rsidRPr="00233D3E">
        <w:rPr>
          <w:i/>
          <w:noProof/>
        </w:rPr>
        <w:t>et al.</w:t>
      </w:r>
      <w:r w:rsidRPr="00233D3E">
        <w:rPr>
          <w:noProof/>
        </w:rPr>
        <w:t xml:space="preserve">, 1998; Zidenga </w:t>
      </w:r>
      <w:r w:rsidRPr="00233D3E">
        <w:rPr>
          <w:i/>
          <w:noProof/>
        </w:rPr>
        <w:t>et al.</w:t>
      </w:r>
      <w:r w:rsidRPr="00233D3E">
        <w:rPr>
          <w:noProof/>
        </w:rPr>
        <w:t>, 2017)</w:t>
      </w:r>
      <w:r>
        <w:fldChar w:fldCharType="end"/>
      </w:r>
      <w:r>
        <w:t xml:space="preserve">. The linamarin levels detected in leaf tissue were much lower than expected </w:t>
      </w:r>
      <w:r>
        <w:fldChar w:fldCharType="begin" w:fldLock="1"/>
      </w:r>
      <w:r>
        <w:instrText>ADDIN CSL_CITATION {"citationItems":[{"id":"ITEM-1","itemData":{"DOI":"10.1104/pp.116.4.1219","ISSN":"1532-2548","abstract":"In the cyanogenic crop cassava (Manihot esculenta, Crantz), the final step in cyanide production is the conversion of acetone cyanohydrin, the deglycosylation product of linamarin, to cyanide plus acetone. This process occurs spontaneously at pH greater than 5. 0 or enzymatically and is catalyzed by hydroxynitrile lyase (HNL). Recently, it has been demonstrated that acetone cyanohydrin is present in poorly processed cassava root food products. Since it has generally been assumed that HNL is present in all cassava tissues, we reinvestigated the enzymatic properties and tissue-specific distribution of HNL in cassava. We report the development of a rapid two-step purification protocol for cassava HNL, which yields an enzyme that is catalytically more efficient than previously reported (Hughes, J., Carvalho, F., and Hughes, M. [1994] Arch Biochem Biophys 311: 496-502). Analyses of the distribution of HNL activity and protein indicate that the accumulation of acetone cyanohydrin in roots is due to the absence of HNL, not to inhibition of the enzyme. Furthermore, the absence of HNL in roots and stems is associated with very low steady-state HNL transcript levels. It is proposed that the lack of HNL in cassava roots accounts for the high acetone cyanohydrin levels in poorly processed cassava food products.","author":[{"dropping-particle":"","family":"White","given":"W L B","non-dropping-particle":"","parse-names":false,"suffix":""},{"dropping-particle":"","family":"Arias-Garzon","given":"D I","non-dropping-particle":"","parse-names":false,"suffix":""},{"dropping-particle":"","family":"McMahon","given":"J M","non-dropping-particle":"","parse-names":false,"suffix":""},{"dropping-particle":"","family":"Sayre","given":"R T","non-dropping-particle":"","parse-names":false,"suffix":""}],"container-title":"Plant physiology","id":"ITEM-1","issue":"4","issued":{"date-parts":[["1998","4"]]},"language":"eng","page":"1219-1225","publisher":"American Society of Plant Physiologists","title":"Cyanogenesis in cassava. The role of hydroxynitrile lyase in root cyanide production","type":"article-journal","volume":"116"},"uris":["http://www.mendeley.com/documents/?uuid=de54d579-41ec-41eb-a16a-8acdd95bc48b"]}],"mendeley":{"formattedCitation":"(White &lt;i&gt;et al.&lt;/i&gt;, 1998)","plainTextFormattedCitation":"(White et al., 1998)","previouslyFormattedCitation":"(White &lt;i&gt;et al.&lt;/i&gt;, 1998)"},"properties":{"noteIndex":0},"schema":"https://github.com/citation-style-language/schema/raw/master/csl-citation.json"}</w:instrText>
      </w:r>
      <w:r>
        <w:fldChar w:fldCharType="separate"/>
      </w:r>
      <w:r w:rsidRPr="007E02AF">
        <w:rPr>
          <w:noProof/>
        </w:rPr>
        <w:t xml:space="preserve">(White </w:t>
      </w:r>
      <w:r w:rsidRPr="007E02AF">
        <w:rPr>
          <w:i/>
          <w:noProof/>
        </w:rPr>
        <w:t>et al.</w:t>
      </w:r>
      <w:r w:rsidRPr="007E02AF">
        <w:rPr>
          <w:noProof/>
        </w:rPr>
        <w:t>, 1998)</w:t>
      </w:r>
      <w:r>
        <w:fldChar w:fldCharType="end"/>
      </w:r>
      <w:r>
        <w:t xml:space="preserve">. This could be a result of several processes including depleting sink-source transport or high linamarase activity in roots upon root </w:t>
      </w:r>
      <w:r>
        <w:lastRenderedPageBreak/>
        <w:t xml:space="preserve">formation </w:t>
      </w:r>
      <w:r>
        <w:fldChar w:fldCharType="begin" w:fldLock="1"/>
      </w:r>
      <w:r>
        <w:instrText>ADDIN CSL_CITATION {"citationItems":[{"id":"ITEM-1","itemData":{"DOI":"10.1007/s00425-011-1373-4","ISSN":"1432-2048","abstract":"Tuberization in cassava (Manihot esculenta Crantz) occurs simultaneously with plant development, suggesting competition of photoassimilate partitioning between the shoot and the root organs. In potato, which is the most widely studied tuber crop, there is ample evidence suggesting that metabolism and regulatory processes in leaf may have an impact on tuber formation. To search for leaf proteins putatively involved in regulating tuber generation and/or development in cassava, comparative proteomic approaches have been applied to monitor differentially expressed leaf proteins during root transition from fibrous to tuberous. Stringent cross comparison and statistical analysis between two groups with different plant ages using Student’s t test with 95% significance level revealed a number of protein spots whose abundance were significantly altered (P &lt; 0.05) during week 4 to week 8 of growth. Of these, 39 spots were successfully identified by ion trap LC–MS/MS. The proteins span various functional categories from antioxidant and defense, carbohydrate metabolism, cyanogenesis, energy metabolism, miscellaneous and unknown proteins. Results suggested possible metabolic switches in the leaf that may trigger/regulate storage root initiation and growth. This study provides a basis for further functional characterization of differentially expressed leaf proteins, which can help understand how biochemical processes in cassava leaves may be involved in storage root development.","author":[{"dropping-particle":"","family":"Mitprasat","given":"Mashamon","non-dropping-particle":"","parse-names":false,"suffix":""},{"dropping-particle":"","family":"Roytrakul","given":"Sittiruk","non-dropping-particle":"","parse-names":false,"suffix":""},{"dropping-particle":"","family":"Jiemsup","given":"Surasak","non-dropping-particle":"","parse-names":false,"suffix":""},{"dropping-particle":"","family":"Boonseng","given":"Opas","non-dropping-particle":"","parse-names":false,"suffix":""},{"dropping-particle":"","family":"Yokthongwattana","given":"Kittisak","non-dropping-particle":"","parse-names":false,"suffix":""}],"container-title":"Planta","id":"ITEM-1","issue":"6","issued":{"date-parts":[["2011"]]},"page":"1209-1221","title":"Leaf proteomic analysis in cassava (Manihot esculenta, Crantz) during plant development, from planting of stem cutting to storage root formation","type":"article-journal","volume":"233"},"uris":["http://www.mendeley.com/documents/?uuid=4d95304d-b8b9-432a-9ddb-d6af2c2e0b0f"]}],"mendeley":{"formattedCitation":"(Mitprasat &lt;i&gt;et al.&lt;/i&gt;, 2011)","plainTextFormattedCitation":"(Mitprasat et al., 2011)","previouslyFormattedCitation":"(Mitprasat &lt;i&gt;et al.&lt;/i&gt;, 2011)"},"properties":{"noteIndex":0},"schema":"https://github.com/citation-style-language/schema/raw/master/csl-citation.json"}</w:instrText>
      </w:r>
      <w:r>
        <w:fldChar w:fldCharType="separate"/>
      </w:r>
      <w:r w:rsidRPr="00D954EF">
        <w:rPr>
          <w:noProof/>
        </w:rPr>
        <w:t xml:space="preserve">(Mitprasat </w:t>
      </w:r>
      <w:r w:rsidRPr="00D954EF">
        <w:rPr>
          <w:i/>
          <w:noProof/>
        </w:rPr>
        <w:t>et al.</w:t>
      </w:r>
      <w:r w:rsidRPr="00D954EF">
        <w:rPr>
          <w:noProof/>
        </w:rPr>
        <w:t>, 2011)</w:t>
      </w:r>
      <w:r>
        <w:fldChar w:fldCharType="end"/>
      </w:r>
      <w:r>
        <w:t xml:space="preserve">. All of these scenarios present a leaf chemotype unsuitable for elucidation of this particular root phenotype. The two landraces with high (BRA488) and low (PER496) cyanide content showed very few differences of root tissue including linamarin and lotaustralin. Another difference of BRA488 was higher sugar levels in root and leaf tissue, as previously described for “bitter” cassava </w:t>
      </w:r>
      <w:r>
        <w:fldChar w:fldCharType="begin" w:fldLock="1"/>
      </w:r>
      <w:r>
        <w:instrText>ADDIN CSL_CITATION {"citationItems":[{"id":"ITEM-1","itemData":{"ISBN":"1984-7033  UL  - http://www.scielo.br/scielo.php?script=sci_arttext&amp;pid=S1984-70332019000100077&amp;nrm=iso","author":[{"dropping-particle":"de","family":"Araújo","given":"Francisca das Chagas Bezerra","non-dropping-particle":"","parse-names":false,"suffix":""},{"dropping-particle":"","family":"Moura","given":"Elisa Ferreira","non-dropping-particle":"","parse-names":false,"suffix":""},{"dropping-particle":"","family":"Cunha","given":"Roberto Lisboa","non-dropping-particle":"","parse-names":false,"suffix":""},{"dropping-particle":"de","family":"Farias Neto","given":"João Tomé","non-dropping-particle":"","parse-names":false,"suffix":""},{"dropping-particle":"","family":"Silva","given":"Rodrigo de Souza","non-dropping-particle":"","parse-names":false,"suffix":""}],"container-title":"Crop Breeding and Applied Biotechnology ","id":"ITEM-1","issued":{"date-parts":[["2019"]]},"page":"77-85","publisher":"scielo ","title":"Chemical root traits differentiate \u0018bitter\u0019 and \u0018sweet\u0019 cassava accessions from the Amazon ","type":"article","volume":"19 "},"uris":["http://www.mendeley.com/documents/?uuid=b22d4c99-ea2e-4c4d-bd2c-a4e7b4c35ccd"]}],"mendeley":{"formattedCitation":"(Araújo &lt;i&gt;et al.&lt;/i&gt;, 2019)","plainTextFormattedCitation":"(Araújo et al., 2019)","previouslyFormattedCitation":"(Araújo &lt;i&gt;et al.&lt;/i&gt;, 2019)"},"properties":{"noteIndex":0},"schema":"https://github.com/citation-style-language/schema/raw/master/csl-citation.json"}</w:instrText>
      </w:r>
      <w:r>
        <w:fldChar w:fldCharType="separate"/>
      </w:r>
      <w:r w:rsidRPr="00C24D80">
        <w:rPr>
          <w:noProof/>
        </w:rPr>
        <w:t xml:space="preserve">(Araújo </w:t>
      </w:r>
      <w:r w:rsidRPr="00C24D80">
        <w:rPr>
          <w:i/>
          <w:noProof/>
        </w:rPr>
        <w:t>et al.</w:t>
      </w:r>
      <w:r w:rsidRPr="00C24D80">
        <w:rPr>
          <w:noProof/>
        </w:rPr>
        <w:t>, 2019)</w:t>
      </w:r>
      <w:r>
        <w:fldChar w:fldCharType="end"/>
      </w:r>
      <w:r>
        <w:t>.</w:t>
      </w:r>
    </w:p>
    <w:p w14:paraId="2CDE54B6" w14:textId="6327D903" w:rsidR="00F460CF" w:rsidRDefault="00F460CF" w:rsidP="00F460CF">
      <w:r>
        <w:t xml:space="preserve">The third root phenotype study included culinary quality. This particular trait is based on personal preference towards texture/mealiness, flavour and cooking properties of the cassava roots. All three properties are dependent on the composition and range of metabolites present in the tissue and how they behave during the food processing. Previous and current studies are focused on the assessment of bread mixes including cassava flour or culinary qualities affected by harvest stage </w:t>
      </w:r>
      <w:r>
        <w:fldChar w:fldCharType="begin" w:fldLock="1"/>
      </w:r>
      <w:r>
        <w:instrText>ADDIN CSL_CITATION {"citationItems":[{"id":"ITEM-1","itemData":{"DOI":"https://doi.org/10.1016/j.lwt.2014.08.037","ISSN":"0023-6438","abstract":"Cassava flour has a great potential as a more economical and sustainable alternative to wheat flour in bread production in Latin America. However, impaired baking properties, compared to wheat flour, constitutes a challenge. The aims of the present study were to 1) obtain knowledge about how the use of different quantities and types of cassava flour in bread-making affect sensory, textural and physical properties and 2) examine the relationship between sensory texture attributes and results from TPA and physical measurements when testing bread products made with blends of wheat and cassava flour. Further, the effect of fiber (Psyllium husk, water-soluble) was tested in order to examine the effect of fibers in bread made with cassava flour. Results showed that, depending on the type of cassava flour, up to 30% of the wheat flour could be replaced without any significant differences from control bread. Addition of fibers resulted in a lower volume and harder and more cohesive crumb structure. Good pairwise correlations were obtained between results from sensory descriptive analysis and instrumental measurements while a multivariate approach revealed differences in the extracted information, stressing the importance of looking at data from a multivariate perspective as texture is a multidimensional property.","author":[{"dropping-particle":"","family":"Jensen","given":"Sidsel","non-dropping-particle":"","parse-names":false,"suffix":""},{"dropping-particle":"","family":"Skibsted","given":"Leif H","non-dropping-particle":"","parse-names":false,"suffix":""},{"dropping-particle":"","family":"Kidmose","given":"Ulla","non-dropping-particle":"","parse-names":false,"suffix":""},{"dropping-particle":"","family":"Thybo","given":"Anette K","non-dropping-particle":"","parse-names":false,"suffix":""}],"container-title":"LWT - Food Science and Technology","id":"ITEM-1","issue":"1","issued":{"date-parts":[["2015"]]},"page":"292-299","title":"Addition of cassava flours in bread-making: Sensory and textural evaluation","type":"article-journal","volume":"60"},"uris":["http://www.mendeley.com/documents/?uuid=0850d234-fffa-4dbd-8a4f-51320a443f51"]},{"id":"ITEM-2","itemData":{"DOI":"10.1002/fsn3.568","ISSN":"2048-7177","abstract":"The study developed an acceptable formula for the production of cassava strips (a deep fried product) using composite flour of cassava/cowpea at four different levels of cowpea substitutions (100:0, 90:10, 80:20, and 70:30). Sensory properties, proximate composition, and shelf life at ambient temperature were determined. Proximate composition, shelf life, and microbial analysis were further done on the most preferred sample (80:20) and the control (100:0). Results showed a significant difference between the tested sample and the control, except in their moisture (4.1%-4.2%) and fiber (5.0%) contents which were similar. Protein content increased from 0.9% to 2.6%, fat 24.6% to 28.5%, carbohydrate 59.7% to 61.1%, and ash 1.8% to 2.5% in both control and most preferred sample. Results showed no changes in their peroxide value (2.4 mEq/kg), moisture content (4.1%), and bacterial count of 0 × 10(2) CFU/g at ambient storage temperature for 4 weeks. The addition of cowpea flour increased the nutritional quality of the cassava strips.","author":[{"dropping-particle":"","family":"Dada","given":"Toluwase A","non-dropping-particle":"","parse-names":false,"suffix":""},{"dropping-particle":"","family":"Barber","given":"Lucretia I","non-dropping-particle":"","parse-names":false,"suffix":""},{"dropping-particle":"","family":"Ngoma","given":"Lubanza","non-dropping-particle":"","parse-names":false,"suffix":""},{"dropping-particle":"","family":"Mwanza","given":"Mulunda","non-dropping-particle":"","parse-names":false,"suffix":""}],"container-title":"Food science &amp; nutrition","id":"ITEM-2","issue":"2","issued":{"date-parts":[["2017","12","19"]]},"language":"eng","page":"395-399","publisher":"John Wiley and Sons Inc.","title":"Formulation, sensory evaluation, proximate composition and storage stability of cassava strips produced from the composite flour of cassava and cowpea","type":"article-journal","volume":"6"},"uris":["http://www.mendeley.com/documents/?uuid=91d4c14a-c06f-40e1-aa40-936f974baa65"]},{"id":"ITEM-3","itemData":{"DOI":"10.1002/jsfa.1307","ISSN":"0022-5142","abstract":"Abstract Five cassava genotypes were grown at five contrasting sites in Cameroon, and their roots were harvested 6, 8, 10, 12, 14 and 16 months after planting, to determine the effects of growing environment and harvest age on storage root yields and culinary qualities. The highest root yields were obtained at Ekona (26.3?t?ha?1), whereas the highest root counts were recorded at Bertoua (33 roots per 10?m2). Root yields were lowest (2.9?t?ha?1) when roots were harvested at 6 months, but continued to bulk up to 18.5?t?ha?1 at 16 months. The greatest root increase (9.3?t?ha?1) was observed between 8 and 12 months. Improved and local varieties had comparable dry matter contents (39%). All clones cooked when harvested at 6 and 8 months; thereafter, improved clones did not cook, and cooking duration continued to increase even for the local variety, accounting for the difficulty seen in disseminating these newly developed clones to growers. Cooking durations of roots were longer at Nkolbisson, Bertoua and Ebolowa than at Ekona and Yoke. Soil carbon content was negatively correlated (r?=??0.999***) with mealiness but not with cooking duration. Cooking quality appears to be under genetic and environmental control. Further studies to elucidate the role of the environment on cookability should concentrate on duration of the rainy and dry seasons, soil physical and chemical properties, and starch chemistry of the genotypes. Suggestions for further research are discussed. ? 2003 Society of Chemical Industry","author":[{"dropping-particle":"","family":"Ngeve","given":"Jacob M","non-dropping-particle":"","parse-names":false,"suffix":""}],"container-title":"Journal of the Science of Food and Agriculture","id":"ITEM-3","issue":"4","issued":{"date-parts":[["2003","3","1"]]},"note":"doi: 10.1002/jsfa.1307","page":"249-257","publisher":"John Wiley &amp; Sons, Ltd","title":"Cassava root yields and culinary qualities as affected by harvest age and test environment","type":"article-journal","volume":"83"},"uris":["http://www.mendeley.com/documents/?uuid=80dff363-acbf-4bee-b451-442f1eecc86e"]}],"mendeley":{"formattedCitation":"(Jensen &lt;i&gt;et al.&lt;/i&gt;, 2015; Dada &lt;i&gt;et al.&lt;/i&gt;, 2017; Ngeve, 2003)","plainTextFormattedCitation":"(Jensen et al., 2015; Dada et al., 2017; Ngeve, 2003)","previouslyFormattedCitation":"(Jensen &lt;i&gt;et al.&lt;/i&gt;, 2015; Dada &lt;i&gt;et al.&lt;/i&gt;, 2017; Ngeve, 2003)"},"properties":{"noteIndex":0},"schema":"https://github.com/citation-style-language/schema/raw/master/csl-citation.json"}</w:instrText>
      </w:r>
      <w:r>
        <w:fldChar w:fldCharType="separate"/>
      </w:r>
      <w:r w:rsidRPr="007E02AF">
        <w:rPr>
          <w:noProof/>
        </w:rPr>
        <w:t xml:space="preserve">(Jensen </w:t>
      </w:r>
      <w:r w:rsidRPr="007E02AF">
        <w:rPr>
          <w:i/>
          <w:noProof/>
        </w:rPr>
        <w:t>et al.</w:t>
      </w:r>
      <w:r w:rsidRPr="007E02AF">
        <w:rPr>
          <w:noProof/>
        </w:rPr>
        <w:t xml:space="preserve">, 2015; Dada </w:t>
      </w:r>
      <w:r w:rsidRPr="007E02AF">
        <w:rPr>
          <w:i/>
          <w:noProof/>
        </w:rPr>
        <w:t>et al.</w:t>
      </w:r>
      <w:r w:rsidRPr="007E02AF">
        <w:rPr>
          <w:noProof/>
        </w:rPr>
        <w:t>, 2017; Ngeve, 2003)</w:t>
      </w:r>
      <w:r>
        <w:fldChar w:fldCharType="end"/>
      </w:r>
      <w:r>
        <w:t>. The landrace CUB74 is commonly associated with good culinary quality, a product of its unique chemotype and an average dry matter content. The flavour of CUB</w:t>
      </w:r>
      <w:r w:rsidR="002812A9">
        <w:t>74</w:t>
      </w:r>
      <w:r>
        <w:t xml:space="preserve"> should be conceived as savoury with average sweetness, sourness and low astringency </w:t>
      </w:r>
      <w:r>
        <w:fldChar w:fldCharType="begin" w:fldLock="1"/>
      </w:r>
      <w:r>
        <w:instrText>ADDIN CSL_CITATION {"citationItems":[{"id":"ITEM-1","itemData":{"DOI":"https://doi.org/10.1016/B978-008045382-8.00108-8","ISBN":"978-0-08-045382-8","author":[{"dropping-particle":"","family":"Izawa","given":"Kunisuke","non-dropping-particle":"","parse-names":false,"suffix":""},{"dropping-particle":"","family":"Amino","given":"Yusuke","non-dropping-particle":"","parse-names":false,"suffix":""},{"dropping-particle":"","family":"Kohmura","given":"Masanori","non-dropping-particle":"","parse-names":false,"suffix":""},{"dropping-particle":"","family":"Ueda","given":"Yoichi","non-dropping-particle":"","parse-names":false,"suffix":""},{"dropping-particle":"","family":"Kuroda","given":"Motonaka","non-dropping-particle":"","parse-names":false,"suffix":""}],"container-title":"Comprehensive Natural Products II","id":"ITEM-1","issued":{"date-parts":[["2010"]]},"page":"631-671","publisher":"Elsevier","publisher-place":"Oxford","title":"4.16 - Human–Environment Interactions – Taste","type":"chapter"},"uris":["http://www.mendeley.com/documents/?uuid=73159de8-a04f-431f-9a65-e2d5b81ad63a"]}],"mendeley":{"formattedCitation":"(Izawa &lt;i&gt;et al.&lt;/i&gt;, 2010)","plainTextFormattedCitation":"(Izawa et al., 2010)","previouslyFormattedCitation":"(Izawa &lt;i&gt;et al.&lt;/i&gt;, 2010)"},"properties":{"noteIndex":0},"schema":"https://github.com/citation-style-language/schema/raw/master/csl-citation.json"}</w:instrText>
      </w:r>
      <w:r>
        <w:fldChar w:fldCharType="separate"/>
      </w:r>
      <w:r w:rsidRPr="007D00D1">
        <w:rPr>
          <w:noProof/>
        </w:rPr>
        <w:t xml:space="preserve">(Izawa </w:t>
      </w:r>
      <w:r w:rsidRPr="007D00D1">
        <w:rPr>
          <w:i/>
          <w:noProof/>
        </w:rPr>
        <w:t>et al.</w:t>
      </w:r>
      <w:r w:rsidRPr="007D00D1">
        <w:rPr>
          <w:noProof/>
        </w:rPr>
        <w:t>, 2010)</w:t>
      </w:r>
      <w:r>
        <w:fldChar w:fldCharType="end"/>
      </w:r>
      <w:r>
        <w:t>. This is based on the higher than average levels of amino acids associated with umami flavour, low levels of phenolic compounds referring astringency and overall average levels of metabolites associated with sweet and sour flavours. This hypothesis is supported by the metabolite composition of the low culinary quality landrace VEN25, which contained above average cyanogenic glucosides, low amounts of umami compounds, average to high phenolic compounds, average sourness</w:t>
      </w:r>
      <w:r w:rsidR="00B2117B">
        <w:t>,</w:t>
      </w:r>
      <w:r>
        <w:t xml:space="preserve"> and average to low amounts of metabolites referring sweetness.</w:t>
      </w:r>
    </w:p>
    <w:p w14:paraId="686483CF" w14:textId="77777777" w:rsidR="00F460CF" w:rsidRDefault="00F460CF" w:rsidP="00F460CF">
      <w:pPr>
        <w:pStyle w:val="Heading2"/>
      </w:pPr>
      <w:r>
        <w:t>Zone adaptation</w:t>
      </w:r>
    </w:p>
    <w:p w14:paraId="73219727" w14:textId="465877EB" w:rsidR="00F460CF" w:rsidRDefault="00F460CF" w:rsidP="00F460CF">
      <w:r>
        <w:t xml:space="preserve">Cassava breeding programmes generated gene pools for six edapho-climatic zones which were selected for their good productivity within the respective environment </w:t>
      </w:r>
      <w:r>
        <w:fldChar w:fldCharType="begin" w:fldLock="1"/>
      </w:r>
      <w:r>
        <w:instrText>ADDIN CSL_CITATION {"citationItems":[{"id":"ITEM-1","itemData":{"abstract":"Cassava is grown principally in situations where there are few resources to improve soil fertility, control pests and diseases with chemical inputs, or apply irrigation. Breeders are therefore selecting for productivity and quality under many stress situations. Differences in photosynthetic rate have been discovered that are correlated with productivity under drought stress, genetic differences in efficiency of nutrient use on poor soils, and genetic variability for several mechanisms that confer tolerance of drought stress. The reduction of stresses caused by diseases and pests includes new research on root rot organisms. African cassava mosaic (geminivirus) disease is a major constraint in Africa but new resistant cultivars are increasingly being used, and the prospects for developing resistance by genetic engineering are promising. Root quality, particularly HCN content, is sensitive to drought stress but less so in cultivars selected for low HCN content. In terms of HCN content, cultivars are differentially sensitive to the nutrient status of the soil. Starch content and quality are also reduced less by stress in stress-tolerant clones. Genetic variation for tolerance of diverse stress situations exists in extensive collections of landrace cultivars from which breeding populations are derived and evaluated in diverse environments. New avenues involving genetic engineering and use of related wild species are being pursued","author":[{"dropping-particle":"","family":"Hershey","given":"C H","non-dropping-particle":"","parse-names":false,"suffix":""},{"dropping-particle":"","family":"Jennings","given":"D L","non-dropping-particle":"","parse-names":false,"suffix":""}],"container-title":"Plant Breeding Abstracts","id":"ITEM-1","issue":"8","issued":{"date-parts":[["1992"]]},"language":"English","page":"823-831","title":"Progress in breeding cassava for adaptation to stress","type":"article","volume":"62"},"uris":["http://www.mendeley.com/documents/?uuid=726a85e8-0304-491a-a4e5-5cadf0067c3f"]}],"mendeley":{"formattedCitation":"(Hershey and Jennings, 1992)","plainTextFormattedCitation":"(Hershey and Jennings, 1992)","previouslyFormattedCitation":"(Hershey and Jennings, 1992)"},"properties":{"noteIndex":0},"schema":"https://github.com/citation-style-language/schema/raw/master/csl-citation.json"}</w:instrText>
      </w:r>
      <w:r>
        <w:fldChar w:fldCharType="separate"/>
      </w:r>
      <w:r w:rsidRPr="003620EA">
        <w:rPr>
          <w:noProof/>
        </w:rPr>
        <w:t>(Hershey and Jennings, 1992)</w:t>
      </w:r>
      <w:r>
        <w:fldChar w:fldCharType="end"/>
      </w:r>
      <w:r>
        <w:t xml:space="preserve">. The present study included landraces adapted to lowland tropics, subtropics and drought conditions. Their constitutive metabolite profile placed the drought tolerant VEN77 in the middle of the leaf score plot (Fig. </w:t>
      </w:r>
      <w:r w:rsidR="00397241">
        <w:t>1B</w:t>
      </w:r>
      <w:r>
        <w:t>), close to CUB74 and COL1684. This suggests that the general metabolism of these landraces does not include specialised or enhanced pathways prior to the abiotic stress of the edapho-climatic zones. On the contrary, COL1505 clustered towards the right side of the score plot with the African lines. In the direct comparison of the adapted landraces, COL1505 showed higher levels of kaempferol-</w:t>
      </w:r>
      <w:r>
        <w:lastRenderedPageBreak/>
        <w:t xml:space="preserve">glycosides, which are involved in auxin transport and herbivore defence </w:t>
      </w:r>
      <w:r>
        <w:fldChar w:fldCharType="begin" w:fldLock="1"/>
      </w:r>
      <w:r>
        <w:instrText>ADDIN CSL_CITATION {"citationItems":[{"id":"ITEM-1","itemData":{"DOI":"10.1007/978-3-642-22144-6_60","ISBN":"978-3-642-22144-6","abstract":"Flavonoids are natural products widely distributed in the plant kingdom and currently consumed in large amounts in the daily diet. These are categorized according to their molecular structures into flavonols, flavones, flavanones, catechins, anthocyanidins, dihydroflavonols, isoflavones and chalcones. Among them, flavones and flavonols define the largest subgroups. The diverse functions of flavones and flavonols in plants as well as their various roles in the interaction with other organisms offer many potential applications, not only in plant breeding but also in ecology, agriculture, and human nutrition and pharmacology. In this chapter, we focus mainly on the occurrence and biosynthesis of flavones and flavonols, their biological functions in plants and animals, and metabolic engineering strategies of flavone and flavonol pathway in plants.","author":[{"dropping-particle":"","family":"Zhang","given":"Qiang","non-dropping-particle":"","parse-names":false,"suffix":""},{"dropping-particle":"","family":"Zhao","given":"Xinhuai","non-dropping-particle":"","parse-names":false,"suffix":""},{"dropping-particle":"","family":"Qiu","given":"Hongbin","non-dropping-particle":"","parse-names":false,"suffix":""}],"editor":[{"dropping-particle":"","family":"Ramawat","given":"Kishan Gopal","non-dropping-particle":"","parse-names":false,"suffix":""},{"dropping-particle":"","family":"Mérillon","given":"Jean-Michel","non-dropping-particle":"","parse-names":false,"suffix":""}],"id":"ITEM-1","issued":{"date-parts":[["2013"]]},"page":"1821-1847","publisher":"Springer Berlin Heidelberg","publisher-place":"Berlin, Heidelberg","title":"Flavones and Flavonols: Phytochemistry and Biochemistry BT  - Natural Products: Phytochemistry, Botany and Metabolism of Alkaloids, Phenolics and Terpenes","type":"chapter"},"uris":["http://www.mendeley.com/documents/?uuid=a7585613-3582-4c2b-b420-5c5f331d6edf"]},{"id":"ITEM-2","itemData":{"DOI":"10.1016/j.tplants.2007.10.003","ISSN":"1360-1385","author":[{"dropping-particle":"","family":"Peer","given":"Wendy Ann","non-dropping-particle":"","parse-names":false,"suffix":""},{"dropping-particle":"","family":"Murphy","given":"Angus S","non-dropping-particle":"","parse-names":false,"suffix":""}],"container-title":"Trends in Plant Science","id":"ITEM-2","issue":"12","issued":{"date-parts":[["2007","12","1"]]},"note":"doi: 10.1016/j.tplants.2007.10.003","page":"556-563","publisher":"Elsevier","title":"Flavonoids and auxin transport: modulators or regulators?","type":"article-journal","volume":"12"},"uris":["http://www.mendeley.com/documents/?uuid=9ee1611e-c1eb-4ec5-a071-fbc772b27500"]}],"mendeley":{"formattedCitation":"(Zhang &lt;i&gt;et al.&lt;/i&gt;, 2013; Peer and Murphy, 2007)","plainTextFormattedCitation":"(Zhang et al., 2013; Peer and Murphy, 2007)","previouslyFormattedCitation":"(Zhang &lt;i&gt;et al.&lt;/i&gt;, 2013; Peer and Murphy, 2007)"},"properties":{"noteIndex":0},"schema":"https://github.com/citation-style-language/schema/raw/master/csl-citation.json"}</w:instrText>
      </w:r>
      <w:r>
        <w:fldChar w:fldCharType="separate"/>
      </w:r>
      <w:r w:rsidRPr="00E81AD9">
        <w:rPr>
          <w:noProof/>
        </w:rPr>
        <w:t xml:space="preserve">(Zhang </w:t>
      </w:r>
      <w:r w:rsidRPr="00E81AD9">
        <w:rPr>
          <w:i/>
          <w:noProof/>
        </w:rPr>
        <w:t>et al.</w:t>
      </w:r>
      <w:r w:rsidRPr="00E81AD9">
        <w:rPr>
          <w:noProof/>
        </w:rPr>
        <w:t>, 2013; Peer and Murphy, 2007)</w:t>
      </w:r>
      <w:r>
        <w:fldChar w:fldCharType="end"/>
      </w:r>
      <w:r>
        <w:t xml:space="preserve">. This particular chemotype might have given COL1505 the advantage to remain productive in its genetic origin Savannah and adapt to the biotic and abiotic stresses of zone 1 and 4. So far, studies on zone adaptation have focused on the agronomic aspects of the plant and not yet considered the root quality of the best performing plants </w:t>
      </w:r>
      <w:r>
        <w:fldChar w:fldCharType="begin" w:fldLock="1"/>
      </w:r>
      <w:r>
        <w:instrText>ADDIN CSL_CITATION {"citationItems":[{"id":"ITEM-1","itemData":{"abstract":"Shifting cultivation in the humid tropics is incredibly diverse, yet research tends to focus on one type: long-fallow shifting cultivation. While it is a typical adaptation to the highly-weathered nutrient-poor soils of the Amazonian terra firme, fertile environments in the region offer opportunities for agricultural intensification. We hypothesized that Amazonian people have developed divergent bitter manioc cultivation systems as adaptations to the properties of different soils. We compared bitter manioc cultivation in two nutrient-rich and two nutrient-poor soils, along the middle Madeira River in Central Amazonia. We interviewed 249 farmers in 6 localities, sampled their manioc fields, and carried out genetic analysis of bitter manioc landraces. While cultivation in the two richer soils at different localities was characterized by fast-maturing, low-starch manioc landraces, with shorter cropping periods and shorter fallows, the predominant manioc landraces in these soils were generally not genetically similar. Rather, predominant landraces in each of these two fertile soils have emerged from separate selective trajectories which produced landraces that converged for fast-maturing low-starch traits adapted to intensified swidden systems in fertile soils. This contrasts with the more extensive cultivation systems found in the two poorer soils at different localities, characterized by the prevalence of slow-maturing high-starch landraces, longer cropping periods and longer fallows, typical of previous studies. Farmers plant different assemblages of bitter manioc landraces in different soils and the most popular landraces were shown to exhibit significantly different yields when planted in different soils. Farmers have selected different sets of landraces with different perceived agronomic characteristics, along with different fallow lengths, as adaptations to the specific properties of each agroecological micro-environment. These findings open up new avenues for research and debate concerning the origins, evolution, history and contemporary cultivation of bitter manioc in Amazonia and beyond.","author":[{"dropping-particle":"","family":"Fraser","given":"James Angus","non-dropping-particle":"","parse-names":false,"suffix":""},{"dropping-particle":"","family":"Alves-Pereira","given":"Alessandro","non-dropping-particle":"","parse-names":false,"suffix":""},{"dropping-particle":"","family":"Junqueira","given":"André Braga","non-dropping-particle":"","parse-names":false,"suffix":""},{"dropping-particle":"","family":"Peroni","given":"Nivaldo","non-dropping-particle":"","parse-names":false,"suffix":""},{"dropping-particle":"","family":"Clement","given":"Charles Roland","non-dropping-particle":"","parse-names":false,"suffix":""}],"container-title":"PLOS ONE","id":"ITEM-1","issue":"8","issued":{"date-parts":[["2012","8","29"]]},"page":"e43636","publisher":"Public Library of Science","title":"Convergent Adaptations: Bitter Manioc Cultivation Systems in Fertile Anthropogenic Dark Earths and Floodplain Soils in Central Amazonia","type":"article-journal","volume":"7"},"uris":["http://www.mendeley.com/documents/?uuid=86e1ad7d-7c2c-4f79-a771-0d5d9129ac27"]},{"id":"ITEM-2","itemData":{"DOI":"10.5897/AJAR11.764","author":[{"dropping-particle":"","family":"Ogola","given":"John","non-dropping-particle":"","parse-names":false,"suffix":""},{"dropping-particle":"","family":"Mathews","given":"Cherian","non-dropping-particle":"","parse-names":false,"suffix":""}],"container-title":"African journal of agricultural research","id":"ITEM-2","issued":{"date-parts":[["2011","12","26"]]},"page":"6082-6088","title":"Adaptation of cassava (Manihot esculenta) to the dry environments of Limpopo, South Africa: growth, yield and yield components","type":"article-journal","volume":"6"},"uris":["http://www.mendeley.com/documents/?uuid=dcb5b73e-a3e8-4565-8646-d02ac551ba26"]},{"id":"ITEM-3","itemData":{"DOI":"10.1038/s41598-018-35711-x","ISSN":"2045-2322","abstract":"Drought stress is one of the potent abiotic stress limiting cassava (Manihot esculenta) yield globally, but studies addressing both physiological and proteomic responses that how cassava crops can adjust their growth and metabolism under drought conditions are lacking. Combining leaf physiological and proteomic characteristics strongly allied with drought tolerance should results in enhanced drought tolerance in cassava crop. Therefore, the aims of this study were to explore the plant physiological and proteomic mechanisms involved in drought adaptation in cassava. Xinxuan 048 (XX048) was exposed to well-watered control (CK, relative soil water content (RSWC) as 80 ± 5%), mild drought stress (LD, RSWC as 65 ± 5%), moderate drought stress (MD, RSWC as 50 ± 5%) and severe drought stress (SD, RSWC as 35 ± 5%) from 30 days after planting. Under drought stress conditions, cassava plant showed a substantial decline in plant height, stem diameter, leaf number, leaf water content, the ratio of free water content to bound water content of leaf (FW/BW), net photosynthetic rate (Pn), intercellular CO2 concentration (Ci), stomatal conductance (Gs) and transpiration rate (Tr) compared with well watered plants. However, compared with control, leaf water content, SPAD value, cell membrane permeability, malondialdehyde (MDA), soluble sugar, protein proline content SOD and CAT activity were at peak under drought stress. The proteomic analysis revealed that among 3 339 identified proteins, drought stress increased and decreased abundance of 262 and 296 proteins, respectively, compared with control condition. These proteins were involved in carbohydrate energy metabolism, protein homeostasis, transcription, cell structure, cell membrane transport, signal transduction, stress and defense responses. These data not only provides a comprehensive dataset on overall proteomic changes in cassava leaves under drought stress, but also highlights the mechanisms by which euphorbiaceae plants can adapt to drought conditions.","author":[{"dropping-particle":"","family":"Shan","given":"Zhongying","non-dropping-particle":"","parse-names":false,"suffix":""},{"dropping-particle":"","family":"Luo","given":"Xinglu","non-dropping-particle":"","parse-names":false,"suffix":""},{"dropping-particle":"","family":"Wei","given":"Maogui","non-dropping-particle":"","parse-names":false,"suffix":""},{"dropping-particle":"","family":"Huang","given":"Tangwei","non-dropping-particle":"","parse-names":false,"suffix":""},{"dropping-particle":"","family":"Khan","given":"Aziz","non-dropping-particle":"","parse-names":false,"suffix":""},{"dropping-particle":"","family":"Zhu","given":"Yanmei","non-dropping-particle":"","parse-names":false,"suffix":""}],"container-title":"Scientific Reports","id":"ITEM-3","issue":"1","issued":{"date-parts":[["2018"]]},"page":"17982","title":"Physiological and proteomic analysis on long-term drought resistance of cassava (Manihot esculenta Crantz)","type":"article-journal","volume":"8"},"uris":["http://www.mendeley.com/documents/?uuid=1b80d69f-0e1b-46f5-8f81-ee225415ae94"]}],"mendeley":{"formattedCitation":"(Fraser &lt;i&gt;et al.&lt;/i&gt;, 2012; Ogola and Mathews, 2011; Shan &lt;i&gt;et al.&lt;/i&gt;, 2018)","plainTextFormattedCitation":"(Fraser et al., 2012; Ogola and Mathews, 2011; Shan et al., 2018)","previouslyFormattedCitation":"(Fraser &lt;i&gt;et al.&lt;/i&gt;, 2012; Ogola and Mathews, 2011; Shan &lt;i&gt;et al.&lt;/i&gt;, 2018)"},"properties":{"noteIndex":0},"schema":"https://github.com/citation-style-language/schema/raw/master/csl-citation.json"}</w:instrText>
      </w:r>
      <w:r>
        <w:fldChar w:fldCharType="separate"/>
      </w:r>
      <w:r w:rsidRPr="00502C72">
        <w:rPr>
          <w:noProof/>
        </w:rPr>
        <w:t xml:space="preserve">(Fraser </w:t>
      </w:r>
      <w:r w:rsidRPr="00502C72">
        <w:rPr>
          <w:i/>
          <w:noProof/>
        </w:rPr>
        <w:t>et al.</w:t>
      </w:r>
      <w:r w:rsidRPr="00502C72">
        <w:rPr>
          <w:noProof/>
        </w:rPr>
        <w:t xml:space="preserve">, 2012; Ogola and Mathews, 2011; Shan </w:t>
      </w:r>
      <w:r w:rsidRPr="00502C72">
        <w:rPr>
          <w:i/>
          <w:noProof/>
        </w:rPr>
        <w:t>et al.</w:t>
      </w:r>
      <w:r w:rsidRPr="00502C72">
        <w:rPr>
          <w:noProof/>
        </w:rPr>
        <w:t>, 2018)</w:t>
      </w:r>
      <w:r>
        <w:fldChar w:fldCharType="end"/>
      </w:r>
      <w:r>
        <w:t>. The metabolic comparison highlighted that VEN77 showed a similar profile to the landrace with low culinary quality VEN25, whereas COL1505 and COL1684 grouped with the high culinary quality CUB74.</w:t>
      </w:r>
    </w:p>
    <w:p w14:paraId="6AB0B624" w14:textId="37A589F2" w:rsidR="00F460CF" w:rsidRDefault="00F460CF" w:rsidP="00F460CF">
      <w:pPr>
        <w:pStyle w:val="Heading2"/>
      </w:pPr>
      <w:r>
        <w:t>Metabolite profiles of cassava plants</w:t>
      </w:r>
      <w:r w:rsidR="000B10BD">
        <w:t xml:space="preserve"> resistant and susceptible to biotic stresses</w:t>
      </w:r>
    </w:p>
    <w:p w14:paraId="18487067" w14:textId="77777777" w:rsidR="00F460CF" w:rsidRDefault="00F460CF" w:rsidP="00F460CF">
      <w:r>
        <w:t xml:space="preserve">Biotic stresses are a great threat to cassava yield and food security leading to the search for sustainable solutions such as introduction of herbivore predators </w:t>
      </w:r>
      <w:r>
        <w:fldChar w:fldCharType="begin" w:fldLock="1"/>
      </w:r>
      <w:r>
        <w:instrText>ADDIN CSL_CITATION {"citationItems":[{"id":"ITEM-1","itemData":{"DOI":"10.1002/ps.5366","ISSN":"1526-498X","abstract":"ABSTRACT BACKGROUD The red spider mite Tetranychus urticae is known as a worldwide pest in cassava production which can caused serious economic losses. Because no threshold levels are established for T. urticae in cassava cropping, many growers in China are applying excessive chemical applications per cassava cropping period. This is not only expensive, but also results in lower yields because of severe leaf damage and development of resistance. This study aims to develop an immediate threshold level for T. urticae control which could be determined in the laboratory and fit the field application requirements. RESULTS The mite density of 25 mites/leaf was the threshold which caused significant decrease of photosynthetic pigment contents and protective enzyme activities in cassava leaves in the laboratory. Moreover, 25 mites/leaf was also the threshold density which resulted in significantly lower leaf damage and higher yield levels compared with a higher level of mites/leaf where calendar sprays were used. CONCLUSION The mite density threshold that brought about significant physiological and biochemical changes in the laboratory basically coincided with the threshold that resulted in significant yield loss in the field. It is therefore concluded that the optimum threshold acaricide spray for T. urticae on cassava is 25 mites/leaf. ? 2019 Society of Chemical Industry","author":[{"dropping-particle":"","family":"Chen","given":"Qing","non-dropping-particle":"","parse-names":false,"suffix":""},{"dropping-particle":"","family":"Liang","given":"Xiao","non-dropping-particle":"","parse-names":false,"suffix":""},{"dropping-particle":"","family":"Wu","given":"Chunling","non-dropping-particle":"","parse-names":false,"suffix":""},{"dropping-particle":"","family":"Gao","given":"Jintao","non-dropping-particle":"","parse-names":false,"suffix":""},{"dropping-particle":"","family":"Chen","given":"Qian","non-dropping-particle":"","parse-names":false,"suffix":""},{"dropping-particle":"","family":"Zhang","given":"Zhe","non-dropping-particle":"","parse-names":false,"suffix":""}],"container-title":"Pest Management Science","id":"ITEM-1","issue":"10","issued":{"date-parts":[["2019","10","1"]]},"note":"doi: 10.1002/ps.5366","page":"2634-2641","publisher":"John Wiley &amp; Sons, Ltd","title":"Density threshold-based acaricide application for the two-spotted spider mite Tetranychus urticae on cassava: from laboratory to the field","type":"article-journal","volume":"75"},"uris":["http://www.mendeley.com/documents/?uuid=94a4829f-c724-4982-bc92-346ecff643ca"]},{"id":"ITEM-2","itemData":{"DOI":"10.1016/j.biocontrol.2005.02.006","author":[{"dropping-particle":"","family":"Onzo","given":"Alexis","non-dropping-particle":"","parse-names":false,"suffix":""},{"dropping-particle":"","family":"Hanna","given":"Rachid","non-dropping-particle":"","parse-names":false,"suffix":""},{"dropping-particle":"","family":"Negloh","given":"Koffi","non-dropping-particle":"","parse-names":false,"suffix":""},{"dropping-particle":"","family":"Toko","given":"Muaka","non-dropping-particle":"","parse-names":false,"suffix":""},{"dropping-particle":"","family":"Sabelis","given":"M","non-dropping-particle":"","parse-names":false,"suffix":""}],"container-title":"Biological Control","id":"ITEM-2","issued":{"date-parts":[["2005","5","1"]]},"page":"143-152","title":"Biological control of cassava green mite with exotic and indigenous phytoseiid predators—Effects of intraguild predation and supplementary food","type":"article-journal","volume":"33"},"uris":["http://www.mendeley.com/documents/?uuid=429e81ca-90ca-480b-b661-2eedb28c8d29"]}],"mendeley":{"formattedCitation":"(Chen &lt;i&gt;et al.&lt;/i&gt;, 2019; Onzo &lt;i&gt;et al.&lt;/i&gt;, 2005)","plainTextFormattedCitation":"(Chen et al., 2019; Onzo et al., 2005)","previouslyFormattedCitation":"(Chen &lt;i&gt;et al.&lt;/i&gt;, 2019; Onzo &lt;i&gt;et al.&lt;/i&gt;, 2005)"},"properties":{"noteIndex":0},"schema":"https://github.com/citation-style-language/schema/raw/master/csl-citation.json"}</w:instrText>
      </w:r>
      <w:r>
        <w:fldChar w:fldCharType="separate"/>
      </w:r>
      <w:r w:rsidRPr="00A83779">
        <w:rPr>
          <w:noProof/>
        </w:rPr>
        <w:t xml:space="preserve">(Chen </w:t>
      </w:r>
      <w:r w:rsidRPr="00A83779">
        <w:rPr>
          <w:i/>
          <w:noProof/>
        </w:rPr>
        <w:t>et al.</w:t>
      </w:r>
      <w:r w:rsidRPr="00A83779">
        <w:rPr>
          <w:noProof/>
        </w:rPr>
        <w:t xml:space="preserve">, 2019; Onzo </w:t>
      </w:r>
      <w:r w:rsidRPr="00A83779">
        <w:rPr>
          <w:i/>
          <w:noProof/>
        </w:rPr>
        <w:t>et al.</w:t>
      </w:r>
      <w:r w:rsidRPr="00A83779">
        <w:rPr>
          <w:noProof/>
        </w:rPr>
        <w:t>, 2005)</w:t>
      </w:r>
      <w:r>
        <w:fldChar w:fldCharType="end"/>
      </w:r>
      <w:r>
        <w:t xml:space="preserve">. The most sought out solution against pests is the search for resistance and tolerance traits in cassava, through understanding the cellular plant processes during the herbivore attack </w:t>
      </w:r>
      <w:r>
        <w:fldChar w:fldCharType="begin" w:fldLock="1"/>
      </w:r>
      <w:r>
        <w:instrText>ADDIN CSL_CITATION {"citationItems":[{"id":"ITEM-1","itemData":{"ISBN":"1664-462X","abstract":"Interactions between plants and insect herbivores are important determinants of plant productivity in managed and natural vegetation. In response to attack, plants have evolved a range of defenses to reduce the threat of injury and loss of productivity. Crop losses from damage caused by arthropod pests can exceed 15% annually. Crop domestication and selection for improved yield and quality can alter the defensive capability of the crop, increasing reliance on artificial crop protection. Sustainable agriculture, however, depends on reduced chemical inputs. There is an urgent need, therefore, to identify plant defensive traits for crop improvement. Plant defense can be divided into resistance and tolerance strategies. Plant traits that confer herbivore resistance typically prevent or reduce herbivore damage through expression of traits that deter pests from settling, attaching to surfaces, feeding and reproducing, or that reduce palatability. Plant tolerance of herbivory involves expression of traits that limit the negative impact of herbivore damage on productivity and yield. Identifying the defensive traits expressed by plants to deter herbivores or limit herbivore damage, and understanding the underlying defense mechanisms, is crucial for crop scientists to exploit plant defensive traits in crop breeding. In this review, we assess the traits and mechanisms underpinning herbivore resistance and tolerance, and conclude that physical defense traits, plant vigor and herbivore-induced plant volatiles show considerable utility in pest control, along with mixed species crops. We highlight emerging approaches for accelerating the identification of plant defensive traits and facilitating their deployment to improve the future sustainability of crop protection.","author":[{"dropping-particle":"","family":"Mitchell","given":"Carolyn","non-dropping-particle":"","parse-names":false,"suffix":""},{"dropping-particle":"","family":"Brennan","given":"Rex M","non-dropping-particle":"","parse-names":false,"suffix":""},{"dropping-particle":"","family":"Graham","given":"Julie","non-dropping-particle":"","parse-names":false,"suffix":""},{"dropping-particle":"","family":"Karley","given":"Alison J","non-dropping-particle":"","parse-names":false,"suffix":""}],"container-title":"Frontiers in Plant Science  ","id":"ITEM-1","issued":{"date-parts":[["2016"]]},"page":"1132","title":"Plant Defense against Herbivorous Pests: Exploiting Resistance and Tolerance Traits for Sustainable Crop Protection   ","type":"article","volume":"7      "},"uris":["http://www.mendeley.com/documents/?uuid=48ed4582-698e-4b01-941b-d665d25323aa"]}],"mendeley":{"formattedCitation":"(Mitchell &lt;i&gt;et al.&lt;/i&gt;, 2016)","plainTextFormattedCitation":"(Mitchell et al., 2016)","previouslyFormattedCitation":"(Mitchell &lt;i&gt;et al.&lt;/i&gt;, 2016)"},"properties":{"noteIndex":0},"schema":"https://github.com/citation-style-language/schema/raw/master/csl-citation.json"}</w:instrText>
      </w:r>
      <w:r>
        <w:fldChar w:fldCharType="separate"/>
      </w:r>
      <w:r w:rsidRPr="00946932">
        <w:rPr>
          <w:noProof/>
        </w:rPr>
        <w:t xml:space="preserve">(Mitchell </w:t>
      </w:r>
      <w:r w:rsidRPr="00946932">
        <w:rPr>
          <w:i/>
          <w:noProof/>
        </w:rPr>
        <w:t>et al.</w:t>
      </w:r>
      <w:r w:rsidRPr="00946932">
        <w:rPr>
          <w:noProof/>
        </w:rPr>
        <w:t>, 2016)</w:t>
      </w:r>
      <w:r>
        <w:fldChar w:fldCharType="end"/>
      </w:r>
      <w:r>
        <w:t xml:space="preserve">. A previous metabolomics study elucidated the defensive traits of ECU72 to whitefly infestation </w:t>
      </w:r>
      <w:r>
        <w:fldChar w:fldCharType="begin" w:fldLock="1"/>
      </w:r>
      <w:r>
        <w:instrText>ADDIN CSL_CITATION {"citationItems":[{"id":"ITEM-1","itemData":{"DOI":"10.1186/s12870-019-2107-1","ISSN":"1471-2229","abstract":"Cassava whitefly outbreaks were initially reported in East and Central Africa cassava (Manihot esculenta Crantz) growing regions in the 1990’s and have now spread to other geographical locations, becoming a global pest severely affecting farmers and smallholder income. Whiteflies impact plant yield via feeding and vectoring cassava mosaic and brown streak viruses, making roots unsuitable for food or trading. Deployment of virus resistant varieties has had little impact on whitefly populations and therefore development of whitefly resistant varieties is also necessary as part of integrated pest management strategies. Suitable sources of whitefly resistance exist in germplasm collections that require further characterization to facilitate and assist breeding programs.","author":[{"dropping-particle":"","family":"Perez-Fons","given":"Laura","non-dropping-particle":"","parse-names":false,"suffix":""},{"dropping-particle":"","family":"Bohorquez-Chaux","given":"Adriana","non-dropping-particle":"","parse-names":false,"suffix":""},{"dropping-particle":"","family":"Irigoyen","given":"Maria L","non-dropping-particle":"","parse-names":false,"suffix":""},{"dropping-particle":"","family":"Garceau","given":"Danielle C","non-dropping-particle":"","parse-names":false,"suffix":""},{"dropping-particle":"","family":"Morreel","given":"Kris","non-dropping-particle":"","parse-names":false,"suffix":""},{"dropping-particle":"","family":"Boerjan","given":"Wout","non-dropping-particle":"","parse-names":false,"suffix":""},{"dropping-particle":"","family":"Walling","given":"Linda L","non-dropping-particle":"","parse-names":false,"suffix":""},{"dropping-particle":"","family":"Becerra Lopez-Lavalle","given":"Luis Augusto","non-dropping-particle":"","parse-names":false,"suffix":""},{"dropping-particle":"","family":"Fraser","given":"Paul D","non-dropping-particle":"","parse-names":false,"suffix":""}],"container-title":"BMC Plant Biology","id":"ITEM-1","issue":"1","issued":{"date-parts":[["2019"]]},"page":"518","title":"A metabolomics characterisation of natural variation in the resistance of cassava to whitefly","type":"article-journal","volume":"19"},"uris":["http://www.mendeley.com/documents/?uuid=44518549-0061-40d3-bf71-2818770444ea"]}],"mendeley":{"formattedCitation":"(Perez-Fons &lt;i&gt;et al.&lt;/i&gt;, 2019)","plainTextFormattedCitation":"(Perez-Fons et al., 2019)","previouslyFormattedCitation":"(Perez-Fons &lt;i&gt;et al.&lt;/i&gt;, 2019)"},"properties":{"noteIndex":0},"schema":"https://github.com/citation-style-language/schema/raw/master/csl-citation.json"}</w:instrText>
      </w:r>
      <w:r>
        <w:fldChar w:fldCharType="separate"/>
      </w:r>
      <w:r w:rsidRPr="00502C72">
        <w:rPr>
          <w:noProof/>
        </w:rPr>
        <w:t xml:space="preserve">(Perez-Fons </w:t>
      </w:r>
      <w:r w:rsidRPr="00502C72">
        <w:rPr>
          <w:i/>
          <w:noProof/>
        </w:rPr>
        <w:t>et al.</w:t>
      </w:r>
      <w:r w:rsidRPr="00502C72">
        <w:rPr>
          <w:noProof/>
        </w:rPr>
        <w:t>, 2019)</w:t>
      </w:r>
      <w:r>
        <w:fldChar w:fldCharType="end"/>
      </w:r>
      <w:r>
        <w:t>. The trait included a reinforced cell walls deterring/reducing whitefly from feeding and a more effective phenylpropanoid superpathway during infection. The present study does not include any insect infestations. Hence, results from the present study present potential pathways or metabolites which could refer pest resistance and should be further investigated in infestation studies.</w:t>
      </w:r>
    </w:p>
    <w:p w14:paraId="2E0CD36B" w14:textId="77777777" w:rsidR="00F460CF" w:rsidRDefault="00F460CF" w:rsidP="00F460CF">
      <w:r>
        <w:t xml:space="preserve">The comparison of thrips resistant and susceptible landraces highlighted different expression of the two phenylpropanoid pathways flavonoids and proanthocyanidins. Previous studies highlighted both compounds groups can have insect deterrent properties </w:t>
      </w:r>
      <w:r>
        <w:fldChar w:fldCharType="begin" w:fldLock="1"/>
      </w:r>
      <w:r>
        <w:instrText>ADDIN CSL_CITATION {"citationItems":[{"id":"ITEM-1","itemData":{"DOI":"10.3390/molecules191016240","ISSN":"1420-3049","abstract":"Flavonoids are small molecular secondary metabolites synthesized by plants with various biological activities. Due to their physical and biochemical properties, they  are capable of participating in plants’ interactions with other organisms (microorganisms, animals and other plants) and their reactions to environmental stresses. The majority of their functions result from their strong antioxidative properties. Although an increasing number of studies focus on the application of flavonoids in medicine or the food industry, their relevance for the plants themselves also deserves extensive investigations. This review summarizes the current knowledge on the functions of flavonoids in the physiology of plants and their relations with the environment.","author":[{"dropping-particle":"","family":"Mierziak","given":"Justyna","non-dropping-particle":"","parse-names":false,"suffix":""},{"dropping-particle":"","family":"Kostyn","given":"Kamil","non-dropping-particle":"","parse-names":false,"suffix":""},{"dropping-particle":"","family":"Kulma","given":"Anna","non-dropping-particle":"","parse-names":false,"suffix":""}],"container-title":"Molecules","id":"ITEM-1","issue":"10","issued":{"date-parts":[["2014","10","10"]]},"page":"16240-16265","publisher":"Multidisciplinary Digital Publishing Institute","title":"Flavonoids as Important Molecules of Plant Interactions with the Environment","type":"article-journal","volume":"19"},"uris":["http://www.mendeley.com/documents/?uuid=9e15832e-e8e3-3d49-bc86-aeff4bd74ba4"]},{"id":"ITEM-2","itemData":{"DOI":"10.1016/J.PHYTOCHEM.2011.01.040","ISSN":"0031-9422","abstract":"Tannins are the most abundant secondary metabolites made by plants, commonly ranging from 5% to 10% dry weight of tree leaves. Tannins can defend leaves against insect herbivores by deterrence and/or toxicity. Contrary to early theories, tannins have no effect on protein digestion in insect herbivores. By contrast, in vertebrate herbivores tannins can decrease protein digestion. Tannins are especially prone to oxidize in insects with high pH guts, forming semiquinone radicals and quinones, as well as other reactive oxygen species. Tannin toxicity in insects is thought to result from the production of high levels of reactive oxygen species. Tannin structure has an important effect on biochemical activity. Ellagitannins oxidize much more readily than do gallotannins, which are more oxidatively active than most condensed tannins. The ability of insects to tolerate ingested tannins comes from a variety of biochemical and physical defenses in their guts, including surfactants, high pH, antioxidants, and a protective peritrophic envelope that lines the midgut. Most work on the ecological roles of tannins has been correlative, e.g., searching for negative associations between tannins and insect performance. A greater emphasis on manipulative experiments that control tannin levels is required to make further progress on the defensive functions of tannins. Recent advances in the use of molecular methods has permitted the production of tannin-overproducing transgenic plants and a better understanding of tannin biosynthetic pathways. Many research areas remain in need of further work, including the effects of different tannin types on different types of insects (e.g., caterpillars, grasshoppers, sap-sucking insects).","author":[{"dropping-particle":"V.","family":"Barbehenn","given":"Raymond","non-dropping-particle":"","parse-names":false,"suffix":""},{"dropping-particle":"","family":"Peter Constabel","given":"C.","non-dropping-particle":"","parse-names":false,"suffix":""}],"container-title":"Phytochemistry","id":"ITEM-2","issue":"13","issued":{"date-parts":[["2011","9","1"]]},"page":"1551-1565","publisher":"Pergamon","title":"Tannins in plant–herbivore interactions","type":"article-journal","volume":"72"},"uris":["http://www.mendeley.com/documents/?uuid=facce9c9-6a6d-38a9-97e6-a2ca2f9e6059"]}],"mendeley":{"formattedCitation":"(Mierziak &lt;i&gt;et al.&lt;/i&gt;, 2014; Barbehenn and Peter Constabel, 2011)","plainTextFormattedCitation":"(Mierziak et al., 2014; Barbehenn and Peter Constabel, 2011)","previouslyFormattedCitation":"(Mierziak &lt;i&gt;et al.&lt;/i&gt;, 2014; Barbehenn and Peter Constabel, 2011)"},"properties":{"noteIndex":0},"schema":"https://github.com/citation-style-language/schema/raw/master/csl-citation.json"}</w:instrText>
      </w:r>
      <w:r>
        <w:fldChar w:fldCharType="separate"/>
      </w:r>
      <w:r w:rsidRPr="000A18AB">
        <w:rPr>
          <w:noProof/>
        </w:rPr>
        <w:t xml:space="preserve">(Mierziak </w:t>
      </w:r>
      <w:r w:rsidRPr="000A18AB">
        <w:rPr>
          <w:i/>
          <w:noProof/>
        </w:rPr>
        <w:t>et al.</w:t>
      </w:r>
      <w:r w:rsidRPr="000A18AB">
        <w:rPr>
          <w:noProof/>
        </w:rPr>
        <w:t>, 2014; Barbehenn and Peter Constabel, 2011)</w:t>
      </w:r>
      <w:r>
        <w:fldChar w:fldCharType="end"/>
      </w:r>
      <w:r>
        <w:t xml:space="preserve">. Data from the present study indicates that kaempferol glycosides are more effective against thrips than proanthocyanidins. The data also showed higher levels of photosynthesis related isoprenoids and lower levels of total phenolic compounds including shikimic acid in PAN139, which indicates a different regulation of the two pathways in the resistant landrace. This might present the resistant PAN139 with superior chemical traits to reduce (i) the number of thrips attacks and resulting leaf damage and (ii) the negative effects of the thrips damage on plant growth </w:t>
      </w:r>
      <w:r>
        <w:fldChar w:fldCharType="begin" w:fldLock="1"/>
      </w:r>
      <w:r>
        <w:instrText>ADDIN CSL_CITATION {"citationItems":[{"id":"ITEM-1","itemData":{"ISBN":"1664-462X","abstract":"Interactions between plants and insect herbivores are important determinants of plant productivity in managed and natural vegetation. In response to attack, plants have evolved a range of defenses to reduce the threat of injury and loss of productivity. Crop losses from damage caused by arthropod pests can exceed 15% annually. Crop domestication and selection for improved yield and quality can alter the defensive capability of the crop, increasing reliance on artificial crop protection. Sustainable agriculture, however, depends on reduced chemical inputs. There is an urgent need, therefore, to identify plant defensive traits for crop improvement. Plant defense can be divided into resistance and tolerance strategies. Plant traits that confer herbivore resistance typically prevent or reduce herbivore damage through expression of traits that deter pests from settling, attaching to surfaces, feeding and reproducing, or that reduce palatability. Plant tolerance of herbivory involves expression of traits that limit the negative impact of herbivore damage on productivity and yield. Identifying the defensive traits expressed by plants to deter herbivores or limit herbivore damage, and understanding the underlying defense mechanisms, is crucial for crop scientists to exploit plant defensive traits in crop breeding. In this review, we assess the traits and mechanisms underpinning herbivore resistance and tolerance, and conclude that physical defense traits, plant vigor and herbivore-induced plant volatiles show considerable utility in pest control, along with mixed species crops. We highlight emerging approaches for accelerating the identification of plant defensive traits and facilitating their deployment to improve the future sustainability of crop protection.","author":[{"dropping-particle":"","family":"Mitchell","given":"Carolyn","non-dropping-particle":"","parse-names":false,"suffix":""},{"dropping-particle":"","family":"Brennan","given":"Rex M","non-dropping-particle":"","parse-names":false,"suffix":""},{"dropping-particle":"","family":"Graham","given":"Julie","non-dropping-particle":"","parse-names":false,"suffix":""},{"dropping-particle":"","family":"Karley","given":"Alison J","non-dropping-particle":"","parse-names":false,"suffix":""}],"container-title":"Frontiers in Plant Science  ","id":"ITEM-1","issued":{"date-parts":[["2016"]]},"page":"1132","title":"Plant Defense against Herbivorous Pests: Exploiting Resistance and Tolerance Traits for Sustainable Crop Protection   ","type":"article","volume":"7      "},"uris":["http://www.mendeley.com/documents/?uuid=48ed4582-698e-4b01-941b-d665d25323aa"]},{"id":"ITEM-2","itemData":{"DOI":"10.3390/molecules191016240","ISSN":"1420-3049","abstract":"Flavonoids are small molecular secondary metabolites synthesized by plants with various biological activities. Due to their physical and biochemical properties, they  are capable of participating in plants’ interactions with other organisms (microorganisms, animals and other plants) and their reactions to environmental stresses. The majority of their functions result from their strong antioxidative properties. Although an increasing number of studies focus on the application of flavonoids in medicine or the food industry, their relevance for the plants themselves also deserves extensive investigations. This review summarizes the current knowledge on the functions of flavonoids in the physiology of plants and their relations with the environment.","author":[{"dropping-particle":"","family":"Mierziak","given":"Justyna","non-dropping-particle":"","parse-names":false,"suffix":""},{"dropping-particle":"","family":"Kostyn","given":"Kamil","non-dropping-particle":"","parse-names":false,"suffix":""},{"dropping-particle":"","family":"Kulma","given":"Anna","non-dropping-particle":"","parse-names":false,"suffix":""}],"container-title":"Molecules","id":"ITEM-2","issue":"10","issued":{"date-parts":[["2014","10","10"]]},"page":"16240-16265","publisher":"Multidisciplinary Digital Publishing Institute","title":"Flavonoids as Important Molecules of Plant Interactions with the Environment","type":"article-journal","volume":"19"},"uris":["http://www.mendeley.com/documents/?uuid=9e15832e-e8e3-3d49-bc86-aeff4bd74ba4"]}],"mendeley":{"formattedCitation":"(Mitchell &lt;i&gt;et al.&lt;/i&gt;, 2016; Mierziak &lt;i&gt;et al.&lt;/i&gt;, 2014)","plainTextFormattedCitation":"(Mitchell et al., 2016; Mierziak et al., 2014)","previouslyFormattedCitation":"(Mitchell &lt;i&gt;et al.&lt;/i&gt;, 2016; Mierziak &lt;i&gt;et al.&lt;/i&gt;, 2014)"},"properties":{"noteIndex":0},"schema":"https://github.com/citation-style-language/schema/raw/master/csl-citation.json"}</w:instrText>
      </w:r>
      <w:r>
        <w:fldChar w:fldCharType="separate"/>
      </w:r>
      <w:r w:rsidRPr="0061788F">
        <w:rPr>
          <w:noProof/>
        </w:rPr>
        <w:t xml:space="preserve">(Mitchell </w:t>
      </w:r>
      <w:r w:rsidRPr="0061788F">
        <w:rPr>
          <w:i/>
          <w:noProof/>
        </w:rPr>
        <w:t>et al.</w:t>
      </w:r>
      <w:r w:rsidRPr="0061788F">
        <w:rPr>
          <w:noProof/>
        </w:rPr>
        <w:t xml:space="preserve">, 2016; Mierziak </w:t>
      </w:r>
      <w:r w:rsidRPr="0061788F">
        <w:rPr>
          <w:i/>
          <w:noProof/>
        </w:rPr>
        <w:t>et al.</w:t>
      </w:r>
      <w:r w:rsidRPr="0061788F">
        <w:rPr>
          <w:noProof/>
        </w:rPr>
        <w:t>, 2014)</w:t>
      </w:r>
      <w:r>
        <w:fldChar w:fldCharType="end"/>
      </w:r>
      <w:r>
        <w:t>.</w:t>
      </w:r>
    </w:p>
    <w:p w14:paraId="3D178BF5" w14:textId="6B5447AA" w:rsidR="00F460CF" w:rsidRDefault="00F460CF" w:rsidP="00F460CF">
      <w:r>
        <w:lastRenderedPageBreak/>
        <w:t xml:space="preserve">The landraces COL113 and COL1522, resistant to green mites, had higher levels of photosynthesis related isoprenoids, which might give them the same fitness advantage as describe for PAN139. The total levels of phenolic compounds was similar between the green mites resistant and susceptible landrace. This emphasises the beneficial effects of certain phenolic compounds over others. The two green mite resistant landraces had higher levels of flavonols and flavan-3-ol derivatives. Both flavonoid subgroups are involved in the modulation of jasmonic acid, a well-known mediator of plant defence responses </w:t>
      </w:r>
      <w:r>
        <w:fldChar w:fldCharType="begin" w:fldLock="1"/>
      </w:r>
      <w:r>
        <w:instrText>ADDIN CSL_CITATION {"citationItems":[{"id":"ITEM-1","itemData":{"DOI":"10.1111/ppl.12256","ISSN":"0031-9317","abstract":"Flavonoids, a class of plant polyphenols derived from plant secondary metabolism, play important roles in plant development and have beneficial effects on human health. Epigallocatechin-3-gallate (EGCG) is the most abundant polyphenol, and its molecular and biochemical mechanism have been followed with interest. The shared signaling heritage or convergence of organisms has allowed us to extend this research into the model plant, Arabidopsis thaliana. Here, we showed that EGCG could promote jasmonic acid (JA) signaling in A. thaliana. EGCG not only inhibited seed germination but also elevated the resistance to necrotrophic Botrytis cinerea, partly by altering the relative strength of JA signaling. Accordingly, JA marker gene induction, seed germination inhibition and the increased resistance to B. cinerea were attenuated in the JA-insensitive coi1-2 mutant. The coi1-2 mutant was partially insensitive to the treatment of EGCG, further implicating the function of EGCG in JA signaling and/or perception. Our results indicate that EGCG, a member of the flavonoid class of polyphenols, affects signal processing in seed development and disease susceptibility via modulation of JA signaling.","author":[{"dropping-particle":"","family":"Hong","given":"Gaojie","non-dropping-particle":"","parse-names":false,"suffix":""},{"dropping-particle":"","family":"Wang","given":"Jie","non-dropping-particle":"","parse-names":false,"suffix":""},{"dropping-particle":"","family":"Hochstetter","given":"Danielle","non-dropping-particle":"","parse-names":false,"suffix":""},{"dropping-particle":"","family":"Gao","given":"Yuanyuan","non-dropping-particle":"","parse-names":false,"suffix":""},{"dropping-particle":"","family":"Xu","given":"Ping","non-dropping-particle":"","parse-names":false,"suffix":""},{"dropping-particle":"","family":"Wang","given":"Yuefei","non-dropping-particle":"","parse-names":false,"suffix":""}],"container-title":"Physiologia Plantarum","id":"ITEM-1","issue":"3","issued":{"date-parts":[["2015","3","1"]]},"note":"doi: 10.1111/ppl.12256","page":"432-439","publisher":"John Wiley &amp; Sons, Ltd","title":"Epigallocatechin-3-gallate functions as a physiological regulator by modulating the jasmonic acid pathway","type":"article-journal","volume":"153"},"uris":["http://www.mendeley.com/documents/?uuid=bdefa7bc-9482-49f6-8203-5cf2b184e4ba"]},{"id":"ITEM-2","itemData":{"DOI":"10.1016/j.tplants.2007.10.003","ISSN":"1360-1385","author":[{"dropping-particle":"","family":"Peer","given":"Wendy Ann","non-dropping-particle":"","parse-names":false,"suffix":""},{"dropping-particle":"","family":"Murphy","given":"Angus S","non-dropping-particle":"","parse-names":false,"suffix":""}],"container-title":"Trends in Plant Science","id":"ITEM-2","issue":"12","issued":{"date-parts":[["2007","12","1"]]},"note":"doi: 10.1016/j.tplants.2007.10.003","page":"556-563","publisher":"Elsevier","title":"Flavonoids and auxin transport: modulators or regulators?","type":"article-journal","volume":"12"},"uris":["http://www.mendeley.com/documents/?uuid=9ee1611e-c1eb-4ec5-a071-fbc772b27500"]},{"id":"ITEM-3","itemData":{"DOI":"10.1093/jxb/erw478","ISSN":"1460-2431","abstract":"Plants synthesize jasmonates (JAs) in response to developmental cues or environmental stresses, in order to coordinate plant growth, development or defense against pathogens and herbivores. Perception of pathogen or herbivore attack promotes synthesis of jasmonoyl-L-isoleucine (JA-Ile), which binds to the COI1-JAZ receptor, triggering the degradation of JAZ repressors and induction of transcriptional reprogramming associated with plant defense. Interestingly, some virulent pathogens have evolved various strategies to manipulate JA signaling to facilitate their exploitation of plant hosts. In this review, we focus on recent advances in understanding the mechanism underlying the enigmatic switch between transcriptional repression and hormone-dependent transcriptional activation of JA signaling. We also discuss various strategies used by pathogens and insects to manipulate JA signaling and how interfering with this could be used as a novel means of disease control.","author":[{"dropping-particle":"","family":"Zhang","given":"Li","non-dropping-particle":"","parse-names":false,"suffix":""},{"dropping-particle":"","family":"Zhang","given":"Feng","non-dropping-particle":"","parse-names":false,"suffix":""},{"dropping-particle":"","family":"Melotto","given":"Maeli","non-dropping-particle":"","parse-names":false,"suffix":""},{"dropping-particle":"","family":"Yao","given":"Jian","non-dropping-particle":"","parse-names":false,"suffix":""},{"dropping-particle":"","family":"He","given":"Sheng Yang","non-dropping-particle":"","parse-names":false,"suffix":""}],"container-title":"Journal of experimental botany","id":"ITEM-3","issue":"6","issued":{"date-parts":[["2017","3","1"]]},"language":"eng","page":"1371-1385","publisher":"Oxford University Press","title":"Jasmonate signaling and manipulation by pathogens and insects","type":"article-journal","volume":"68"},"uris":["http://www.mendeley.com/documents/?uuid=7eb5e3eb-33c9-4a3d-98e5-134063b8bfe4"]}],"mendeley":{"formattedCitation":"(Hong &lt;i&gt;et al.&lt;/i&gt;, 2015; Peer and Murphy, 2007; Zhang &lt;i&gt;et al.&lt;/i&gt;, 2017)","plainTextFormattedCitation":"(Hong et al., 2015; Peer and Murphy, 2007; Zhang et al., 2017)","previouslyFormattedCitation":"(Hong &lt;i&gt;et al.&lt;/i&gt;, 2015; Peer and Murphy, 2007; Zhang &lt;i&gt;et al.&lt;/i&gt;, 2017)"},"properties":{"noteIndex":0},"schema":"https://github.com/citation-style-language/schema/raw/master/csl-citation.json"}</w:instrText>
      </w:r>
      <w:r>
        <w:fldChar w:fldCharType="separate"/>
      </w:r>
      <w:r w:rsidRPr="006459A9">
        <w:rPr>
          <w:noProof/>
        </w:rPr>
        <w:t xml:space="preserve">(Hong </w:t>
      </w:r>
      <w:r w:rsidRPr="006459A9">
        <w:rPr>
          <w:i/>
          <w:noProof/>
        </w:rPr>
        <w:t>et al.</w:t>
      </w:r>
      <w:r w:rsidRPr="006459A9">
        <w:rPr>
          <w:noProof/>
        </w:rPr>
        <w:t xml:space="preserve">, 2015; Peer and Murphy, 2007; Zhang </w:t>
      </w:r>
      <w:r w:rsidRPr="006459A9">
        <w:rPr>
          <w:i/>
          <w:noProof/>
        </w:rPr>
        <w:t>et al.</w:t>
      </w:r>
      <w:r w:rsidRPr="006459A9">
        <w:rPr>
          <w:noProof/>
        </w:rPr>
        <w:t>, 2017)</w:t>
      </w:r>
      <w:r>
        <w:fldChar w:fldCharType="end"/>
      </w:r>
      <w:r>
        <w:t>. The other green mite resistant landrace CUB74 was grouped with the two susceptible varieties suggesting that the resistance is an induced response rather than an antixenosis strategy.</w:t>
      </w:r>
    </w:p>
    <w:p w14:paraId="4B6118E9" w14:textId="712BA8FF" w:rsidR="00F460CF" w:rsidRDefault="00F460CF" w:rsidP="00F460CF">
      <w:r>
        <w:t xml:space="preserve">The comparison between cassava plants with thrips, green mite and whitefly traits corresponded to many previous studies observing the influence of phenylpropanoids on insects </w:t>
      </w:r>
      <w:r>
        <w:fldChar w:fldCharType="begin" w:fldLock="1"/>
      </w:r>
      <w:r>
        <w:instrText>ADDIN CSL_CITATION {"citationItems":[{"id":"ITEM-1","itemData":{"DOI":"https://doi.org/10.1016/S0031-9422(03)00293-0","ISSN":"0031-9422","abstract":"Recent contributions to the role of phenolics, especially flavonoids, in different aspects of insect–plant interactions are reviewed, including data on the effects of rutin on the feeding behaviour of a range of noctuid larvae.","author":[{"dropping-particle":"","family":"Simmonds","given":"Monique S J","non-dropping-particle":"","parse-names":false,"suffix":""}],"container-title":"Phytochemistry","id":"ITEM-1","issue":"1","issued":{"date-parts":[["2003"]]},"page":"21-30","title":"Flavonoid–insect interactions: recent advances in our knowledge","type":"article-journal","volume":"64"},"uris":["http://www.mendeley.com/documents/?uuid=e463ae63-5673-49b2-927c-07f3f31cf7c1"]},{"id":"ITEM-2","itemData":{"DOI":"10.1016/J.PHYTOCHEM.2011.01.040","ISSN":"0031-9422","abstract":"Tannins are the most abundant secondary metabolites made by plants, commonly ranging from 5% to 10% dry weight of tree leaves. Tannins can defend leaves against insect herbivores by deterrence and/or toxicity. Contrary to early theories, tannins have no effect on protein digestion in insect herbivores. By contrast, in vertebrate herbivores tannins can decrease protein digestion. Tannins are especially prone to oxidize in insects with high pH guts, forming semiquinone radicals and quinones, as well as other reactive oxygen species. Tannin toxicity in insects is thought to result from the production of high levels of reactive oxygen species. Tannin structure has an important effect on biochemical activity. Ellagitannins oxidize much more readily than do gallotannins, which are more oxidatively active than most condensed tannins. The ability of insects to tolerate ingested tannins comes from a variety of biochemical and physical defenses in their guts, including surfactants, high pH, antioxidants, and a protective peritrophic envelope that lines the midgut. Most work on the ecological roles of tannins has been correlative, e.g., searching for negative associations between tannins and insect performance. A greater emphasis on manipulative experiments that control tannin levels is required to make further progress on the defensive functions of tannins. Recent advances in the use of molecular methods has permitted the production of tannin-overproducing transgenic plants and a better understanding of tannin biosynthetic pathways. Many research areas remain in need of further work, including the effects of different tannin types on different types of insects (e.g., caterpillars, grasshoppers, sap-sucking insects).","author":[{"dropping-particle":"V.","family":"Barbehenn","given":"Raymond","non-dropping-particle":"","parse-names":false,"suffix":""},{"dropping-particle":"","family":"Peter Constabel","given":"C.","non-dropping-particle":"","parse-names":false,"suffix":""}],"container-title":"Phytochemistry","id":"ITEM-2","issue":"13","issued":{"date-parts":[["2011","9","1"]]},"page":"1551-1565","publisher":"Pergamon","title":"Tannins in plant–herbivore interactions","type":"article-journal","volume":"72"},"uris":["http://www.mendeley.com/documents/?uuid=facce9c9-6a6d-38a9-97e6-a2ca2f9e6059"]}],"mendeley":{"formattedCitation":"(Simmonds, 2003; Barbehenn and Peter Constabel, 2011)","plainTextFormattedCitation":"(Simmonds, 2003; Barbehenn and Peter Constabel, 2011)","previouslyFormattedCitation":"(Simmonds, 2003; Barbehenn and Peter Constabel, 2011)"},"properties":{"noteIndex":0},"schema":"https://github.com/citation-style-language/schema/raw/master/csl-citation.json"}</w:instrText>
      </w:r>
      <w:r>
        <w:fldChar w:fldCharType="separate"/>
      </w:r>
      <w:r w:rsidRPr="00CF14D4">
        <w:rPr>
          <w:noProof/>
        </w:rPr>
        <w:t>(Simmonds, 2003; Barbehenn and Peter Constabel, 2011)</w:t>
      </w:r>
      <w:r>
        <w:fldChar w:fldCharType="end"/>
      </w:r>
      <w:r>
        <w:t>. The data from the present study suggested that resistance</w:t>
      </w:r>
      <w:r w:rsidR="00C464F6">
        <w:t xml:space="preserve"> to thrips</w:t>
      </w:r>
      <w:r>
        <w:t xml:space="preserve"> is based on different phenolic compounds than resistance to green mites and whitefly. However, the heatmap showed a different metabolite composition of the whitefly resistant ECU72, despite its close grouping with two green mite resistant landraces. </w:t>
      </w:r>
      <w:r w:rsidRPr="000B10BD">
        <w:t xml:space="preserve">The data also showed that ECU72 had the lowest levels of total phenolic compounds. This could be a result of the more effective phenylpropanoid superpathway and the reinforced cell wall, described previously by </w:t>
      </w:r>
      <w:r w:rsidRPr="000B10BD">
        <w:fldChar w:fldCharType="begin" w:fldLock="1"/>
      </w:r>
      <w:r w:rsidRPr="000B10BD">
        <w:instrText>ADDIN CSL_CITATION {"citationItems":[{"id":"ITEM-1","itemData":{"DOI":"10.1186/s12870-019-2107-1","ISSN":"1471-2229","abstract":"Cassava whitefly outbreaks were initially reported in East and Central Africa cassava (Manihot esculenta Crantz) growing regions in the 1990’s and have now spread to other geographical locations, becoming a global pest severely affecting farmers and smallholder income. Whiteflies impact plant yield via feeding and vectoring cassava mosaic and brown streak viruses, making roots unsuitable for food or trading. Deployment of virus resistant varieties has had little impact on whitefly populations and therefore development of whitefly resistant varieties is also necessary as part of integrated pest management strategies. Suitable sources of whitefly resistance exist in germplasm collections that require further characterization to facilitate and assist breeding programs.","author":[{"dropping-particle":"","family":"Perez-Fons","given":"Laura","non-dropping-particle":"","parse-names":false,"suffix":""},{"dropping-particle":"","family":"Bohorquez-Chaux","given":"Adriana","non-dropping-particle":"","parse-names":false,"suffix":""},{"dropping-particle":"","family":"Irigoyen","given":"Maria L","non-dropping-particle":"","parse-names":false,"suffix":""},{"dropping-particle":"","family":"Garceau","given":"Danielle C","non-dropping-particle":"","parse-names":false,"suffix":""},{"dropping-particle":"","family":"Morreel","given":"Kris","non-dropping-particle":"","parse-names":false,"suffix":""},{"dropping-particle":"","family":"Boerjan","given":"Wout","non-dropping-particle":"","parse-names":false,"suffix":""},{"dropping-particle":"","family":"Walling","given":"Linda L","non-dropping-particle":"","parse-names":false,"suffix":""},{"dropping-particle":"","family":"Becerra Lopez-Lavalle","given":"Luis Augusto","non-dropping-particle":"","parse-names":false,"suffix":""},{"dropping-particle":"","family":"Fraser","given":"Paul D","non-dropping-particle":"","parse-names":false,"suffix":""}],"container-title":"BMC Plant Biology","id":"ITEM-1","issue":"1","issued":{"date-parts":[["2019"]]},"page":"518","title":"A metabolomics characterisation of natural variation in the resistance of cassava to whitefly","type":"article-journal","volume":"19"},"uris":["http://www.mendeley.com/documents/?uuid=44518549-0061-40d3-bf71-2818770444ea"]}],"mendeley":{"formattedCitation":"(Perez-Fons &lt;i&gt;et al.&lt;/i&gt;, 2019)","manualFormatting":"Perez-Fons et al. (2019)","plainTextFormattedCitation":"(Perez-Fons et al., 2019)","previouslyFormattedCitation":"(Perez-Fons &lt;i&gt;et al.&lt;/i&gt;, 2019)"},"properties":{"noteIndex":0},"schema":"https://github.com/citation-style-language/schema/raw/master/csl-citation.json"}</w:instrText>
      </w:r>
      <w:r w:rsidRPr="000B10BD">
        <w:fldChar w:fldCharType="separate"/>
      </w:r>
      <w:r w:rsidRPr="000B10BD">
        <w:rPr>
          <w:noProof/>
        </w:rPr>
        <w:t xml:space="preserve">Perez-Fons </w:t>
      </w:r>
      <w:r w:rsidRPr="000B10BD">
        <w:rPr>
          <w:i/>
          <w:noProof/>
        </w:rPr>
        <w:t>et al.</w:t>
      </w:r>
      <w:r w:rsidRPr="000B10BD">
        <w:rPr>
          <w:noProof/>
        </w:rPr>
        <w:t xml:space="preserve"> (2019)</w:t>
      </w:r>
      <w:r w:rsidRPr="000B10BD">
        <w:fldChar w:fldCharType="end"/>
      </w:r>
      <w:r w:rsidRPr="000B10BD">
        <w:t>.</w:t>
      </w:r>
      <w:r>
        <w:t xml:space="preserve"> However, the resistance mechanism of ECU72 and two green mite resistant landraces had a detrimental effect on the metabolite composition of the root. All three landraces showed high levels of phenolic compounds in the root tissue, including flavonoid glycosides and gallates, and grouped with the low culinary quality landrace VEN25. This data highlighted the importance of investigating the resistance mechanism of the landrace CUB74 high culinary quality as it can maintain a good root quality despite the pest resistance.</w:t>
      </w:r>
      <w:r w:rsidR="00C464F6">
        <w:t xml:space="preserve"> In addition it supports the need for robust molecular markers to facilitate efficient</w:t>
      </w:r>
      <w:r w:rsidR="00AB6859">
        <w:t xml:space="preserve"> </w:t>
      </w:r>
      <w:r w:rsidR="00C464F6">
        <w:t xml:space="preserve">breeding </w:t>
      </w:r>
      <w:r w:rsidR="00AB6859">
        <w:t>without</w:t>
      </w:r>
      <w:r w:rsidR="00C464F6">
        <w:t xml:space="preserve"> genetic drag of </w:t>
      </w:r>
      <w:r w:rsidR="00AB6859">
        <w:t>detrimental</w:t>
      </w:r>
      <w:r w:rsidR="00C464F6">
        <w:t xml:space="preserve"> traits and the ability to </w:t>
      </w:r>
      <w:r w:rsidR="00AB6859">
        <w:t>pyramid</w:t>
      </w:r>
      <w:r w:rsidR="00C464F6">
        <w:t xml:space="preserve"> </w:t>
      </w:r>
      <w:r w:rsidR="00AB6859">
        <w:t>favourable</w:t>
      </w:r>
      <w:r w:rsidR="00C464F6">
        <w:t xml:space="preserve"> traits.  </w:t>
      </w:r>
    </w:p>
    <w:p w14:paraId="6705737D" w14:textId="6203DDD7" w:rsidR="00F460CF" w:rsidRDefault="00F460CF" w:rsidP="00F821C5">
      <w:r>
        <w:t xml:space="preserve">The other biotic stress affecting cassava productivity are viruses. The cassava mosaic geminivirus, causing CMD in cassava plants, is primarily transmitted through whiteflies causing yield loss of up to 100%. Furthermore, direct infection of leaf showed at best suppression of the virus-activated processes </w:t>
      </w:r>
      <w:r>
        <w:fldChar w:fldCharType="begin" w:fldLock="1"/>
      </w:r>
      <w:r>
        <w:instrText>ADDIN CSL_CITATION {"citationItems":[{"id":"ITEM-1","itemData":{"author":[{"dropping-particle":"","family":"Bi","given":"Huiping","non-dropping-particle":"","parse-names":false,"suffix":""},{"dropping-particle":"","family":"Aileni","given":"Mahender","non-dropping-particle":"","parse-names":false,"suffix":""},{"dropping-particle":"","family":"Zhang","given":"Peng","non-dropping-particle":"","parse-names":false,"suffix":""}],"container-title":"African J. Plant Sci.","id":"ITEM-1","issued":{"date-parts":[["2010","1","1"]]},"page":"330-338","title":"Evaluation of cassava varieties for cassava mosaic disease resistance jointly by agro-inoculation screening and molecular markers","type":"article-journal","volume":"4"},"uris":["http://www.mendeley.com/documents/?uuid=9a5b4b71-537c-4651-a353-b737a12ff110"]},{"id":"ITEM-2","itemData":{"DOI":"10.1007/s10722-005-6841-x","ISSN":"1573-5109","abstract":"A study was conducted to determine the extent of genetic diversity among African cassava (Manihot esculenta Crantz) accessions resistant to the cassava mosaic virus disease (CMD), using simple sequence repeat (SSR) markers. The accessions included a breeding stock (clone 58308), five improved lines, 62 CMD resistant and 10 CMD susceptible landraces. Genetic diversity was assessed among accessions in five cluster groups derived from UPGMA analysis on data from 18 SSR primer pairs. Average gene diversity, He, was high in all cluster groups, with an average heterozygosity of 0.591 ± 0.061. The estimator of inbreeding Fis revealed a low level of inbreeding within groups and averaged −0.262 ± 0.142. Gene diversity among all accessions was 51.4% and gene diversity within cluster groups was 46.6%, while 4.8% was due to diversity between the different cluster groups. The amount of genetic differentiation measured by Gst and Fst were 9.6% and 12.1% respectively, indicating a weak genetic structure.","author":[{"dropping-particle":"","family":"Lokko","given":"Yvonne","non-dropping-particle":"","parse-names":false,"suffix":""},{"dropping-particle":"","family":"Dixon","given":"Alfred","non-dropping-particle":"","parse-names":false,"suffix":""},{"dropping-particle":"","family":"Offei","given":"Sam","non-dropping-particle":"","parse-names":false,"suffix":""},{"dropping-particle":"","family":"Danquah","given":"Eric","non-dropping-particle":"","parse-names":false,"suffix":""},{"dropping-particle":"","family":"Fregene","given":"Martin","non-dropping-particle":"","parse-names":false,"suffix":""}],"container-title":"Genetic Resources and Crop Evolution","id":"ITEM-2","issue":"7","issued":{"date-parts":[["2006"]]},"page":"1441-1453","title":"Assessment of genetic diversity among African cassava Manihot esculenta Grantz accessions resistant to the cassava mosaic virus disease using SSR markers","type":"article-journal","volume":"53"},"uris":["http://www.mendeley.com/documents/?uuid=2771128b-5ccf-468d-a111-4780720fbf88"]}],"mendeley":{"formattedCitation":"(Bi &lt;i&gt;et al.&lt;/i&gt;, 2010; Lokko &lt;i&gt;et al.&lt;/i&gt;, 2006)","plainTextFormattedCitation":"(Bi et al., 2010; Lokko et al., 2006)","previouslyFormattedCitation":"(Bi &lt;i&gt;et al.&lt;/i&gt;, 2010; Lokko &lt;i&gt;et al.&lt;/i&gt;, 2006)"},"properties":{"noteIndex":0},"schema":"https://github.com/citation-style-language/schema/raw/master/csl-citation.json"}</w:instrText>
      </w:r>
      <w:r>
        <w:fldChar w:fldCharType="separate"/>
      </w:r>
      <w:r w:rsidRPr="00766FD5">
        <w:rPr>
          <w:noProof/>
        </w:rPr>
        <w:t xml:space="preserve">(Bi </w:t>
      </w:r>
      <w:r w:rsidRPr="00766FD5">
        <w:rPr>
          <w:i/>
          <w:noProof/>
        </w:rPr>
        <w:t>et al.</w:t>
      </w:r>
      <w:r w:rsidRPr="00766FD5">
        <w:rPr>
          <w:noProof/>
        </w:rPr>
        <w:t xml:space="preserve">, 2010; Lokko </w:t>
      </w:r>
      <w:r w:rsidRPr="00766FD5">
        <w:rPr>
          <w:i/>
          <w:noProof/>
        </w:rPr>
        <w:t>et al.</w:t>
      </w:r>
      <w:r w:rsidRPr="00766FD5">
        <w:rPr>
          <w:noProof/>
        </w:rPr>
        <w:t>, 2006)</w:t>
      </w:r>
      <w:r>
        <w:fldChar w:fldCharType="end"/>
      </w:r>
      <w:r>
        <w:t xml:space="preserve">. Based on current knowledge, all CMD resistance mechanisms </w:t>
      </w:r>
      <w:r w:rsidR="00AB6859">
        <w:t xml:space="preserve">have an associated molecular </w:t>
      </w:r>
      <w:r w:rsidR="000B10BD">
        <w:lastRenderedPageBreak/>
        <w:t>mechanism, which is</w:t>
      </w:r>
      <w:r>
        <w:t xml:space="preserve"> not visible in the metabolite profile </w:t>
      </w:r>
      <w:r>
        <w:fldChar w:fldCharType="begin" w:fldLock="1"/>
      </w:r>
      <w:r>
        <w:instrText>ADDIN CSL_CITATION {"citationItems":[{"id":"ITEM-1","itemData":{"DOI":"10.1016/j.virusres.2016.09.022","ISSN":"0168-1702 1872-7492","author":[{"dropping-particle":"","family":"Kuria","given":"Paul","non-dropping-particle":"","parse-names":false,"suffix":""},{"dropping-particle":"","family":"Ilyas","given":"Muhammad","non-dropping-particle":"","parse-names":false,"suffix":""},{"dropping-particle":"","family":"Ateka","given":"Elijah","non-dropping-particle":"","parse-names":false,"suffix":""},{"dropping-particle":"","family":"Miano","given":"Douglas","non-dropping-particle":"","parse-names":false,"suffix":""},{"dropping-particle":"","family":"Onguso","given":"Justus","non-dropping-particle":"","parse-names":false,"suffix":""},{"dropping-particle":"","family":"Carrington","given":"James C","non-dropping-particle":"","parse-names":false,"suffix":""},{"dropping-particle":"","family":"Taylor","given":"Nigel J","non-dropping-particle":"","parse-names":false,"suffix":""}],"container-title":"Virus Research","id":"ITEM-1","issued":{"date-parts":[["2017"]]},"page":"69-81","title":"Differential response of cassava genotypes to infection by cassava mosaic geminiviruses","type":"article-journal","volume":"227"},"uris":["http://www.mendeley.com/documents/?uuid=690b1743-a52a-46c0-bd15-52c1bf9e5043"]}],"mendeley":{"formattedCitation":"(Kuria &lt;i&gt;et al.&lt;/i&gt;, 2017)","plainTextFormattedCitation":"(Kuria et al., 2017)","previouslyFormattedCitation":"(Kuria &lt;i&gt;et al.&lt;/i&gt;, 2017)"},"properties":{"noteIndex":0},"schema":"https://github.com/citation-style-language/schema/raw/master/csl-citation.json"}</w:instrText>
      </w:r>
      <w:r>
        <w:fldChar w:fldCharType="separate"/>
      </w:r>
      <w:r w:rsidRPr="00766FD5">
        <w:rPr>
          <w:noProof/>
        </w:rPr>
        <w:t xml:space="preserve">(Kuria </w:t>
      </w:r>
      <w:r w:rsidRPr="00766FD5">
        <w:rPr>
          <w:i/>
          <w:noProof/>
        </w:rPr>
        <w:t>et al.</w:t>
      </w:r>
      <w:r w:rsidRPr="00766FD5">
        <w:rPr>
          <w:noProof/>
        </w:rPr>
        <w:t>, 2017)</w:t>
      </w:r>
      <w:r>
        <w:fldChar w:fldCharType="end"/>
      </w:r>
      <w:r>
        <w:t xml:space="preserve">. This was </w:t>
      </w:r>
      <w:r w:rsidR="00AB6859">
        <w:t xml:space="preserve">supported by the </w:t>
      </w:r>
      <w:r>
        <w:t xml:space="preserve">comparison of CMD resistant (TME3), moderately susceptible (NGA5) and susceptible (NGA11) cassava plants showing less than 25% of the identified metabolites as significantly different. Additionally, the dendrogram of leaf tissue grouped the tolerant TME3 and susceptible NGA11 in one arm. </w:t>
      </w:r>
      <w:r w:rsidR="00AB6859">
        <w:t xml:space="preserve">Although </w:t>
      </w:r>
      <w:r w:rsidR="00F821C5">
        <w:t xml:space="preserve">TME3 showed clearly distinct and elevated levels of </w:t>
      </w:r>
      <w:r>
        <w:t>kaempferol glycosides</w:t>
      </w:r>
      <w:r w:rsidR="00F821C5">
        <w:t>,</w:t>
      </w:r>
      <w:r>
        <w:t xml:space="preserve"> </w:t>
      </w:r>
      <w:r w:rsidR="00F821C5">
        <w:t>the functionality</w:t>
      </w:r>
      <w:r w:rsidR="00AB6859">
        <w:t xml:space="preserve"> of this compound</w:t>
      </w:r>
      <w:r w:rsidR="00F821C5">
        <w:t xml:space="preserve"> group</w:t>
      </w:r>
      <w:r w:rsidR="00AB6859">
        <w:t xml:space="preserve"> in context of CMD resistance </w:t>
      </w:r>
      <w:r>
        <w:t xml:space="preserve">would need </w:t>
      </w:r>
      <w:r w:rsidR="00AB6859">
        <w:t>further</w:t>
      </w:r>
      <w:r>
        <w:t xml:space="preserve"> </w:t>
      </w:r>
      <w:r w:rsidR="00AB6859">
        <w:t>investigation using</w:t>
      </w:r>
      <w:r>
        <w:t xml:space="preserve"> metabolic analysis throughout the infection cycle </w:t>
      </w:r>
      <w:r>
        <w:fldChar w:fldCharType="begin" w:fldLock="1"/>
      </w:r>
      <w:r>
        <w:instrText>ADDIN CSL_CITATION {"citationItems":[{"id":"ITEM-1","itemData":{"DOI":"10.1016/j.tplants.2007.10.003","ISSN":"1360-1385","author":[{"dropping-particle":"","family":"Peer","given":"Wendy Ann","non-dropping-particle":"","parse-names":false,"suffix":""},{"dropping-particle":"","family":"Murphy","given":"Angus S","non-dropping-particle":"","parse-names":false,"suffix":""}],"container-title":"Trends in Plant Science","id":"ITEM-1","issue":"12","issued":{"date-parts":[["2007","12","1"]]},"note":"doi: 10.1016/j.tplants.2007.10.003","page":"556-563","publisher":"Elsevier","title":"Flavonoids and auxin transport: modulators or regulators?","type":"article-journal","volume":"12"},"uris":["http://www.mendeley.com/documents/?uuid=9ee1611e-c1eb-4ec5-a071-fbc772b27500"]}],"mendeley":{"formattedCitation":"(Peer and Murphy, 2007)","plainTextFormattedCitation":"(Peer and Murphy, 2007)","previouslyFormattedCitation":"(Peer and Murphy, 2007)"},"properties":{"noteIndex":0},"schema":"https://github.com/citation-style-language/schema/raw/master/csl-citation.json"}</w:instrText>
      </w:r>
      <w:r>
        <w:fldChar w:fldCharType="separate"/>
      </w:r>
      <w:r w:rsidRPr="00C54D9E">
        <w:rPr>
          <w:noProof/>
        </w:rPr>
        <w:t>(Peer and Murphy, 2007)</w:t>
      </w:r>
      <w:r>
        <w:fldChar w:fldCharType="end"/>
      </w:r>
      <w:r>
        <w:t>.</w:t>
      </w:r>
    </w:p>
    <w:p w14:paraId="394D43F8" w14:textId="77777777" w:rsidR="000B10BD" w:rsidRDefault="000B10BD" w:rsidP="000B10BD">
      <w:pPr>
        <w:pStyle w:val="Heading1"/>
      </w:pPr>
      <w:r>
        <w:t>Conclusion</w:t>
      </w:r>
    </w:p>
    <w:p w14:paraId="08437FA6" w14:textId="71146DEE" w:rsidR="00AB6859" w:rsidRPr="00766FD5" w:rsidRDefault="00F03213" w:rsidP="00F460CF">
      <w:r w:rsidRPr="00F03213">
        <w:t>This</w:t>
      </w:r>
      <w:r w:rsidR="00793F2A">
        <w:t xml:space="preserve"> work has demonstrated the utility of metabolite profiling to assess key cassava landraces that have different agroecological adaption and confer key traits beneficial for quality and resilience to abiotic and biotic stresses. Using the approach key differentiating metabolites have been associated to traits. These data will help future pre-breeding strategies directed towards the identification of molecular/biochemical </w:t>
      </w:r>
      <w:r w:rsidR="0055568A">
        <w:t>markers and pedigree breeding.</w:t>
      </w:r>
    </w:p>
    <w:p w14:paraId="153D0669" w14:textId="0E33A7C7" w:rsidR="00954C99" w:rsidRDefault="00954C99" w:rsidP="00B11424">
      <w:pPr>
        <w:pStyle w:val="Heading1"/>
        <w:numPr>
          <w:ilvl w:val="0"/>
          <w:numId w:val="0"/>
        </w:numPr>
        <w:ind w:left="432"/>
      </w:pPr>
      <w:r>
        <w:t>Conflict of interest</w:t>
      </w:r>
    </w:p>
    <w:p w14:paraId="7BE7FF22" w14:textId="47B40CCD" w:rsidR="00954C99" w:rsidRPr="00954C99" w:rsidRDefault="00954C99" w:rsidP="00954C99">
      <w:r>
        <w:t>The authors declare no conflict of interest.</w:t>
      </w:r>
    </w:p>
    <w:p w14:paraId="2FEB92C2" w14:textId="77777777" w:rsidR="00B11424" w:rsidRPr="00E232CC" w:rsidRDefault="00B11424" w:rsidP="00B11424">
      <w:pPr>
        <w:pStyle w:val="Heading1"/>
        <w:numPr>
          <w:ilvl w:val="0"/>
          <w:numId w:val="0"/>
        </w:numPr>
        <w:ind w:left="432"/>
      </w:pPr>
      <w:r w:rsidRPr="00E232CC">
        <w:t xml:space="preserve">Acknowledgments </w:t>
      </w:r>
    </w:p>
    <w:p w14:paraId="0BEDD5D0" w14:textId="6599B739" w:rsidR="00CD386C" w:rsidRPr="00E232CC" w:rsidRDefault="00B11424" w:rsidP="00B11424">
      <w:pPr>
        <w:rPr>
          <w:rFonts w:eastAsia="Arial"/>
        </w:rPr>
      </w:pPr>
      <w:r w:rsidRPr="00E232CC">
        <w:t xml:space="preserve">The authors would like to thank Chris Gerrish, Sarah Iftikhar and Kit Liew for their excellent technical assistance. </w:t>
      </w:r>
      <w:r w:rsidR="00CD386C">
        <w:t>This work was supported by a CGIAR Research Program on Roots, Tubers and Bananas (RTB) grant to PDF.</w:t>
      </w:r>
    </w:p>
    <w:p w14:paraId="2A047FA5" w14:textId="62B699E3" w:rsidR="00B11424" w:rsidRPr="00E232CC" w:rsidRDefault="006B1700" w:rsidP="00B11424">
      <w:pPr>
        <w:pStyle w:val="Heading1"/>
        <w:numPr>
          <w:ilvl w:val="0"/>
          <w:numId w:val="0"/>
        </w:numPr>
        <w:ind w:left="432"/>
      </w:pPr>
      <w:r>
        <w:t>Appendix A. Supplementary data</w:t>
      </w:r>
    </w:p>
    <w:p w14:paraId="23BAC0F0" w14:textId="79C97CA2" w:rsidR="003A4653" w:rsidRDefault="003A4653" w:rsidP="00762D02">
      <w:r>
        <w:t>Table</w:t>
      </w:r>
      <w:r w:rsidR="00954C99">
        <w:t xml:space="preserve"> A.</w:t>
      </w:r>
      <w:r>
        <w:t>1. Library of metabolites detected in cassava diversity panel.</w:t>
      </w:r>
    </w:p>
    <w:p w14:paraId="09A1A028" w14:textId="5EF0E697" w:rsidR="00B11424" w:rsidRDefault="00EB333E" w:rsidP="00762D02">
      <w:r>
        <w:t>Table A.2</w:t>
      </w:r>
      <w:r w:rsidR="003A4653">
        <w:t>.</w:t>
      </w:r>
      <w:r w:rsidR="00B11424" w:rsidRPr="00E232CC">
        <w:t xml:space="preserve"> </w:t>
      </w:r>
      <w:r w:rsidR="009F2133">
        <w:t>LC-MS metabolite profiling</w:t>
      </w:r>
      <w:r w:rsidR="00B11424">
        <w:t xml:space="preserve"> of leaf, stem and root tissues</w:t>
      </w:r>
      <w:r w:rsidR="00B11424" w:rsidRPr="00E232CC">
        <w:t>.</w:t>
      </w:r>
    </w:p>
    <w:p w14:paraId="79E5CCEC" w14:textId="78A445EA" w:rsidR="00B11424" w:rsidRDefault="00B11424" w:rsidP="00762D02">
      <w:r>
        <w:t xml:space="preserve">Table </w:t>
      </w:r>
      <w:r w:rsidR="00EB333E">
        <w:t>A.</w:t>
      </w:r>
      <w:r w:rsidR="00A174EE">
        <w:t>3</w:t>
      </w:r>
      <w:r>
        <w:t>. Identified compounds in leaf, stem and root tissue.</w:t>
      </w:r>
    </w:p>
    <w:p w14:paraId="29762FE6" w14:textId="19D06D94" w:rsidR="005C659E" w:rsidRDefault="005C659E" w:rsidP="00762D02">
      <w:r>
        <w:t>Table A.</w:t>
      </w:r>
      <w:r w:rsidR="00A174EE">
        <w:t>4</w:t>
      </w:r>
      <w:r>
        <w:t>. Additional compounds identified in leaf tissue.</w:t>
      </w:r>
    </w:p>
    <w:p w14:paraId="3926EEB1" w14:textId="4C7D3448" w:rsidR="00B11424" w:rsidRDefault="00B11424" w:rsidP="00B11424">
      <w:r>
        <w:t xml:space="preserve">Fig. </w:t>
      </w:r>
      <w:r w:rsidR="00EB333E">
        <w:t>A.</w:t>
      </w:r>
      <w:r>
        <w:t>1. Correlation between metabolites, cyanide and dry matter content.</w:t>
      </w:r>
    </w:p>
    <w:p w14:paraId="259FDE3C" w14:textId="1D413B9F" w:rsidR="00B11424" w:rsidRPr="00562C29" w:rsidRDefault="00EB333E" w:rsidP="00B11424">
      <w:r>
        <w:t>Fig. A.</w:t>
      </w:r>
      <w:r w:rsidR="00B11424">
        <w:t xml:space="preserve">2. </w:t>
      </w:r>
      <w:r w:rsidR="00FA5EDC">
        <w:t>Pathway display</w:t>
      </w:r>
      <w:r w:rsidR="00B11424">
        <w:t xml:space="preserve"> </w:t>
      </w:r>
      <w:r w:rsidR="00FA5EDC">
        <w:t xml:space="preserve">of </w:t>
      </w:r>
      <w:r w:rsidR="00B11424">
        <w:t>c</w:t>
      </w:r>
      <w:r w:rsidR="00B11424" w:rsidRPr="00562C29">
        <w:t>ulinary quality</w:t>
      </w:r>
    </w:p>
    <w:p w14:paraId="011D66C9" w14:textId="07A48D59" w:rsidR="00B11424" w:rsidRPr="00562C29" w:rsidRDefault="00EB333E" w:rsidP="00B11424">
      <w:r>
        <w:t>Fig. A.</w:t>
      </w:r>
      <w:r w:rsidR="00B11424">
        <w:t xml:space="preserve">3. </w:t>
      </w:r>
      <w:r w:rsidR="00C84A3A">
        <w:t>Pathway display of</w:t>
      </w:r>
      <w:r w:rsidR="00B11424">
        <w:t xml:space="preserve"> cyanide</w:t>
      </w:r>
      <w:r w:rsidR="00B11424" w:rsidRPr="00562C29">
        <w:t xml:space="preserve"> content</w:t>
      </w:r>
    </w:p>
    <w:p w14:paraId="5FFCEF54" w14:textId="6DF9E1AA" w:rsidR="00B11424" w:rsidRPr="00562C29" w:rsidRDefault="00EB333E" w:rsidP="00B11424">
      <w:r>
        <w:t>Fig. A.</w:t>
      </w:r>
      <w:r w:rsidR="00B11424">
        <w:t xml:space="preserve">4. </w:t>
      </w:r>
      <w:r w:rsidR="00C84A3A">
        <w:t>Pathway display of</w:t>
      </w:r>
      <w:r w:rsidR="00B11424">
        <w:t xml:space="preserve"> a</w:t>
      </w:r>
      <w:r w:rsidR="00B11424" w:rsidRPr="00562C29">
        <w:t>mylose content</w:t>
      </w:r>
    </w:p>
    <w:p w14:paraId="05766035" w14:textId="55FA1386" w:rsidR="00B11424" w:rsidRPr="00562C29" w:rsidRDefault="00EB333E" w:rsidP="00B11424">
      <w:r>
        <w:lastRenderedPageBreak/>
        <w:t>Fig. A.</w:t>
      </w:r>
      <w:r w:rsidR="00B11424">
        <w:t>5. Heatmap amylose content II</w:t>
      </w:r>
    </w:p>
    <w:p w14:paraId="29558568" w14:textId="008532B0" w:rsidR="00B11424" w:rsidRPr="00562C29" w:rsidRDefault="00EB333E" w:rsidP="00B11424">
      <w:r>
        <w:t>Fig. A.</w:t>
      </w:r>
      <w:r w:rsidR="00B11424" w:rsidRPr="00562C29">
        <w:t xml:space="preserve">6. </w:t>
      </w:r>
      <w:r w:rsidR="00C84A3A">
        <w:t>Pathway display of</w:t>
      </w:r>
      <w:r w:rsidR="00B11424" w:rsidRPr="00562C29">
        <w:t xml:space="preserve"> thrips</w:t>
      </w:r>
      <w:r w:rsidR="00B11424">
        <w:t xml:space="preserve"> resistance</w:t>
      </w:r>
    </w:p>
    <w:p w14:paraId="50EBAA71" w14:textId="2B2FF0F4" w:rsidR="00B11424" w:rsidRPr="00562C29" w:rsidRDefault="00EB333E" w:rsidP="00B11424">
      <w:r>
        <w:t>Fig. A.</w:t>
      </w:r>
      <w:r w:rsidR="00B11424">
        <w:t>7. Heatmap green mite resistance</w:t>
      </w:r>
    </w:p>
    <w:p w14:paraId="7BF68BB6" w14:textId="01CD6AD8" w:rsidR="00B11424" w:rsidRPr="00562C29" w:rsidRDefault="00EB333E" w:rsidP="00B11424">
      <w:r>
        <w:t>Fig. A.</w:t>
      </w:r>
      <w:r w:rsidR="00B11424" w:rsidRPr="00562C29">
        <w:t xml:space="preserve">8. Heatmap </w:t>
      </w:r>
      <w:r w:rsidR="00B11424">
        <w:t>of thrips, green mite and whitefly resistance</w:t>
      </w:r>
    </w:p>
    <w:p w14:paraId="3C5ABD14" w14:textId="6CE08B78" w:rsidR="00B11424" w:rsidRPr="00E232CC" w:rsidRDefault="00EB333E" w:rsidP="00B11424">
      <w:r>
        <w:t>Fig. A.</w:t>
      </w:r>
      <w:r w:rsidR="00B11424" w:rsidRPr="00562C29">
        <w:t>9. Heatmap CMD</w:t>
      </w:r>
      <w:r w:rsidR="00B11424">
        <w:t xml:space="preserve"> resistance</w:t>
      </w:r>
    </w:p>
    <w:p w14:paraId="00147AC4" w14:textId="77777777" w:rsidR="00B11424" w:rsidRPr="00DF59EA" w:rsidRDefault="00B11424" w:rsidP="00B11424">
      <w:pPr>
        <w:pStyle w:val="Heading1"/>
        <w:numPr>
          <w:ilvl w:val="0"/>
          <w:numId w:val="0"/>
        </w:numPr>
        <w:ind w:left="432"/>
      </w:pPr>
      <w:r w:rsidRPr="00DF59EA">
        <w:t>Availability of data and materials</w:t>
      </w:r>
    </w:p>
    <w:p w14:paraId="1BFB6871" w14:textId="1D5D6FD3" w:rsidR="006B1700" w:rsidRDefault="006B1700" w:rsidP="00A60012">
      <w:r>
        <w:t xml:space="preserve">Processed data is available in the manuscript and appendices. Unprocessed data can be accessed at DOI: </w:t>
      </w:r>
      <w:r w:rsidR="00A60012">
        <w:t>10.17632/hm2hrmx3hg.2</w:t>
      </w:r>
      <w:r>
        <w:t>.</w:t>
      </w:r>
    </w:p>
    <w:p w14:paraId="618D335A" w14:textId="77777777" w:rsidR="002612F1" w:rsidRDefault="002612F1" w:rsidP="002612F1">
      <w:pPr>
        <w:pStyle w:val="Heading1"/>
        <w:numPr>
          <w:ilvl w:val="0"/>
          <w:numId w:val="0"/>
        </w:numPr>
        <w:ind w:left="432"/>
      </w:pPr>
      <w:r>
        <w:t>References</w:t>
      </w:r>
    </w:p>
    <w:p w14:paraId="733227E5" w14:textId="0A92DD49" w:rsidR="00904B78" w:rsidRPr="00904B78" w:rsidRDefault="002612F1" w:rsidP="00904B78">
      <w:pPr>
        <w:widowControl w:val="0"/>
        <w:autoSpaceDE w:val="0"/>
        <w:autoSpaceDN w:val="0"/>
        <w:adjustRightInd w:val="0"/>
        <w:ind w:left="480" w:hanging="480"/>
        <w:rPr>
          <w:rFonts w:ascii="Calibri" w:hAnsi="Calibri" w:cs="Times New Roman"/>
          <w:noProof/>
        </w:rPr>
      </w:pPr>
      <w:r>
        <w:fldChar w:fldCharType="begin" w:fldLock="1"/>
      </w:r>
      <w:r>
        <w:instrText xml:space="preserve">ADDIN Mendeley Bibliography CSL_BIBLIOGRAPHY </w:instrText>
      </w:r>
      <w:r>
        <w:fldChar w:fldCharType="separate"/>
      </w:r>
      <w:r w:rsidR="00904B78" w:rsidRPr="00904B78">
        <w:rPr>
          <w:rFonts w:ascii="Calibri" w:hAnsi="Calibri" w:cs="Times New Roman"/>
          <w:b/>
          <w:bCs w:val="0"/>
          <w:noProof/>
        </w:rPr>
        <w:t>Aiemnaka, P., Wongkaew, A., Chanthaworn, J., et al.</w:t>
      </w:r>
      <w:r w:rsidR="00904B78" w:rsidRPr="00904B78">
        <w:rPr>
          <w:rFonts w:ascii="Calibri" w:hAnsi="Calibri" w:cs="Times New Roman"/>
          <w:noProof/>
        </w:rPr>
        <w:t xml:space="preserve"> (2012) Molecular Characterization of a Spontaneous Waxy Starch Mutation in Cassava. </w:t>
      </w:r>
      <w:r w:rsidR="00904B78" w:rsidRPr="00904B78">
        <w:rPr>
          <w:rFonts w:ascii="Calibri" w:hAnsi="Calibri" w:cs="Times New Roman"/>
          <w:i/>
          <w:iCs/>
          <w:noProof/>
        </w:rPr>
        <w:t>Crop Sci.</w:t>
      </w:r>
      <w:r w:rsidR="00904B78" w:rsidRPr="00904B78">
        <w:rPr>
          <w:rFonts w:ascii="Calibri" w:hAnsi="Calibri" w:cs="Times New Roman"/>
          <w:noProof/>
        </w:rPr>
        <w:t xml:space="preserve">, </w:t>
      </w:r>
      <w:r w:rsidR="00904B78" w:rsidRPr="00904B78">
        <w:rPr>
          <w:rFonts w:ascii="Calibri" w:hAnsi="Calibri" w:cs="Times New Roman"/>
          <w:b/>
          <w:bCs w:val="0"/>
          <w:noProof/>
        </w:rPr>
        <w:t>52</w:t>
      </w:r>
      <w:r w:rsidR="00904B78" w:rsidRPr="00904B78">
        <w:rPr>
          <w:rFonts w:ascii="Calibri" w:hAnsi="Calibri" w:cs="Times New Roman"/>
          <w:noProof/>
        </w:rPr>
        <w:t>, 2121–2130. Available at: https://doi.org/10.2135/cropsci2012.01.0058.</w:t>
      </w:r>
    </w:p>
    <w:p w14:paraId="6631671D"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Alvarez, E., Mejía, J.F., Llano, G.A., Loke, J.B., Calari, A., Duduk, B. and Bertaccini, A.</w:t>
      </w:r>
      <w:r w:rsidRPr="00904B78">
        <w:rPr>
          <w:rFonts w:ascii="Calibri" w:hAnsi="Calibri" w:cs="Times New Roman"/>
          <w:noProof/>
        </w:rPr>
        <w:t xml:space="preserve"> (2009) Characterization of a Phytoplasma Associated with Frogskin Disease in Cassava. </w:t>
      </w:r>
      <w:r w:rsidRPr="00904B78">
        <w:rPr>
          <w:rFonts w:ascii="Calibri" w:hAnsi="Calibri" w:cs="Times New Roman"/>
          <w:i/>
          <w:iCs/>
          <w:noProof/>
        </w:rPr>
        <w:t>Plant Dis.</w:t>
      </w:r>
      <w:r w:rsidRPr="00904B78">
        <w:rPr>
          <w:rFonts w:ascii="Calibri" w:hAnsi="Calibri" w:cs="Times New Roman"/>
          <w:noProof/>
        </w:rPr>
        <w:t xml:space="preserve">, </w:t>
      </w:r>
      <w:r w:rsidRPr="00904B78">
        <w:rPr>
          <w:rFonts w:ascii="Calibri" w:hAnsi="Calibri" w:cs="Times New Roman"/>
          <w:b/>
          <w:bCs w:val="0"/>
          <w:noProof/>
        </w:rPr>
        <w:t>93</w:t>
      </w:r>
      <w:r w:rsidRPr="00904B78">
        <w:rPr>
          <w:rFonts w:ascii="Calibri" w:hAnsi="Calibri" w:cs="Times New Roman"/>
          <w:noProof/>
        </w:rPr>
        <w:t>, 1139–1145. Available at: http://dx.doi.org/10.1094/PDIS-93-11-1139.</w:t>
      </w:r>
    </w:p>
    <w:p w14:paraId="104DA52C"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Araújo, F. das C.B. de, Moura, E.F., Cunha, R.L., Farias Neto, J.T. de and Silva, R. de S.</w:t>
      </w:r>
      <w:r w:rsidRPr="00904B78">
        <w:rPr>
          <w:rFonts w:ascii="Calibri" w:hAnsi="Calibri" w:cs="Times New Roman"/>
          <w:noProof/>
        </w:rPr>
        <w:t xml:space="preserve"> (2019) Chemical root traits differentiate _bitter_ and _sweet_ cassava accessions from the Amazon . </w:t>
      </w:r>
      <w:r w:rsidRPr="00904B78">
        <w:rPr>
          <w:rFonts w:ascii="Calibri" w:hAnsi="Calibri" w:cs="Times New Roman"/>
          <w:i/>
          <w:iCs/>
          <w:noProof/>
        </w:rPr>
        <w:t xml:space="preserve">Crop Breed. Appl. Biotechnol. </w:t>
      </w:r>
      <w:r w:rsidRPr="00904B78">
        <w:rPr>
          <w:rFonts w:ascii="Calibri" w:hAnsi="Calibri" w:cs="Times New Roman"/>
          <w:noProof/>
        </w:rPr>
        <w:t xml:space="preserve">, </w:t>
      </w:r>
      <w:r w:rsidRPr="00904B78">
        <w:rPr>
          <w:rFonts w:ascii="Calibri" w:hAnsi="Calibri" w:cs="Times New Roman"/>
          <w:b/>
          <w:bCs w:val="0"/>
          <w:noProof/>
        </w:rPr>
        <w:t>19</w:t>
      </w:r>
      <w:r w:rsidRPr="00904B78">
        <w:rPr>
          <w:rFonts w:ascii="Calibri" w:hAnsi="Calibri" w:cs="Times New Roman"/>
          <w:noProof/>
        </w:rPr>
        <w:t>, 77–85.</w:t>
      </w:r>
    </w:p>
    <w:p w14:paraId="0DC6301A"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Barbehenn, R. V. and Peter Constabel, C.</w:t>
      </w:r>
      <w:r w:rsidRPr="00904B78">
        <w:rPr>
          <w:rFonts w:ascii="Calibri" w:hAnsi="Calibri" w:cs="Times New Roman"/>
          <w:noProof/>
        </w:rPr>
        <w:t xml:space="preserve"> (2011) Tannins in plant–herbivore interactions. </w:t>
      </w:r>
      <w:r w:rsidRPr="00904B78">
        <w:rPr>
          <w:rFonts w:ascii="Calibri" w:hAnsi="Calibri" w:cs="Times New Roman"/>
          <w:i/>
          <w:iCs/>
          <w:noProof/>
        </w:rPr>
        <w:t>Phytochemistry</w:t>
      </w:r>
      <w:r w:rsidRPr="00904B78">
        <w:rPr>
          <w:rFonts w:ascii="Calibri" w:hAnsi="Calibri" w:cs="Times New Roman"/>
          <w:noProof/>
        </w:rPr>
        <w:t xml:space="preserve">, </w:t>
      </w:r>
      <w:r w:rsidRPr="00904B78">
        <w:rPr>
          <w:rFonts w:ascii="Calibri" w:hAnsi="Calibri" w:cs="Times New Roman"/>
          <w:b/>
          <w:bCs w:val="0"/>
          <w:noProof/>
        </w:rPr>
        <w:t>72</w:t>
      </w:r>
      <w:r w:rsidRPr="00904B78">
        <w:rPr>
          <w:rFonts w:ascii="Calibri" w:hAnsi="Calibri" w:cs="Times New Roman"/>
          <w:noProof/>
        </w:rPr>
        <w:t>, 1551–1565. Available at: https://www.sciencedirect.com/science/article/pii/S0031942211000690?via%3Dihub#f0005 [Accessed April 17, 2020].</w:t>
      </w:r>
    </w:p>
    <w:p w14:paraId="073001E2"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Belalcazar, J., Dufour, D., Andersson, M.S., et al.</w:t>
      </w:r>
      <w:r w:rsidRPr="00904B78">
        <w:rPr>
          <w:rFonts w:ascii="Calibri" w:hAnsi="Calibri" w:cs="Times New Roman"/>
          <w:noProof/>
        </w:rPr>
        <w:t xml:space="preserve"> (2016) High-Throughput Phenotyping and Improvements in Breeding Cassava for Increased Carotenoids in the Roots. </w:t>
      </w:r>
      <w:r w:rsidRPr="00904B78">
        <w:rPr>
          <w:rFonts w:ascii="Calibri" w:hAnsi="Calibri" w:cs="Times New Roman"/>
          <w:i/>
          <w:iCs/>
          <w:noProof/>
        </w:rPr>
        <w:t>Crop Sci.</w:t>
      </w:r>
      <w:r w:rsidRPr="00904B78">
        <w:rPr>
          <w:rFonts w:ascii="Calibri" w:hAnsi="Calibri" w:cs="Times New Roman"/>
          <w:noProof/>
        </w:rPr>
        <w:t xml:space="preserve">, </w:t>
      </w:r>
      <w:r w:rsidRPr="00904B78">
        <w:rPr>
          <w:rFonts w:ascii="Calibri" w:hAnsi="Calibri" w:cs="Times New Roman"/>
          <w:b/>
          <w:bCs w:val="0"/>
          <w:noProof/>
        </w:rPr>
        <w:t>56</w:t>
      </w:r>
      <w:r w:rsidRPr="00904B78">
        <w:rPr>
          <w:rFonts w:ascii="Calibri" w:hAnsi="Calibri" w:cs="Times New Roman"/>
          <w:noProof/>
        </w:rPr>
        <w:t>, 2916–2925. Available at: http://dx.doi.org/10.2135/cropsci2015.11.0701.</w:t>
      </w:r>
    </w:p>
    <w:p w14:paraId="57C4E39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Bi, H., Aileni, M. and Zhang, P.</w:t>
      </w:r>
      <w:r w:rsidRPr="00904B78">
        <w:rPr>
          <w:rFonts w:ascii="Calibri" w:hAnsi="Calibri" w:cs="Times New Roman"/>
          <w:noProof/>
        </w:rPr>
        <w:t xml:space="preserve"> (2010) Evaluation of cassava varieties for cassava mosaic disease resistance jointly by agro-inoculation screening and molecular markers. </w:t>
      </w:r>
      <w:r w:rsidRPr="00904B78">
        <w:rPr>
          <w:rFonts w:ascii="Calibri" w:hAnsi="Calibri" w:cs="Times New Roman"/>
          <w:i/>
          <w:iCs/>
          <w:noProof/>
        </w:rPr>
        <w:t>African J. Plant Sci.</w:t>
      </w:r>
      <w:r w:rsidRPr="00904B78">
        <w:rPr>
          <w:rFonts w:ascii="Calibri" w:hAnsi="Calibri" w:cs="Times New Roman"/>
          <w:noProof/>
        </w:rPr>
        <w:t xml:space="preserve">, </w:t>
      </w:r>
      <w:r w:rsidRPr="00904B78">
        <w:rPr>
          <w:rFonts w:ascii="Calibri" w:hAnsi="Calibri" w:cs="Times New Roman"/>
          <w:b/>
          <w:bCs w:val="0"/>
          <w:noProof/>
        </w:rPr>
        <w:t>4</w:t>
      </w:r>
      <w:r w:rsidRPr="00904B78">
        <w:rPr>
          <w:rFonts w:ascii="Calibri" w:hAnsi="Calibri" w:cs="Times New Roman"/>
          <w:noProof/>
        </w:rPr>
        <w:t>, 330–338.</w:t>
      </w:r>
    </w:p>
    <w:p w14:paraId="375AE873"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Bino, R.J., Hall, R.D., Fiehn, O., et al.</w:t>
      </w:r>
      <w:r w:rsidRPr="00904B78">
        <w:rPr>
          <w:rFonts w:ascii="Calibri" w:hAnsi="Calibri" w:cs="Times New Roman"/>
          <w:noProof/>
        </w:rPr>
        <w:t xml:space="preserve"> (2004) Potential of metabolomics as a functional genomics tool. </w:t>
      </w:r>
      <w:r w:rsidRPr="00904B78">
        <w:rPr>
          <w:rFonts w:ascii="Calibri" w:hAnsi="Calibri" w:cs="Times New Roman"/>
          <w:i/>
          <w:iCs/>
          <w:noProof/>
        </w:rPr>
        <w:t>Trends Plant Sci</w:t>
      </w:r>
      <w:r w:rsidRPr="00904B78">
        <w:rPr>
          <w:rFonts w:ascii="Calibri" w:hAnsi="Calibri" w:cs="Times New Roman"/>
          <w:noProof/>
        </w:rPr>
        <w:t xml:space="preserve">, </w:t>
      </w:r>
      <w:r w:rsidRPr="00904B78">
        <w:rPr>
          <w:rFonts w:ascii="Calibri" w:hAnsi="Calibri" w:cs="Times New Roman"/>
          <w:b/>
          <w:bCs w:val="0"/>
          <w:noProof/>
        </w:rPr>
        <w:t>9</w:t>
      </w:r>
      <w:r w:rsidRPr="00904B78">
        <w:rPr>
          <w:rFonts w:ascii="Calibri" w:hAnsi="Calibri" w:cs="Times New Roman"/>
          <w:noProof/>
        </w:rPr>
        <w:t>, 418–425. Available at: http://www.ncbi.nlm.nih.gov/pubmed/15337491.</w:t>
      </w:r>
    </w:p>
    <w:p w14:paraId="35945527"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lastRenderedPageBreak/>
        <w:t>Bredeson, J. V, Lyons, J.B., Prochnik, S.E., et al.</w:t>
      </w:r>
      <w:r w:rsidRPr="00904B78">
        <w:rPr>
          <w:rFonts w:ascii="Calibri" w:hAnsi="Calibri" w:cs="Times New Roman"/>
          <w:noProof/>
        </w:rPr>
        <w:t xml:space="preserve"> (2016) Sequencing wild and cultivated cassava and related species reveals extensive interspecific hybridization and genetic diversity. </w:t>
      </w:r>
      <w:r w:rsidRPr="00904B78">
        <w:rPr>
          <w:rFonts w:ascii="Calibri" w:hAnsi="Calibri" w:cs="Times New Roman"/>
          <w:i/>
          <w:iCs/>
          <w:noProof/>
        </w:rPr>
        <w:t>Nat Biotechnol</w:t>
      </w:r>
      <w:r w:rsidRPr="00904B78">
        <w:rPr>
          <w:rFonts w:ascii="Calibri" w:hAnsi="Calibri" w:cs="Times New Roman"/>
          <w:noProof/>
        </w:rPr>
        <w:t xml:space="preserve">, </w:t>
      </w:r>
      <w:r w:rsidRPr="00904B78">
        <w:rPr>
          <w:rFonts w:ascii="Calibri" w:hAnsi="Calibri" w:cs="Times New Roman"/>
          <w:b/>
          <w:bCs w:val="0"/>
          <w:noProof/>
        </w:rPr>
        <w:t>34</w:t>
      </w:r>
      <w:r w:rsidRPr="00904B78">
        <w:rPr>
          <w:rFonts w:ascii="Calibri" w:hAnsi="Calibri" w:cs="Times New Roman"/>
          <w:noProof/>
        </w:rPr>
        <w:t>, 562–570. Available at: https://www.ncbi.nlm.nih.gov/pubmed/27088722.</w:t>
      </w:r>
    </w:p>
    <w:p w14:paraId="169376B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Chaweewan, Y. and Taylor, N.</w:t>
      </w:r>
      <w:r w:rsidRPr="00904B78">
        <w:rPr>
          <w:rFonts w:ascii="Calibri" w:hAnsi="Calibri" w:cs="Times New Roman"/>
          <w:noProof/>
        </w:rPr>
        <w:t xml:space="preserve"> (2015) Anatomical Assessment of Root Formation and Tuberization in Cassava (Manihot esculenta Crantz). </w:t>
      </w:r>
      <w:r w:rsidRPr="00904B78">
        <w:rPr>
          <w:rFonts w:ascii="Calibri" w:hAnsi="Calibri" w:cs="Times New Roman"/>
          <w:i/>
          <w:iCs/>
          <w:noProof/>
        </w:rPr>
        <w:t>Trop. Plant Biol.</w:t>
      </w:r>
      <w:r w:rsidRPr="00904B78">
        <w:rPr>
          <w:rFonts w:ascii="Calibri" w:hAnsi="Calibri" w:cs="Times New Roman"/>
          <w:noProof/>
        </w:rPr>
        <w:t xml:space="preserve">, </w:t>
      </w:r>
      <w:r w:rsidRPr="00904B78">
        <w:rPr>
          <w:rFonts w:ascii="Calibri" w:hAnsi="Calibri" w:cs="Times New Roman"/>
          <w:b/>
          <w:bCs w:val="0"/>
          <w:noProof/>
        </w:rPr>
        <w:t>8</w:t>
      </w:r>
      <w:r w:rsidRPr="00904B78">
        <w:rPr>
          <w:rFonts w:ascii="Calibri" w:hAnsi="Calibri" w:cs="Times New Roman"/>
          <w:noProof/>
        </w:rPr>
        <w:t>, 1–8. Available at: https://doi.org/10.1007/s12042-014-9145-5.</w:t>
      </w:r>
    </w:p>
    <w:p w14:paraId="323CF649"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Chen, Qing, Liang, X., Wu, C., Gao, J., Chen, Qian and Zhang, Z.</w:t>
      </w:r>
      <w:r w:rsidRPr="00904B78">
        <w:rPr>
          <w:rFonts w:ascii="Calibri" w:hAnsi="Calibri" w:cs="Times New Roman"/>
          <w:noProof/>
        </w:rPr>
        <w:t xml:space="preserve"> (2019) Density threshold-based acaricide application for the two-spotted spider mite Tetranychus urticae on cassava: from laboratory to the field. </w:t>
      </w:r>
      <w:r w:rsidRPr="00904B78">
        <w:rPr>
          <w:rFonts w:ascii="Calibri" w:hAnsi="Calibri" w:cs="Times New Roman"/>
          <w:i/>
          <w:iCs/>
          <w:noProof/>
        </w:rPr>
        <w:t>Pest Manag. Sci.</w:t>
      </w:r>
      <w:r w:rsidRPr="00904B78">
        <w:rPr>
          <w:rFonts w:ascii="Calibri" w:hAnsi="Calibri" w:cs="Times New Roman"/>
          <w:noProof/>
        </w:rPr>
        <w:t xml:space="preserve">, </w:t>
      </w:r>
      <w:r w:rsidRPr="00904B78">
        <w:rPr>
          <w:rFonts w:ascii="Calibri" w:hAnsi="Calibri" w:cs="Times New Roman"/>
          <w:b/>
          <w:bCs w:val="0"/>
          <w:noProof/>
        </w:rPr>
        <w:t>75</w:t>
      </w:r>
      <w:r w:rsidRPr="00904B78">
        <w:rPr>
          <w:rFonts w:ascii="Calibri" w:hAnsi="Calibri" w:cs="Times New Roman"/>
          <w:noProof/>
        </w:rPr>
        <w:t>, 2634–2641. Available at: https://doi.org/10.1002/ps.5366.</w:t>
      </w:r>
    </w:p>
    <w:p w14:paraId="67C118C5"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Dada, T.A., Barber, L.I., Ngoma, L. and Mwanza, M.</w:t>
      </w:r>
      <w:r w:rsidRPr="00904B78">
        <w:rPr>
          <w:rFonts w:ascii="Calibri" w:hAnsi="Calibri" w:cs="Times New Roman"/>
          <w:noProof/>
        </w:rPr>
        <w:t xml:space="preserve"> (2017) Formulation, sensory evaluation, proximate composition and storage stability of cassava strips produced from the composite flour of cassava and cowpea. </w:t>
      </w:r>
      <w:r w:rsidRPr="00904B78">
        <w:rPr>
          <w:rFonts w:ascii="Calibri" w:hAnsi="Calibri" w:cs="Times New Roman"/>
          <w:i/>
          <w:iCs/>
          <w:noProof/>
        </w:rPr>
        <w:t>Food Sci. Nutr.</w:t>
      </w:r>
      <w:r w:rsidRPr="00904B78">
        <w:rPr>
          <w:rFonts w:ascii="Calibri" w:hAnsi="Calibri" w:cs="Times New Roman"/>
          <w:noProof/>
        </w:rPr>
        <w:t xml:space="preserve">, </w:t>
      </w:r>
      <w:r w:rsidRPr="00904B78">
        <w:rPr>
          <w:rFonts w:ascii="Calibri" w:hAnsi="Calibri" w:cs="Times New Roman"/>
          <w:b/>
          <w:bCs w:val="0"/>
          <w:noProof/>
        </w:rPr>
        <w:t>6</w:t>
      </w:r>
      <w:r w:rsidRPr="00904B78">
        <w:rPr>
          <w:rFonts w:ascii="Calibri" w:hAnsi="Calibri" w:cs="Times New Roman"/>
          <w:noProof/>
        </w:rPr>
        <w:t>, 395–399. Available at: https://pubmed.ncbi.nlm.nih.gov/29564107.</w:t>
      </w:r>
    </w:p>
    <w:p w14:paraId="75E03DFE"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Drapal, M., Barros De Carvalho, E., Ovalle Rivera, T.M., Becerra Lopez-Lavalle, L.A. and Fraser, P.D.</w:t>
      </w:r>
      <w:r w:rsidRPr="00904B78">
        <w:rPr>
          <w:rFonts w:ascii="Calibri" w:hAnsi="Calibri" w:cs="Times New Roman"/>
          <w:noProof/>
        </w:rPr>
        <w:t xml:space="preserve"> (2019) Capturing Biochemical Diversity in Cassava (Manihot esculenta Crantz) through the Application of Metabolite Profiling. </w:t>
      </w:r>
      <w:r w:rsidRPr="00904B78">
        <w:rPr>
          <w:rFonts w:ascii="Calibri" w:hAnsi="Calibri" w:cs="Times New Roman"/>
          <w:i/>
          <w:iCs/>
          <w:noProof/>
        </w:rPr>
        <w:t>J. Agric. Food Chem.</w:t>
      </w:r>
      <w:r w:rsidRPr="00904B78">
        <w:rPr>
          <w:rFonts w:ascii="Calibri" w:hAnsi="Calibri" w:cs="Times New Roman"/>
          <w:noProof/>
        </w:rPr>
        <w:t xml:space="preserve">, </w:t>
      </w:r>
      <w:r w:rsidRPr="00904B78">
        <w:rPr>
          <w:rFonts w:ascii="Calibri" w:hAnsi="Calibri" w:cs="Times New Roman"/>
          <w:b/>
          <w:bCs w:val="0"/>
          <w:noProof/>
        </w:rPr>
        <w:t>67</w:t>
      </w:r>
      <w:r w:rsidRPr="00904B78">
        <w:rPr>
          <w:rFonts w:ascii="Calibri" w:hAnsi="Calibri" w:cs="Times New Roman"/>
          <w:noProof/>
        </w:rPr>
        <w:t>.</w:t>
      </w:r>
    </w:p>
    <w:p w14:paraId="36B71FDA"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Drapal, M., Carvalho, E. de, Ovalle Rivera, T.M., Becerra Lopez-Lavalle, L.A. and Fraser, P.D.</w:t>
      </w:r>
      <w:r w:rsidRPr="00904B78">
        <w:rPr>
          <w:rFonts w:ascii="Calibri" w:hAnsi="Calibri" w:cs="Times New Roman"/>
          <w:noProof/>
        </w:rPr>
        <w:t xml:space="preserve"> (2018) Capturing biochemical diversity in cassava (Manihot esculenta Crantz) through the application of metabolite profiling. </w:t>
      </w:r>
      <w:r w:rsidRPr="00904B78">
        <w:rPr>
          <w:rFonts w:ascii="Calibri" w:hAnsi="Calibri" w:cs="Times New Roman"/>
          <w:i/>
          <w:iCs/>
          <w:noProof/>
        </w:rPr>
        <w:t>J Agric Food Chem</w:t>
      </w:r>
      <w:r w:rsidRPr="00904B78">
        <w:rPr>
          <w:rFonts w:ascii="Calibri" w:hAnsi="Calibri" w:cs="Times New Roman"/>
          <w:noProof/>
        </w:rPr>
        <w:t xml:space="preserve">, </w:t>
      </w:r>
      <w:r w:rsidRPr="00904B78">
        <w:rPr>
          <w:rFonts w:ascii="Calibri" w:hAnsi="Calibri" w:cs="Times New Roman"/>
          <w:b/>
          <w:bCs w:val="0"/>
          <w:noProof/>
        </w:rPr>
        <w:t>67</w:t>
      </w:r>
      <w:r w:rsidRPr="00904B78">
        <w:rPr>
          <w:rFonts w:ascii="Calibri" w:hAnsi="Calibri" w:cs="Times New Roman"/>
          <w:noProof/>
        </w:rPr>
        <w:t>, 986–993. Available at: https://www.ncbi.nlm.nih.gov/pubmed/30557498.</w:t>
      </w:r>
    </w:p>
    <w:p w14:paraId="2A4DBB4C"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Fraser, J.A., Alves-Pereira, A., Junqueira, A.B., Peroni, N. and Clement, C.R.</w:t>
      </w:r>
      <w:r w:rsidRPr="00904B78">
        <w:rPr>
          <w:rFonts w:ascii="Calibri" w:hAnsi="Calibri" w:cs="Times New Roman"/>
          <w:noProof/>
        </w:rPr>
        <w:t xml:space="preserve"> (2012) Convergent Adaptations: Bitter Manioc Cultivation Systems in Fertile Anthropogenic Dark Earths and Floodplain Soils in Central Amazonia. </w:t>
      </w:r>
      <w:r w:rsidRPr="00904B78">
        <w:rPr>
          <w:rFonts w:ascii="Calibri" w:hAnsi="Calibri" w:cs="Times New Roman"/>
          <w:i/>
          <w:iCs/>
          <w:noProof/>
        </w:rPr>
        <w:t>PLoS One</w:t>
      </w:r>
      <w:r w:rsidRPr="00904B78">
        <w:rPr>
          <w:rFonts w:ascii="Calibri" w:hAnsi="Calibri" w:cs="Times New Roman"/>
          <w:noProof/>
        </w:rPr>
        <w:t xml:space="preserve">, </w:t>
      </w:r>
      <w:r w:rsidRPr="00904B78">
        <w:rPr>
          <w:rFonts w:ascii="Calibri" w:hAnsi="Calibri" w:cs="Times New Roman"/>
          <w:b/>
          <w:bCs w:val="0"/>
          <w:noProof/>
        </w:rPr>
        <w:t>7</w:t>
      </w:r>
      <w:r w:rsidRPr="00904B78">
        <w:rPr>
          <w:rFonts w:ascii="Calibri" w:hAnsi="Calibri" w:cs="Times New Roman"/>
          <w:noProof/>
        </w:rPr>
        <w:t>, e43636. Available at: https://doi.org/10.1371/journal.pone.0043636.</w:t>
      </w:r>
    </w:p>
    <w:p w14:paraId="031728EE"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Fraser, P.D., Pinto, M.E., Holloway, D.E. and Bramley, P.M.</w:t>
      </w:r>
      <w:r w:rsidRPr="00904B78">
        <w:rPr>
          <w:rFonts w:ascii="Calibri" w:hAnsi="Calibri" w:cs="Times New Roman"/>
          <w:noProof/>
        </w:rPr>
        <w:t xml:space="preserve"> (2000) Technical advance: application of high-performance liquid chromatography with photodiode array detection to the metabolic profiling of plant isoprenoids. </w:t>
      </w:r>
      <w:r w:rsidRPr="00904B78">
        <w:rPr>
          <w:rFonts w:ascii="Calibri" w:hAnsi="Calibri" w:cs="Times New Roman"/>
          <w:i/>
          <w:iCs/>
          <w:noProof/>
        </w:rPr>
        <w:t>Plant J</w:t>
      </w:r>
      <w:r w:rsidRPr="00904B78">
        <w:rPr>
          <w:rFonts w:ascii="Calibri" w:hAnsi="Calibri" w:cs="Times New Roman"/>
          <w:noProof/>
        </w:rPr>
        <w:t xml:space="preserve">, </w:t>
      </w:r>
      <w:r w:rsidRPr="00904B78">
        <w:rPr>
          <w:rFonts w:ascii="Calibri" w:hAnsi="Calibri" w:cs="Times New Roman"/>
          <w:b/>
          <w:bCs w:val="0"/>
          <w:noProof/>
        </w:rPr>
        <w:t>24</w:t>
      </w:r>
      <w:r w:rsidRPr="00904B78">
        <w:rPr>
          <w:rFonts w:ascii="Calibri" w:hAnsi="Calibri" w:cs="Times New Roman"/>
          <w:noProof/>
        </w:rPr>
        <w:t>, 551–558. Available at: https://www.ncbi.nlm.nih.gov/pubmed/11115136.</w:t>
      </w:r>
    </w:p>
    <w:p w14:paraId="2A89EF87"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Hahn, S.K., Terry, E.R., Leuschner, K., Akobundu, I.O., Okali, C. and Lal, R.</w:t>
      </w:r>
      <w:r w:rsidRPr="00904B78">
        <w:rPr>
          <w:rFonts w:ascii="Calibri" w:hAnsi="Calibri" w:cs="Times New Roman"/>
          <w:noProof/>
        </w:rPr>
        <w:t xml:space="preserve"> (1979) Cassava improvement in Africa. </w:t>
      </w:r>
      <w:r w:rsidRPr="00904B78">
        <w:rPr>
          <w:rFonts w:ascii="Calibri" w:hAnsi="Calibri" w:cs="Times New Roman"/>
          <w:i/>
          <w:iCs/>
          <w:noProof/>
        </w:rPr>
        <w:t>F. Crop. Res.</w:t>
      </w:r>
      <w:r w:rsidRPr="00904B78">
        <w:rPr>
          <w:rFonts w:ascii="Calibri" w:hAnsi="Calibri" w:cs="Times New Roman"/>
          <w:noProof/>
        </w:rPr>
        <w:t xml:space="preserve">, </w:t>
      </w:r>
      <w:r w:rsidRPr="00904B78">
        <w:rPr>
          <w:rFonts w:ascii="Calibri" w:hAnsi="Calibri" w:cs="Times New Roman"/>
          <w:b/>
          <w:bCs w:val="0"/>
          <w:noProof/>
        </w:rPr>
        <w:t>2</w:t>
      </w:r>
      <w:r w:rsidRPr="00904B78">
        <w:rPr>
          <w:rFonts w:ascii="Calibri" w:hAnsi="Calibri" w:cs="Times New Roman"/>
          <w:noProof/>
        </w:rPr>
        <w:t xml:space="preserve">, 193–226. Available at: </w:t>
      </w:r>
      <w:r w:rsidRPr="00904B78">
        <w:rPr>
          <w:rFonts w:ascii="Calibri" w:hAnsi="Calibri" w:cs="Times New Roman"/>
          <w:noProof/>
        </w:rPr>
        <w:lastRenderedPageBreak/>
        <w:t>http://www.sciencedirect.com/science/article/pii/0378429079900248.</w:t>
      </w:r>
    </w:p>
    <w:p w14:paraId="08B6E95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Henry, G. and Hershey, C.</w:t>
      </w:r>
      <w:r w:rsidRPr="00904B78">
        <w:rPr>
          <w:rFonts w:ascii="Calibri" w:hAnsi="Calibri" w:cs="Times New Roman"/>
          <w:noProof/>
        </w:rPr>
        <w:t xml:space="preserve"> (2002) Cassava in South America and the Caribbean. In R. J. Hillocks, J. M. Thresh, and A. C. Bellotti, eds. </w:t>
      </w:r>
      <w:r w:rsidRPr="00904B78">
        <w:rPr>
          <w:rFonts w:ascii="Calibri" w:hAnsi="Calibri" w:cs="Times New Roman"/>
          <w:i/>
          <w:iCs/>
          <w:noProof/>
        </w:rPr>
        <w:t>Cassava: Biology; production and utilization</w:t>
      </w:r>
      <w:r w:rsidRPr="00904B78">
        <w:rPr>
          <w:rFonts w:ascii="Calibri" w:hAnsi="Calibri" w:cs="Times New Roman"/>
          <w:noProof/>
        </w:rPr>
        <w:t>. Wallingford: CABI Publishing, pp. 17–40.</w:t>
      </w:r>
    </w:p>
    <w:p w14:paraId="6C214F51"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Hershey, C.H. and Jennings, D.L.</w:t>
      </w:r>
      <w:r w:rsidRPr="00904B78">
        <w:rPr>
          <w:rFonts w:ascii="Calibri" w:hAnsi="Calibri" w:cs="Times New Roman"/>
          <w:noProof/>
        </w:rPr>
        <w:t xml:space="preserve"> (1992) Progress in breeding cassava for adaptation to stress. </w:t>
      </w:r>
      <w:r w:rsidRPr="00904B78">
        <w:rPr>
          <w:rFonts w:ascii="Calibri" w:hAnsi="Calibri" w:cs="Times New Roman"/>
          <w:i/>
          <w:iCs/>
          <w:noProof/>
        </w:rPr>
        <w:t>Plant Breed. Abstr.</w:t>
      </w:r>
      <w:r w:rsidRPr="00904B78">
        <w:rPr>
          <w:rFonts w:ascii="Calibri" w:hAnsi="Calibri" w:cs="Times New Roman"/>
          <w:noProof/>
        </w:rPr>
        <w:t xml:space="preserve">, </w:t>
      </w:r>
      <w:r w:rsidRPr="00904B78">
        <w:rPr>
          <w:rFonts w:ascii="Calibri" w:hAnsi="Calibri" w:cs="Times New Roman"/>
          <w:b/>
          <w:bCs w:val="0"/>
          <w:noProof/>
        </w:rPr>
        <w:t>62</w:t>
      </w:r>
      <w:r w:rsidRPr="00904B78">
        <w:rPr>
          <w:rFonts w:ascii="Calibri" w:hAnsi="Calibri" w:cs="Times New Roman"/>
          <w:noProof/>
        </w:rPr>
        <w:t>, 823–831.</w:t>
      </w:r>
    </w:p>
    <w:p w14:paraId="54ECCB8A"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Hong, G., Wang, J., Hochstetter, D., Gao, Y., Xu, P. and Wang, Y.</w:t>
      </w:r>
      <w:r w:rsidRPr="00904B78">
        <w:rPr>
          <w:rFonts w:ascii="Calibri" w:hAnsi="Calibri" w:cs="Times New Roman"/>
          <w:noProof/>
        </w:rPr>
        <w:t xml:space="preserve"> (2015) Epigallocatechin-3-gallate functions as a physiological regulator by modulating the jasmonic acid pathway. </w:t>
      </w:r>
      <w:r w:rsidRPr="00904B78">
        <w:rPr>
          <w:rFonts w:ascii="Calibri" w:hAnsi="Calibri" w:cs="Times New Roman"/>
          <w:i/>
          <w:iCs/>
          <w:noProof/>
        </w:rPr>
        <w:t>Physiol. Plant.</w:t>
      </w:r>
      <w:r w:rsidRPr="00904B78">
        <w:rPr>
          <w:rFonts w:ascii="Calibri" w:hAnsi="Calibri" w:cs="Times New Roman"/>
          <w:noProof/>
        </w:rPr>
        <w:t xml:space="preserve">, </w:t>
      </w:r>
      <w:r w:rsidRPr="00904B78">
        <w:rPr>
          <w:rFonts w:ascii="Calibri" w:hAnsi="Calibri" w:cs="Times New Roman"/>
          <w:b/>
          <w:bCs w:val="0"/>
          <w:noProof/>
        </w:rPr>
        <w:t>153</w:t>
      </w:r>
      <w:r w:rsidRPr="00904B78">
        <w:rPr>
          <w:rFonts w:ascii="Calibri" w:hAnsi="Calibri" w:cs="Times New Roman"/>
          <w:noProof/>
        </w:rPr>
        <w:t>, 432–439. Available at: https://doi.org/10.1111/ppl.12256.</w:t>
      </w:r>
    </w:p>
    <w:p w14:paraId="1B494361"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Howeler, R., Lutaladio, N. and Thomas, G.</w:t>
      </w:r>
      <w:r w:rsidRPr="00904B78">
        <w:rPr>
          <w:rFonts w:ascii="Calibri" w:hAnsi="Calibri" w:cs="Times New Roman"/>
          <w:noProof/>
        </w:rPr>
        <w:t xml:space="preserve"> (2013) </w:t>
      </w:r>
      <w:r w:rsidRPr="00904B78">
        <w:rPr>
          <w:rFonts w:ascii="Calibri" w:hAnsi="Calibri" w:cs="Times New Roman"/>
          <w:i/>
          <w:iCs/>
          <w:noProof/>
        </w:rPr>
        <w:t>Save and Grow: Cassava - A guide to sustainable production intensification</w:t>
      </w:r>
      <w:r w:rsidRPr="00904B78">
        <w:rPr>
          <w:rFonts w:ascii="Calibri" w:hAnsi="Calibri" w:cs="Times New Roman"/>
          <w:noProof/>
        </w:rPr>
        <w:t>, Rome, Italy: Food and Agriculture Organization of the United Nations.</w:t>
      </w:r>
    </w:p>
    <w:p w14:paraId="64AA9656"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Izawa, K., Amino, Y., Kohmura, M., Ueda, Y. and Kuroda, M.</w:t>
      </w:r>
      <w:r w:rsidRPr="00904B78">
        <w:rPr>
          <w:rFonts w:ascii="Calibri" w:hAnsi="Calibri" w:cs="Times New Roman"/>
          <w:noProof/>
        </w:rPr>
        <w:t xml:space="preserve"> (2010) 4.16 - Human–Environment Interactions – Taste. In </w:t>
      </w:r>
      <w:r w:rsidRPr="00904B78">
        <w:rPr>
          <w:rFonts w:ascii="Calibri" w:hAnsi="Calibri" w:cs="Times New Roman"/>
          <w:i/>
          <w:iCs/>
          <w:noProof/>
        </w:rPr>
        <w:t>Comprehensive Natural Products II</w:t>
      </w:r>
      <w:r w:rsidRPr="00904B78">
        <w:rPr>
          <w:rFonts w:ascii="Calibri" w:hAnsi="Calibri" w:cs="Times New Roman"/>
          <w:noProof/>
        </w:rPr>
        <w:t>. Oxford: Elsevier, pp. 631–671. Available at: https://www.sciencedirect.com/science/article/pii/B9780080453828001088.</w:t>
      </w:r>
    </w:p>
    <w:p w14:paraId="7F56409F"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Jensen, S., Skibsted, L.H., Kidmose, U. and Thybo, A.K.</w:t>
      </w:r>
      <w:r w:rsidRPr="00904B78">
        <w:rPr>
          <w:rFonts w:ascii="Calibri" w:hAnsi="Calibri" w:cs="Times New Roman"/>
          <w:noProof/>
        </w:rPr>
        <w:t xml:space="preserve"> (2015) Addition of cassava flours in bread-making: Sensory and textural evaluation. </w:t>
      </w:r>
      <w:r w:rsidRPr="00904B78">
        <w:rPr>
          <w:rFonts w:ascii="Calibri" w:hAnsi="Calibri" w:cs="Times New Roman"/>
          <w:i/>
          <w:iCs/>
          <w:noProof/>
        </w:rPr>
        <w:t>LWT - Food Sci. Technol.</w:t>
      </w:r>
      <w:r w:rsidRPr="00904B78">
        <w:rPr>
          <w:rFonts w:ascii="Calibri" w:hAnsi="Calibri" w:cs="Times New Roman"/>
          <w:noProof/>
        </w:rPr>
        <w:t xml:space="preserve">, </w:t>
      </w:r>
      <w:r w:rsidRPr="00904B78">
        <w:rPr>
          <w:rFonts w:ascii="Calibri" w:hAnsi="Calibri" w:cs="Times New Roman"/>
          <w:b/>
          <w:bCs w:val="0"/>
          <w:noProof/>
        </w:rPr>
        <w:t>60</w:t>
      </w:r>
      <w:r w:rsidRPr="00904B78">
        <w:rPr>
          <w:rFonts w:ascii="Calibri" w:hAnsi="Calibri" w:cs="Times New Roman"/>
          <w:noProof/>
        </w:rPr>
        <w:t>, 292–299. Available at: http://www.sciencedirect.com/science/article/pii/S0023643814005453.</w:t>
      </w:r>
    </w:p>
    <w:p w14:paraId="2AFA1CBB"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Karlström, A., Calle, F., Salazar, S., Morante, N., Dufour, D. and Ceballos, H.</w:t>
      </w:r>
      <w:r w:rsidRPr="00904B78">
        <w:rPr>
          <w:rFonts w:ascii="Calibri" w:hAnsi="Calibri" w:cs="Times New Roman"/>
          <w:noProof/>
        </w:rPr>
        <w:t xml:space="preserve"> (2016) Biological Implications in Cassava for the Production of Amylose-Free Starch: Impact on Root Yield and Related Traits   . </w:t>
      </w:r>
      <w:r w:rsidRPr="00904B78">
        <w:rPr>
          <w:rFonts w:ascii="Calibri" w:hAnsi="Calibri" w:cs="Times New Roman"/>
          <w:i/>
          <w:iCs/>
          <w:noProof/>
        </w:rPr>
        <w:t xml:space="preserve">Front. Plant Sci.  </w:t>
      </w:r>
      <w:r w:rsidRPr="00904B78">
        <w:rPr>
          <w:rFonts w:ascii="Calibri" w:hAnsi="Calibri" w:cs="Times New Roman"/>
          <w:noProof/>
        </w:rPr>
        <w:t xml:space="preserve">, </w:t>
      </w:r>
      <w:r w:rsidRPr="00904B78">
        <w:rPr>
          <w:rFonts w:ascii="Calibri" w:hAnsi="Calibri" w:cs="Times New Roman"/>
          <w:b/>
          <w:bCs w:val="0"/>
          <w:noProof/>
        </w:rPr>
        <w:t>7</w:t>
      </w:r>
      <w:r w:rsidRPr="00904B78">
        <w:rPr>
          <w:rFonts w:ascii="Calibri" w:hAnsi="Calibri" w:cs="Times New Roman"/>
          <w:noProof/>
        </w:rPr>
        <w:t>, 604. Available at: https://www.frontiersin.org/article/10.3389/fpls.2016.00604.</w:t>
      </w:r>
    </w:p>
    <w:p w14:paraId="582D0D45"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Kuria, P., Ilyas, M., Ateka, E., Miano, D., Onguso, J., Carrington, J.C. and Taylor, N.J.</w:t>
      </w:r>
      <w:r w:rsidRPr="00904B78">
        <w:rPr>
          <w:rFonts w:ascii="Calibri" w:hAnsi="Calibri" w:cs="Times New Roman"/>
          <w:noProof/>
        </w:rPr>
        <w:t xml:space="preserve"> (2017) Differential response of cassava genotypes to infection by cassava mosaic geminiviruses. </w:t>
      </w:r>
      <w:r w:rsidRPr="00904B78">
        <w:rPr>
          <w:rFonts w:ascii="Calibri" w:hAnsi="Calibri" w:cs="Times New Roman"/>
          <w:i/>
          <w:iCs/>
          <w:noProof/>
        </w:rPr>
        <w:t>Virus Res.</w:t>
      </w:r>
      <w:r w:rsidRPr="00904B78">
        <w:rPr>
          <w:rFonts w:ascii="Calibri" w:hAnsi="Calibri" w:cs="Times New Roman"/>
          <w:noProof/>
        </w:rPr>
        <w:t xml:space="preserve">, </w:t>
      </w:r>
      <w:r w:rsidRPr="00904B78">
        <w:rPr>
          <w:rFonts w:ascii="Calibri" w:hAnsi="Calibri" w:cs="Times New Roman"/>
          <w:b/>
          <w:bCs w:val="0"/>
          <w:noProof/>
        </w:rPr>
        <w:t>227</w:t>
      </w:r>
      <w:r w:rsidRPr="00904B78">
        <w:rPr>
          <w:rFonts w:ascii="Calibri" w:hAnsi="Calibri" w:cs="Times New Roman"/>
          <w:noProof/>
        </w:rPr>
        <w:t>, 69–81. Available at: http://www.ncbi.nlm.nih.gov/pmc/articles/PMC5130204/.</w:t>
      </w:r>
    </w:p>
    <w:p w14:paraId="5362FA0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Liu, Q., Liu, J., Zhang, P. and He, S.</w:t>
      </w:r>
      <w:r w:rsidRPr="00904B78">
        <w:rPr>
          <w:rFonts w:ascii="Calibri" w:hAnsi="Calibri" w:cs="Times New Roman"/>
          <w:noProof/>
        </w:rPr>
        <w:t xml:space="preserve"> (2014) Root and Tuber Crops. In N. K. B. T.-E. of A. and F. S. Van Alfen, ed. Oxford: Academic Press, pp. 46–61. Available at: http://www.sciencedirect.com/science/article/pii/B9780444525123001510.</w:t>
      </w:r>
    </w:p>
    <w:p w14:paraId="171E3F27"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Lokko, Y., Dixon, A., Offei, S., Danquah, E. and Fregene, M.</w:t>
      </w:r>
      <w:r w:rsidRPr="00904B78">
        <w:rPr>
          <w:rFonts w:ascii="Calibri" w:hAnsi="Calibri" w:cs="Times New Roman"/>
          <w:noProof/>
        </w:rPr>
        <w:t xml:space="preserve"> (2006) Assessment of genetic diversity among African cassava Manihot esculenta Grantz accessions resistant to the </w:t>
      </w:r>
      <w:r w:rsidRPr="00904B78">
        <w:rPr>
          <w:rFonts w:ascii="Calibri" w:hAnsi="Calibri" w:cs="Times New Roman"/>
          <w:noProof/>
        </w:rPr>
        <w:lastRenderedPageBreak/>
        <w:t xml:space="preserve">cassava mosaic virus disease using SSR markers. </w:t>
      </w:r>
      <w:r w:rsidRPr="00904B78">
        <w:rPr>
          <w:rFonts w:ascii="Calibri" w:hAnsi="Calibri" w:cs="Times New Roman"/>
          <w:i/>
          <w:iCs/>
          <w:noProof/>
        </w:rPr>
        <w:t>Genet. Resour. Crop Evol.</w:t>
      </w:r>
      <w:r w:rsidRPr="00904B78">
        <w:rPr>
          <w:rFonts w:ascii="Calibri" w:hAnsi="Calibri" w:cs="Times New Roman"/>
          <w:noProof/>
        </w:rPr>
        <w:t xml:space="preserve">, </w:t>
      </w:r>
      <w:r w:rsidRPr="00904B78">
        <w:rPr>
          <w:rFonts w:ascii="Calibri" w:hAnsi="Calibri" w:cs="Times New Roman"/>
          <w:b/>
          <w:bCs w:val="0"/>
          <w:noProof/>
        </w:rPr>
        <w:t>53</w:t>
      </w:r>
      <w:r w:rsidRPr="00904B78">
        <w:rPr>
          <w:rFonts w:ascii="Calibri" w:hAnsi="Calibri" w:cs="Times New Roman"/>
          <w:noProof/>
        </w:rPr>
        <w:t>, 1441–1453. Available at: https://doi.org/10.1007/s10722-005-6841-x.</w:t>
      </w:r>
    </w:p>
    <w:p w14:paraId="7E696A85"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Luo, X. and Huang, Q.</w:t>
      </w:r>
      <w:r w:rsidRPr="00904B78">
        <w:rPr>
          <w:rFonts w:ascii="Calibri" w:hAnsi="Calibri" w:cs="Times New Roman"/>
          <w:noProof/>
        </w:rPr>
        <w:t xml:space="preserve"> (2011) Relationships between Leaf and Stem Soluble Sugar Content and Tuberous Root Starch Accumulation in Cassava. </w:t>
      </w:r>
      <w:r w:rsidRPr="00904B78">
        <w:rPr>
          <w:rFonts w:ascii="Calibri" w:hAnsi="Calibri" w:cs="Times New Roman"/>
          <w:i/>
          <w:iCs/>
          <w:noProof/>
        </w:rPr>
        <w:t>2011</w:t>
      </w:r>
      <w:r w:rsidRPr="00904B78">
        <w:rPr>
          <w:rFonts w:ascii="Calibri" w:hAnsi="Calibri" w:cs="Times New Roman"/>
          <w:noProof/>
        </w:rPr>
        <w:t xml:space="preserve">, </w:t>
      </w:r>
      <w:r w:rsidRPr="00904B78">
        <w:rPr>
          <w:rFonts w:ascii="Calibri" w:hAnsi="Calibri" w:cs="Times New Roman"/>
          <w:b/>
          <w:bCs w:val="0"/>
          <w:noProof/>
        </w:rPr>
        <w:t>3</w:t>
      </w:r>
      <w:r w:rsidRPr="00904B78">
        <w:rPr>
          <w:rFonts w:ascii="Calibri" w:hAnsi="Calibri" w:cs="Times New Roman"/>
          <w:noProof/>
        </w:rPr>
        <w:t>. Available at: http://www.ccsenet.org/journal/index.php/jas/article/view/7514.</w:t>
      </w:r>
    </w:p>
    <w:p w14:paraId="2D2868BA"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Mierziak, J., Kostyn, K. and Kulma, A.</w:t>
      </w:r>
      <w:r w:rsidRPr="00904B78">
        <w:rPr>
          <w:rFonts w:ascii="Calibri" w:hAnsi="Calibri" w:cs="Times New Roman"/>
          <w:noProof/>
        </w:rPr>
        <w:t xml:space="preserve"> (2014) Flavonoids as Important Molecules of Plant Interactions with the Environment. </w:t>
      </w:r>
      <w:r w:rsidRPr="00904B78">
        <w:rPr>
          <w:rFonts w:ascii="Calibri" w:hAnsi="Calibri" w:cs="Times New Roman"/>
          <w:i/>
          <w:iCs/>
          <w:noProof/>
        </w:rPr>
        <w:t>Molecules</w:t>
      </w:r>
      <w:r w:rsidRPr="00904B78">
        <w:rPr>
          <w:rFonts w:ascii="Calibri" w:hAnsi="Calibri" w:cs="Times New Roman"/>
          <w:noProof/>
        </w:rPr>
        <w:t xml:space="preserve">, </w:t>
      </w:r>
      <w:r w:rsidRPr="00904B78">
        <w:rPr>
          <w:rFonts w:ascii="Calibri" w:hAnsi="Calibri" w:cs="Times New Roman"/>
          <w:b/>
          <w:bCs w:val="0"/>
          <w:noProof/>
        </w:rPr>
        <w:t>19</w:t>
      </w:r>
      <w:r w:rsidRPr="00904B78">
        <w:rPr>
          <w:rFonts w:ascii="Calibri" w:hAnsi="Calibri" w:cs="Times New Roman"/>
          <w:noProof/>
        </w:rPr>
        <w:t>, 16240–16265. Available at: http://www.mdpi.com/1420-3049/19/10/16240 [Accessed April 17, 2020].</w:t>
      </w:r>
    </w:p>
    <w:p w14:paraId="02467D8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Mitchell, C., Brennan, R.M., Graham, J. and Karley, A.J.</w:t>
      </w:r>
      <w:r w:rsidRPr="00904B78">
        <w:rPr>
          <w:rFonts w:ascii="Calibri" w:hAnsi="Calibri" w:cs="Times New Roman"/>
          <w:noProof/>
        </w:rPr>
        <w:t xml:space="preserve"> (2016) Plant Defense against Herbivorous Pests: Exploiting Resistance and Tolerance Traits for Sustainable Crop Protection   . </w:t>
      </w:r>
      <w:r w:rsidRPr="00904B78">
        <w:rPr>
          <w:rFonts w:ascii="Calibri" w:hAnsi="Calibri" w:cs="Times New Roman"/>
          <w:i/>
          <w:iCs/>
          <w:noProof/>
        </w:rPr>
        <w:t xml:space="preserve">Front. Plant Sci.  </w:t>
      </w:r>
      <w:r w:rsidRPr="00904B78">
        <w:rPr>
          <w:rFonts w:ascii="Calibri" w:hAnsi="Calibri" w:cs="Times New Roman"/>
          <w:noProof/>
        </w:rPr>
        <w:t xml:space="preserve">, </w:t>
      </w:r>
      <w:r w:rsidRPr="00904B78">
        <w:rPr>
          <w:rFonts w:ascii="Calibri" w:hAnsi="Calibri" w:cs="Times New Roman"/>
          <w:b/>
          <w:bCs w:val="0"/>
          <w:noProof/>
        </w:rPr>
        <w:t>7</w:t>
      </w:r>
      <w:r w:rsidRPr="00904B78">
        <w:rPr>
          <w:rFonts w:ascii="Calibri" w:hAnsi="Calibri" w:cs="Times New Roman"/>
          <w:noProof/>
        </w:rPr>
        <w:t>, 1132. Available at: https://www.frontiersin.org/article/10.3389/fpls.2016.01132.</w:t>
      </w:r>
    </w:p>
    <w:p w14:paraId="6549F18A"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Mitprasat, M., Roytrakul, S., Jiemsup, S., Boonseng, O. and Yokthongwattana, K.</w:t>
      </w:r>
      <w:r w:rsidRPr="00904B78">
        <w:rPr>
          <w:rFonts w:ascii="Calibri" w:hAnsi="Calibri" w:cs="Times New Roman"/>
          <w:noProof/>
        </w:rPr>
        <w:t xml:space="preserve"> (2011) Leaf proteomic analysis in cassava (Manihot esculenta, Crantz) during plant development, from planting of stem cutting to storage root formation. </w:t>
      </w:r>
      <w:r w:rsidRPr="00904B78">
        <w:rPr>
          <w:rFonts w:ascii="Calibri" w:hAnsi="Calibri" w:cs="Times New Roman"/>
          <w:i/>
          <w:iCs/>
          <w:noProof/>
        </w:rPr>
        <w:t>Planta</w:t>
      </w:r>
      <w:r w:rsidRPr="00904B78">
        <w:rPr>
          <w:rFonts w:ascii="Calibri" w:hAnsi="Calibri" w:cs="Times New Roman"/>
          <w:noProof/>
        </w:rPr>
        <w:t xml:space="preserve">, </w:t>
      </w:r>
      <w:r w:rsidRPr="00904B78">
        <w:rPr>
          <w:rFonts w:ascii="Calibri" w:hAnsi="Calibri" w:cs="Times New Roman"/>
          <w:b/>
          <w:bCs w:val="0"/>
          <w:noProof/>
        </w:rPr>
        <w:t>233</w:t>
      </w:r>
      <w:r w:rsidRPr="00904B78">
        <w:rPr>
          <w:rFonts w:ascii="Calibri" w:hAnsi="Calibri" w:cs="Times New Roman"/>
          <w:noProof/>
        </w:rPr>
        <w:t>, 1209–1221. Available at: https://doi.org/10.1007/s00425-011-1373-4.</w:t>
      </w:r>
    </w:p>
    <w:p w14:paraId="60C42B0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Montagnac, J.A., Davis, C.R. and Tanumihardjo, S.A.</w:t>
      </w:r>
      <w:r w:rsidRPr="00904B78">
        <w:rPr>
          <w:rFonts w:ascii="Calibri" w:hAnsi="Calibri" w:cs="Times New Roman"/>
          <w:noProof/>
        </w:rPr>
        <w:t xml:space="preserve"> (2009) Nutritional Value of Cassava for Use as a Staple Food and Recent Advances for Improvement. </w:t>
      </w:r>
      <w:r w:rsidRPr="00904B78">
        <w:rPr>
          <w:rFonts w:ascii="Calibri" w:hAnsi="Calibri" w:cs="Times New Roman"/>
          <w:i/>
          <w:iCs/>
          <w:noProof/>
        </w:rPr>
        <w:t>Compr. Rev. Food Sci. Food Saf.</w:t>
      </w:r>
      <w:r w:rsidRPr="00904B78">
        <w:rPr>
          <w:rFonts w:ascii="Calibri" w:hAnsi="Calibri" w:cs="Times New Roman"/>
          <w:noProof/>
        </w:rPr>
        <w:t xml:space="preserve">, </w:t>
      </w:r>
      <w:r w:rsidRPr="00904B78">
        <w:rPr>
          <w:rFonts w:ascii="Calibri" w:hAnsi="Calibri" w:cs="Times New Roman"/>
          <w:b/>
          <w:bCs w:val="0"/>
          <w:noProof/>
        </w:rPr>
        <w:t>8</w:t>
      </w:r>
      <w:r w:rsidRPr="00904B78">
        <w:rPr>
          <w:rFonts w:ascii="Calibri" w:hAnsi="Calibri" w:cs="Times New Roman"/>
          <w:noProof/>
        </w:rPr>
        <w:t>, 181–194. Available at: https://doi.org/10.1111/j.1541-4337.2009.00077.x.</w:t>
      </w:r>
    </w:p>
    <w:p w14:paraId="60B2971C"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Ngeve, J.M.</w:t>
      </w:r>
      <w:r w:rsidRPr="00904B78">
        <w:rPr>
          <w:rFonts w:ascii="Calibri" w:hAnsi="Calibri" w:cs="Times New Roman"/>
          <w:noProof/>
        </w:rPr>
        <w:t xml:space="preserve"> (2003) Cassava root yields and culinary qualities as affected by harvest age and test environment. </w:t>
      </w:r>
      <w:r w:rsidRPr="00904B78">
        <w:rPr>
          <w:rFonts w:ascii="Calibri" w:hAnsi="Calibri" w:cs="Times New Roman"/>
          <w:i/>
          <w:iCs/>
          <w:noProof/>
        </w:rPr>
        <w:t>J. Sci. Food Agric.</w:t>
      </w:r>
      <w:r w:rsidRPr="00904B78">
        <w:rPr>
          <w:rFonts w:ascii="Calibri" w:hAnsi="Calibri" w:cs="Times New Roman"/>
          <w:noProof/>
        </w:rPr>
        <w:t xml:space="preserve">, </w:t>
      </w:r>
      <w:r w:rsidRPr="00904B78">
        <w:rPr>
          <w:rFonts w:ascii="Calibri" w:hAnsi="Calibri" w:cs="Times New Roman"/>
          <w:b/>
          <w:bCs w:val="0"/>
          <w:noProof/>
        </w:rPr>
        <w:t>83</w:t>
      </w:r>
      <w:r w:rsidRPr="00904B78">
        <w:rPr>
          <w:rFonts w:ascii="Calibri" w:hAnsi="Calibri" w:cs="Times New Roman"/>
          <w:noProof/>
        </w:rPr>
        <w:t>, 249–257. Available at: https://doi.org/10.1002/jsfa.1307.</w:t>
      </w:r>
    </w:p>
    <w:p w14:paraId="3E5BED88"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Nogueira, M., Mora, L., Enfissi, E.M., Bramley, P.M. and Fraser, P.D.</w:t>
      </w:r>
      <w:r w:rsidRPr="00904B78">
        <w:rPr>
          <w:rFonts w:ascii="Calibri" w:hAnsi="Calibri" w:cs="Times New Roman"/>
          <w:noProof/>
        </w:rPr>
        <w:t xml:space="preserve"> (2013) Subchromoplast sequestration of carotenoids affects regulatory mechanisms in tomato lines expressing different carotenoid gene combinations. </w:t>
      </w:r>
      <w:r w:rsidRPr="00904B78">
        <w:rPr>
          <w:rFonts w:ascii="Calibri" w:hAnsi="Calibri" w:cs="Times New Roman"/>
          <w:i/>
          <w:iCs/>
          <w:noProof/>
        </w:rPr>
        <w:t>Plant Cell</w:t>
      </w:r>
      <w:r w:rsidRPr="00904B78">
        <w:rPr>
          <w:rFonts w:ascii="Calibri" w:hAnsi="Calibri" w:cs="Times New Roman"/>
          <w:noProof/>
        </w:rPr>
        <w:t xml:space="preserve">, </w:t>
      </w:r>
      <w:r w:rsidRPr="00904B78">
        <w:rPr>
          <w:rFonts w:ascii="Calibri" w:hAnsi="Calibri" w:cs="Times New Roman"/>
          <w:b/>
          <w:bCs w:val="0"/>
          <w:noProof/>
        </w:rPr>
        <w:t>25</w:t>
      </w:r>
      <w:r w:rsidRPr="00904B78">
        <w:rPr>
          <w:rFonts w:ascii="Calibri" w:hAnsi="Calibri" w:cs="Times New Roman"/>
          <w:noProof/>
        </w:rPr>
        <w:t>, 4560–4579. Available at: http://www.ncbi.nlm.nih.gov/pubmed/24249831.</w:t>
      </w:r>
    </w:p>
    <w:p w14:paraId="67B44482"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Ogola, J. and Mathews, C.</w:t>
      </w:r>
      <w:r w:rsidRPr="00904B78">
        <w:rPr>
          <w:rFonts w:ascii="Calibri" w:hAnsi="Calibri" w:cs="Times New Roman"/>
          <w:noProof/>
        </w:rPr>
        <w:t xml:space="preserve"> (2011) Adaptation of cassava (Manihot esculenta) to the dry environments of Limpopo, South Africa: growth, yield and yield components. </w:t>
      </w:r>
      <w:r w:rsidRPr="00904B78">
        <w:rPr>
          <w:rFonts w:ascii="Calibri" w:hAnsi="Calibri" w:cs="Times New Roman"/>
          <w:i/>
          <w:iCs/>
          <w:noProof/>
        </w:rPr>
        <w:t>African J. Agric. Res.</w:t>
      </w:r>
      <w:r w:rsidRPr="00904B78">
        <w:rPr>
          <w:rFonts w:ascii="Calibri" w:hAnsi="Calibri" w:cs="Times New Roman"/>
          <w:noProof/>
        </w:rPr>
        <w:t xml:space="preserve">, </w:t>
      </w:r>
      <w:r w:rsidRPr="00904B78">
        <w:rPr>
          <w:rFonts w:ascii="Calibri" w:hAnsi="Calibri" w:cs="Times New Roman"/>
          <w:b/>
          <w:bCs w:val="0"/>
          <w:noProof/>
        </w:rPr>
        <w:t>6</w:t>
      </w:r>
      <w:r w:rsidRPr="00904B78">
        <w:rPr>
          <w:rFonts w:ascii="Calibri" w:hAnsi="Calibri" w:cs="Times New Roman"/>
          <w:noProof/>
        </w:rPr>
        <w:t>, 6082–6088.</w:t>
      </w:r>
    </w:p>
    <w:p w14:paraId="09B521B8"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Omongo, C.A., Kawuki, R., Bellotti, A.C., Alicai, T., Baguma, Y., Maruthi, M.N., Bua, A. and Colvin, J.</w:t>
      </w:r>
      <w:r w:rsidRPr="00904B78">
        <w:rPr>
          <w:rFonts w:ascii="Calibri" w:hAnsi="Calibri" w:cs="Times New Roman"/>
          <w:noProof/>
        </w:rPr>
        <w:t xml:space="preserve"> (2012) African Cassava Whitefly, Bemisia tabaci, Resistance in African and South American Cassava Genotypes. </w:t>
      </w:r>
      <w:r w:rsidRPr="00904B78">
        <w:rPr>
          <w:rFonts w:ascii="Calibri" w:hAnsi="Calibri" w:cs="Times New Roman"/>
          <w:i/>
          <w:iCs/>
          <w:noProof/>
        </w:rPr>
        <w:t>J. Integr. Agric.</w:t>
      </w:r>
      <w:r w:rsidRPr="00904B78">
        <w:rPr>
          <w:rFonts w:ascii="Calibri" w:hAnsi="Calibri" w:cs="Times New Roman"/>
          <w:noProof/>
        </w:rPr>
        <w:t xml:space="preserve">, </w:t>
      </w:r>
      <w:r w:rsidRPr="00904B78">
        <w:rPr>
          <w:rFonts w:ascii="Calibri" w:hAnsi="Calibri" w:cs="Times New Roman"/>
          <w:b/>
          <w:bCs w:val="0"/>
          <w:noProof/>
        </w:rPr>
        <w:t>11</w:t>
      </w:r>
      <w:r w:rsidRPr="00904B78">
        <w:rPr>
          <w:rFonts w:ascii="Calibri" w:hAnsi="Calibri" w:cs="Times New Roman"/>
          <w:noProof/>
        </w:rPr>
        <w:t xml:space="preserve">, 327–336. Available at: </w:t>
      </w:r>
      <w:r w:rsidRPr="00904B78">
        <w:rPr>
          <w:rFonts w:ascii="Calibri" w:hAnsi="Calibri" w:cs="Times New Roman"/>
          <w:noProof/>
        </w:rPr>
        <w:lastRenderedPageBreak/>
        <w:t>http://www.sciencedirect.com/science/article/pii/S2095311912600173.</w:t>
      </w:r>
    </w:p>
    <w:p w14:paraId="04DB584E"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Onzo, A., Hanna, R., Negloh, K., Toko, M. and Sabelis, M.</w:t>
      </w:r>
      <w:r w:rsidRPr="00904B78">
        <w:rPr>
          <w:rFonts w:ascii="Calibri" w:hAnsi="Calibri" w:cs="Times New Roman"/>
          <w:noProof/>
        </w:rPr>
        <w:t xml:space="preserve"> (2005) Biological control of cassava green mite with exotic and indigenous phytoseiid predators—Effects of intraguild predation and supplementary food. </w:t>
      </w:r>
      <w:r w:rsidRPr="00904B78">
        <w:rPr>
          <w:rFonts w:ascii="Calibri" w:hAnsi="Calibri" w:cs="Times New Roman"/>
          <w:i/>
          <w:iCs/>
          <w:noProof/>
        </w:rPr>
        <w:t>Biol. Control</w:t>
      </w:r>
      <w:r w:rsidRPr="00904B78">
        <w:rPr>
          <w:rFonts w:ascii="Calibri" w:hAnsi="Calibri" w:cs="Times New Roman"/>
          <w:noProof/>
        </w:rPr>
        <w:t xml:space="preserve">, </w:t>
      </w:r>
      <w:r w:rsidRPr="00904B78">
        <w:rPr>
          <w:rFonts w:ascii="Calibri" w:hAnsi="Calibri" w:cs="Times New Roman"/>
          <w:b/>
          <w:bCs w:val="0"/>
          <w:noProof/>
        </w:rPr>
        <w:t>33</w:t>
      </w:r>
      <w:r w:rsidRPr="00904B78">
        <w:rPr>
          <w:rFonts w:ascii="Calibri" w:hAnsi="Calibri" w:cs="Times New Roman"/>
          <w:noProof/>
        </w:rPr>
        <w:t>, 143–152.</w:t>
      </w:r>
    </w:p>
    <w:p w14:paraId="6DD74E3F"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Peer, W.A. and Murphy, A.S.</w:t>
      </w:r>
      <w:r w:rsidRPr="00904B78">
        <w:rPr>
          <w:rFonts w:ascii="Calibri" w:hAnsi="Calibri" w:cs="Times New Roman"/>
          <w:noProof/>
        </w:rPr>
        <w:t xml:space="preserve"> (2007) Flavonoids and auxin transport: modulators or regulators? </w:t>
      </w:r>
      <w:r w:rsidRPr="00904B78">
        <w:rPr>
          <w:rFonts w:ascii="Calibri" w:hAnsi="Calibri" w:cs="Times New Roman"/>
          <w:i/>
          <w:iCs/>
          <w:noProof/>
        </w:rPr>
        <w:t>Trends Plant Sci.</w:t>
      </w:r>
      <w:r w:rsidRPr="00904B78">
        <w:rPr>
          <w:rFonts w:ascii="Calibri" w:hAnsi="Calibri" w:cs="Times New Roman"/>
          <w:noProof/>
        </w:rPr>
        <w:t xml:space="preserve">, </w:t>
      </w:r>
      <w:r w:rsidRPr="00904B78">
        <w:rPr>
          <w:rFonts w:ascii="Calibri" w:hAnsi="Calibri" w:cs="Times New Roman"/>
          <w:b/>
          <w:bCs w:val="0"/>
          <w:noProof/>
        </w:rPr>
        <w:t>12</w:t>
      </w:r>
      <w:r w:rsidRPr="00904B78">
        <w:rPr>
          <w:rFonts w:ascii="Calibri" w:hAnsi="Calibri" w:cs="Times New Roman"/>
          <w:noProof/>
        </w:rPr>
        <w:t>, 556–563. Available at: https://doi.org/10.1016/j.tplants.2007.10.003.</w:t>
      </w:r>
    </w:p>
    <w:p w14:paraId="77E1C3A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Perez-Fons, L., Bohorquez-Chaux, A., Irigoyen, M.L., Garceau, D.C., Morreel, K., Boerjan, W., Walling, L.L., Becerra Lopez-Lavalle, L.A. and Fraser, P.D.</w:t>
      </w:r>
      <w:r w:rsidRPr="00904B78">
        <w:rPr>
          <w:rFonts w:ascii="Calibri" w:hAnsi="Calibri" w:cs="Times New Roman"/>
          <w:noProof/>
        </w:rPr>
        <w:t xml:space="preserve"> (2019) A metabolomics characterisation of natural variation in the resistance of cassava to whitefly. </w:t>
      </w:r>
      <w:r w:rsidRPr="00904B78">
        <w:rPr>
          <w:rFonts w:ascii="Calibri" w:hAnsi="Calibri" w:cs="Times New Roman"/>
          <w:i/>
          <w:iCs/>
          <w:noProof/>
        </w:rPr>
        <w:t>BMC Plant Biol.</w:t>
      </w:r>
      <w:r w:rsidRPr="00904B78">
        <w:rPr>
          <w:rFonts w:ascii="Calibri" w:hAnsi="Calibri" w:cs="Times New Roman"/>
          <w:noProof/>
        </w:rPr>
        <w:t xml:space="preserve">, </w:t>
      </w:r>
      <w:r w:rsidRPr="00904B78">
        <w:rPr>
          <w:rFonts w:ascii="Calibri" w:hAnsi="Calibri" w:cs="Times New Roman"/>
          <w:b/>
          <w:bCs w:val="0"/>
          <w:noProof/>
        </w:rPr>
        <w:t>19</w:t>
      </w:r>
      <w:r w:rsidRPr="00904B78">
        <w:rPr>
          <w:rFonts w:ascii="Calibri" w:hAnsi="Calibri" w:cs="Times New Roman"/>
          <w:noProof/>
        </w:rPr>
        <w:t>, 518. Available at: https://doi.org/10.1186/s12870-019-2107-1.</w:t>
      </w:r>
    </w:p>
    <w:p w14:paraId="2B1B550E"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Piperno, D.R.</w:t>
      </w:r>
      <w:r w:rsidRPr="00904B78">
        <w:rPr>
          <w:rFonts w:ascii="Calibri" w:hAnsi="Calibri" w:cs="Times New Roman"/>
          <w:noProof/>
        </w:rPr>
        <w:t xml:space="preserve"> (2011) The Origins of Plant Cultivation and Domestication in the New World Tropics: Patterns, Process, and New Developments. </w:t>
      </w:r>
      <w:r w:rsidRPr="00904B78">
        <w:rPr>
          <w:rFonts w:ascii="Calibri" w:hAnsi="Calibri" w:cs="Times New Roman"/>
          <w:i/>
          <w:iCs/>
          <w:noProof/>
        </w:rPr>
        <w:t>Curr. Anthropol.</w:t>
      </w:r>
      <w:r w:rsidRPr="00904B78">
        <w:rPr>
          <w:rFonts w:ascii="Calibri" w:hAnsi="Calibri" w:cs="Times New Roman"/>
          <w:noProof/>
        </w:rPr>
        <w:t xml:space="preserve">, </w:t>
      </w:r>
      <w:r w:rsidRPr="00904B78">
        <w:rPr>
          <w:rFonts w:ascii="Calibri" w:hAnsi="Calibri" w:cs="Times New Roman"/>
          <w:b/>
          <w:bCs w:val="0"/>
          <w:noProof/>
        </w:rPr>
        <w:t>52</w:t>
      </w:r>
      <w:r w:rsidRPr="00904B78">
        <w:rPr>
          <w:rFonts w:ascii="Calibri" w:hAnsi="Calibri" w:cs="Times New Roman"/>
          <w:noProof/>
        </w:rPr>
        <w:t>, S453–S470. Available at: http://www.jstor.org/stable/10.1086/659998.</w:t>
      </w:r>
    </w:p>
    <w:p w14:paraId="529AB1E8"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Price, E.J., Drapal, M., Perez-Fons, L., et al.</w:t>
      </w:r>
      <w:r w:rsidRPr="00904B78">
        <w:rPr>
          <w:rFonts w:ascii="Calibri" w:hAnsi="Calibri" w:cs="Times New Roman"/>
          <w:noProof/>
        </w:rPr>
        <w:t xml:space="preserve"> (2020) Metabolite database for root, tuber, and banana crops to facilitate modern breeding in understudied crops. </w:t>
      </w:r>
      <w:r w:rsidRPr="00904B78">
        <w:rPr>
          <w:rFonts w:ascii="Calibri" w:hAnsi="Calibri" w:cs="Times New Roman"/>
          <w:i/>
          <w:iCs/>
          <w:noProof/>
        </w:rPr>
        <w:t>Plant J.</w:t>
      </w:r>
      <w:r w:rsidRPr="00904B78">
        <w:rPr>
          <w:rFonts w:ascii="Calibri" w:hAnsi="Calibri" w:cs="Times New Roman"/>
          <w:noProof/>
        </w:rPr>
        <w:t xml:space="preserve">, </w:t>
      </w:r>
      <w:r w:rsidRPr="00904B78">
        <w:rPr>
          <w:rFonts w:ascii="Calibri" w:hAnsi="Calibri" w:cs="Times New Roman"/>
          <w:b/>
          <w:bCs w:val="0"/>
          <w:noProof/>
        </w:rPr>
        <w:t>101</w:t>
      </w:r>
      <w:r w:rsidRPr="00904B78">
        <w:rPr>
          <w:rFonts w:ascii="Calibri" w:hAnsi="Calibri" w:cs="Times New Roman"/>
          <w:noProof/>
        </w:rPr>
        <w:t>, 1258–1268. Available at: https://doi.org/10.1111/tpj.14649.</w:t>
      </w:r>
    </w:p>
    <w:p w14:paraId="13A7F77D"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Roessner, U. and Bowne, J.</w:t>
      </w:r>
      <w:r w:rsidRPr="00904B78">
        <w:rPr>
          <w:rFonts w:ascii="Calibri" w:hAnsi="Calibri" w:cs="Times New Roman"/>
          <w:noProof/>
        </w:rPr>
        <w:t xml:space="preserve"> (2009) What is metabolomics all about? </w:t>
      </w:r>
      <w:r w:rsidRPr="00904B78">
        <w:rPr>
          <w:rFonts w:ascii="Calibri" w:hAnsi="Calibri" w:cs="Times New Roman"/>
          <w:i/>
          <w:iCs/>
          <w:noProof/>
        </w:rPr>
        <w:t>Biotechniques</w:t>
      </w:r>
      <w:r w:rsidRPr="00904B78">
        <w:rPr>
          <w:rFonts w:ascii="Calibri" w:hAnsi="Calibri" w:cs="Times New Roman"/>
          <w:noProof/>
        </w:rPr>
        <w:t xml:space="preserve">, </w:t>
      </w:r>
      <w:r w:rsidRPr="00904B78">
        <w:rPr>
          <w:rFonts w:ascii="Calibri" w:hAnsi="Calibri" w:cs="Times New Roman"/>
          <w:b/>
          <w:bCs w:val="0"/>
          <w:noProof/>
        </w:rPr>
        <w:t>46</w:t>
      </w:r>
      <w:r w:rsidRPr="00904B78">
        <w:rPr>
          <w:rFonts w:ascii="Calibri" w:hAnsi="Calibri" w:cs="Times New Roman"/>
          <w:noProof/>
        </w:rPr>
        <w:t>, 363–365. Available at: https://doi.org/10.2144/000113133.</w:t>
      </w:r>
    </w:p>
    <w:p w14:paraId="2DCE2099"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Schreiber, L., Nader-Nieto, A.C., Schönhals, E.M., Walkemeier, B. and Gebhardt, C.</w:t>
      </w:r>
      <w:r w:rsidRPr="00904B78">
        <w:rPr>
          <w:rFonts w:ascii="Calibri" w:hAnsi="Calibri" w:cs="Times New Roman"/>
          <w:noProof/>
        </w:rPr>
        <w:t xml:space="preserve"> (2014) SNPs in Genes Functional in Starch-Sugar Interconversion Associate with Natural Variation of Tuber Starch and Sugar Content of Potato (Solanum tuberosum L.). </w:t>
      </w:r>
      <w:r w:rsidRPr="00904B78">
        <w:rPr>
          <w:rFonts w:ascii="Calibri" w:hAnsi="Calibri" w:cs="Times New Roman"/>
          <w:i/>
          <w:iCs/>
          <w:noProof/>
        </w:rPr>
        <w:t>G3 Genes|Genomes|Genetics</w:t>
      </w:r>
      <w:r w:rsidRPr="00904B78">
        <w:rPr>
          <w:rFonts w:ascii="Calibri" w:hAnsi="Calibri" w:cs="Times New Roman"/>
          <w:noProof/>
        </w:rPr>
        <w:t xml:space="preserve">, </w:t>
      </w:r>
      <w:r w:rsidRPr="00904B78">
        <w:rPr>
          <w:rFonts w:ascii="Calibri" w:hAnsi="Calibri" w:cs="Times New Roman"/>
          <w:b/>
          <w:bCs w:val="0"/>
          <w:noProof/>
        </w:rPr>
        <w:t>4</w:t>
      </w:r>
      <w:r w:rsidRPr="00904B78">
        <w:rPr>
          <w:rFonts w:ascii="Calibri" w:hAnsi="Calibri" w:cs="Times New Roman"/>
          <w:noProof/>
        </w:rPr>
        <w:t>, 1797–1811. Available at: http://www.ncbi.nlm.nih.gov/pmc/articles/PMC4199688/.</w:t>
      </w:r>
    </w:p>
    <w:p w14:paraId="57C54B2C"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Shan, Z., Luo, X., Wei, M., Huang, T., Khan, A. and Zhu, Y.</w:t>
      </w:r>
      <w:r w:rsidRPr="00904B78">
        <w:rPr>
          <w:rFonts w:ascii="Calibri" w:hAnsi="Calibri" w:cs="Times New Roman"/>
          <w:noProof/>
        </w:rPr>
        <w:t xml:space="preserve"> (2018) Physiological and proteomic analysis on long-term drought resistance of cassava (Manihot esculenta Crantz). </w:t>
      </w:r>
      <w:r w:rsidRPr="00904B78">
        <w:rPr>
          <w:rFonts w:ascii="Calibri" w:hAnsi="Calibri" w:cs="Times New Roman"/>
          <w:i/>
          <w:iCs/>
          <w:noProof/>
        </w:rPr>
        <w:t>Sci. Rep.</w:t>
      </w:r>
      <w:r w:rsidRPr="00904B78">
        <w:rPr>
          <w:rFonts w:ascii="Calibri" w:hAnsi="Calibri" w:cs="Times New Roman"/>
          <w:noProof/>
        </w:rPr>
        <w:t xml:space="preserve">, </w:t>
      </w:r>
      <w:r w:rsidRPr="00904B78">
        <w:rPr>
          <w:rFonts w:ascii="Calibri" w:hAnsi="Calibri" w:cs="Times New Roman"/>
          <w:b/>
          <w:bCs w:val="0"/>
          <w:noProof/>
        </w:rPr>
        <w:t>8</w:t>
      </w:r>
      <w:r w:rsidRPr="00904B78">
        <w:rPr>
          <w:rFonts w:ascii="Calibri" w:hAnsi="Calibri" w:cs="Times New Roman"/>
          <w:noProof/>
        </w:rPr>
        <w:t>, 17982. Available at: https://doi.org/10.1038/s41598-018-35711-x.</w:t>
      </w:r>
    </w:p>
    <w:p w14:paraId="46E1BCA9"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Simmonds, M.S.J.</w:t>
      </w:r>
      <w:r w:rsidRPr="00904B78">
        <w:rPr>
          <w:rFonts w:ascii="Calibri" w:hAnsi="Calibri" w:cs="Times New Roman"/>
          <w:noProof/>
        </w:rPr>
        <w:t xml:space="preserve"> (2003) Flavonoid–insect interactions: recent advances in our knowledge. </w:t>
      </w:r>
      <w:r w:rsidRPr="00904B78">
        <w:rPr>
          <w:rFonts w:ascii="Calibri" w:hAnsi="Calibri" w:cs="Times New Roman"/>
          <w:i/>
          <w:iCs/>
          <w:noProof/>
        </w:rPr>
        <w:t>Phytochemistry</w:t>
      </w:r>
      <w:r w:rsidRPr="00904B78">
        <w:rPr>
          <w:rFonts w:ascii="Calibri" w:hAnsi="Calibri" w:cs="Times New Roman"/>
          <w:noProof/>
        </w:rPr>
        <w:t xml:space="preserve">, </w:t>
      </w:r>
      <w:r w:rsidRPr="00904B78">
        <w:rPr>
          <w:rFonts w:ascii="Calibri" w:hAnsi="Calibri" w:cs="Times New Roman"/>
          <w:b/>
          <w:bCs w:val="0"/>
          <w:noProof/>
        </w:rPr>
        <w:t>64</w:t>
      </w:r>
      <w:r w:rsidRPr="00904B78">
        <w:rPr>
          <w:rFonts w:ascii="Calibri" w:hAnsi="Calibri" w:cs="Times New Roman"/>
          <w:noProof/>
        </w:rPr>
        <w:t>, 21–30. Available at: http://www.sciencedirect.com/science/article/pii/S0031942203002930.</w:t>
      </w:r>
    </w:p>
    <w:p w14:paraId="5D0F8BE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Skovgård, H., Tomkiewicz, J., Nachman, G. and Münster-Swendsen, M.</w:t>
      </w:r>
      <w:r w:rsidRPr="00904B78">
        <w:rPr>
          <w:rFonts w:ascii="Calibri" w:hAnsi="Calibri" w:cs="Times New Roman"/>
          <w:noProof/>
        </w:rPr>
        <w:t xml:space="preserve"> (1993) The effect of the cassava green mite Mononychellus tanajoa on the growth and yield of cassava </w:t>
      </w:r>
      <w:r w:rsidRPr="00904B78">
        <w:rPr>
          <w:rFonts w:ascii="Calibri" w:hAnsi="Calibri" w:cs="Times New Roman"/>
          <w:noProof/>
        </w:rPr>
        <w:lastRenderedPageBreak/>
        <w:t xml:space="preserve">Manihot esculenta in a seasonally dry area in Kenya. </w:t>
      </w:r>
      <w:r w:rsidRPr="00904B78">
        <w:rPr>
          <w:rFonts w:ascii="Calibri" w:hAnsi="Calibri" w:cs="Times New Roman"/>
          <w:i/>
          <w:iCs/>
          <w:noProof/>
        </w:rPr>
        <w:t>Exp. Appl. Acarol.</w:t>
      </w:r>
      <w:r w:rsidRPr="00904B78">
        <w:rPr>
          <w:rFonts w:ascii="Calibri" w:hAnsi="Calibri" w:cs="Times New Roman"/>
          <w:noProof/>
        </w:rPr>
        <w:t xml:space="preserve">, </w:t>
      </w:r>
      <w:r w:rsidRPr="00904B78">
        <w:rPr>
          <w:rFonts w:ascii="Calibri" w:hAnsi="Calibri" w:cs="Times New Roman"/>
          <w:b/>
          <w:bCs w:val="0"/>
          <w:noProof/>
        </w:rPr>
        <w:t>17</w:t>
      </w:r>
      <w:r w:rsidRPr="00904B78">
        <w:rPr>
          <w:rFonts w:ascii="Calibri" w:hAnsi="Calibri" w:cs="Times New Roman"/>
          <w:noProof/>
        </w:rPr>
        <w:t>, 41–58. Available at: https://doi.org/10.1007/BF00156943.</w:t>
      </w:r>
    </w:p>
    <w:p w14:paraId="3876844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Sumner, L.W., Amberg, A., Barrett, D., et al.</w:t>
      </w:r>
      <w:r w:rsidRPr="00904B78">
        <w:rPr>
          <w:rFonts w:ascii="Calibri" w:hAnsi="Calibri" w:cs="Times New Roman"/>
          <w:noProof/>
        </w:rPr>
        <w:t xml:space="preserve"> (2007) Proposed minimum reporting standards for chemical analysis. </w:t>
      </w:r>
      <w:r w:rsidRPr="00904B78">
        <w:rPr>
          <w:rFonts w:ascii="Calibri" w:hAnsi="Calibri" w:cs="Times New Roman"/>
          <w:i/>
          <w:iCs/>
          <w:noProof/>
        </w:rPr>
        <w:t>Metabolomics</w:t>
      </w:r>
      <w:r w:rsidRPr="00904B78">
        <w:rPr>
          <w:rFonts w:ascii="Calibri" w:hAnsi="Calibri" w:cs="Times New Roman"/>
          <w:noProof/>
        </w:rPr>
        <w:t xml:space="preserve">, </w:t>
      </w:r>
      <w:r w:rsidRPr="00904B78">
        <w:rPr>
          <w:rFonts w:ascii="Calibri" w:hAnsi="Calibri" w:cs="Times New Roman"/>
          <w:b/>
          <w:bCs w:val="0"/>
          <w:noProof/>
        </w:rPr>
        <w:t>3</w:t>
      </w:r>
      <w:r w:rsidRPr="00904B78">
        <w:rPr>
          <w:rFonts w:ascii="Calibri" w:hAnsi="Calibri" w:cs="Times New Roman"/>
          <w:noProof/>
        </w:rPr>
        <w:t>, 211–221. Available at: http://www.ncbi.nlm.nih.gov/pmc/articles/PMC3772505/pdf/nihms504189.pdf.</w:t>
      </w:r>
    </w:p>
    <w:p w14:paraId="35BD07C2"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Tappiban, P., Smith, D.R., Triwitayakorn, K. and Bao, J.</w:t>
      </w:r>
      <w:r w:rsidRPr="00904B78">
        <w:rPr>
          <w:rFonts w:ascii="Calibri" w:hAnsi="Calibri" w:cs="Times New Roman"/>
          <w:noProof/>
        </w:rPr>
        <w:t xml:space="preserve"> (2019) Recent understanding of starch biosynthesis in cassava for quality improvement: A review. </w:t>
      </w:r>
      <w:r w:rsidRPr="00904B78">
        <w:rPr>
          <w:rFonts w:ascii="Calibri" w:hAnsi="Calibri" w:cs="Times New Roman"/>
          <w:i/>
          <w:iCs/>
          <w:noProof/>
        </w:rPr>
        <w:t>Trends Food Sci. Technol.</w:t>
      </w:r>
      <w:r w:rsidRPr="00904B78">
        <w:rPr>
          <w:rFonts w:ascii="Calibri" w:hAnsi="Calibri" w:cs="Times New Roman"/>
          <w:noProof/>
        </w:rPr>
        <w:t xml:space="preserve">, </w:t>
      </w:r>
      <w:r w:rsidRPr="00904B78">
        <w:rPr>
          <w:rFonts w:ascii="Calibri" w:hAnsi="Calibri" w:cs="Times New Roman"/>
          <w:b/>
          <w:bCs w:val="0"/>
          <w:noProof/>
        </w:rPr>
        <w:t>83</w:t>
      </w:r>
      <w:r w:rsidRPr="00904B78">
        <w:rPr>
          <w:rFonts w:ascii="Calibri" w:hAnsi="Calibri" w:cs="Times New Roman"/>
          <w:noProof/>
        </w:rPr>
        <w:t>, 167–180. Available at: https://www.sciencedirect.com/science/article/abs/pii/S0924224418305053 [Accessed April 14, 2020].</w:t>
      </w:r>
    </w:p>
    <w:p w14:paraId="2FDF7C43"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Wang, W., Feng, B., Xiao, J., et al.</w:t>
      </w:r>
      <w:r w:rsidRPr="00904B78">
        <w:rPr>
          <w:rFonts w:ascii="Calibri" w:hAnsi="Calibri" w:cs="Times New Roman"/>
          <w:noProof/>
        </w:rPr>
        <w:t xml:space="preserve"> (2014) Cassava genome from a wild ancestor to cultivated varieties. </w:t>
      </w:r>
      <w:r w:rsidRPr="00904B78">
        <w:rPr>
          <w:rFonts w:ascii="Calibri" w:hAnsi="Calibri" w:cs="Times New Roman"/>
          <w:i/>
          <w:iCs/>
          <w:noProof/>
        </w:rPr>
        <w:t>Nat Commun</w:t>
      </w:r>
      <w:r w:rsidRPr="00904B78">
        <w:rPr>
          <w:rFonts w:ascii="Calibri" w:hAnsi="Calibri" w:cs="Times New Roman"/>
          <w:noProof/>
        </w:rPr>
        <w:t xml:space="preserve">, </w:t>
      </w:r>
      <w:r w:rsidRPr="00904B78">
        <w:rPr>
          <w:rFonts w:ascii="Calibri" w:hAnsi="Calibri" w:cs="Times New Roman"/>
          <w:b/>
          <w:bCs w:val="0"/>
          <w:noProof/>
        </w:rPr>
        <w:t>5</w:t>
      </w:r>
      <w:r w:rsidRPr="00904B78">
        <w:rPr>
          <w:rFonts w:ascii="Calibri" w:hAnsi="Calibri" w:cs="Times New Roman"/>
          <w:noProof/>
        </w:rPr>
        <w:t>, 5110. Available at: https://www.ncbi.nlm.nih.gov/pubmed/25300236.</w:t>
      </w:r>
    </w:p>
    <w:p w14:paraId="2BAEE79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White, W.L.B., Arias-Garzon, D.I., McMahon, J.M. and Sayre, R.T.</w:t>
      </w:r>
      <w:r w:rsidRPr="00904B78">
        <w:rPr>
          <w:rFonts w:ascii="Calibri" w:hAnsi="Calibri" w:cs="Times New Roman"/>
          <w:noProof/>
        </w:rPr>
        <w:t xml:space="preserve"> (1998) Cyanogenesis in cassava. The role of hydroxynitrile lyase in root cyanide production. </w:t>
      </w:r>
      <w:r w:rsidRPr="00904B78">
        <w:rPr>
          <w:rFonts w:ascii="Calibri" w:hAnsi="Calibri" w:cs="Times New Roman"/>
          <w:i/>
          <w:iCs/>
          <w:noProof/>
        </w:rPr>
        <w:t>Plant Physiol.</w:t>
      </w:r>
      <w:r w:rsidRPr="00904B78">
        <w:rPr>
          <w:rFonts w:ascii="Calibri" w:hAnsi="Calibri" w:cs="Times New Roman"/>
          <w:noProof/>
        </w:rPr>
        <w:t xml:space="preserve">, </w:t>
      </w:r>
      <w:r w:rsidRPr="00904B78">
        <w:rPr>
          <w:rFonts w:ascii="Calibri" w:hAnsi="Calibri" w:cs="Times New Roman"/>
          <w:b/>
          <w:bCs w:val="0"/>
          <w:noProof/>
        </w:rPr>
        <w:t>116</w:t>
      </w:r>
      <w:r w:rsidRPr="00904B78">
        <w:rPr>
          <w:rFonts w:ascii="Calibri" w:hAnsi="Calibri" w:cs="Times New Roman"/>
          <w:noProof/>
        </w:rPr>
        <w:t>, 1219–1225. Available at: https://pubmed.ncbi.nlm.nih.gov/9536038.</w:t>
      </w:r>
    </w:p>
    <w:p w14:paraId="6FF65541"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Xia, J. and Wishart, D.S.</w:t>
      </w:r>
      <w:r w:rsidRPr="00904B78">
        <w:rPr>
          <w:rFonts w:ascii="Calibri" w:hAnsi="Calibri" w:cs="Times New Roman"/>
          <w:noProof/>
        </w:rPr>
        <w:t xml:space="preserve"> (2016) Using MetaboAnalyst 3.0 for comprehensive metabolomics data analysis. In </w:t>
      </w:r>
      <w:r w:rsidRPr="00904B78">
        <w:rPr>
          <w:rFonts w:ascii="Calibri" w:hAnsi="Calibri" w:cs="Times New Roman"/>
          <w:i/>
          <w:iCs/>
          <w:noProof/>
        </w:rPr>
        <w:t>Current Protocols in Bioinformatics</w:t>
      </w:r>
      <w:r w:rsidRPr="00904B78">
        <w:rPr>
          <w:rFonts w:ascii="Calibri" w:hAnsi="Calibri" w:cs="Times New Roman"/>
          <w:noProof/>
        </w:rPr>
        <w:t>. John Wiley &amp; Sons, Inc. Available at: http://dx.doi.org/10.1002/cpbi.11.</w:t>
      </w:r>
    </w:p>
    <w:p w14:paraId="58318590"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Zhang, L., Zhang, F., Melotto, M., Yao, J. and He, S.Y.</w:t>
      </w:r>
      <w:r w:rsidRPr="00904B78">
        <w:rPr>
          <w:rFonts w:ascii="Calibri" w:hAnsi="Calibri" w:cs="Times New Roman"/>
          <w:noProof/>
        </w:rPr>
        <w:t xml:space="preserve"> (2017) Jasmonate signaling and manipulation by pathogens and insects. </w:t>
      </w:r>
      <w:r w:rsidRPr="00904B78">
        <w:rPr>
          <w:rFonts w:ascii="Calibri" w:hAnsi="Calibri" w:cs="Times New Roman"/>
          <w:i/>
          <w:iCs/>
          <w:noProof/>
        </w:rPr>
        <w:t>J. Exp. Bot.</w:t>
      </w:r>
      <w:r w:rsidRPr="00904B78">
        <w:rPr>
          <w:rFonts w:ascii="Calibri" w:hAnsi="Calibri" w:cs="Times New Roman"/>
          <w:noProof/>
        </w:rPr>
        <w:t xml:space="preserve">, </w:t>
      </w:r>
      <w:r w:rsidRPr="00904B78">
        <w:rPr>
          <w:rFonts w:ascii="Calibri" w:hAnsi="Calibri" w:cs="Times New Roman"/>
          <w:b/>
          <w:bCs w:val="0"/>
          <w:noProof/>
        </w:rPr>
        <w:t>68</w:t>
      </w:r>
      <w:r w:rsidRPr="00904B78">
        <w:rPr>
          <w:rFonts w:ascii="Calibri" w:hAnsi="Calibri" w:cs="Times New Roman"/>
          <w:noProof/>
        </w:rPr>
        <w:t>, 1371–1385. Available at: https://pubmed.ncbi.nlm.nih.gov/28069779.</w:t>
      </w:r>
    </w:p>
    <w:p w14:paraId="7EDDD554" w14:textId="77777777" w:rsidR="00904B78" w:rsidRPr="00904B78" w:rsidRDefault="00904B78" w:rsidP="00904B78">
      <w:pPr>
        <w:widowControl w:val="0"/>
        <w:autoSpaceDE w:val="0"/>
        <w:autoSpaceDN w:val="0"/>
        <w:adjustRightInd w:val="0"/>
        <w:ind w:left="480" w:hanging="480"/>
        <w:rPr>
          <w:rFonts w:ascii="Calibri" w:hAnsi="Calibri" w:cs="Times New Roman"/>
          <w:noProof/>
        </w:rPr>
      </w:pPr>
      <w:r w:rsidRPr="00904B78">
        <w:rPr>
          <w:rFonts w:ascii="Calibri" w:hAnsi="Calibri" w:cs="Times New Roman"/>
          <w:b/>
          <w:bCs w:val="0"/>
          <w:noProof/>
        </w:rPr>
        <w:t>Zhang, Q., Zhao, X. and Qiu, H.</w:t>
      </w:r>
      <w:r w:rsidRPr="00904B78">
        <w:rPr>
          <w:rFonts w:ascii="Calibri" w:hAnsi="Calibri" w:cs="Times New Roman"/>
          <w:noProof/>
        </w:rPr>
        <w:t xml:space="preserve"> (2013) Flavones and Flavonols: Phytochemistry and Biochemistry BT  - Natural Products: Phytochemistry, Botany and Metabolism of Alkaloids, Phenolics and Terpenes. In K. G. Ramawat and J.-M. Mérillon, eds. Berlin, Heidelberg: Springer Berlin Heidelberg, pp. 1821–1847. Available at: https://doi.org/10.1007/978-3-642-22144-6_60.</w:t>
      </w:r>
    </w:p>
    <w:p w14:paraId="1F4DE690" w14:textId="77777777" w:rsidR="00904B78" w:rsidRPr="00904B78" w:rsidRDefault="00904B78" w:rsidP="00904B78">
      <w:pPr>
        <w:widowControl w:val="0"/>
        <w:autoSpaceDE w:val="0"/>
        <w:autoSpaceDN w:val="0"/>
        <w:adjustRightInd w:val="0"/>
        <w:ind w:left="480" w:hanging="480"/>
        <w:rPr>
          <w:rFonts w:ascii="Calibri" w:hAnsi="Calibri"/>
          <w:noProof/>
        </w:rPr>
      </w:pPr>
      <w:r w:rsidRPr="00904B78">
        <w:rPr>
          <w:rFonts w:ascii="Calibri" w:hAnsi="Calibri" w:cs="Times New Roman"/>
          <w:b/>
          <w:bCs w:val="0"/>
          <w:noProof/>
        </w:rPr>
        <w:t>Zidenga, T., Siritunga, D. and Sayre, R.T.</w:t>
      </w:r>
      <w:r w:rsidRPr="00904B78">
        <w:rPr>
          <w:rFonts w:ascii="Calibri" w:hAnsi="Calibri" w:cs="Times New Roman"/>
          <w:noProof/>
        </w:rPr>
        <w:t xml:space="preserve"> (2017) Cyanogen Metabolism in Cassava Roots: Impact on Protein Synthesis and Root Development   . </w:t>
      </w:r>
      <w:r w:rsidRPr="00904B78">
        <w:rPr>
          <w:rFonts w:ascii="Calibri" w:hAnsi="Calibri" w:cs="Times New Roman"/>
          <w:i/>
          <w:iCs/>
          <w:noProof/>
        </w:rPr>
        <w:t xml:space="preserve">Front. Plant Sci.  </w:t>
      </w:r>
      <w:r w:rsidRPr="00904B78">
        <w:rPr>
          <w:rFonts w:ascii="Calibri" w:hAnsi="Calibri" w:cs="Times New Roman"/>
          <w:noProof/>
        </w:rPr>
        <w:t xml:space="preserve">, </w:t>
      </w:r>
      <w:r w:rsidRPr="00904B78">
        <w:rPr>
          <w:rFonts w:ascii="Calibri" w:hAnsi="Calibri" w:cs="Times New Roman"/>
          <w:b/>
          <w:bCs w:val="0"/>
          <w:noProof/>
        </w:rPr>
        <w:t>8</w:t>
      </w:r>
      <w:r w:rsidRPr="00904B78">
        <w:rPr>
          <w:rFonts w:ascii="Calibri" w:hAnsi="Calibri" w:cs="Times New Roman"/>
          <w:noProof/>
        </w:rPr>
        <w:t>, 220. Available at: https://www.frontiersin.org/article/10.3389/fpls.2017.00220.</w:t>
      </w:r>
    </w:p>
    <w:p w14:paraId="62A68209" w14:textId="73942D9F" w:rsidR="00B11424" w:rsidRDefault="002612F1" w:rsidP="001F38A9">
      <w:pPr>
        <w:rPr>
          <w:rFonts w:eastAsiaTheme="majorEastAsia" w:cstheme="majorBidi"/>
          <w:b/>
          <w:szCs w:val="32"/>
        </w:rPr>
      </w:pPr>
      <w:r>
        <w:fldChar w:fldCharType="end"/>
      </w:r>
      <w:r w:rsidR="00B11424">
        <w:br w:type="page"/>
      </w:r>
    </w:p>
    <w:p w14:paraId="30FEE35D" w14:textId="282BB96A" w:rsidR="00B11424" w:rsidRPr="00E232CC" w:rsidRDefault="00B11424" w:rsidP="00B11424">
      <w:pPr>
        <w:pStyle w:val="Heading1"/>
        <w:numPr>
          <w:ilvl w:val="0"/>
          <w:numId w:val="0"/>
        </w:numPr>
        <w:ind w:left="432"/>
      </w:pPr>
      <w:r>
        <w:lastRenderedPageBreak/>
        <w:t>Fig</w:t>
      </w:r>
      <w:r w:rsidR="00904B78">
        <w:t>ure</w:t>
      </w:r>
      <w:r w:rsidRPr="00E232CC">
        <w:t xml:space="preserve"> captions</w:t>
      </w:r>
    </w:p>
    <w:p w14:paraId="3D6522F4" w14:textId="03B50F19" w:rsidR="00B11424" w:rsidRDefault="00904B78" w:rsidP="00B11424">
      <w:pPr>
        <w:rPr>
          <w:b/>
        </w:rPr>
      </w:pPr>
      <w:r>
        <w:t xml:space="preserve">Fig.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PCA analysis of untargeted analysis of leaf, stem and root of 20 cassava landraces. Untargeted data is shown as a combined plot of all three tissues (A) and as individual plots of leaf (B), stem (C) and root (D). Data displayed is based on features identified in polar extracts of all three tissues. Each variety is displayed as an average of six biological replicates.</w:t>
      </w:r>
    </w:p>
    <w:p w14:paraId="6BFABF02" w14:textId="77777777" w:rsidR="00B11424" w:rsidRDefault="00B11424" w:rsidP="00B11424">
      <w:pPr>
        <w:rPr>
          <w:b/>
        </w:rPr>
      </w:pPr>
    </w:p>
    <w:p w14:paraId="2497C334" w14:textId="525683B6" w:rsidR="00904B78" w:rsidRDefault="00904B78" w:rsidP="00B11424">
      <w:r>
        <w:t xml:space="preserve">Fig.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Correlation analysis between phenotypic measurements of the roots and chemotypic measurements of each plant tissue. Phenotypic measurements of root tissue included dry matter (A-C) and cyanide (HCN) content (D-F). Correlation trend is displayed by linear regression. Each variety is displayed as an average of six biological replicates.</w:t>
      </w:r>
    </w:p>
    <w:p w14:paraId="178428F2" w14:textId="77777777" w:rsidR="00904B78" w:rsidRDefault="00904B78" w:rsidP="00B11424">
      <w:pPr>
        <w:rPr>
          <w:b/>
        </w:rPr>
      </w:pPr>
    </w:p>
    <w:p w14:paraId="3E3DABCF" w14:textId="77777777" w:rsidR="00904B78" w:rsidRDefault="00904B78" w:rsidP="00904B78">
      <w:r>
        <w:t xml:space="preserve">Fig. </w:t>
      </w:r>
      <w:r w:rsidR="000068CD">
        <w:fldChar w:fldCharType="begin"/>
      </w:r>
      <w:r w:rsidR="000068CD">
        <w:instrText xml:space="preserve"> SEQ Figure \* ARABIC </w:instrText>
      </w:r>
      <w:r w:rsidR="000068CD">
        <w:fldChar w:fldCharType="separate"/>
      </w:r>
      <w:r>
        <w:t>3</w:t>
      </w:r>
      <w:r w:rsidR="000068CD">
        <w:fldChar w:fldCharType="end"/>
      </w:r>
      <w:r>
        <w:t>. Heat maps of landraces with zone adaptation properties based on significantly different compounds. The data was displayed separately for leaf (A), stem (B) and root (C). Significance was established by ANOVA and included six biological replicates for each landrace.</w:t>
      </w:r>
    </w:p>
    <w:p w14:paraId="60347010" w14:textId="77777777" w:rsidR="00904B78" w:rsidRDefault="00904B78" w:rsidP="00B11424">
      <w:pPr>
        <w:rPr>
          <w:b/>
        </w:rPr>
      </w:pPr>
    </w:p>
    <w:p w14:paraId="2045E417" w14:textId="6B315804" w:rsidR="00904B78" w:rsidRDefault="00904B78" w:rsidP="00B11424">
      <w:pPr>
        <w:rPr>
          <w:b/>
        </w:rPr>
      </w:pPr>
      <w:r>
        <w:t xml:space="preserve">Fig.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Dendrograms of leaf (A) and root (B) tissue of cassava landraces with herbivorous pest traits. Herbivorous pests include green mites (G), thrips (T) and whitefly (W). Resistant landraces are indicated by an asterisk. VEN25 was only included in root tissue comparison (B) as a reference for low culinary quality. Data includes only significantly different metabolites of six biological replicates per landrace. The associated heatmap can be found in supplementary data (Fig. A.</w:t>
      </w:r>
      <w:r w:rsidRPr="00562C29">
        <w:t>8.</w:t>
      </w:r>
      <w:r>
        <w:t>).</w:t>
      </w:r>
    </w:p>
    <w:p w14:paraId="0D7E9DCD" w14:textId="77777777" w:rsidR="00B11424" w:rsidRPr="00E232CC" w:rsidRDefault="00B11424" w:rsidP="00B11424">
      <w:r w:rsidRPr="00E232CC">
        <w:br w:type="page"/>
      </w:r>
    </w:p>
    <w:p w14:paraId="5914DA7A" w14:textId="77777777" w:rsidR="00B11424" w:rsidRDefault="00B11424" w:rsidP="00B11424">
      <w:pPr>
        <w:pStyle w:val="Heading1"/>
        <w:numPr>
          <w:ilvl w:val="0"/>
          <w:numId w:val="0"/>
        </w:numPr>
        <w:ind w:left="432"/>
      </w:pPr>
      <w:r>
        <w:lastRenderedPageBreak/>
        <w:t>Figures</w:t>
      </w:r>
    </w:p>
    <w:p w14:paraId="0500060C" w14:textId="77777777" w:rsidR="00757853" w:rsidRDefault="00757853" w:rsidP="00757853">
      <w:r>
        <w:rPr>
          <w:noProof/>
        </w:rPr>
        <w:drawing>
          <wp:inline distT="0" distB="0" distL="0" distR="0" wp14:anchorId="01EBBA59" wp14:editId="4B58A64C">
            <wp:extent cx="5760000" cy="4366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366201"/>
                    </a:xfrm>
                    <a:prstGeom prst="rect">
                      <a:avLst/>
                    </a:prstGeom>
                    <a:noFill/>
                  </pic:spPr>
                </pic:pic>
              </a:graphicData>
            </a:graphic>
          </wp:inline>
        </w:drawing>
      </w:r>
    </w:p>
    <w:p w14:paraId="6CF4AF08" w14:textId="15A32170" w:rsidR="00757853" w:rsidRDefault="00757853" w:rsidP="00904B78">
      <w:bookmarkStart w:id="3" w:name="_Ref36476862"/>
      <w:r>
        <w:t xml:space="preserve">Fig.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
      <w:r>
        <w:t xml:space="preserve">. </w:t>
      </w:r>
    </w:p>
    <w:p w14:paraId="100E6DCA" w14:textId="77777777" w:rsidR="00B11424" w:rsidRPr="00562C29" w:rsidRDefault="00B11424" w:rsidP="00B11424"/>
    <w:p w14:paraId="0BABAAD0" w14:textId="77777777" w:rsidR="00757853" w:rsidRDefault="00757853" w:rsidP="00757853">
      <w:r>
        <w:rPr>
          <w:noProof/>
        </w:rPr>
        <w:drawing>
          <wp:inline distT="0" distB="0" distL="0" distR="0" wp14:anchorId="38A516D7" wp14:editId="306A12F1">
            <wp:extent cx="5760000" cy="269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695081"/>
                    </a:xfrm>
                    <a:prstGeom prst="rect">
                      <a:avLst/>
                    </a:prstGeom>
                    <a:noFill/>
                  </pic:spPr>
                </pic:pic>
              </a:graphicData>
            </a:graphic>
          </wp:inline>
        </w:drawing>
      </w:r>
    </w:p>
    <w:p w14:paraId="53C49C18" w14:textId="3A6324F8" w:rsidR="00757853" w:rsidRDefault="00757853" w:rsidP="00904B78">
      <w:pPr>
        <w:rPr>
          <w:b/>
        </w:rPr>
      </w:pPr>
      <w:bookmarkStart w:id="4" w:name="_Ref36807961"/>
      <w:r>
        <w:t xml:space="preserve">Fig.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rsidR="00904B78">
        <w:t>.</w:t>
      </w:r>
    </w:p>
    <w:p w14:paraId="27069570" w14:textId="77777777" w:rsidR="00757853" w:rsidRDefault="00757853" w:rsidP="00904B78">
      <w:pPr>
        <w:sectPr w:rsidR="00757853" w:rsidSect="00B11424">
          <w:footerReference w:type="default" r:id="rId12"/>
          <w:pgSz w:w="11906" w:h="16838"/>
          <w:pgMar w:top="1440" w:right="1440" w:bottom="1440" w:left="1440" w:header="708" w:footer="708" w:gutter="0"/>
          <w:lnNumType w:countBy="1" w:restart="continuous"/>
          <w:cols w:space="708"/>
          <w:docGrid w:linePitch="360"/>
        </w:sectPr>
      </w:pPr>
    </w:p>
    <w:p w14:paraId="429FBCA2" w14:textId="6833A803" w:rsidR="00757853" w:rsidRDefault="00904B78" w:rsidP="00757853">
      <w:pPr>
        <w:pStyle w:val="Caption"/>
        <w:rPr>
          <w:noProof/>
        </w:rPr>
      </w:pPr>
      <w:bookmarkStart w:id="5" w:name="_Ref37690418"/>
      <w:r w:rsidRPr="00904B78">
        <w:rPr>
          <w:noProof/>
        </w:rPr>
        <w:lastRenderedPageBreak/>
        <w:drawing>
          <wp:inline distT="0" distB="0" distL="0" distR="0" wp14:anchorId="537006D5" wp14:editId="3425ABCF">
            <wp:extent cx="8863330" cy="30446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3044678"/>
                    </a:xfrm>
                    <a:prstGeom prst="rect">
                      <a:avLst/>
                    </a:prstGeom>
                    <a:noFill/>
                    <a:ln>
                      <a:noFill/>
                    </a:ln>
                  </pic:spPr>
                </pic:pic>
              </a:graphicData>
            </a:graphic>
          </wp:inline>
        </w:drawing>
      </w:r>
    </w:p>
    <w:bookmarkEnd w:id="5"/>
    <w:p w14:paraId="05146F9E" w14:textId="5F2C21C7" w:rsidR="00757853" w:rsidRDefault="00904B78" w:rsidP="00904B78">
      <w:r>
        <w:t>Fig. 3.</w:t>
      </w:r>
    </w:p>
    <w:p w14:paraId="7C0AAEED" w14:textId="77777777" w:rsidR="00757853" w:rsidRDefault="00757853" w:rsidP="00757853">
      <w:pPr>
        <w:sectPr w:rsidR="00757853" w:rsidSect="00B11424">
          <w:pgSz w:w="16838" w:h="11906" w:orient="landscape"/>
          <w:pgMar w:top="1440" w:right="1440" w:bottom="1440" w:left="1440" w:header="708" w:footer="708" w:gutter="0"/>
          <w:lnNumType w:countBy="1" w:restart="continuous"/>
          <w:cols w:space="708"/>
          <w:docGrid w:linePitch="360"/>
        </w:sectPr>
      </w:pPr>
    </w:p>
    <w:p w14:paraId="43D6C29E" w14:textId="77777777" w:rsidR="00904B78" w:rsidRDefault="00904B78" w:rsidP="00904B78">
      <w:pPr>
        <w:keepNext/>
      </w:pPr>
      <w:r>
        <w:rPr>
          <w:noProof/>
        </w:rPr>
        <w:lastRenderedPageBreak/>
        <w:drawing>
          <wp:inline distT="0" distB="0" distL="0" distR="0" wp14:anchorId="729F0E6F" wp14:editId="5AF99F0D">
            <wp:extent cx="2717800" cy="1600200"/>
            <wp:effectExtent l="0" t="0" r="6350" b="0"/>
            <wp:docPr id="4" name="Picture 4" descr="C:\Users\Margit\AppData\Local\Microsoft\Windows\INetCache\Content.Word\Herbivorous pests_dend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git\AppData\Local\Microsoft\Windows\INetCache\Content.Word\Herbivorous pests_dendro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800" cy="1600200"/>
                    </a:xfrm>
                    <a:prstGeom prst="rect">
                      <a:avLst/>
                    </a:prstGeom>
                    <a:noFill/>
                    <a:ln>
                      <a:noFill/>
                    </a:ln>
                  </pic:spPr>
                </pic:pic>
              </a:graphicData>
            </a:graphic>
          </wp:inline>
        </w:drawing>
      </w:r>
    </w:p>
    <w:p w14:paraId="2EE7BD8F" w14:textId="1E175DC2" w:rsidR="00B11424" w:rsidRDefault="00B11424">
      <w:r>
        <w:t>Fig.</w:t>
      </w:r>
      <w:r w:rsidR="00904B78">
        <w:t xml:space="preserve"> 4</w:t>
      </w:r>
    </w:p>
    <w:sectPr w:rsidR="00B11424" w:rsidSect="00F460CF">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6104" w14:textId="77777777" w:rsidR="000068CD" w:rsidRDefault="000068CD" w:rsidP="00F460CF">
      <w:pPr>
        <w:spacing w:line="240" w:lineRule="auto"/>
      </w:pPr>
      <w:r>
        <w:separator/>
      </w:r>
    </w:p>
  </w:endnote>
  <w:endnote w:type="continuationSeparator" w:id="0">
    <w:p w14:paraId="0ECEF16A" w14:textId="77777777" w:rsidR="000068CD" w:rsidRDefault="000068CD" w:rsidP="00F46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53624"/>
      <w:docPartObj>
        <w:docPartGallery w:val="Page Numbers (Bottom of Page)"/>
        <w:docPartUnique/>
      </w:docPartObj>
    </w:sdtPr>
    <w:sdtEndPr>
      <w:rPr>
        <w:noProof/>
      </w:rPr>
    </w:sdtEndPr>
    <w:sdtContent>
      <w:p w14:paraId="69817DA9" w14:textId="77777777" w:rsidR="00CD386C" w:rsidRDefault="00CD386C" w:rsidP="00F460CF">
        <w:pPr>
          <w:pStyle w:val="Footer"/>
          <w:jc w:val="right"/>
        </w:pPr>
        <w:r>
          <w:fldChar w:fldCharType="begin"/>
        </w:r>
        <w:r>
          <w:instrText xml:space="preserve"> PAGE   \* MERGEFORMAT </w:instrText>
        </w:r>
        <w:r>
          <w:fldChar w:fldCharType="separate"/>
        </w:r>
        <w:r w:rsidR="003A60A5">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721706"/>
      <w:docPartObj>
        <w:docPartGallery w:val="Page Numbers (Bottom of Page)"/>
        <w:docPartUnique/>
      </w:docPartObj>
    </w:sdtPr>
    <w:sdtEndPr>
      <w:rPr>
        <w:noProof/>
      </w:rPr>
    </w:sdtEndPr>
    <w:sdtContent>
      <w:p w14:paraId="02280B07" w14:textId="77777777" w:rsidR="00CD386C" w:rsidRDefault="00CD386C" w:rsidP="00F460CF">
        <w:pPr>
          <w:pStyle w:val="Footer"/>
          <w:jc w:val="right"/>
        </w:pPr>
        <w:r>
          <w:fldChar w:fldCharType="begin"/>
        </w:r>
        <w:r>
          <w:instrText xml:space="preserve"> PAGE   \* MERGEFORMAT </w:instrText>
        </w:r>
        <w:r>
          <w:fldChar w:fldCharType="separate"/>
        </w:r>
        <w:r w:rsidR="003A60A5">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7682A" w14:textId="77777777" w:rsidR="000068CD" w:rsidRDefault="000068CD" w:rsidP="00F460CF">
      <w:pPr>
        <w:spacing w:line="240" w:lineRule="auto"/>
      </w:pPr>
      <w:r>
        <w:separator/>
      </w:r>
    </w:p>
  </w:footnote>
  <w:footnote w:type="continuationSeparator" w:id="0">
    <w:p w14:paraId="57CF168E" w14:textId="77777777" w:rsidR="000068CD" w:rsidRDefault="000068CD" w:rsidP="00F460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E37"/>
    <w:multiLevelType w:val="multilevel"/>
    <w:tmpl w:val="AB6E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753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CF"/>
    <w:rsid w:val="000068CD"/>
    <w:rsid w:val="00007FD7"/>
    <w:rsid w:val="00027638"/>
    <w:rsid w:val="00032567"/>
    <w:rsid w:val="000518AA"/>
    <w:rsid w:val="00056EEC"/>
    <w:rsid w:val="00057BE4"/>
    <w:rsid w:val="000709D0"/>
    <w:rsid w:val="000710D6"/>
    <w:rsid w:val="00073F84"/>
    <w:rsid w:val="000801EA"/>
    <w:rsid w:val="00086FCA"/>
    <w:rsid w:val="00087471"/>
    <w:rsid w:val="0009033E"/>
    <w:rsid w:val="00091646"/>
    <w:rsid w:val="000945B3"/>
    <w:rsid w:val="000B10BD"/>
    <w:rsid w:val="000B6DDC"/>
    <w:rsid w:val="000B6FE4"/>
    <w:rsid w:val="000E0BC5"/>
    <w:rsid w:val="000E0F98"/>
    <w:rsid w:val="000E6008"/>
    <w:rsid w:val="000F701E"/>
    <w:rsid w:val="000F7ABD"/>
    <w:rsid w:val="00125723"/>
    <w:rsid w:val="001259B0"/>
    <w:rsid w:val="00131FFA"/>
    <w:rsid w:val="00142970"/>
    <w:rsid w:val="001464A0"/>
    <w:rsid w:val="00146747"/>
    <w:rsid w:val="00150339"/>
    <w:rsid w:val="001539BE"/>
    <w:rsid w:val="001617AE"/>
    <w:rsid w:val="001634FC"/>
    <w:rsid w:val="001673F3"/>
    <w:rsid w:val="00187C28"/>
    <w:rsid w:val="001A3E3B"/>
    <w:rsid w:val="001A5CF4"/>
    <w:rsid w:val="001B2BDB"/>
    <w:rsid w:val="001C3C61"/>
    <w:rsid w:val="001C613A"/>
    <w:rsid w:val="001C6340"/>
    <w:rsid w:val="001D1991"/>
    <w:rsid w:val="001D30F5"/>
    <w:rsid w:val="001F38A9"/>
    <w:rsid w:val="00202995"/>
    <w:rsid w:val="002104C7"/>
    <w:rsid w:val="00214F39"/>
    <w:rsid w:val="0021587B"/>
    <w:rsid w:val="00222896"/>
    <w:rsid w:val="002270B5"/>
    <w:rsid w:val="00227B7E"/>
    <w:rsid w:val="00227F8F"/>
    <w:rsid w:val="002612F1"/>
    <w:rsid w:val="00271875"/>
    <w:rsid w:val="0028053C"/>
    <w:rsid w:val="002812A9"/>
    <w:rsid w:val="002855A5"/>
    <w:rsid w:val="002900E5"/>
    <w:rsid w:val="00294080"/>
    <w:rsid w:val="002977F7"/>
    <w:rsid w:val="002A1583"/>
    <w:rsid w:val="002A249D"/>
    <w:rsid w:val="002A66A8"/>
    <w:rsid w:val="002B24B8"/>
    <w:rsid w:val="002B7338"/>
    <w:rsid w:val="002F0197"/>
    <w:rsid w:val="002F1FB1"/>
    <w:rsid w:val="002F2159"/>
    <w:rsid w:val="002F38C7"/>
    <w:rsid w:val="00300056"/>
    <w:rsid w:val="00300BE3"/>
    <w:rsid w:val="00303015"/>
    <w:rsid w:val="00331200"/>
    <w:rsid w:val="00331804"/>
    <w:rsid w:val="00335679"/>
    <w:rsid w:val="003369D3"/>
    <w:rsid w:val="003631DD"/>
    <w:rsid w:val="00367F0F"/>
    <w:rsid w:val="003727CF"/>
    <w:rsid w:val="00375A34"/>
    <w:rsid w:val="003813A5"/>
    <w:rsid w:val="00397241"/>
    <w:rsid w:val="003A0DF6"/>
    <w:rsid w:val="003A4653"/>
    <w:rsid w:val="003A5ECD"/>
    <w:rsid w:val="003A60A5"/>
    <w:rsid w:val="003A6588"/>
    <w:rsid w:val="003A7F34"/>
    <w:rsid w:val="003B6B0A"/>
    <w:rsid w:val="003C4AAE"/>
    <w:rsid w:val="003C6128"/>
    <w:rsid w:val="003E211B"/>
    <w:rsid w:val="003E43E8"/>
    <w:rsid w:val="003E49A4"/>
    <w:rsid w:val="003E5C06"/>
    <w:rsid w:val="003E735E"/>
    <w:rsid w:val="003F4E00"/>
    <w:rsid w:val="003F7A45"/>
    <w:rsid w:val="00406672"/>
    <w:rsid w:val="0041694E"/>
    <w:rsid w:val="00427DD5"/>
    <w:rsid w:val="00436423"/>
    <w:rsid w:val="0045624C"/>
    <w:rsid w:val="00463D52"/>
    <w:rsid w:val="00467652"/>
    <w:rsid w:val="004A0ECF"/>
    <w:rsid w:val="004A174B"/>
    <w:rsid w:val="004A2175"/>
    <w:rsid w:val="004A3289"/>
    <w:rsid w:val="004A4B9C"/>
    <w:rsid w:val="004C1BC8"/>
    <w:rsid w:val="004C5AE9"/>
    <w:rsid w:val="004C5DD1"/>
    <w:rsid w:val="004E4478"/>
    <w:rsid w:val="004E67C0"/>
    <w:rsid w:val="004E6FE1"/>
    <w:rsid w:val="004F2614"/>
    <w:rsid w:val="004F51E0"/>
    <w:rsid w:val="00501E7B"/>
    <w:rsid w:val="00520ADB"/>
    <w:rsid w:val="0052214D"/>
    <w:rsid w:val="00525B04"/>
    <w:rsid w:val="00527FB2"/>
    <w:rsid w:val="005329D7"/>
    <w:rsid w:val="005358AF"/>
    <w:rsid w:val="00536C24"/>
    <w:rsid w:val="00540598"/>
    <w:rsid w:val="0055568A"/>
    <w:rsid w:val="00556FB3"/>
    <w:rsid w:val="00560919"/>
    <w:rsid w:val="005648FD"/>
    <w:rsid w:val="00567083"/>
    <w:rsid w:val="00577500"/>
    <w:rsid w:val="00591360"/>
    <w:rsid w:val="005925FA"/>
    <w:rsid w:val="005B36CF"/>
    <w:rsid w:val="005B76FB"/>
    <w:rsid w:val="005C2B0D"/>
    <w:rsid w:val="005C37CB"/>
    <w:rsid w:val="005C659E"/>
    <w:rsid w:val="005C6F03"/>
    <w:rsid w:val="005D5ED1"/>
    <w:rsid w:val="005F306A"/>
    <w:rsid w:val="00616457"/>
    <w:rsid w:val="00617F4B"/>
    <w:rsid w:val="00637B06"/>
    <w:rsid w:val="006434FB"/>
    <w:rsid w:val="00653E2F"/>
    <w:rsid w:val="00653F5E"/>
    <w:rsid w:val="0066041A"/>
    <w:rsid w:val="00662436"/>
    <w:rsid w:val="00662BFC"/>
    <w:rsid w:val="0066386C"/>
    <w:rsid w:val="00672A95"/>
    <w:rsid w:val="006749CA"/>
    <w:rsid w:val="00676A11"/>
    <w:rsid w:val="006777DC"/>
    <w:rsid w:val="006817FF"/>
    <w:rsid w:val="006B1700"/>
    <w:rsid w:val="006B26D0"/>
    <w:rsid w:val="006B3EEC"/>
    <w:rsid w:val="006C4DFF"/>
    <w:rsid w:val="006D1EE0"/>
    <w:rsid w:val="006D3AE7"/>
    <w:rsid w:val="006E33AC"/>
    <w:rsid w:val="006E7FFA"/>
    <w:rsid w:val="006F061C"/>
    <w:rsid w:val="006F42AB"/>
    <w:rsid w:val="006F5E00"/>
    <w:rsid w:val="00704C5D"/>
    <w:rsid w:val="00712D11"/>
    <w:rsid w:val="00713861"/>
    <w:rsid w:val="00715D86"/>
    <w:rsid w:val="00721BFE"/>
    <w:rsid w:val="00723A49"/>
    <w:rsid w:val="00724BD5"/>
    <w:rsid w:val="00725420"/>
    <w:rsid w:val="00732A55"/>
    <w:rsid w:val="007477D9"/>
    <w:rsid w:val="00757853"/>
    <w:rsid w:val="0076052E"/>
    <w:rsid w:val="00760886"/>
    <w:rsid w:val="0076221F"/>
    <w:rsid w:val="00762D02"/>
    <w:rsid w:val="0077077E"/>
    <w:rsid w:val="007803C8"/>
    <w:rsid w:val="007836A8"/>
    <w:rsid w:val="00793F2A"/>
    <w:rsid w:val="007A4401"/>
    <w:rsid w:val="007A4837"/>
    <w:rsid w:val="007D0905"/>
    <w:rsid w:val="007D09F0"/>
    <w:rsid w:val="007D36F1"/>
    <w:rsid w:val="007D6485"/>
    <w:rsid w:val="007D70A1"/>
    <w:rsid w:val="007E026F"/>
    <w:rsid w:val="007E2C8C"/>
    <w:rsid w:val="007F029E"/>
    <w:rsid w:val="007F7716"/>
    <w:rsid w:val="0080271A"/>
    <w:rsid w:val="00805987"/>
    <w:rsid w:val="00817A84"/>
    <w:rsid w:val="008302DF"/>
    <w:rsid w:val="00844279"/>
    <w:rsid w:val="00855A64"/>
    <w:rsid w:val="0086167F"/>
    <w:rsid w:val="00861ADF"/>
    <w:rsid w:val="00861C18"/>
    <w:rsid w:val="0086324B"/>
    <w:rsid w:val="008908F1"/>
    <w:rsid w:val="00891599"/>
    <w:rsid w:val="008A36C2"/>
    <w:rsid w:val="008B1A56"/>
    <w:rsid w:val="008B1B61"/>
    <w:rsid w:val="008B3F59"/>
    <w:rsid w:val="008B4595"/>
    <w:rsid w:val="008B4CA1"/>
    <w:rsid w:val="008D066D"/>
    <w:rsid w:val="008D5D44"/>
    <w:rsid w:val="008E62CA"/>
    <w:rsid w:val="008F5C87"/>
    <w:rsid w:val="008F7060"/>
    <w:rsid w:val="00902193"/>
    <w:rsid w:val="0090282A"/>
    <w:rsid w:val="00904B78"/>
    <w:rsid w:val="00914AF9"/>
    <w:rsid w:val="00931F60"/>
    <w:rsid w:val="00933FDC"/>
    <w:rsid w:val="00935441"/>
    <w:rsid w:val="00954C99"/>
    <w:rsid w:val="00956EEC"/>
    <w:rsid w:val="00961186"/>
    <w:rsid w:val="00962BD2"/>
    <w:rsid w:val="009664E2"/>
    <w:rsid w:val="00967D24"/>
    <w:rsid w:val="009731B7"/>
    <w:rsid w:val="00977870"/>
    <w:rsid w:val="00986D9A"/>
    <w:rsid w:val="00997A6C"/>
    <w:rsid w:val="009A484B"/>
    <w:rsid w:val="009B50FC"/>
    <w:rsid w:val="009C1AB5"/>
    <w:rsid w:val="009C254B"/>
    <w:rsid w:val="009C6311"/>
    <w:rsid w:val="009D0AF7"/>
    <w:rsid w:val="009D1BB1"/>
    <w:rsid w:val="009E19BF"/>
    <w:rsid w:val="009E2DBA"/>
    <w:rsid w:val="009E6D4A"/>
    <w:rsid w:val="009F2133"/>
    <w:rsid w:val="009F2943"/>
    <w:rsid w:val="00A01E83"/>
    <w:rsid w:val="00A025F7"/>
    <w:rsid w:val="00A04AB6"/>
    <w:rsid w:val="00A052FE"/>
    <w:rsid w:val="00A15E1F"/>
    <w:rsid w:val="00A174EE"/>
    <w:rsid w:val="00A23750"/>
    <w:rsid w:val="00A23BB8"/>
    <w:rsid w:val="00A56B83"/>
    <w:rsid w:val="00A5702D"/>
    <w:rsid w:val="00A60012"/>
    <w:rsid w:val="00A6016D"/>
    <w:rsid w:val="00A6119B"/>
    <w:rsid w:val="00A62692"/>
    <w:rsid w:val="00A81BDE"/>
    <w:rsid w:val="00A84349"/>
    <w:rsid w:val="00AA05BA"/>
    <w:rsid w:val="00AA0EAA"/>
    <w:rsid w:val="00AB6859"/>
    <w:rsid w:val="00AC0565"/>
    <w:rsid w:val="00AC15BB"/>
    <w:rsid w:val="00AD1233"/>
    <w:rsid w:val="00AE48E5"/>
    <w:rsid w:val="00AF1198"/>
    <w:rsid w:val="00B027A3"/>
    <w:rsid w:val="00B07294"/>
    <w:rsid w:val="00B11424"/>
    <w:rsid w:val="00B2117B"/>
    <w:rsid w:val="00B214DC"/>
    <w:rsid w:val="00B23021"/>
    <w:rsid w:val="00B41564"/>
    <w:rsid w:val="00B448F1"/>
    <w:rsid w:val="00B465E3"/>
    <w:rsid w:val="00B531E2"/>
    <w:rsid w:val="00B53D48"/>
    <w:rsid w:val="00B5477A"/>
    <w:rsid w:val="00B66142"/>
    <w:rsid w:val="00B70142"/>
    <w:rsid w:val="00B76496"/>
    <w:rsid w:val="00B77AE1"/>
    <w:rsid w:val="00BA035A"/>
    <w:rsid w:val="00BA44BF"/>
    <w:rsid w:val="00BA653E"/>
    <w:rsid w:val="00BC3285"/>
    <w:rsid w:val="00BC4F88"/>
    <w:rsid w:val="00BD17BD"/>
    <w:rsid w:val="00BD66B3"/>
    <w:rsid w:val="00BE3557"/>
    <w:rsid w:val="00BE7A84"/>
    <w:rsid w:val="00BF395B"/>
    <w:rsid w:val="00C0402F"/>
    <w:rsid w:val="00C13068"/>
    <w:rsid w:val="00C264F8"/>
    <w:rsid w:val="00C31992"/>
    <w:rsid w:val="00C35E4B"/>
    <w:rsid w:val="00C400FF"/>
    <w:rsid w:val="00C41DD1"/>
    <w:rsid w:val="00C42C8A"/>
    <w:rsid w:val="00C44822"/>
    <w:rsid w:val="00C464F6"/>
    <w:rsid w:val="00C47E78"/>
    <w:rsid w:val="00C5220D"/>
    <w:rsid w:val="00C643C2"/>
    <w:rsid w:val="00C71DD2"/>
    <w:rsid w:val="00C81B52"/>
    <w:rsid w:val="00C84A3A"/>
    <w:rsid w:val="00C84AC3"/>
    <w:rsid w:val="00C902C6"/>
    <w:rsid w:val="00C91C96"/>
    <w:rsid w:val="00C9212F"/>
    <w:rsid w:val="00C94CB0"/>
    <w:rsid w:val="00C951A8"/>
    <w:rsid w:val="00C97B6F"/>
    <w:rsid w:val="00CD0D23"/>
    <w:rsid w:val="00CD311B"/>
    <w:rsid w:val="00CD386C"/>
    <w:rsid w:val="00CF5CFE"/>
    <w:rsid w:val="00D10E16"/>
    <w:rsid w:val="00D10EC7"/>
    <w:rsid w:val="00D13F16"/>
    <w:rsid w:val="00D257D2"/>
    <w:rsid w:val="00D37A6F"/>
    <w:rsid w:val="00D45B02"/>
    <w:rsid w:val="00D46E95"/>
    <w:rsid w:val="00D47ACC"/>
    <w:rsid w:val="00D50FE7"/>
    <w:rsid w:val="00D57581"/>
    <w:rsid w:val="00D60481"/>
    <w:rsid w:val="00D65A44"/>
    <w:rsid w:val="00D6691E"/>
    <w:rsid w:val="00D86BCC"/>
    <w:rsid w:val="00D93D1E"/>
    <w:rsid w:val="00D945AC"/>
    <w:rsid w:val="00DA08DA"/>
    <w:rsid w:val="00DA11F7"/>
    <w:rsid w:val="00DA3853"/>
    <w:rsid w:val="00DA479E"/>
    <w:rsid w:val="00DB2EA0"/>
    <w:rsid w:val="00DC65A9"/>
    <w:rsid w:val="00DD62BC"/>
    <w:rsid w:val="00DE0A0A"/>
    <w:rsid w:val="00DE2057"/>
    <w:rsid w:val="00DE4573"/>
    <w:rsid w:val="00DE63D0"/>
    <w:rsid w:val="00DF3FF9"/>
    <w:rsid w:val="00E0765F"/>
    <w:rsid w:val="00E20E9C"/>
    <w:rsid w:val="00E27A0C"/>
    <w:rsid w:val="00E345C9"/>
    <w:rsid w:val="00E36D5A"/>
    <w:rsid w:val="00E43203"/>
    <w:rsid w:val="00E45016"/>
    <w:rsid w:val="00E646C3"/>
    <w:rsid w:val="00E66395"/>
    <w:rsid w:val="00E82A39"/>
    <w:rsid w:val="00E862B2"/>
    <w:rsid w:val="00E9391B"/>
    <w:rsid w:val="00E96326"/>
    <w:rsid w:val="00E97EC0"/>
    <w:rsid w:val="00EA489A"/>
    <w:rsid w:val="00EB333E"/>
    <w:rsid w:val="00EB3B4A"/>
    <w:rsid w:val="00EB7E69"/>
    <w:rsid w:val="00EC2A36"/>
    <w:rsid w:val="00EC2E2F"/>
    <w:rsid w:val="00EC604C"/>
    <w:rsid w:val="00EC62BB"/>
    <w:rsid w:val="00EC69A3"/>
    <w:rsid w:val="00EC6B13"/>
    <w:rsid w:val="00ED3E8E"/>
    <w:rsid w:val="00EE4393"/>
    <w:rsid w:val="00EF0AF3"/>
    <w:rsid w:val="00F03213"/>
    <w:rsid w:val="00F1340C"/>
    <w:rsid w:val="00F1681C"/>
    <w:rsid w:val="00F17C42"/>
    <w:rsid w:val="00F3605B"/>
    <w:rsid w:val="00F40C34"/>
    <w:rsid w:val="00F460CF"/>
    <w:rsid w:val="00F47FCA"/>
    <w:rsid w:val="00F56121"/>
    <w:rsid w:val="00F56872"/>
    <w:rsid w:val="00F62291"/>
    <w:rsid w:val="00F71255"/>
    <w:rsid w:val="00F71A8D"/>
    <w:rsid w:val="00F821C5"/>
    <w:rsid w:val="00F901F9"/>
    <w:rsid w:val="00FA3102"/>
    <w:rsid w:val="00FA3277"/>
    <w:rsid w:val="00FA5EDC"/>
    <w:rsid w:val="00FB3FE7"/>
    <w:rsid w:val="00FD018C"/>
    <w:rsid w:val="00FD0281"/>
    <w:rsid w:val="00FD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3B501"/>
  <w15:chartTrackingRefBased/>
  <w15:docId w15:val="{0684D121-B3DA-4327-B081-5C12850D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CF"/>
    <w:pPr>
      <w:spacing w:after="0" w:line="360" w:lineRule="auto"/>
      <w:jc w:val="both"/>
    </w:pPr>
    <w:rPr>
      <w:rFonts w:eastAsia="Times New Roman" w:cs="Arial"/>
      <w:bCs/>
      <w:sz w:val="24"/>
      <w:szCs w:val="24"/>
      <w:lang w:eastAsia="en-GB"/>
    </w:rPr>
  </w:style>
  <w:style w:type="paragraph" w:styleId="Heading1">
    <w:name w:val="heading 1"/>
    <w:basedOn w:val="Normal"/>
    <w:next w:val="Normal"/>
    <w:link w:val="Heading1Char"/>
    <w:uiPriority w:val="9"/>
    <w:qFormat/>
    <w:rsid w:val="00F460CF"/>
    <w:pPr>
      <w:keepNext/>
      <w:keepLines/>
      <w:numPr>
        <w:numId w:val="1"/>
      </w:numPr>
      <w:spacing w:before="2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F460CF"/>
    <w:pPr>
      <w:numPr>
        <w:ilvl w:val="1"/>
      </w:numPr>
      <w:spacing w:before="40" w:line="480" w:lineRule="auto"/>
      <w:outlineLvl w:val="1"/>
    </w:pPr>
    <w:rPr>
      <w:rFonts w:eastAsia="Times New Roman"/>
      <w:szCs w:val="26"/>
    </w:rPr>
  </w:style>
  <w:style w:type="paragraph" w:styleId="Heading3">
    <w:name w:val="heading 3"/>
    <w:basedOn w:val="Normal"/>
    <w:next w:val="Normal"/>
    <w:link w:val="Heading3Char"/>
    <w:uiPriority w:val="9"/>
    <w:unhideWhenUsed/>
    <w:qFormat/>
    <w:rsid w:val="00F460CF"/>
    <w:pPr>
      <w:keepNext/>
      <w:keepLines/>
      <w:numPr>
        <w:ilvl w:val="2"/>
        <w:numId w:val="1"/>
      </w:numPr>
      <w:spacing w:after="120"/>
      <w:outlineLvl w:val="2"/>
    </w:pPr>
    <w:rPr>
      <w:rFonts w:eastAsiaTheme="majorEastAsia"/>
      <w:b/>
      <w:szCs w:val="20"/>
    </w:rPr>
  </w:style>
  <w:style w:type="paragraph" w:styleId="Heading4">
    <w:name w:val="heading 4"/>
    <w:basedOn w:val="Heading3"/>
    <w:link w:val="Heading4Char"/>
    <w:uiPriority w:val="9"/>
    <w:qFormat/>
    <w:rsid w:val="00F460CF"/>
    <w:pPr>
      <w:numPr>
        <w:ilvl w:val="3"/>
      </w:numPr>
      <w:spacing w:before="100" w:beforeAutospacing="1" w:after="100" w:afterAutospacing="1" w:line="240" w:lineRule="auto"/>
      <w:outlineLvl w:val="3"/>
    </w:pPr>
    <w:rPr>
      <w:rFonts w:cs="Times New Roman"/>
      <w:bCs w:val="0"/>
    </w:rPr>
  </w:style>
  <w:style w:type="paragraph" w:styleId="Heading5">
    <w:name w:val="heading 5"/>
    <w:basedOn w:val="Normal"/>
    <w:next w:val="Normal"/>
    <w:link w:val="Heading5Char"/>
    <w:uiPriority w:val="9"/>
    <w:semiHidden/>
    <w:unhideWhenUsed/>
    <w:qFormat/>
    <w:rsid w:val="00B1142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0C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0C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0CF"/>
    <w:rPr>
      <w:rFonts w:eastAsiaTheme="majorEastAsia" w:cstheme="majorBidi"/>
      <w:b/>
      <w:bCs/>
      <w:sz w:val="24"/>
      <w:szCs w:val="32"/>
      <w:lang w:eastAsia="en-GB"/>
    </w:rPr>
  </w:style>
  <w:style w:type="character" w:customStyle="1" w:styleId="Heading2Char">
    <w:name w:val="Heading 2 Char"/>
    <w:basedOn w:val="DefaultParagraphFont"/>
    <w:link w:val="Heading2"/>
    <w:uiPriority w:val="9"/>
    <w:rsid w:val="00F460CF"/>
    <w:rPr>
      <w:rFonts w:eastAsia="Times New Roman" w:cstheme="majorBidi"/>
      <w:b/>
      <w:bCs/>
      <w:sz w:val="24"/>
      <w:szCs w:val="26"/>
      <w:lang w:eastAsia="en-GB"/>
    </w:rPr>
  </w:style>
  <w:style w:type="character" w:customStyle="1" w:styleId="Heading3Char">
    <w:name w:val="Heading 3 Char"/>
    <w:basedOn w:val="DefaultParagraphFont"/>
    <w:link w:val="Heading3"/>
    <w:uiPriority w:val="9"/>
    <w:rsid w:val="00F460CF"/>
    <w:rPr>
      <w:rFonts w:eastAsiaTheme="majorEastAsia" w:cs="Arial"/>
      <w:b/>
      <w:bCs/>
      <w:sz w:val="24"/>
      <w:szCs w:val="20"/>
      <w:lang w:eastAsia="en-GB"/>
    </w:rPr>
  </w:style>
  <w:style w:type="character" w:customStyle="1" w:styleId="Heading4Char">
    <w:name w:val="Heading 4 Char"/>
    <w:basedOn w:val="DefaultParagraphFont"/>
    <w:link w:val="Heading4"/>
    <w:uiPriority w:val="9"/>
    <w:rsid w:val="00F460CF"/>
    <w:rPr>
      <w:rFonts w:eastAsiaTheme="majorEastAsia" w:cs="Times New Roman"/>
      <w:b/>
      <w:sz w:val="24"/>
      <w:szCs w:val="20"/>
      <w:lang w:eastAsia="en-GB"/>
    </w:rPr>
  </w:style>
  <w:style w:type="character" w:customStyle="1" w:styleId="Heading6Char">
    <w:name w:val="Heading 6 Char"/>
    <w:basedOn w:val="DefaultParagraphFont"/>
    <w:link w:val="Heading6"/>
    <w:uiPriority w:val="9"/>
    <w:semiHidden/>
    <w:rsid w:val="00F460CF"/>
    <w:rPr>
      <w:rFonts w:asciiTheme="majorHAnsi" w:eastAsiaTheme="majorEastAsia" w:hAnsiTheme="majorHAnsi" w:cstheme="majorBidi"/>
      <w:bCs/>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F460CF"/>
    <w:rPr>
      <w:rFonts w:asciiTheme="majorHAnsi" w:eastAsiaTheme="majorEastAsia" w:hAnsiTheme="majorHAnsi" w:cstheme="majorBidi"/>
      <w:bCs/>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F460CF"/>
    <w:rPr>
      <w:rFonts w:asciiTheme="majorHAnsi" w:eastAsiaTheme="majorEastAsia" w:hAnsiTheme="majorHAnsi" w:cstheme="majorBidi"/>
      <w:bCs/>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460CF"/>
    <w:rPr>
      <w:rFonts w:asciiTheme="majorHAnsi" w:eastAsiaTheme="majorEastAsia" w:hAnsiTheme="majorHAnsi" w:cstheme="majorBidi"/>
      <w:bCs/>
      <w:i/>
      <w:iCs/>
      <w:color w:val="272727" w:themeColor="text1" w:themeTint="D8"/>
      <w:sz w:val="21"/>
      <w:szCs w:val="21"/>
      <w:lang w:eastAsia="en-GB"/>
    </w:rPr>
  </w:style>
  <w:style w:type="paragraph" w:styleId="Caption">
    <w:name w:val="caption"/>
    <w:basedOn w:val="Normal"/>
    <w:next w:val="Normal"/>
    <w:uiPriority w:val="35"/>
    <w:unhideWhenUsed/>
    <w:qFormat/>
    <w:rsid w:val="00F460CF"/>
    <w:pPr>
      <w:spacing w:after="200" w:line="240" w:lineRule="auto"/>
    </w:pPr>
    <w:rPr>
      <w:iCs/>
      <w:sz w:val="18"/>
      <w:szCs w:val="18"/>
    </w:rPr>
  </w:style>
  <w:style w:type="paragraph" w:styleId="Footer">
    <w:name w:val="footer"/>
    <w:basedOn w:val="Normal"/>
    <w:link w:val="FooterChar"/>
    <w:uiPriority w:val="99"/>
    <w:unhideWhenUsed/>
    <w:rsid w:val="00F460CF"/>
    <w:pPr>
      <w:tabs>
        <w:tab w:val="center" w:pos="4513"/>
        <w:tab w:val="right" w:pos="9026"/>
      </w:tabs>
      <w:spacing w:line="240" w:lineRule="auto"/>
    </w:pPr>
  </w:style>
  <w:style w:type="character" w:customStyle="1" w:styleId="FooterChar">
    <w:name w:val="Footer Char"/>
    <w:basedOn w:val="DefaultParagraphFont"/>
    <w:link w:val="Footer"/>
    <w:uiPriority w:val="99"/>
    <w:rsid w:val="00F460CF"/>
    <w:rPr>
      <w:rFonts w:eastAsia="Times New Roman" w:cs="Arial"/>
      <w:bCs/>
      <w:sz w:val="24"/>
      <w:szCs w:val="24"/>
      <w:lang w:eastAsia="en-GB"/>
    </w:rPr>
  </w:style>
  <w:style w:type="character" w:styleId="LineNumber">
    <w:name w:val="line number"/>
    <w:basedOn w:val="DefaultParagraphFont"/>
    <w:uiPriority w:val="99"/>
    <w:semiHidden/>
    <w:unhideWhenUsed/>
    <w:rsid w:val="00F460CF"/>
  </w:style>
  <w:style w:type="paragraph" w:styleId="Header">
    <w:name w:val="header"/>
    <w:basedOn w:val="Normal"/>
    <w:link w:val="HeaderChar"/>
    <w:uiPriority w:val="99"/>
    <w:unhideWhenUsed/>
    <w:rsid w:val="00F460CF"/>
    <w:pPr>
      <w:tabs>
        <w:tab w:val="center" w:pos="4513"/>
        <w:tab w:val="right" w:pos="9026"/>
      </w:tabs>
      <w:spacing w:line="240" w:lineRule="auto"/>
    </w:pPr>
  </w:style>
  <w:style w:type="character" w:customStyle="1" w:styleId="HeaderChar">
    <w:name w:val="Header Char"/>
    <w:basedOn w:val="DefaultParagraphFont"/>
    <w:link w:val="Header"/>
    <w:uiPriority w:val="99"/>
    <w:rsid w:val="00F460CF"/>
    <w:rPr>
      <w:rFonts w:eastAsia="Times New Roman" w:cs="Arial"/>
      <w:bCs/>
      <w:sz w:val="24"/>
      <w:szCs w:val="24"/>
      <w:lang w:eastAsia="en-GB"/>
    </w:rPr>
  </w:style>
  <w:style w:type="character" w:styleId="CommentReference">
    <w:name w:val="annotation reference"/>
    <w:basedOn w:val="DefaultParagraphFont"/>
    <w:uiPriority w:val="99"/>
    <w:semiHidden/>
    <w:unhideWhenUsed/>
    <w:rsid w:val="000E0BC5"/>
    <w:rPr>
      <w:sz w:val="16"/>
      <w:szCs w:val="16"/>
    </w:rPr>
  </w:style>
  <w:style w:type="paragraph" w:styleId="CommentText">
    <w:name w:val="annotation text"/>
    <w:basedOn w:val="Normal"/>
    <w:link w:val="CommentTextChar"/>
    <w:uiPriority w:val="99"/>
    <w:semiHidden/>
    <w:unhideWhenUsed/>
    <w:rsid w:val="000E0BC5"/>
    <w:pPr>
      <w:spacing w:line="240" w:lineRule="auto"/>
    </w:pPr>
    <w:rPr>
      <w:sz w:val="20"/>
      <w:szCs w:val="20"/>
    </w:rPr>
  </w:style>
  <w:style w:type="character" w:customStyle="1" w:styleId="CommentTextChar">
    <w:name w:val="Comment Text Char"/>
    <w:basedOn w:val="DefaultParagraphFont"/>
    <w:link w:val="CommentText"/>
    <w:uiPriority w:val="99"/>
    <w:semiHidden/>
    <w:rsid w:val="000E0BC5"/>
    <w:rPr>
      <w:rFonts w:eastAsia="Times New Roman" w:cs="Arial"/>
      <w:bCs/>
      <w:sz w:val="20"/>
      <w:szCs w:val="20"/>
      <w:lang w:eastAsia="en-GB"/>
    </w:rPr>
  </w:style>
  <w:style w:type="paragraph" w:styleId="CommentSubject">
    <w:name w:val="annotation subject"/>
    <w:basedOn w:val="CommentText"/>
    <w:next w:val="CommentText"/>
    <w:link w:val="CommentSubjectChar"/>
    <w:uiPriority w:val="99"/>
    <w:semiHidden/>
    <w:unhideWhenUsed/>
    <w:rsid w:val="000E0BC5"/>
    <w:rPr>
      <w:b/>
    </w:rPr>
  </w:style>
  <w:style w:type="character" w:customStyle="1" w:styleId="CommentSubjectChar">
    <w:name w:val="Comment Subject Char"/>
    <w:basedOn w:val="CommentTextChar"/>
    <w:link w:val="CommentSubject"/>
    <w:uiPriority w:val="99"/>
    <w:semiHidden/>
    <w:rsid w:val="000E0BC5"/>
    <w:rPr>
      <w:rFonts w:eastAsia="Times New Roman" w:cs="Arial"/>
      <w:b/>
      <w:bCs/>
      <w:sz w:val="20"/>
      <w:szCs w:val="20"/>
      <w:lang w:eastAsia="en-GB"/>
    </w:rPr>
  </w:style>
  <w:style w:type="paragraph" w:styleId="Revision">
    <w:name w:val="Revision"/>
    <w:hidden/>
    <w:uiPriority w:val="99"/>
    <w:semiHidden/>
    <w:rsid w:val="000E0BC5"/>
    <w:pPr>
      <w:spacing w:after="0" w:line="240" w:lineRule="auto"/>
    </w:pPr>
    <w:rPr>
      <w:rFonts w:eastAsia="Times New Roman" w:cs="Arial"/>
      <w:bCs/>
      <w:sz w:val="24"/>
      <w:szCs w:val="24"/>
      <w:lang w:eastAsia="en-GB"/>
    </w:rPr>
  </w:style>
  <w:style w:type="paragraph" w:styleId="BalloonText">
    <w:name w:val="Balloon Text"/>
    <w:basedOn w:val="Normal"/>
    <w:link w:val="BalloonTextChar"/>
    <w:uiPriority w:val="99"/>
    <w:semiHidden/>
    <w:unhideWhenUsed/>
    <w:rsid w:val="000E0B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C5"/>
    <w:rPr>
      <w:rFonts w:ascii="Segoe UI" w:eastAsia="Times New Roman" w:hAnsi="Segoe UI" w:cs="Segoe UI"/>
      <w:bCs/>
      <w:sz w:val="18"/>
      <w:szCs w:val="18"/>
      <w:lang w:eastAsia="en-GB"/>
    </w:rPr>
  </w:style>
  <w:style w:type="character" w:styleId="Hyperlink">
    <w:name w:val="Hyperlink"/>
    <w:basedOn w:val="DefaultParagraphFont"/>
    <w:uiPriority w:val="99"/>
    <w:unhideWhenUsed/>
    <w:rsid w:val="000B10BD"/>
    <w:rPr>
      <w:color w:val="0563C1" w:themeColor="hyperlink"/>
      <w:u w:val="single"/>
    </w:rPr>
  </w:style>
  <w:style w:type="character" w:customStyle="1" w:styleId="st">
    <w:name w:val="st"/>
    <w:basedOn w:val="DefaultParagraphFont"/>
    <w:rsid w:val="000B10BD"/>
  </w:style>
  <w:style w:type="character" w:customStyle="1" w:styleId="Heading5Char">
    <w:name w:val="Heading 5 Char"/>
    <w:basedOn w:val="DefaultParagraphFont"/>
    <w:link w:val="Heading5"/>
    <w:uiPriority w:val="9"/>
    <w:semiHidden/>
    <w:rsid w:val="00B11424"/>
    <w:rPr>
      <w:rFonts w:asciiTheme="majorHAnsi" w:eastAsiaTheme="majorEastAsia" w:hAnsiTheme="majorHAnsi" w:cstheme="majorBidi"/>
      <w:bCs/>
      <w:color w:val="2E74B5" w:themeColor="accent1" w:themeShade="BF"/>
      <w:sz w:val="24"/>
      <w:szCs w:val="24"/>
      <w:lang w:eastAsia="en-GB"/>
    </w:rPr>
  </w:style>
  <w:style w:type="character" w:customStyle="1" w:styleId="ilfuvd">
    <w:name w:val="ilfuvd"/>
    <w:basedOn w:val="DefaultParagraphFont"/>
    <w:rsid w:val="00B11424"/>
  </w:style>
  <w:style w:type="table" w:styleId="TableGrid">
    <w:name w:val="Table Grid"/>
    <w:basedOn w:val="TableNormal"/>
    <w:uiPriority w:val="39"/>
    <w:rsid w:val="00B1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aser@rhul.ac.uk"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tb.cgiar.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CF4D-3033-42CB-8611-6763D3E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31184</Words>
  <Characters>177754</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Drapal</dc:creator>
  <cp:keywords/>
  <dc:description/>
  <cp:lastModifiedBy>Margit Drapal</cp:lastModifiedBy>
  <cp:revision>11</cp:revision>
  <dcterms:created xsi:type="dcterms:W3CDTF">2020-05-06T11:44:00Z</dcterms:created>
  <dcterms:modified xsi:type="dcterms:W3CDTF">2020-05-14T10:48:00Z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db8f4ba8-a498-38bd-894a-407e94982754</vt:lpwstr>
  </property>
  <property fmtid="{D5CDD505-2E9C-101B-9397-08002B2CF9AE}" pid="4" name="Mendeley Citation Style_1">
    <vt:lpwstr>http://www.zotero.org/styles/the-plant-journal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http://www.zotero.org/styles/the-plant-journal</vt:lpwstr>
  </property>
  <property fmtid="{D5CDD505-2E9C-101B-9397-08002B2CF9AE}" pid="24" name="Mendeley Recent Style Name 9_1">
    <vt:lpwstr>The Plant Journal</vt:lpwstr>
  </property>
</Properties>
</file>