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CD951" w14:textId="77777777" w:rsidR="00BF29C6" w:rsidRPr="004112B0" w:rsidRDefault="00BF29C6" w:rsidP="00BF29C6">
      <w:pPr>
        <w:spacing w:line="360" w:lineRule="auto"/>
        <w:rPr>
          <w:rFonts w:ascii="Times New Roman" w:hAnsi="Times New Roman" w:cs="Times New Roman"/>
          <w:b/>
          <w:sz w:val="28"/>
          <w:szCs w:val="28"/>
        </w:rPr>
      </w:pPr>
      <w:r w:rsidRPr="004112B0">
        <w:rPr>
          <w:rFonts w:ascii="Times New Roman" w:hAnsi="Times New Roman" w:cs="Times New Roman"/>
          <w:b/>
          <w:sz w:val="28"/>
          <w:szCs w:val="28"/>
        </w:rPr>
        <w:t>Human secu</w:t>
      </w:r>
      <w:bookmarkStart w:id="0" w:name="_GoBack"/>
      <w:bookmarkEnd w:id="0"/>
      <w:r w:rsidRPr="004112B0">
        <w:rPr>
          <w:rFonts w:ascii="Times New Roman" w:hAnsi="Times New Roman" w:cs="Times New Roman"/>
          <w:b/>
          <w:sz w:val="28"/>
          <w:szCs w:val="28"/>
        </w:rPr>
        <w:t>rity and the stabilization mandate of MINUSCA</w:t>
      </w:r>
    </w:p>
    <w:p w14:paraId="7359C23A" w14:textId="77777777" w:rsidR="00BF29C6" w:rsidRPr="004112B0" w:rsidRDefault="00BF29C6" w:rsidP="00BF29C6">
      <w:pPr>
        <w:rPr>
          <w:rFonts w:ascii="Times New Roman" w:hAnsi="Times New Roman" w:cs="Times New Roman"/>
          <w:b/>
          <w:sz w:val="22"/>
          <w:szCs w:val="22"/>
        </w:rPr>
      </w:pPr>
    </w:p>
    <w:p w14:paraId="557D280D" w14:textId="7A9FEDAF" w:rsidR="00BF29C6" w:rsidRPr="004112B0" w:rsidRDefault="001B7546" w:rsidP="00BF29C6">
      <w:pPr>
        <w:spacing w:line="360" w:lineRule="auto"/>
        <w:rPr>
          <w:rFonts w:ascii="Times New Roman" w:hAnsi="Times New Roman" w:cs="Times New Roman"/>
          <w:sz w:val="22"/>
          <w:szCs w:val="22"/>
        </w:rPr>
      </w:pPr>
      <w:r>
        <w:rPr>
          <w:rFonts w:ascii="Times New Roman" w:hAnsi="Times New Roman" w:cs="Times New Roman"/>
          <w:sz w:val="22"/>
          <w:szCs w:val="22"/>
        </w:rPr>
        <w:t>Alexander Gilder</w:t>
      </w:r>
    </w:p>
    <w:p w14:paraId="3D7653AA" w14:textId="4B51BD76" w:rsidR="00BF29C6" w:rsidRPr="004112B0" w:rsidRDefault="00905646" w:rsidP="00BF29C6">
      <w:pPr>
        <w:spacing w:line="360" w:lineRule="auto"/>
        <w:rPr>
          <w:rFonts w:ascii="Times New Roman" w:hAnsi="Times New Roman" w:cs="Times New Roman"/>
          <w:i/>
          <w:sz w:val="22"/>
          <w:szCs w:val="22"/>
        </w:rPr>
      </w:pPr>
      <w:r>
        <w:rPr>
          <w:rFonts w:ascii="Times New Roman" w:hAnsi="Times New Roman" w:cs="Times New Roman"/>
          <w:i/>
          <w:sz w:val="22"/>
          <w:szCs w:val="22"/>
        </w:rPr>
        <w:t xml:space="preserve">Department of Law and Criminology, </w:t>
      </w:r>
      <w:r w:rsidR="00BF29C6" w:rsidRPr="004112B0">
        <w:rPr>
          <w:rFonts w:ascii="Times New Roman" w:hAnsi="Times New Roman" w:cs="Times New Roman"/>
          <w:i/>
          <w:sz w:val="22"/>
          <w:szCs w:val="22"/>
        </w:rPr>
        <w:t>Royal Holloway, University of London, UK</w:t>
      </w:r>
    </w:p>
    <w:p w14:paraId="01F8E02B" w14:textId="77777777" w:rsidR="007C271A" w:rsidRPr="007C271A" w:rsidRDefault="007C271A" w:rsidP="004A245A">
      <w:pPr>
        <w:rPr>
          <w:rFonts w:ascii="Times New Roman" w:hAnsi="Times New Roman" w:cs="Times New Roman"/>
          <w:sz w:val="22"/>
          <w:szCs w:val="22"/>
          <w:vertAlign w:val="superscript"/>
        </w:rPr>
      </w:pPr>
    </w:p>
    <w:p w14:paraId="436D3227" w14:textId="053F320F" w:rsidR="0052710D" w:rsidRPr="007C271A" w:rsidRDefault="0052710D" w:rsidP="0052710D">
      <w:pPr>
        <w:spacing w:line="360" w:lineRule="auto"/>
        <w:rPr>
          <w:rFonts w:ascii="Times New Roman" w:hAnsi="Times New Roman" w:cs="Times New Roman"/>
          <w:b/>
          <w:sz w:val="22"/>
          <w:szCs w:val="22"/>
        </w:rPr>
      </w:pPr>
      <w:r w:rsidRPr="007C271A">
        <w:rPr>
          <w:rFonts w:ascii="Times New Roman" w:hAnsi="Times New Roman" w:cs="Times New Roman"/>
          <w:b/>
          <w:sz w:val="22"/>
          <w:szCs w:val="22"/>
        </w:rPr>
        <w:t>Abstract</w:t>
      </w:r>
    </w:p>
    <w:p w14:paraId="741B8480" w14:textId="45252497" w:rsidR="00594830" w:rsidRPr="007C271A" w:rsidRDefault="00D91AA5" w:rsidP="00566D3A">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This article looks narrowly at whether a </w:t>
      </w:r>
      <w:r w:rsidR="00EA00A3" w:rsidRPr="007C271A">
        <w:rPr>
          <w:rFonts w:ascii="Times New Roman" w:hAnsi="Times New Roman" w:cs="Times New Roman"/>
          <w:sz w:val="22"/>
          <w:szCs w:val="22"/>
        </w:rPr>
        <w:t>‘</w:t>
      </w:r>
      <w:r w:rsidRPr="007C271A">
        <w:rPr>
          <w:rFonts w:ascii="Times New Roman" w:hAnsi="Times New Roman" w:cs="Times New Roman"/>
          <w:sz w:val="22"/>
          <w:szCs w:val="22"/>
        </w:rPr>
        <w:t>human security</w:t>
      </w:r>
      <w:r w:rsidR="00EA00A3" w:rsidRPr="007C271A">
        <w:rPr>
          <w:rFonts w:ascii="Times New Roman" w:hAnsi="Times New Roman" w:cs="Times New Roman"/>
          <w:sz w:val="22"/>
          <w:szCs w:val="22"/>
        </w:rPr>
        <w:t>’</w:t>
      </w:r>
      <w:r w:rsidRPr="007C271A">
        <w:rPr>
          <w:rFonts w:ascii="Times New Roman" w:hAnsi="Times New Roman" w:cs="Times New Roman"/>
          <w:sz w:val="22"/>
          <w:szCs w:val="22"/>
        </w:rPr>
        <w:t xml:space="preserve"> approach can be seen in a UN peace operation that pursues stabilization, namely the United Nations Multidimensional Integrated Stabilization Mission in the Central African Republic (MINUSCA). The UN’s interpretation of stabilization has not been expressly set out, but stabilization missions typically work alongside the host state to extend </w:t>
      </w:r>
      <w:r w:rsidR="007C7562" w:rsidRPr="007C271A">
        <w:rPr>
          <w:rFonts w:ascii="Times New Roman" w:hAnsi="Times New Roman" w:cs="Times New Roman"/>
          <w:sz w:val="22"/>
          <w:szCs w:val="22"/>
        </w:rPr>
        <w:t xml:space="preserve">state </w:t>
      </w:r>
      <w:r w:rsidRPr="007C271A">
        <w:rPr>
          <w:rFonts w:ascii="Times New Roman" w:hAnsi="Times New Roman" w:cs="Times New Roman"/>
          <w:sz w:val="22"/>
          <w:szCs w:val="22"/>
        </w:rPr>
        <w:t xml:space="preserve">authority and use robust force to counter spoilers. Human security is a concept which is rights-based, promotes </w:t>
      </w:r>
      <w:r w:rsidR="00594830" w:rsidRPr="007C271A">
        <w:rPr>
          <w:rFonts w:ascii="Times New Roman" w:hAnsi="Times New Roman" w:cs="Times New Roman"/>
          <w:sz w:val="22"/>
          <w:szCs w:val="22"/>
        </w:rPr>
        <w:t>the</w:t>
      </w:r>
      <w:r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vital core</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 xml:space="preserve">, has a concern for vulnerability, utilises </w:t>
      </w:r>
      <w:r w:rsidR="00EA00A3" w:rsidRPr="007C271A">
        <w:rPr>
          <w:rFonts w:ascii="Times New Roman" w:hAnsi="Times New Roman" w:cs="Times New Roman"/>
          <w:sz w:val="22"/>
          <w:szCs w:val="22"/>
        </w:rPr>
        <w:t xml:space="preserve">preventative </w:t>
      </w:r>
      <w:r w:rsidRPr="007C271A">
        <w:rPr>
          <w:rFonts w:ascii="Times New Roman" w:hAnsi="Times New Roman" w:cs="Times New Roman"/>
          <w:sz w:val="22"/>
          <w:szCs w:val="22"/>
        </w:rPr>
        <w:t>protection</w:t>
      </w:r>
      <w:r w:rsidR="00EA00A3" w:rsidRPr="007C271A">
        <w:rPr>
          <w:rFonts w:ascii="Times New Roman" w:hAnsi="Times New Roman" w:cs="Times New Roman"/>
          <w:sz w:val="22"/>
          <w:szCs w:val="22"/>
        </w:rPr>
        <w:t xml:space="preserve"> methods,</w:t>
      </w:r>
      <w:r w:rsidRPr="007C271A">
        <w:rPr>
          <w:rFonts w:ascii="Times New Roman" w:hAnsi="Times New Roman" w:cs="Times New Roman"/>
          <w:sz w:val="22"/>
          <w:szCs w:val="22"/>
        </w:rPr>
        <w:t xml:space="preserve"> and </w:t>
      </w:r>
      <w:r w:rsidR="00EA00A3" w:rsidRPr="007C271A">
        <w:rPr>
          <w:rFonts w:ascii="Times New Roman" w:hAnsi="Times New Roman" w:cs="Times New Roman"/>
          <w:sz w:val="22"/>
          <w:szCs w:val="22"/>
        </w:rPr>
        <w:t>empowers local persons to have agency in the peace process.</w:t>
      </w:r>
      <w:r w:rsidRPr="007C271A">
        <w:rPr>
          <w:rFonts w:ascii="Times New Roman" w:hAnsi="Times New Roman" w:cs="Times New Roman"/>
          <w:sz w:val="22"/>
          <w:szCs w:val="22"/>
        </w:rPr>
        <w:t xml:space="preserve"> Attempts have been made to institutionalise and mainstream human security practices within the UN</w:t>
      </w:r>
      <w:r w:rsidR="007C7562"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An analytical framework of human security is outlined in this article and used to assess to what extent the mandate of MINUSCA pursues human security-based goals.</w:t>
      </w:r>
      <w:r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A</w:t>
      </w:r>
      <w:r w:rsidRPr="007C271A">
        <w:rPr>
          <w:rFonts w:ascii="Times New Roman" w:hAnsi="Times New Roman" w:cs="Times New Roman"/>
          <w:sz w:val="22"/>
          <w:szCs w:val="22"/>
        </w:rPr>
        <w:t xml:space="preserve">n extensive review of UN documentation looks at the mandate and practice of MINUSCA </w:t>
      </w:r>
      <w:r w:rsidR="00594830" w:rsidRPr="007C271A">
        <w:rPr>
          <w:rFonts w:ascii="Times New Roman" w:hAnsi="Times New Roman" w:cs="Times New Roman"/>
          <w:sz w:val="22"/>
          <w:szCs w:val="22"/>
        </w:rPr>
        <w:t xml:space="preserve">and it is argued that the mission does seek to </w:t>
      </w:r>
      <w:r w:rsidR="00AC6291" w:rsidRPr="007C271A">
        <w:rPr>
          <w:rFonts w:ascii="Times New Roman" w:hAnsi="Times New Roman" w:cs="Times New Roman"/>
          <w:sz w:val="22"/>
          <w:szCs w:val="22"/>
        </w:rPr>
        <w:t>empower</w:t>
      </w:r>
      <w:r w:rsidR="00594830" w:rsidRPr="007C271A">
        <w:rPr>
          <w:rFonts w:ascii="Times New Roman" w:hAnsi="Times New Roman" w:cs="Times New Roman"/>
          <w:sz w:val="22"/>
          <w:szCs w:val="22"/>
        </w:rPr>
        <w:t xml:space="preserve"> local people, engage in a bottom-up manner and entrench the rule of law. The analytical framework also casts light on aspects of the stabilization mandate which are problematic such as militarisation and cooperation with the host state.</w:t>
      </w:r>
    </w:p>
    <w:p w14:paraId="20749708" w14:textId="77777777" w:rsidR="00594830" w:rsidRPr="007C271A" w:rsidRDefault="00594830" w:rsidP="00706FD8">
      <w:pPr>
        <w:spacing w:line="360" w:lineRule="auto"/>
        <w:rPr>
          <w:rFonts w:ascii="Times New Roman" w:hAnsi="Times New Roman" w:cs="Times New Roman"/>
          <w:sz w:val="22"/>
          <w:szCs w:val="22"/>
        </w:rPr>
      </w:pPr>
    </w:p>
    <w:p w14:paraId="363F3A7F" w14:textId="1768D29F" w:rsidR="0052710D" w:rsidRPr="007C271A" w:rsidRDefault="0052710D" w:rsidP="0052710D">
      <w:pPr>
        <w:spacing w:line="360" w:lineRule="auto"/>
        <w:rPr>
          <w:rFonts w:ascii="Times New Roman" w:hAnsi="Times New Roman" w:cs="Times New Roman"/>
          <w:b/>
          <w:sz w:val="22"/>
          <w:szCs w:val="22"/>
        </w:rPr>
      </w:pPr>
      <w:r w:rsidRPr="007C271A">
        <w:rPr>
          <w:rFonts w:ascii="Times New Roman" w:hAnsi="Times New Roman" w:cs="Times New Roman"/>
          <w:b/>
          <w:sz w:val="22"/>
          <w:szCs w:val="22"/>
        </w:rPr>
        <w:t>Keywords</w:t>
      </w:r>
    </w:p>
    <w:p w14:paraId="55D8F18E" w14:textId="1C6AB928" w:rsidR="001B7546" w:rsidRDefault="001F7FF4" w:rsidP="00900051">
      <w:pPr>
        <w:spacing w:line="360" w:lineRule="auto"/>
        <w:rPr>
          <w:rFonts w:ascii="Times New Roman" w:hAnsi="Times New Roman" w:cs="Times New Roman"/>
          <w:sz w:val="22"/>
          <w:szCs w:val="22"/>
        </w:rPr>
      </w:pPr>
      <w:r w:rsidRPr="007C271A">
        <w:rPr>
          <w:rFonts w:ascii="Times New Roman" w:hAnsi="Times New Roman" w:cs="Times New Roman"/>
          <w:sz w:val="22"/>
          <w:szCs w:val="22"/>
        </w:rPr>
        <w:t>H</w:t>
      </w:r>
      <w:r w:rsidR="0052710D" w:rsidRPr="007C271A">
        <w:rPr>
          <w:rFonts w:ascii="Times New Roman" w:hAnsi="Times New Roman" w:cs="Times New Roman"/>
          <w:sz w:val="22"/>
          <w:szCs w:val="22"/>
        </w:rPr>
        <w:t xml:space="preserve">uman security – UN peacekeeping – stabilization – </w:t>
      </w:r>
      <w:r w:rsidR="001516E2" w:rsidRPr="007C271A">
        <w:rPr>
          <w:rFonts w:ascii="Times New Roman" w:hAnsi="Times New Roman" w:cs="Times New Roman"/>
          <w:sz w:val="22"/>
          <w:szCs w:val="22"/>
        </w:rPr>
        <w:t xml:space="preserve">militarization – </w:t>
      </w:r>
      <w:r w:rsidRPr="007C271A">
        <w:rPr>
          <w:rFonts w:ascii="Times New Roman" w:hAnsi="Times New Roman" w:cs="Times New Roman"/>
          <w:sz w:val="22"/>
          <w:szCs w:val="22"/>
        </w:rPr>
        <w:t>Central African Republic</w:t>
      </w:r>
      <w:r w:rsidR="002E5B2C">
        <w:rPr>
          <w:rFonts w:ascii="Times New Roman" w:hAnsi="Times New Roman" w:cs="Times New Roman"/>
          <w:sz w:val="22"/>
          <w:szCs w:val="22"/>
        </w:rPr>
        <w:t xml:space="preserve"> </w:t>
      </w:r>
    </w:p>
    <w:p w14:paraId="5CB9B558" w14:textId="77777777" w:rsidR="001B7546" w:rsidRPr="001B7546" w:rsidRDefault="001B7546" w:rsidP="001B7546">
      <w:pPr>
        <w:rPr>
          <w:rFonts w:ascii="Times New Roman" w:hAnsi="Times New Roman" w:cs="Times New Roman"/>
          <w:sz w:val="22"/>
          <w:szCs w:val="22"/>
        </w:rPr>
      </w:pPr>
    </w:p>
    <w:p w14:paraId="44571D77" w14:textId="05C4BC64" w:rsidR="001B7546" w:rsidRDefault="001B7546" w:rsidP="001B7546">
      <w:pPr>
        <w:rPr>
          <w:rFonts w:ascii="Times New Roman" w:hAnsi="Times New Roman" w:cs="Times New Roman"/>
          <w:sz w:val="22"/>
          <w:szCs w:val="22"/>
        </w:rPr>
      </w:pPr>
    </w:p>
    <w:p w14:paraId="5AF5A96B" w14:textId="57E6722E" w:rsidR="0052710D" w:rsidRPr="007C271A" w:rsidRDefault="0052710D" w:rsidP="0052710D">
      <w:pPr>
        <w:pStyle w:val="ListParagraph"/>
        <w:numPr>
          <w:ilvl w:val="0"/>
          <w:numId w:val="1"/>
        </w:numPr>
        <w:spacing w:line="360" w:lineRule="auto"/>
        <w:jc w:val="both"/>
        <w:rPr>
          <w:rFonts w:ascii="Times New Roman" w:hAnsi="Times New Roman" w:cs="Times New Roman"/>
          <w:b/>
          <w:sz w:val="22"/>
          <w:szCs w:val="22"/>
        </w:rPr>
      </w:pPr>
      <w:r w:rsidRPr="007C271A">
        <w:rPr>
          <w:rFonts w:ascii="Times New Roman" w:hAnsi="Times New Roman" w:cs="Times New Roman"/>
          <w:b/>
          <w:sz w:val="22"/>
          <w:szCs w:val="22"/>
        </w:rPr>
        <w:t>Introduction</w:t>
      </w:r>
    </w:p>
    <w:p w14:paraId="3EB73331" w14:textId="16E14328" w:rsidR="0052710D" w:rsidRPr="007C271A" w:rsidRDefault="0052710D" w:rsidP="00FE3EEF">
      <w:pPr>
        <w:spacing w:line="360" w:lineRule="auto"/>
        <w:ind w:left="360"/>
        <w:jc w:val="both"/>
        <w:rPr>
          <w:rFonts w:ascii="Times New Roman" w:hAnsi="Times New Roman" w:cs="Times New Roman"/>
          <w:b/>
          <w:sz w:val="22"/>
          <w:szCs w:val="22"/>
        </w:rPr>
      </w:pPr>
    </w:p>
    <w:p w14:paraId="1401D682" w14:textId="1BE34B03" w:rsidR="00D72051" w:rsidRPr="007C271A" w:rsidRDefault="00FE3EEF" w:rsidP="00523859">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Over the past two decades there have been numerous attempts to institutionalise the concept of </w:t>
      </w:r>
      <w:r w:rsidR="00EA00A3" w:rsidRPr="007C271A">
        <w:rPr>
          <w:rFonts w:ascii="Times New Roman" w:hAnsi="Times New Roman" w:cs="Times New Roman"/>
          <w:sz w:val="22"/>
          <w:szCs w:val="22"/>
        </w:rPr>
        <w:t>‘</w:t>
      </w:r>
      <w:r w:rsidRPr="007C271A">
        <w:rPr>
          <w:rFonts w:ascii="Times New Roman" w:hAnsi="Times New Roman" w:cs="Times New Roman"/>
          <w:sz w:val="22"/>
          <w:szCs w:val="22"/>
        </w:rPr>
        <w:t>human security</w:t>
      </w:r>
      <w:r w:rsidR="00EA00A3" w:rsidRPr="007C271A">
        <w:rPr>
          <w:rFonts w:ascii="Times New Roman" w:hAnsi="Times New Roman" w:cs="Times New Roman"/>
          <w:sz w:val="22"/>
          <w:szCs w:val="22"/>
        </w:rPr>
        <w:t>’</w:t>
      </w:r>
      <w:r w:rsidRPr="007C271A">
        <w:rPr>
          <w:rFonts w:ascii="Times New Roman" w:hAnsi="Times New Roman" w:cs="Times New Roman"/>
          <w:sz w:val="22"/>
          <w:szCs w:val="22"/>
        </w:rPr>
        <w:t xml:space="preserve"> at the United Nations (UN).</w:t>
      </w:r>
      <w:r w:rsidR="005A1B82" w:rsidRPr="007C271A">
        <w:rPr>
          <w:rStyle w:val="FootnoteReference"/>
          <w:rFonts w:cs="Times New Roman"/>
          <w:szCs w:val="22"/>
        </w:rPr>
        <w:footnoteReference w:id="1"/>
      </w:r>
      <w:r w:rsidRPr="007C271A">
        <w:rPr>
          <w:rFonts w:ascii="Times New Roman" w:hAnsi="Times New Roman" w:cs="Times New Roman"/>
          <w:sz w:val="22"/>
          <w:szCs w:val="22"/>
        </w:rPr>
        <w:t xml:space="preserve"> </w:t>
      </w:r>
      <w:r w:rsidR="00523859" w:rsidRPr="007C271A">
        <w:rPr>
          <w:rFonts w:ascii="Times New Roman" w:hAnsi="Times New Roman" w:cs="Times New Roman"/>
          <w:sz w:val="22"/>
          <w:szCs w:val="22"/>
        </w:rPr>
        <w:t xml:space="preserve">During a similar period, UN peace operations have evolved into a new beast, one which holds the protection of civilians and sustainable, inclusive peace as paramount priorities. </w:t>
      </w:r>
      <w:r w:rsidR="00933443" w:rsidRPr="007C271A">
        <w:rPr>
          <w:rFonts w:ascii="Times New Roman" w:hAnsi="Times New Roman" w:cs="Times New Roman"/>
          <w:sz w:val="22"/>
          <w:szCs w:val="22"/>
        </w:rPr>
        <w:t>More recently though,</w:t>
      </w:r>
      <w:r w:rsidR="00523859" w:rsidRPr="007C271A">
        <w:rPr>
          <w:rFonts w:ascii="Times New Roman" w:hAnsi="Times New Roman" w:cs="Times New Roman"/>
          <w:sz w:val="22"/>
          <w:szCs w:val="22"/>
        </w:rPr>
        <w:t xml:space="preserve"> </w:t>
      </w:r>
      <w:r w:rsidR="00933443" w:rsidRPr="007C271A">
        <w:rPr>
          <w:rFonts w:ascii="Times New Roman" w:hAnsi="Times New Roman" w:cs="Times New Roman"/>
          <w:sz w:val="22"/>
          <w:szCs w:val="22"/>
        </w:rPr>
        <w:t>the Security Council</w:t>
      </w:r>
      <w:r w:rsidR="00523859" w:rsidRPr="007C271A">
        <w:rPr>
          <w:rFonts w:ascii="Times New Roman" w:hAnsi="Times New Roman" w:cs="Times New Roman"/>
          <w:sz w:val="22"/>
          <w:szCs w:val="22"/>
        </w:rPr>
        <w:t xml:space="preserve"> </w:t>
      </w:r>
      <w:r w:rsidR="00933443" w:rsidRPr="007C271A">
        <w:rPr>
          <w:rFonts w:ascii="Times New Roman" w:hAnsi="Times New Roman" w:cs="Times New Roman"/>
          <w:sz w:val="22"/>
          <w:szCs w:val="22"/>
        </w:rPr>
        <w:t xml:space="preserve">has </w:t>
      </w:r>
      <w:r w:rsidR="00523859" w:rsidRPr="007C271A">
        <w:rPr>
          <w:rFonts w:ascii="Times New Roman" w:hAnsi="Times New Roman" w:cs="Times New Roman"/>
          <w:sz w:val="22"/>
          <w:szCs w:val="22"/>
        </w:rPr>
        <w:t xml:space="preserve">further developed a new priority – </w:t>
      </w:r>
      <w:r w:rsidR="00523859" w:rsidRPr="007C271A">
        <w:rPr>
          <w:rFonts w:ascii="Times New Roman" w:hAnsi="Times New Roman" w:cs="Times New Roman"/>
          <w:i/>
          <w:sz w:val="22"/>
          <w:szCs w:val="22"/>
        </w:rPr>
        <w:t>stabilization</w:t>
      </w:r>
      <w:r w:rsidR="00523859" w:rsidRPr="007C271A">
        <w:rPr>
          <w:rFonts w:ascii="Times New Roman" w:hAnsi="Times New Roman" w:cs="Times New Roman"/>
          <w:sz w:val="22"/>
          <w:szCs w:val="22"/>
        </w:rPr>
        <w:t>. Stabilization has not been defined by the UN nor has it been consistently expounded in mission mandates.</w:t>
      </w:r>
      <w:r w:rsidR="00F2655D" w:rsidRPr="007C271A">
        <w:rPr>
          <w:rStyle w:val="FootnoteReference"/>
          <w:rFonts w:cs="Times New Roman"/>
          <w:szCs w:val="22"/>
        </w:rPr>
        <w:footnoteReference w:id="2"/>
      </w:r>
      <w:r w:rsidR="00F2655D" w:rsidRPr="007C271A">
        <w:rPr>
          <w:rFonts w:ascii="Times New Roman" w:hAnsi="Times New Roman" w:cs="Times New Roman"/>
          <w:sz w:val="22"/>
          <w:szCs w:val="22"/>
        </w:rPr>
        <w:t xml:space="preserve"> </w:t>
      </w:r>
      <w:r w:rsidR="00BC4053" w:rsidRPr="007C271A">
        <w:rPr>
          <w:rFonts w:ascii="Times New Roman" w:hAnsi="Times New Roman" w:cs="Times New Roman"/>
          <w:sz w:val="22"/>
          <w:szCs w:val="22"/>
        </w:rPr>
        <w:t xml:space="preserve">In 2015 the </w:t>
      </w:r>
      <w:r w:rsidR="007A2F52" w:rsidRPr="007C271A">
        <w:rPr>
          <w:rFonts w:ascii="Times New Roman" w:hAnsi="Times New Roman" w:cs="Times New Roman"/>
          <w:sz w:val="22"/>
          <w:szCs w:val="22"/>
        </w:rPr>
        <w:t xml:space="preserve">High-Level Independent Panel on Peace Operations </w:t>
      </w:r>
      <w:r w:rsidR="00594830" w:rsidRPr="007C271A">
        <w:rPr>
          <w:rFonts w:ascii="Times New Roman" w:hAnsi="Times New Roman" w:cs="Times New Roman"/>
          <w:sz w:val="22"/>
          <w:szCs w:val="22"/>
        </w:rPr>
        <w:t xml:space="preserve">(HIPPO) </w:t>
      </w:r>
      <w:r w:rsidR="00E64DF0" w:rsidRPr="007C271A">
        <w:rPr>
          <w:rFonts w:ascii="Times New Roman" w:hAnsi="Times New Roman" w:cs="Times New Roman"/>
          <w:sz w:val="22"/>
          <w:szCs w:val="22"/>
        </w:rPr>
        <w:t xml:space="preserve">stated the </w:t>
      </w:r>
      <w:r w:rsidR="00E64DF0" w:rsidRPr="007C271A">
        <w:rPr>
          <w:rFonts w:ascii="Times New Roman" w:hAnsi="Times New Roman" w:cs="Times New Roman"/>
          <w:sz w:val="22"/>
          <w:szCs w:val="22"/>
        </w:rPr>
        <w:lastRenderedPageBreak/>
        <w:t xml:space="preserve">term has a wide range of interpretations and the </w:t>
      </w:r>
      <w:r w:rsidR="00900A8D" w:rsidRPr="007C271A">
        <w:rPr>
          <w:rFonts w:ascii="Times New Roman" w:hAnsi="Times New Roman" w:cs="Times New Roman"/>
          <w:sz w:val="22"/>
          <w:szCs w:val="22"/>
        </w:rPr>
        <w:t>UN’s usage needs clarification.</w:t>
      </w:r>
      <w:r w:rsidR="00900A8D" w:rsidRPr="007C271A">
        <w:rPr>
          <w:rStyle w:val="FootnoteReference"/>
          <w:rFonts w:cs="Times New Roman"/>
          <w:szCs w:val="22"/>
        </w:rPr>
        <w:footnoteReference w:id="3"/>
      </w:r>
      <w:r w:rsidR="00900A8D" w:rsidRPr="007C271A">
        <w:rPr>
          <w:rFonts w:ascii="Times New Roman" w:hAnsi="Times New Roman" w:cs="Times New Roman"/>
          <w:sz w:val="22"/>
          <w:szCs w:val="22"/>
        </w:rPr>
        <w:t xml:space="preserve"> </w:t>
      </w:r>
      <w:r w:rsidR="00342B8E" w:rsidRPr="007C271A">
        <w:rPr>
          <w:rFonts w:ascii="Times New Roman" w:eastAsia="Times New Roman" w:hAnsi="Times New Roman" w:cs="Times New Roman"/>
          <w:sz w:val="22"/>
          <w:szCs w:val="22"/>
        </w:rPr>
        <w:t>The adoption of stabilization has been said to be a ‘</w:t>
      </w:r>
      <w:proofErr w:type="spellStart"/>
      <w:r w:rsidR="00342B8E" w:rsidRPr="007C271A">
        <w:rPr>
          <w:rFonts w:ascii="Times New Roman" w:eastAsia="Times New Roman" w:hAnsi="Times New Roman" w:cs="Times New Roman"/>
          <w:sz w:val="22"/>
          <w:szCs w:val="22"/>
        </w:rPr>
        <w:t>hodge-podge</w:t>
      </w:r>
      <w:proofErr w:type="spellEnd"/>
      <w:r w:rsidR="00342B8E" w:rsidRPr="007C271A">
        <w:rPr>
          <w:rFonts w:ascii="Times New Roman" w:eastAsia="Times New Roman" w:hAnsi="Times New Roman" w:cs="Times New Roman"/>
          <w:sz w:val="22"/>
          <w:szCs w:val="22"/>
        </w:rPr>
        <w:t>’ of words and “</w:t>
      </w:r>
      <w:r w:rsidR="00DA3B69" w:rsidRPr="007C271A">
        <w:rPr>
          <w:rFonts w:ascii="Times New Roman" w:eastAsia="Times New Roman" w:hAnsi="Times New Roman" w:cs="Times New Roman"/>
          <w:sz w:val="22"/>
          <w:szCs w:val="22"/>
        </w:rPr>
        <w:t>[t]</w:t>
      </w:r>
      <w:r w:rsidR="00342B8E" w:rsidRPr="007C271A">
        <w:rPr>
          <w:rFonts w:ascii="Times New Roman" w:eastAsia="Times New Roman" w:hAnsi="Times New Roman" w:cs="Times New Roman"/>
          <w:sz w:val="22"/>
          <w:szCs w:val="22"/>
        </w:rPr>
        <w:t>he danger is that the terminological imprecision surrounding ‘stabilization’ creates a meta-category; full of buzzwords but empty of meaning.”</w:t>
      </w:r>
      <w:r w:rsidR="00342B8E" w:rsidRPr="007C271A">
        <w:rPr>
          <w:rFonts w:ascii="Times New Roman" w:eastAsia="Times New Roman" w:hAnsi="Times New Roman" w:cs="Times New Roman"/>
          <w:sz w:val="22"/>
          <w:szCs w:val="22"/>
          <w:vertAlign w:val="superscript"/>
        </w:rPr>
        <w:footnoteReference w:id="4"/>
      </w:r>
      <w:r w:rsidR="00342B8E" w:rsidRPr="007C271A">
        <w:rPr>
          <w:rFonts w:ascii="Times New Roman" w:eastAsia="Times New Roman" w:hAnsi="Times New Roman" w:cs="Times New Roman"/>
          <w:sz w:val="22"/>
          <w:szCs w:val="22"/>
        </w:rPr>
        <w:t xml:space="preserve"> </w:t>
      </w:r>
      <w:r w:rsidR="00F06C4B" w:rsidRPr="007C271A">
        <w:rPr>
          <w:rFonts w:ascii="Times New Roman" w:hAnsi="Times New Roman" w:cs="Times New Roman"/>
          <w:sz w:val="22"/>
          <w:szCs w:val="22"/>
        </w:rPr>
        <w:t xml:space="preserve">Generally speaking, </w:t>
      </w:r>
      <w:r w:rsidR="00BF043C" w:rsidRPr="007C271A">
        <w:rPr>
          <w:rFonts w:ascii="Times New Roman" w:hAnsi="Times New Roman" w:cs="Times New Roman"/>
          <w:sz w:val="22"/>
          <w:szCs w:val="22"/>
        </w:rPr>
        <w:t xml:space="preserve">UN </w:t>
      </w:r>
      <w:r w:rsidR="00F06C4B" w:rsidRPr="007C271A">
        <w:rPr>
          <w:rFonts w:ascii="Times New Roman" w:hAnsi="Times New Roman" w:cs="Times New Roman"/>
          <w:sz w:val="22"/>
          <w:szCs w:val="22"/>
        </w:rPr>
        <w:t>stabilization missions typically do two things. First, they displace and deter armed groups and, second, undertake peacebuilding activities to entrench state authority and create state legitimacy in the power vacuum left behind.</w:t>
      </w:r>
      <w:r w:rsidR="00CD5475" w:rsidRPr="007C271A">
        <w:rPr>
          <w:rStyle w:val="FootnoteReference"/>
          <w:rFonts w:cs="Times New Roman"/>
          <w:szCs w:val="22"/>
        </w:rPr>
        <w:footnoteReference w:id="5"/>
      </w:r>
      <w:r w:rsidR="00F06C4B" w:rsidRPr="007C271A">
        <w:rPr>
          <w:rFonts w:ascii="Times New Roman" w:hAnsi="Times New Roman" w:cs="Times New Roman"/>
          <w:sz w:val="22"/>
          <w:szCs w:val="22"/>
        </w:rPr>
        <w:t> </w:t>
      </w:r>
      <w:r w:rsidR="00FE3926" w:rsidRPr="007C271A">
        <w:rPr>
          <w:rFonts w:ascii="Times New Roman" w:eastAsia="Times New Roman" w:hAnsi="Times New Roman" w:cs="Times New Roman"/>
          <w:sz w:val="22"/>
          <w:szCs w:val="22"/>
        </w:rPr>
        <w:t xml:space="preserve">Both of these actions are intended to extend state authority, </w:t>
      </w:r>
      <w:r w:rsidR="00BE5975" w:rsidRPr="007C271A">
        <w:rPr>
          <w:rFonts w:ascii="Times New Roman" w:eastAsia="Times New Roman" w:hAnsi="Times New Roman" w:cs="Times New Roman"/>
          <w:sz w:val="22"/>
          <w:szCs w:val="22"/>
        </w:rPr>
        <w:t>with the displacement of</w:t>
      </w:r>
      <w:r w:rsidR="00FE3926" w:rsidRPr="007C271A">
        <w:rPr>
          <w:rFonts w:ascii="Times New Roman" w:eastAsia="Times New Roman" w:hAnsi="Times New Roman" w:cs="Times New Roman"/>
          <w:sz w:val="22"/>
          <w:szCs w:val="22"/>
        </w:rPr>
        <w:t xml:space="preserve"> armed groups </w:t>
      </w:r>
      <w:r w:rsidR="00BE5975" w:rsidRPr="007C271A">
        <w:rPr>
          <w:rFonts w:ascii="Times New Roman" w:eastAsia="Times New Roman" w:hAnsi="Times New Roman" w:cs="Times New Roman"/>
          <w:sz w:val="22"/>
          <w:szCs w:val="22"/>
        </w:rPr>
        <w:t xml:space="preserve">achieved </w:t>
      </w:r>
      <w:r w:rsidR="00FE3926" w:rsidRPr="007C271A">
        <w:rPr>
          <w:rFonts w:ascii="Times New Roman" w:eastAsia="Times New Roman" w:hAnsi="Times New Roman" w:cs="Times New Roman"/>
          <w:sz w:val="22"/>
          <w:szCs w:val="22"/>
        </w:rPr>
        <w:t xml:space="preserve">through </w:t>
      </w:r>
      <w:r w:rsidR="00EA00A3" w:rsidRPr="007C271A">
        <w:rPr>
          <w:rFonts w:ascii="Times New Roman" w:eastAsia="Times New Roman" w:hAnsi="Times New Roman" w:cs="Times New Roman"/>
          <w:sz w:val="22"/>
          <w:szCs w:val="22"/>
        </w:rPr>
        <w:t>the ‘robust’ use of force</w:t>
      </w:r>
      <w:r w:rsidR="00FE3926" w:rsidRPr="007C271A">
        <w:rPr>
          <w:rFonts w:ascii="Times New Roman" w:eastAsia="Times New Roman" w:hAnsi="Times New Roman" w:cs="Times New Roman"/>
          <w:sz w:val="22"/>
          <w:szCs w:val="22"/>
        </w:rPr>
        <w:t xml:space="preserve"> by UN </w:t>
      </w:r>
      <w:r w:rsidR="00EA00A3" w:rsidRPr="007C271A">
        <w:rPr>
          <w:rFonts w:ascii="Times New Roman" w:eastAsia="Times New Roman" w:hAnsi="Times New Roman" w:cs="Times New Roman"/>
          <w:sz w:val="22"/>
          <w:szCs w:val="22"/>
        </w:rPr>
        <w:t>troops</w:t>
      </w:r>
      <w:r w:rsidR="00FE3926" w:rsidRPr="007C271A">
        <w:rPr>
          <w:rFonts w:ascii="Times New Roman" w:eastAsia="Times New Roman" w:hAnsi="Times New Roman" w:cs="Times New Roman"/>
          <w:sz w:val="22"/>
          <w:szCs w:val="22"/>
        </w:rPr>
        <w:t xml:space="preserve"> followed by civilian-led </w:t>
      </w:r>
      <w:r w:rsidR="00EA00A3" w:rsidRPr="007C271A">
        <w:rPr>
          <w:rFonts w:ascii="Times New Roman" w:eastAsia="Times New Roman" w:hAnsi="Times New Roman" w:cs="Times New Roman"/>
          <w:sz w:val="22"/>
          <w:szCs w:val="22"/>
        </w:rPr>
        <w:t xml:space="preserve">peacebuilding </w:t>
      </w:r>
      <w:r w:rsidR="00FE3926" w:rsidRPr="007C271A">
        <w:rPr>
          <w:rFonts w:ascii="Times New Roman" w:eastAsia="Times New Roman" w:hAnsi="Times New Roman" w:cs="Times New Roman"/>
          <w:sz w:val="22"/>
          <w:szCs w:val="22"/>
        </w:rPr>
        <w:t>activities</w:t>
      </w:r>
      <w:r w:rsidR="00642D40" w:rsidRPr="007C271A">
        <w:rPr>
          <w:rFonts w:ascii="Times New Roman" w:hAnsi="Times New Roman" w:cs="Times New Roman"/>
          <w:sz w:val="22"/>
          <w:szCs w:val="22"/>
        </w:rPr>
        <w:t>.</w:t>
      </w:r>
      <w:r w:rsidR="00CD5475" w:rsidRPr="007C271A">
        <w:rPr>
          <w:rStyle w:val="FootnoteReference"/>
          <w:rFonts w:cs="Times New Roman"/>
          <w:szCs w:val="22"/>
        </w:rPr>
        <w:footnoteReference w:id="6"/>
      </w:r>
      <w:r w:rsidR="00642D40" w:rsidRPr="007C271A">
        <w:rPr>
          <w:rFonts w:ascii="Times New Roman" w:hAnsi="Times New Roman" w:cs="Times New Roman"/>
          <w:sz w:val="22"/>
          <w:szCs w:val="22"/>
        </w:rPr>
        <w:t xml:space="preserve"> </w:t>
      </w:r>
    </w:p>
    <w:p w14:paraId="032A47CC" w14:textId="570A8685" w:rsidR="00D72051" w:rsidRPr="007C271A" w:rsidRDefault="000A0E0A" w:rsidP="00D72051">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The question</w:t>
      </w:r>
      <w:r w:rsidR="003D72FB" w:rsidRPr="007C271A">
        <w:rPr>
          <w:rFonts w:ascii="Times New Roman" w:hAnsi="Times New Roman" w:cs="Times New Roman"/>
          <w:sz w:val="22"/>
          <w:szCs w:val="22"/>
        </w:rPr>
        <w:t xml:space="preserve"> this article seeks to answer </w:t>
      </w:r>
      <w:r w:rsidR="00DD4B56" w:rsidRPr="007C271A">
        <w:rPr>
          <w:rFonts w:ascii="Times New Roman" w:hAnsi="Times New Roman" w:cs="Times New Roman"/>
          <w:sz w:val="22"/>
          <w:szCs w:val="22"/>
        </w:rPr>
        <w:t xml:space="preserve">is, </w:t>
      </w:r>
      <w:r w:rsidR="003D72FB" w:rsidRPr="007C271A">
        <w:rPr>
          <w:rFonts w:ascii="Times New Roman" w:hAnsi="Times New Roman" w:cs="Times New Roman"/>
          <w:sz w:val="22"/>
          <w:szCs w:val="22"/>
        </w:rPr>
        <w:t>to what extent do</w:t>
      </w:r>
      <w:r w:rsidR="00E93E25" w:rsidRPr="007C271A">
        <w:rPr>
          <w:rFonts w:ascii="Times New Roman" w:hAnsi="Times New Roman" w:cs="Times New Roman"/>
          <w:sz w:val="22"/>
          <w:szCs w:val="22"/>
        </w:rPr>
        <w:t>es</w:t>
      </w:r>
      <w:r w:rsidR="000D25C4" w:rsidRPr="007C271A">
        <w:rPr>
          <w:rFonts w:ascii="Times New Roman" w:hAnsi="Times New Roman" w:cs="Times New Roman"/>
          <w:sz w:val="22"/>
          <w:szCs w:val="22"/>
        </w:rPr>
        <w:t xml:space="preserve"> </w:t>
      </w:r>
      <w:r w:rsidR="007F37D4" w:rsidRPr="007C271A">
        <w:rPr>
          <w:rFonts w:ascii="Times New Roman" w:hAnsi="Times New Roman" w:cs="Times New Roman"/>
          <w:sz w:val="22"/>
          <w:szCs w:val="22"/>
        </w:rPr>
        <w:t>the</w:t>
      </w:r>
      <w:r w:rsidR="000D25C4" w:rsidRPr="007C271A">
        <w:rPr>
          <w:rFonts w:ascii="Times New Roman" w:hAnsi="Times New Roman" w:cs="Times New Roman"/>
          <w:sz w:val="22"/>
          <w:szCs w:val="22"/>
        </w:rPr>
        <w:t xml:space="preserve"> </w:t>
      </w:r>
      <w:r w:rsidR="003D72FB" w:rsidRPr="007C271A">
        <w:rPr>
          <w:rFonts w:ascii="Times New Roman" w:hAnsi="Times New Roman" w:cs="Times New Roman"/>
          <w:sz w:val="22"/>
          <w:szCs w:val="22"/>
        </w:rPr>
        <w:t xml:space="preserve">stabilization </w:t>
      </w:r>
      <w:r w:rsidR="00E93E25" w:rsidRPr="007C271A">
        <w:rPr>
          <w:rFonts w:ascii="Times New Roman" w:hAnsi="Times New Roman" w:cs="Times New Roman"/>
          <w:sz w:val="22"/>
          <w:szCs w:val="22"/>
        </w:rPr>
        <w:t>mandate</w:t>
      </w:r>
      <w:r w:rsidR="007F37D4" w:rsidRPr="007C271A">
        <w:rPr>
          <w:rFonts w:ascii="Times New Roman" w:hAnsi="Times New Roman" w:cs="Times New Roman"/>
          <w:sz w:val="22"/>
          <w:szCs w:val="22"/>
        </w:rPr>
        <w:t xml:space="preserve"> of the United Nations Multidimensional Integrated Stabilization Mission in the Central African Republic (MINUSCA) </w:t>
      </w:r>
      <w:r w:rsidR="00933443" w:rsidRPr="007C271A">
        <w:rPr>
          <w:rFonts w:ascii="Times New Roman" w:hAnsi="Times New Roman" w:cs="Times New Roman"/>
          <w:sz w:val="22"/>
          <w:szCs w:val="22"/>
        </w:rPr>
        <w:t xml:space="preserve">resemble </w:t>
      </w:r>
      <w:r w:rsidR="003D72FB" w:rsidRPr="007C271A">
        <w:rPr>
          <w:rFonts w:ascii="Times New Roman" w:hAnsi="Times New Roman" w:cs="Times New Roman"/>
          <w:sz w:val="22"/>
          <w:szCs w:val="22"/>
        </w:rPr>
        <w:t>a</w:t>
      </w:r>
      <w:r w:rsidR="00CD5475" w:rsidRPr="007C271A">
        <w:rPr>
          <w:rFonts w:ascii="Times New Roman" w:hAnsi="Times New Roman" w:cs="Times New Roman"/>
          <w:sz w:val="22"/>
          <w:szCs w:val="22"/>
        </w:rPr>
        <w:t xml:space="preserve"> human security-based strategy?</w:t>
      </w:r>
      <w:r w:rsidR="00D72051" w:rsidRPr="007C271A">
        <w:rPr>
          <w:rFonts w:ascii="Times New Roman" w:hAnsi="Times New Roman" w:cs="Times New Roman"/>
          <w:sz w:val="22"/>
          <w:szCs w:val="22"/>
        </w:rPr>
        <w:t xml:space="preserve"> </w:t>
      </w:r>
      <w:r w:rsidR="00C7695C" w:rsidRPr="007C271A">
        <w:rPr>
          <w:rFonts w:ascii="Times New Roman" w:hAnsi="Times New Roman" w:cs="Times New Roman"/>
          <w:sz w:val="22"/>
          <w:szCs w:val="22"/>
        </w:rPr>
        <w:t xml:space="preserve">Without </w:t>
      </w:r>
      <w:r w:rsidR="00933443" w:rsidRPr="007C271A">
        <w:rPr>
          <w:rFonts w:ascii="Times New Roman" w:hAnsi="Times New Roman" w:cs="Times New Roman"/>
          <w:sz w:val="22"/>
          <w:szCs w:val="22"/>
        </w:rPr>
        <w:t xml:space="preserve">a </w:t>
      </w:r>
      <w:r w:rsidR="00C7695C" w:rsidRPr="007C271A">
        <w:rPr>
          <w:rFonts w:ascii="Times New Roman" w:hAnsi="Times New Roman" w:cs="Times New Roman"/>
          <w:sz w:val="22"/>
          <w:szCs w:val="22"/>
        </w:rPr>
        <w:t>clear definition</w:t>
      </w:r>
      <w:r w:rsidR="00933443" w:rsidRPr="007C271A">
        <w:rPr>
          <w:rFonts w:ascii="Times New Roman" w:hAnsi="Times New Roman" w:cs="Times New Roman"/>
          <w:sz w:val="22"/>
          <w:szCs w:val="22"/>
        </w:rPr>
        <w:t xml:space="preserve"> it</w:t>
      </w:r>
      <w:r w:rsidR="00D72051" w:rsidRPr="007C271A">
        <w:rPr>
          <w:rFonts w:ascii="Times New Roman" w:hAnsi="Times New Roman" w:cs="Times New Roman"/>
          <w:sz w:val="22"/>
          <w:szCs w:val="22"/>
        </w:rPr>
        <w:t xml:space="preserve"> is important to ascertain what underpins the UN’s approach to stabilization. It may be the case that practices used in a stabilization mission </w:t>
      </w:r>
      <w:r w:rsidR="00594830" w:rsidRPr="007C271A">
        <w:rPr>
          <w:rFonts w:ascii="Times New Roman" w:hAnsi="Times New Roman" w:cs="Times New Roman"/>
          <w:sz w:val="22"/>
          <w:szCs w:val="22"/>
        </w:rPr>
        <w:t>are in fact akin to human security</w:t>
      </w:r>
      <w:r w:rsidR="00D72051" w:rsidRPr="007C271A">
        <w:rPr>
          <w:rFonts w:ascii="Times New Roman" w:hAnsi="Times New Roman" w:cs="Times New Roman"/>
          <w:sz w:val="22"/>
          <w:szCs w:val="22"/>
        </w:rPr>
        <w:t>.</w:t>
      </w:r>
      <w:r w:rsidR="00933443" w:rsidRPr="007C271A">
        <w:rPr>
          <w:rFonts w:ascii="Times New Roman" w:hAnsi="Times New Roman" w:cs="Times New Roman"/>
          <w:sz w:val="22"/>
          <w:szCs w:val="22"/>
        </w:rPr>
        <w:t xml:space="preserve"> </w:t>
      </w:r>
      <w:r w:rsidR="00AA4F7A">
        <w:rPr>
          <w:rFonts w:ascii="Times New Roman" w:hAnsi="Times New Roman" w:cs="Times New Roman"/>
          <w:sz w:val="22"/>
          <w:szCs w:val="22"/>
        </w:rPr>
        <w:t>Human security is an important concept for UN peace operations generally since it seeks to understand the context and nuances of a conflict from the bottom-up which is essential for the effectiveness of a mission.</w:t>
      </w:r>
      <w:r w:rsidR="00AA4F7A">
        <w:rPr>
          <w:rStyle w:val="FootnoteReference"/>
          <w:rFonts w:cs="Times New Roman"/>
          <w:szCs w:val="22"/>
        </w:rPr>
        <w:footnoteReference w:id="7"/>
      </w:r>
      <w:r w:rsidR="00AA4F7A">
        <w:rPr>
          <w:rFonts w:ascii="Times New Roman" w:hAnsi="Times New Roman" w:cs="Times New Roman"/>
          <w:sz w:val="22"/>
          <w:szCs w:val="22"/>
        </w:rPr>
        <w:t xml:space="preserve"> </w:t>
      </w:r>
      <w:r w:rsidR="00933443" w:rsidRPr="007C271A">
        <w:rPr>
          <w:rFonts w:ascii="Times New Roman" w:hAnsi="Times New Roman" w:cs="Times New Roman"/>
          <w:sz w:val="22"/>
          <w:szCs w:val="22"/>
        </w:rPr>
        <w:t>There are</w:t>
      </w:r>
      <w:r w:rsidR="00AA4F7A">
        <w:rPr>
          <w:rFonts w:ascii="Times New Roman" w:hAnsi="Times New Roman" w:cs="Times New Roman"/>
          <w:sz w:val="22"/>
          <w:szCs w:val="22"/>
        </w:rPr>
        <w:t xml:space="preserve"> also</w:t>
      </w:r>
      <w:r w:rsidR="00933443" w:rsidRPr="007C271A">
        <w:rPr>
          <w:rFonts w:ascii="Times New Roman" w:hAnsi="Times New Roman" w:cs="Times New Roman"/>
          <w:sz w:val="22"/>
          <w:szCs w:val="22"/>
        </w:rPr>
        <w:t xml:space="preserve"> temporal reasons for this choice as the </w:t>
      </w:r>
      <w:r w:rsidR="005806ED" w:rsidRPr="007C271A">
        <w:rPr>
          <w:rFonts w:ascii="Times New Roman" w:hAnsi="Times New Roman" w:cs="Times New Roman"/>
          <w:sz w:val="22"/>
          <w:szCs w:val="22"/>
        </w:rPr>
        <w:t xml:space="preserve">development of the </w:t>
      </w:r>
      <w:r w:rsidR="00933443" w:rsidRPr="007C271A">
        <w:rPr>
          <w:rFonts w:ascii="Times New Roman" w:hAnsi="Times New Roman" w:cs="Times New Roman"/>
          <w:sz w:val="22"/>
          <w:szCs w:val="22"/>
        </w:rPr>
        <w:t xml:space="preserve">concept of human security </w:t>
      </w:r>
      <w:r w:rsidR="005806ED" w:rsidRPr="007C271A">
        <w:rPr>
          <w:rFonts w:ascii="Times New Roman" w:hAnsi="Times New Roman" w:cs="Times New Roman"/>
          <w:sz w:val="22"/>
          <w:szCs w:val="22"/>
        </w:rPr>
        <w:t xml:space="preserve">is temporally aligned with the </w:t>
      </w:r>
      <w:r w:rsidR="00594830" w:rsidRPr="007C271A">
        <w:rPr>
          <w:rFonts w:ascii="Times New Roman" w:hAnsi="Times New Roman" w:cs="Times New Roman"/>
          <w:sz w:val="22"/>
          <w:szCs w:val="22"/>
        </w:rPr>
        <w:t>emergence</w:t>
      </w:r>
      <w:r w:rsidR="005806ED" w:rsidRPr="007C271A">
        <w:rPr>
          <w:rFonts w:ascii="Times New Roman" w:hAnsi="Times New Roman" w:cs="Times New Roman"/>
          <w:sz w:val="22"/>
          <w:szCs w:val="22"/>
        </w:rPr>
        <w:t xml:space="preserve"> of peace operations with complex multidimensional activities and the inclusion of </w:t>
      </w:r>
      <w:r w:rsidR="00933443" w:rsidRPr="007C271A">
        <w:rPr>
          <w:rFonts w:ascii="Times New Roman" w:hAnsi="Times New Roman" w:cs="Times New Roman"/>
          <w:sz w:val="22"/>
          <w:szCs w:val="22"/>
        </w:rPr>
        <w:t>protection of civilian (</w:t>
      </w:r>
      <w:proofErr w:type="spellStart"/>
      <w:r w:rsidR="00933443" w:rsidRPr="007C271A">
        <w:rPr>
          <w:rFonts w:ascii="Times New Roman" w:hAnsi="Times New Roman" w:cs="Times New Roman"/>
          <w:sz w:val="22"/>
          <w:szCs w:val="22"/>
        </w:rPr>
        <w:t>PoC</w:t>
      </w:r>
      <w:proofErr w:type="spellEnd"/>
      <w:r w:rsidR="00933443" w:rsidRPr="007C271A">
        <w:rPr>
          <w:rFonts w:ascii="Times New Roman" w:hAnsi="Times New Roman" w:cs="Times New Roman"/>
          <w:sz w:val="22"/>
          <w:szCs w:val="22"/>
        </w:rPr>
        <w:t>) mandates in the early 2000s.</w:t>
      </w:r>
      <w:r w:rsidR="00933443" w:rsidRPr="007C271A">
        <w:rPr>
          <w:rStyle w:val="FootnoteReference"/>
          <w:rFonts w:cs="Times New Roman"/>
          <w:szCs w:val="22"/>
        </w:rPr>
        <w:footnoteReference w:id="8"/>
      </w:r>
      <w:r w:rsidR="00933443" w:rsidRPr="007C271A">
        <w:rPr>
          <w:rFonts w:ascii="Times New Roman" w:hAnsi="Times New Roman" w:cs="Times New Roman"/>
          <w:sz w:val="22"/>
          <w:szCs w:val="22"/>
        </w:rPr>
        <w:t xml:space="preserve"> </w:t>
      </w:r>
      <w:r w:rsidR="00CC3A1A">
        <w:rPr>
          <w:rFonts w:ascii="Times New Roman" w:hAnsi="Times New Roman" w:cs="Times New Roman"/>
          <w:sz w:val="22"/>
          <w:szCs w:val="22"/>
        </w:rPr>
        <w:t>More recently</w:t>
      </w:r>
      <w:r w:rsidR="00933443" w:rsidRPr="007C271A">
        <w:rPr>
          <w:rFonts w:ascii="Times New Roman" w:hAnsi="Times New Roman" w:cs="Times New Roman"/>
          <w:sz w:val="22"/>
          <w:szCs w:val="22"/>
        </w:rPr>
        <w:t xml:space="preserve">, stabilization has begun to take a more ‘robust’ approach to </w:t>
      </w:r>
      <w:proofErr w:type="spellStart"/>
      <w:r w:rsidR="00933443" w:rsidRPr="007C271A">
        <w:rPr>
          <w:rFonts w:ascii="Times New Roman" w:hAnsi="Times New Roman" w:cs="Times New Roman"/>
          <w:sz w:val="22"/>
          <w:szCs w:val="22"/>
        </w:rPr>
        <w:t>PoC</w:t>
      </w:r>
      <w:proofErr w:type="spellEnd"/>
      <w:r w:rsidR="00933443" w:rsidRPr="007C271A">
        <w:rPr>
          <w:rFonts w:ascii="Times New Roman" w:hAnsi="Times New Roman" w:cs="Times New Roman"/>
          <w:sz w:val="22"/>
          <w:szCs w:val="22"/>
        </w:rPr>
        <w:t xml:space="preserve"> which may indicate a commitment to human security. </w:t>
      </w:r>
      <w:r w:rsidR="00642D40" w:rsidRPr="007C271A">
        <w:rPr>
          <w:rFonts w:ascii="Times New Roman" w:hAnsi="Times New Roman" w:cs="Times New Roman"/>
          <w:sz w:val="22"/>
          <w:szCs w:val="22"/>
        </w:rPr>
        <w:t xml:space="preserve">This paper argues the human security </w:t>
      </w:r>
      <w:r w:rsidR="007F37D4" w:rsidRPr="007C271A">
        <w:rPr>
          <w:rFonts w:ascii="Times New Roman" w:hAnsi="Times New Roman" w:cs="Times New Roman"/>
          <w:sz w:val="22"/>
          <w:szCs w:val="22"/>
        </w:rPr>
        <w:t xml:space="preserve">concept </w:t>
      </w:r>
      <w:r w:rsidR="00642D40" w:rsidRPr="007C271A">
        <w:rPr>
          <w:rFonts w:ascii="Times New Roman" w:hAnsi="Times New Roman" w:cs="Times New Roman"/>
          <w:sz w:val="22"/>
          <w:szCs w:val="22"/>
        </w:rPr>
        <w:t xml:space="preserve">is based upon </w:t>
      </w:r>
      <w:r w:rsidR="00BD7333" w:rsidRPr="007C271A">
        <w:rPr>
          <w:rFonts w:ascii="Times New Roman" w:hAnsi="Times New Roman" w:cs="Times New Roman"/>
          <w:sz w:val="22"/>
          <w:szCs w:val="22"/>
        </w:rPr>
        <w:t>five principles</w:t>
      </w:r>
      <w:r w:rsidR="00E93E25" w:rsidRPr="007C271A">
        <w:rPr>
          <w:rFonts w:ascii="Times New Roman" w:hAnsi="Times New Roman" w:cs="Times New Roman"/>
          <w:sz w:val="22"/>
          <w:szCs w:val="22"/>
        </w:rPr>
        <w:t xml:space="preserve">; (1) </w:t>
      </w:r>
      <w:r w:rsidR="00BD7333" w:rsidRPr="007C271A">
        <w:rPr>
          <w:rFonts w:ascii="Times New Roman" w:hAnsi="Times New Roman" w:cs="Times New Roman"/>
          <w:sz w:val="22"/>
          <w:szCs w:val="22"/>
        </w:rPr>
        <w:t xml:space="preserve">human rights and the rule of law, </w:t>
      </w:r>
      <w:r w:rsidR="00E93E25" w:rsidRPr="007C271A">
        <w:rPr>
          <w:rFonts w:ascii="Times New Roman" w:hAnsi="Times New Roman" w:cs="Times New Roman"/>
          <w:sz w:val="22"/>
          <w:szCs w:val="22"/>
        </w:rPr>
        <w:t xml:space="preserve">(2) </w:t>
      </w:r>
      <w:r w:rsidR="00AB1CE8" w:rsidRPr="007C271A">
        <w:rPr>
          <w:rFonts w:ascii="Times New Roman" w:hAnsi="Times New Roman" w:cs="Times New Roman"/>
          <w:sz w:val="22"/>
          <w:szCs w:val="22"/>
        </w:rPr>
        <w:t xml:space="preserve">a focus on </w:t>
      </w:r>
      <w:r w:rsidR="00E93E25" w:rsidRPr="007C271A">
        <w:rPr>
          <w:rFonts w:ascii="Times New Roman" w:hAnsi="Times New Roman" w:cs="Times New Roman"/>
          <w:sz w:val="22"/>
          <w:szCs w:val="22"/>
        </w:rPr>
        <w:t>the vital core</w:t>
      </w:r>
      <w:r w:rsidR="00AB1CE8" w:rsidRPr="007C271A">
        <w:rPr>
          <w:rFonts w:ascii="Times New Roman" w:hAnsi="Times New Roman" w:cs="Times New Roman"/>
          <w:sz w:val="22"/>
          <w:szCs w:val="22"/>
        </w:rPr>
        <w:t xml:space="preserve"> identified in a bottom-up manner</w:t>
      </w:r>
      <w:r w:rsidR="00E93E25" w:rsidRPr="007C271A">
        <w:rPr>
          <w:rFonts w:ascii="Times New Roman" w:hAnsi="Times New Roman" w:cs="Times New Roman"/>
          <w:sz w:val="22"/>
          <w:szCs w:val="22"/>
        </w:rPr>
        <w:t xml:space="preserve">, (3) </w:t>
      </w:r>
      <w:r w:rsidR="00AB1CE8" w:rsidRPr="007C271A">
        <w:rPr>
          <w:rFonts w:ascii="Times New Roman" w:hAnsi="Times New Roman" w:cs="Times New Roman"/>
          <w:sz w:val="22"/>
          <w:szCs w:val="22"/>
        </w:rPr>
        <w:t>a concern for vulnerability and building resilience</w:t>
      </w:r>
      <w:r w:rsidR="00E93E25" w:rsidRPr="007C271A">
        <w:rPr>
          <w:rFonts w:ascii="Times New Roman" w:hAnsi="Times New Roman" w:cs="Times New Roman"/>
          <w:sz w:val="22"/>
          <w:szCs w:val="22"/>
        </w:rPr>
        <w:t xml:space="preserve">, (4) </w:t>
      </w:r>
      <w:r w:rsidR="00AB1CE8" w:rsidRPr="007C271A">
        <w:rPr>
          <w:rFonts w:ascii="Times New Roman" w:hAnsi="Times New Roman" w:cs="Times New Roman"/>
          <w:sz w:val="22"/>
          <w:szCs w:val="22"/>
        </w:rPr>
        <w:t xml:space="preserve">preventative protection, </w:t>
      </w:r>
      <w:r w:rsidR="00E93E25" w:rsidRPr="007C271A">
        <w:rPr>
          <w:rFonts w:ascii="Times New Roman" w:hAnsi="Times New Roman" w:cs="Times New Roman"/>
          <w:sz w:val="22"/>
          <w:szCs w:val="22"/>
        </w:rPr>
        <w:t xml:space="preserve">and (5) </w:t>
      </w:r>
      <w:r w:rsidR="00AB1CE8" w:rsidRPr="007C271A">
        <w:rPr>
          <w:rFonts w:ascii="Times New Roman" w:hAnsi="Times New Roman" w:cs="Times New Roman"/>
          <w:sz w:val="22"/>
          <w:szCs w:val="22"/>
        </w:rPr>
        <w:t xml:space="preserve">the empowerment of people </w:t>
      </w:r>
      <w:r w:rsidR="00E93E25" w:rsidRPr="007C271A">
        <w:rPr>
          <w:rFonts w:ascii="Times New Roman" w:hAnsi="Times New Roman" w:cs="Times New Roman"/>
          <w:sz w:val="22"/>
          <w:szCs w:val="22"/>
        </w:rPr>
        <w:t xml:space="preserve">to act on their own behalf and implement solutions to security threats. </w:t>
      </w:r>
    </w:p>
    <w:p w14:paraId="013B16A7" w14:textId="6C3A973E" w:rsidR="00642D40" w:rsidRPr="007C271A" w:rsidRDefault="00D72051" w:rsidP="00CF2001">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The five</w:t>
      </w:r>
      <w:r w:rsidR="00642D40" w:rsidRPr="007C271A">
        <w:rPr>
          <w:rFonts w:ascii="Times New Roman" w:hAnsi="Times New Roman" w:cs="Times New Roman"/>
          <w:sz w:val="22"/>
          <w:szCs w:val="22"/>
        </w:rPr>
        <w:t xml:space="preserve"> principles serve as an analytical framewo</w:t>
      </w:r>
      <w:r w:rsidR="00E93E25" w:rsidRPr="007C271A">
        <w:rPr>
          <w:rFonts w:ascii="Times New Roman" w:hAnsi="Times New Roman" w:cs="Times New Roman"/>
          <w:sz w:val="22"/>
          <w:szCs w:val="22"/>
        </w:rPr>
        <w:t xml:space="preserve">rk to </w:t>
      </w:r>
      <w:r w:rsidR="007F37D4" w:rsidRPr="007C271A">
        <w:rPr>
          <w:rFonts w:ascii="Times New Roman" w:hAnsi="Times New Roman" w:cs="Times New Roman"/>
          <w:sz w:val="22"/>
          <w:szCs w:val="22"/>
        </w:rPr>
        <w:t>be used in the discursive analysis of MINUSCA’s mandate and accompanying reporting</w:t>
      </w:r>
      <w:r w:rsidR="006463E0" w:rsidRPr="007C271A">
        <w:rPr>
          <w:rFonts w:ascii="Times New Roman" w:hAnsi="Times New Roman" w:cs="Times New Roman"/>
          <w:sz w:val="22"/>
          <w:szCs w:val="22"/>
        </w:rPr>
        <w:t xml:space="preserve"> to demonstrate how the UN frames its activities</w:t>
      </w:r>
      <w:r w:rsidR="00E93E25" w:rsidRPr="007C271A">
        <w:rPr>
          <w:rFonts w:ascii="Times New Roman" w:hAnsi="Times New Roman" w:cs="Times New Roman"/>
          <w:sz w:val="22"/>
          <w:szCs w:val="22"/>
        </w:rPr>
        <w:t xml:space="preserve">. </w:t>
      </w:r>
      <w:r w:rsidR="00EA4749" w:rsidRPr="007C271A">
        <w:rPr>
          <w:rFonts w:ascii="Times New Roman" w:hAnsi="Times New Roman" w:cs="Times New Roman"/>
          <w:sz w:val="22"/>
          <w:szCs w:val="22"/>
        </w:rPr>
        <w:t>This analytical framework can serve as a tool to deepen our understanding of mission mandates and explores potential link</w:t>
      </w:r>
      <w:r w:rsidR="00221833" w:rsidRPr="007C271A">
        <w:rPr>
          <w:rFonts w:ascii="Times New Roman" w:hAnsi="Times New Roman" w:cs="Times New Roman"/>
          <w:sz w:val="22"/>
          <w:szCs w:val="22"/>
        </w:rPr>
        <w:t>ages</w:t>
      </w:r>
      <w:r w:rsidR="00EA4749"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 xml:space="preserve">of contemporary peacekeeping practice </w:t>
      </w:r>
      <w:r w:rsidR="00EA4749" w:rsidRPr="007C271A">
        <w:rPr>
          <w:rFonts w:ascii="Times New Roman" w:hAnsi="Times New Roman" w:cs="Times New Roman"/>
          <w:sz w:val="22"/>
          <w:szCs w:val="22"/>
        </w:rPr>
        <w:t xml:space="preserve">with the broad goals </w:t>
      </w:r>
      <w:r w:rsidR="002113A9">
        <w:rPr>
          <w:rFonts w:ascii="Times New Roman" w:hAnsi="Times New Roman" w:cs="Times New Roman"/>
          <w:sz w:val="22"/>
          <w:szCs w:val="22"/>
        </w:rPr>
        <w:t>advanced</w:t>
      </w:r>
      <w:r w:rsidR="00EA4749" w:rsidRPr="007C271A">
        <w:rPr>
          <w:rFonts w:ascii="Times New Roman" w:hAnsi="Times New Roman" w:cs="Times New Roman"/>
          <w:sz w:val="22"/>
          <w:szCs w:val="22"/>
        </w:rPr>
        <w:t xml:space="preserve"> by human security. </w:t>
      </w:r>
      <w:r w:rsidR="002C68C0" w:rsidRPr="007C271A">
        <w:rPr>
          <w:rFonts w:ascii="Times New Roman" w:hAnsi="Times New Roman" w:cs="Times New Roman"/>
          <w:sz w:val="22"/>
          <w:szCs w:val="22"/>
        </w:rPr>
        <w:t>The study is based on an extensive review of public UN documentation and</w:t>
      </w:r>
      <w:r w:rsidR="004500AC" w:rsidRPr="007C271A">
        <w:rPr>
          <w:rFonts w:ascii="Times New Roman" w:hAnsi="Times New Roman" w:cs="Times New Roman"/>
          <w:sz w:val="22"/>
          <w:szCs w:val="22"/>
        </w:rPr>
        <w:t xml:space="preserve"> </w:t>
      </w:r>
      <w:r w:rsidR="002C68C0" w:rsidRPr="007C271A">
        <w:rPr>
          <w:rFonts w:ascii="Times New Roman" w:hAnsi="Times New Roman" w:cs="Times New Roman"/>
          <w:sz w:val="22"/>
          <w:szCs w:val="22"/>
        </w:rPr>
        <w:t xml:space="preserve">therefore </w:t>
      </w:r>
      <w:r w:rsidR="002C68C0" w:rsidRPr="007C271A">
        <w:rPr>
          <w:rFonts w:ascii="Times New Roman" w:hAnsi="Times New Roman" w:cs="Times New Roman"/>
          <w:sz w:val="22"/>
          <w:szCs w:val="22"/>
        </w:rPr>
        <w:lastRenderedPageBreak/>
        <w:t xml:space="preserve">cannot paint the full picture of how the mandate is interpreted and operationalised in practice. </w:t>
      </w:r>
      <w:r w:rsidR="00415A01" w:rsidRPr="007C271A">
        <w:rPr>
          <w:rFonts w:ascii="Times New Roman" w:hAnsi="Times New Roman" w:cs="Times New Roman"/>
          <w:sz w:val="22"/>
          <w:szCs w:val="22"/>
        </w:rPr>
        <w:t>Future research could build on the application of this framework to further assess whether the UN is in fact pursuing a human security-based agenda</w:t>
      </w:r>
      <w:r w:rsidR="00594830" w:rsidRPr="007C271A">
        <w:rPr>
          <w:rFonts w:ascii="Times New Roman" w:hAnsi="Times New Roman" w:cs="Times New Roman"/>
          <w:sz w:val="22"/>
          <w:szCs w:val="22"/>
        </w:rPr>
        <w:t xml:space="preserve"> in the field</w:t>
      </w:r>
      <w:r w:rsidR="00415A01" w:rsidRPr="007C271A">
        <w:rPr>
          <w:rFonts w:ascii="Times New Roman" w:hAnsi="Times New Roman" w:cs="Times New Roman"/>
          <w:sz w:val="22"/>
          <w:szCs w:val="22"/>
        </w:rPr>
        <w:t xml:space="preserve">. </w:t>
      </w:r>
      <w:r w:rsidR="002C68C0" w:rsidRPr="007C271A">
        <w:rPr>
          <w:rFonts w:ascii="Times New Roman" w:hAnsi="Times New Roman" w:cs="Times New Roman"/>
          <w:sz w:val="22"/>
          <w:szCs w:val="22"/>
        </w:rPr>
        <w:t xml:space="preserve">Nevertheless, there are lessons to be learnt from how activities are framed in Security Council meetings and Secretary-General reporting, for instance, and whether they embody the operationalisation of human security. </w:t>
      </w:r>
      <w:r w:rsidR="00AC6291">
        <w:rPr>
          <w:rFonts w:ascii="Times New Roman" w:hAnsi="Times New Roman" w:cs="Times New Roman"/>
          <w:sz w:val="22"/>
          <w:szCs w:val="22"/>
        </w:rPr>
        <w:t xml:space="preserve">The article more generally contributes to the literature on human security because few other attempts have been made to assess the implementation of the concept. </w:t>
      </w:r>
      <w:r w:rsidR="007F37D4" w:rsidRPr="007C271A">
        <w:rPr>
          <w:rFonts w:ascii="Times New Roman" w:hAnsi="Times New Roman" w:cs="Times New Roman"/>
          <w:sz w:val="22"/>
          <w:szCs w:val="22"/>
        </w:rPr>
        <w:t xml:space="preserve">It is argued that </w:t>
      </w:r>
      <w:r w:rsidR="00415A01" w:rsidRPr="007C271A">
        <w:rPr>
          <w:rFonts w:ascii="Times New Roman" w:hAnsi="Times New Roman" w:cs="Times New Roman"/>
          <w:sz w:val="22"/>
          <w:szCs w:val="22"/>
        </w:rPr>
        <w:t>MINUSCA</w:t>
      </w:r>
      <w:r w:rsidR="007F37D4" w:rsidRPr="007C271A">
        <w:rPr>
          <w:rFonts w:ascii="Times New Roman" w:hAnsi="Times New Roman" w:cs="Times New Roman"/>
          <w:sz w:val="22"/>
          <w:szCs w:val="22"/>
        </w:rPr>
        <w:t xml:space="preserve"> does seek to achieve some of human security’s goals </w:t>
      </w:r>
      <w:r w:rsidR="00AC6291">
        <w:rPr>
          <w:rFonts w:ascii="Times New Roman" w:hAnsi="Times New Roman" w:cs="Times New Roman"/>
          <w:sz w:val="22"/>
          <w:szCs w:val="22"/>
        </w:rPr>
        <w:t xml:space="preserve">under the guise of the UN’s peacebuilding agenda, </w:t>
      </w:r>
      <w:r w:rsidR="007F37D4" w:rsidRPr="007C271A">
        <w:rPr>
          <w:rFonts w:ascii="Times New Roman" w:hAnsi="Times New Roman" w:cs="Times New Roman"/>
          <w:sz w:val="22"/>
          <w:szCs w:val="22"/>
        </w:rPr>
        <w:t xml:space="preserve">such as empowering local people, engaging in a bottom-up manner </w:t>
      </w:r>
      <w:r w:rsidR="00E63DEE" w:rsidRPr="007C271A">
        <w:rPr>
          <w:rFonts w:ascii="Times New Roman" w:hAnsi="Times New Roman" w:cs="Times New Roman"/>
          <w:sz w:val="22"/>
          <w:szCs w:val="22"/>
        </w:rPr>
        <w:t>and entrenching the rule of law. The</w:t>
      </w:r>
      <w:r w:rsidR="00221833" w:rsidRPr="007C271A">
        <w:rPr>
          <w:rFonts w:ascii="Times New Roman" w:hAnsi="Times New Roman" w:cs="Times New Roman"/>
          <w:sz w:val="22"/>
          <w:szCs w:val="22"/>
        </w:rPr>
        <w:t xml:space="preserve"> analytical framework also casts light on aspects of the stabilization mandate which are problematic </w:t>
      </w:r>
      <w:r w:rsidR="00142198">
        <w:rPr>
          <w:rFonts w:ascii="Times New Roman" w:hAnsi="Times New Roman" w:cs="Times New Roman"/>
          <w:sz w:val="22"/>
          <w:szCs w:val="22"/>
        </w:rPr>
        <w:t xml:space="preserve">for peacebuilding </w:t>
      </w:r>
      <w:r w:rsidR="00221833" w:rsidRPr="007C271A">
        <w:rPr>
          <w:rFonts w:ascii="Times New Roman" w:hAnsi="Times New Roman" w:cs="Times New Roman"/>
          <w:sz w:val="22"/>
          <w:szCs w:val="22"/>
        </w:rPr>
        <w:t xml:space="preserve">such as militarisation and </w:t>
      </w:r>
      <w:r w:rsidR="00142198">
        <w:rPr>
          <w:rFonts w:ascii="Times New Roman" w:hAnsi="Times New Roman" w:cs="Times New Roman"/>
          <w:sz w:val="22"/>
          <w:szCs w:val="22"/>
        </w:rPr>
        <w:t xml:space="preserve">UN </w:t>
      </w:r>
      <w:r w:rsidR="00221833" w:rsidRPr="007C271A">
        <w:rPr>
          <w:rFonts w:ascii="Times New Roman" w:hAnsi="Times New Roman" w:cs="Times New Roman"/>
          <w:sz w:val="22"/>
          <w:szCs w:val="22"/>
        </w:rPr>
        <w:t>cooperation with the host state.</w:t>
      </w:r>
      <w:r w:rsidR="007F37D4" w:rsidRPr="007C271A">
        <w:rPr>
          <w:rFonts w:ascii="Times New Roman" w:hAnsi="Times New Roman" w:cs="Times New Roman"/>
          <w:sz w:val="22"/>
          <w:szCs w:val="22"/>
        </w:rPr>
        <w:t xml:space="preserve"> </w:t>
      </w:r>
    </w:p>
    <w:p w14:paraId="79D5390D" w14:textId="77777777" w:rsidR="0052710D" w:rsidRPr="007C271A" w:rsidRDefault="0052710D" w:rsidP="0052710D">
      <w:pPr>
        <w:pStyle w:val="ListParagraph"/>
        <w:spacing w:line="360" w:lineRule="auto"/>
        <w:ind w:left="1080"/>
        <w:jc w:val="both"/>
        <w:rPr>
          <w:rFonts w:ascii="Times New Roman" w:hAnsi="Times New Roman" w:cs="Times New Roman"/>
          <w:b/>
          <w:sz w:val="22"/>
          <w:szCs w:val="22"/>
        </w:rPr>
      </w:pPr>
    </w:p>
    <w:p w14:paraId="306F2EF2" w14:textId="351E2326" w:rsidR="0052710D" w:rsidRPr="007C271A" w:rsidRDefault="0052710D" w:rsidP="0052710D">
      <w:pPr>
        <w:pStyle w:val="ListParagraph"/>
        <w:numPr>
          <w:ilvl w:val="0"/>
          <w:numId w:val="1"/>
        </w:numPr>
        <w:spacing w:line="360" w:lineRule="auto"/>
        <w:jc w:val="both"/>
        <w:rPr>
          <w:rFonts w:ascii="Times New Roman" w:hAnsi="Times New Roman" w:cs="Times New Roman"/>
          <w:b/>
          <w:sz w:val="22"/>
          <w:szCs w:val="22"/>
        </w:rPr>
      </w:pPr>
      <w:r w:rsidRPr="007C271A">
        <w:rPr>
          <w:rFonts w:ascii="Times New Roman" w:hAnsi="Times New Roman" w:cs="Times New Roman"/>
          <w:b/>
          <w:sz w:val="22"/>
          <w:szCs w:val="22"/>
        </w:rPr>
        <w:t>The principles of human security</w:t>
      </w:r>
    </w:p>
    <w:p w14:paraId="548DFDD0" w14:textId="77777777" w:rsidR="009E7B0E" w:rsidRPr="007C271A" w:rsidRDefault="009E7B0E" w:rsidP="00392555">
      <w:pPr>
        <w:spacing w:line="360" w:lineRule="auto"/>
        <w:jc w:val="both"/>
        <w:rPr>
          <w:rFonts w:ascii="Times New Roman" w:hAnsi="Times New Roman" w:cs="Times New Roman"/>
          <w:sz w:val="22"/>
          <w:szCs w:val="22"/>
        </w:rPr>
      </w:pPr>
    </w:p>
    <w:p w14:paraId="60B3384C" w14:textId="4E215C46" w:rsidR="009E7B0E" w:rsidRPr="007C271A" w:rsidRDefault="00392555" w:rsidP="00026A07">
      <w:pPr>
        <w:spacing w:line="360" w:lineRule="auto"/>
        <w:jc w:val="both"/>
        <w:rPr>
          <w:rFonts w:ascii="Times New Roman" w:hAnsi="Times New Roman" w:cs="Times New Roman"/>
          <w:sz w:val="22"/>
          <w:szCs w:val="22"/>
        </w:rPr>
      </w:pPr>
      <w:r w:rsidRPr="007C271A">
        <w:rPr>
          <w:rFonts w:ascii="Times New Roman" w:hAnsi="Times New Roman" w:cs="Times New Roman"/>
          <w:bCs/>
          <w:sz w:val="22"/>
          <w:szCs w:val="22"/>
        </w:rPr>
        <w:t xml:space="preserve">The </w:t>
      </w:r>
      <w:r w:rsidR="004C424B" w:rsidRPr="007C271A">
        <w:rPr>
          <w:rFonts w:ascii="Times New Roman" w:hAnsi="Times New Roman" w:cs="Times New Roman"/>
          <w:bCs/>
          <w:sz w:val="22"/>
          <w:szCs w:val="22"/>
        </w:rPr>
        <w:t xml:space="preserve">concept of </w:t>
      </w:r>
      <w:r w:rsidRPr="007C271A">
        <w:rPr>
          <w:rFonts w:ascii="Times New Roman" w:hAnsi="Times New Roman" w:cs="Times New Roman"/>
          <w:bCs/>
          <w:sz w:val="22"/>
          <w:szCs w:val="22"/>
        </w:rPr>
        <w:t>human security seeks to shift the referent object of security from the state to the individua</w:t>
      </w:r>
      <w:r w:rsidR="00E04A89">
        <w:rPr>
          <w:rFonts w:ascii="Times New Roman" w:hAnsi="Times New Roman" w:cs="Times New Roman"/>
          <w:bCs/>
          <w:sz w:val="22"/>
          <w:szCs w:val="22"/>
        </w:rPr>
        <w:t xml:space="preserve">l by </w:t>
      </w:r>
      <w:r w:rsidRPr="007C271A">
        <w:rPr>
          <w:rFonts w:ascii="Times New Roman" w:hAnsi="Times New Roman" w:cs="Times New Roman"/>
          <w:bCs/>
          <w:sz w:val="22"/>
          <w:szCs w:val="22"/>
        </w:rPr>
        <w:t>challeng</w:t>
      </w:r>
      <w:r w:rsidR="00E04A89">
        <w:rPr>
          <w:rFonts w:ascii="Times New Roman" w:hAnsi="Times New Roman" w:cs="Times New Roman"/>
          <w:bCs/>
          <w:sz w:val="22"/>
          <w:szCs w:val="22"/>
        </w:rPr>
        <w:t>ing</w:t>
      </w:r>
      <w:r w:rsidRPr="007C271A">
        <w:rPr>
          <w:rFonts w:ascii="Times New Roman" w:hAnsi="Times New Roman" w:cs="Times New Roman"/>
          <w:bCs/>
          <w:sz w:val="22"/>
          <w:szCs w:val="22"/>
        </w:rPr>
        <w:t xml:space="preserve"> realist view</w:t>
      </w:r>
      <w:r w:rsidR="00AB1CE8" w:rsidRPr="007C271A">
        <w:rPr>
          <w:rFonts w:ascii="Times New Roman" w:hAnsi="Times New Roman" w:cs="Times New Roman"/>
          <w:bCs/>
          <w:sz w:val="22"/>
          <w:szCs w:val="22"/>
        </w:rPr>
        <w:t>s</w:t>
      </w:r>
      <w:r w:rsidRPr="007C271A">
        <w:rPr>
          <w:rFonts w:ascii="Times New Roman" w:hAnsi="Times New Roman" w:cs="Times New Roman"/>
          <w:bCs/>
          <w:sz w:val="22"/>
          <w:szCs w:val="22"/>
        </w:rPr>
        <w:t xml:space="preserve"> and </w:t>
      </w:r>
      <w:r w:rsidR="00E04A89">
        <w:rPr>
          <w:rFonts w:ascii="Times New Roman" w:hAnsi="Times New Roman" w:cs="Times New Roman"/>
          <w:bCs/>
          <w:sz w:val="22"/>
          <w:szCs w:val="22"/>
        </w:rPr>
        <w:t>giving</w:t>
      </w:r>
      <w:r w:rsidR="007C5FCC" w:rsidRPr="007C271A">
        <w:rPr>
          <w:rFonts w:ascii="Times New Roman" w:hAnsi="Times New Roman" w:cs="Times New Roman"/>
          <w:bCs/>
          <w:sz w:val="22"/>
          <w:szCs w:val="22"/>
        </w:rPr>
        <w:t xml:space="preserve"> the individual intrinsic value. W</w:t>
      </w:r>
      <w:r w:rsidRPr="007C271A">
        <w:rPr>
          <w:rFonts w:ascii="Times New Roman" w:hAnsi="Times New Roman" w:cs="Times New Roman"/>
          <w:bCs/>
          <w:sz w:val="22"/>
          <w:szCs w:val="22"/>
        </w:rPr>
        <w:t>here the individual’s interests compete with that of the state or society, the former should be given priority</w:t>
      </w:r>
      <w:r w:rsidR="00F149E5" w:rsidRPr="007C271A">
        <w:rPr>
          <w:rFonts w:ascii="Times New Roman" w:hAnsi="Times New Roman" w:cs="Times New Roman"/>
          <w:bCs/>
          <w:sz w:val="22"/>
          <w:szCs w:val="22"/>
        </w:rPr>
        <w:t>.</w:t>
      </w:r>
      <w:r w:rsidR="00F149E5"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T</w:t>
      </w:r>
      <w:r w:rsidR="00642D40" w:rsidRPr="007C271A">
        <w:rPr>
          <w:rFonts w:ascii="Times New Roman" w:hAnsi="Times New Roman" w:cs="Times New Roman"/>
          <w:sz w:val="22"/>
          <w:szCs w:val="22"/>
        </w:rPr>
        <w:t xml:space="preserve">he </w:t>
      </w:r>
      <w:r w:rsidR="00594830" w:rsidRPr="007C271A">
        <w:rPr>
          <w:rFonts w:ascii="Times New Roman" w:hAnsi="Times New Roman" w:cs="Times New Roman"/>
          <w:sz w:val="22"/>
          <w:szCs w:val="22"/>
        </w:rPr>
        <w:t>UN Development Programme (UNDP)</w:t>
      </w:r>
      <w:r w:rsidR="00642D40" w:rsidRPr="007C271A">
        <w:rPr>
          <w:rFonts w:ascii="Times New Roman" w:hAnsi="Times New Roman" w:cs="Times New Roman"/>
          <w:sz w:val="22"/>
          <w:szCs w:val="22"/>
        </w:rPr>
        <w:t xml:space="preserve"> coined the term</w:t>
      </w:r>
      <w:r w:rsidR="00594830" w:rsidRPr="007C271A">
        <w:rPr>
          <w:rFonts w:ascii="Times New Roman" w:hAnsi="Times New Roman" w:cs="Times New Roman"/>
          <w:sz w:val="22"/>
          <w:szCs w:val="22"/>
        </w:rPr>
        <w:t xml:space="preserve"> in their 1994 Human Development Report building on the earlier goal of achieving freedom from fear and want found in the Preamble of the Universal Declaration of Human Rights</w:t>
      </w:r>
      <w:r w:rsidR="00642D40" w:rsidRPr="007C271A">
        <w:rPr>
          <w:rFonts w:ascii="Times New Roman" w:hAnsi="Times New Roman" w:cs="Times New Roman"/>
          <w:sz w:val="22"/>
          <w:szCs w:val="22"/>
        </w:rPr>
        <w:t xml:space="preserve">. </w:t>
      </w:r>
      <w:r w:rsidR="009E7B0E" w:rsidRPr="007C271A">
        <w:rPr>
          <w:rFonts w:ascii="Times New Roman" w:hAnsi="Times New Roman" w:cs="Times New Roman"/>
          <w:sz w:val="22"/>
          <w:szCs w:val="22"/>
        </w:rPr>
        <w:t xml:space="preserve">The Report attempted to create a vision of human security that could be adopted by states and the UN in </w:t>
      </w:r>
      <w:r w:rsidR="004A245A" w:rsidRPr="007C271A">
        <w:rPr>
          <w:rFonts w:ascii="Times New Roman" w:hAnsi="Times New Roman" w:cs="Times New Roman"/>
          <w:sz w:val="22"/>
          <w:szCs w:val="22"/>
        </w:rPr>
        <w:t>furthering social development</w:t>
      </w:r>
      <w:bookmarkStart w:id="1" w:name="_Ref514338874"/>
      <w:r w:rsidR="002C68C0" w:rsidRPr="007C271A">
        <w:rPr>
          <w:rFonts w:ascii="Times New Roman" w:hAnsi="Times New Roman" w:cs="Times New Roman"/>
          <w:sz w:val="22"/>
          <w:szCs w:val="22"/>
        </w:rPr>
        <w:t>.</w:t>
      </w:r>
      <w:r w:rsidR="00642D40" w:rsidRPr="007C271A">
        <w:rPr>
          <w:rFonts w:ascii="Times New Roman" w:hAnsi="Times New Roman" w:cs="Times New Roman"/>
          <w:sz w:val="22"/>
          <w:szCs w:val="22"/>
          <w:vertAlign w:val="superscript"/>
        </w:rPr>
        <w:footnoteReference w:id="9"/>
      </w:r>
      <w:bookmarkEnd w:id="1"/>
      <w:r w:rsidR="00642D40" w:rsidRPr="007C271A">
        <w:rPr>
          <w:rFonts w:ascii="Times New Roman" w:hAnsi="Times New Roman" w:cs="Times New Roman"/>
          <w:sz w:val="22"/>
          <w:szCs w:val="22"/>
        </w:rPr>
        <w:t xml:space="preserve"> </w:t>
      </w:r>
      <w:r w:rsidR="009E7B0E" w:rsidRPr="007C271A">
        <w:rPr>
          <w:rFonts w:ascii="Times New Roman" w:hAnsi="Times New Roman" w:cs="Times New Roman"/>
          <w:sz w:val="22"/>
          <w:szCs w:val="22"/>
        </w:rPr>
        <w:t xml:space="preserve">The team behind the Report sought to create an approach </w:t>
      </w:r>
      <w:r w:rsidR="00026A07" w:rsidRPr="007C271A">
        <w:rPr>
          <w:rFonts w:ascii="Times New Roman" w:hAnsi="Times New Roman" w:cs="Times New Roman"/>
          <w:sz w:val="22"/>
          <w:szCs w:val="22"/>
        </w:rPr>
        <w:t>that focused on issues such as poverty, disease, threats of violent conflict, and restrictions on political freedom.</w:t>
      </w:r>
      <w:r w:rsidR="009E7B0E" w:rsidRPr="007C271A">
        <w:rPr>
          <w:rFonts w:ascii="Times New Roman" w:hAnsi="Times New Roman" w:cs="Times New Roman"/>
          <w:sz w:val="22"/>
          <w:szCs w:val="22"/>
          <w:vertAlign w:val="superscript"/>
        </w:rPr>
        <w:footnoteReference w:id="10"/>
      </w:r>
      <w:r w:rsidR="009E7B0E" w:rsidRPr="007C271A">
        <w:rPr>
          <w:rFonts w:ascii="Times New Roman" w:hAnsi="Times New Roman" w:cs="Times New Roman"/>
          <w:sz w:val="22"/>
          <w:szCs w:val="22"/>
        </w:rPr>
        <w:t xml:space="preserve"> Following the 1994 </w:t>
      </w:r>
      <w:r w:rsidR="00026A07" w:rsidRPr="007C271A">
        <w:rPr>
          <w:rFonts w:ascii="Times New Roman" w:hAnsi="Times New Roman" w:cs="Times New Roman"/>
          <w:sz w:val="22"/>
          <w:szCs w:val="22"/>
        </w:rPr>
        <w:t xml:space="preserve">UNDP </w:t>
      </w:r>
      <w:r w:rsidR="009E7B0E" w:rsidRPr="007C271A">
        <w:rPr>
          <w:rFonts w:ascii="Times New Roman" w:hAnsi="Times New Roman" w:cs="Times New Roman"/>
          <w:sz w:val="22"/>
          <w:szCs w:val="22"/>
        </w:rPr>
        <w:t>Report various middle powers including Canada, Norway and Japan adopted human security approaches in their foreign policies.</w:t>
      </w:r>
      <w:bookmarkStart w:id="2" w:name="_Ref492391076"/>
      <w:r w:rsidR="009E7B0E" w:rsidRPr="007C271A">
        <w:rPr>
          <w:rStyle w:val="FootnoteReference"/>
          <w:rFonts w:cs="Times New Roman"/>
          <w:szCs w:val="22"/>
        </w:rPr>
        <w:footnoteReference w:id="11"/>
      </w:r>
      <w:bookmarkEnd w:id="2"/>
      <w:r w:rsidR="002C68C0" w:rsidRPr="007C271A">
        <w:rPr>
          <w:rFonts w:ascii="Times New Roman" w:hAnsi="Times New Roman" w:cs="Times New Roman"/>
          <w:sz w:val="22"/>
          <w:szCs w:val="22"/>
        </w:rPr>
        <w:t xml:space="preserve"> In 2001 the </w:t>
      </w:r>
      <w:r w:rsidR="009E7B0E" w:rsidRPr="007C271A">
        <w:rPr>
          <w:rFonts w:ascii="Times New Roman" w:hAnsi="Times New Roman" w:cs="Times New Roman"/>
          <w:sz w:val="22"/>
          <w:szCs w:val="22"/>
        </w:rPr>
        <w:t xml:space="preserve">Commission on Human Security was created </w:t>
      </w:r>
      <w:r w:rsidR="00B72CA7" w:rsidRPr="007C271A">
        <w:rPr>
          <w:rFonts w:ascii="Times New Roman" w:hAnsi="Times New Roman" w:cs="Times New Roman"/>
          <w:sz w:val="22"/>
          <w:szCs w:val="22"/>
        </w:rPr>
        <w:t xml:space="preserve">by </w:t>
      </w:r>
      <w:r w:rsidR="00026A07" w:rsidRPr="007C271A">
        <w:rPr>
          <w:rFonts w:ascii="Times New Roman" w:hAnsi="Times New Roman" w:cs="Times New Roman"/>
          <w:sz w:val="22"/>
          <w:szCs w:val="22"/>
        </w:rPr>
        <w:t xml:space="preserve">UN </w:t>
      </w:r>
      <w:r w:rsidR="005C39FA" w:rsidRPr="007C271A">
        <w:rPr>
          <w:rFonts w:ascii="Times New Roman" w:hAnsi="Times New Roman" w:cs="Times New Roman"/>
          <w:sz w:val="22"/>
          <w:szCs w:val="22"/>
        </w:rPr>
        <w:t xml:space="preserve">Secretary-General Kofi Annan </w:t>
      </w:r>
      <w:r w:rsidR="009E7B0E" w:rsidRPr="007C271A">
        <w:rPr>
          <w:rFonts w:ascii="Times New Roman" w:hAnsi="Times New Roman" w:cs="Times New Roman"/>
          <w:sz w:val="22"/>
          <w:szCs w:val="22"/>
        </w:rPr>
        <w:t xml:space="preserve">and published its </w:t>
      </w:r>
      <w:r w:rsidR="009E7B0E" w:rsidRPr="007C271A">
        <w:rPr>
          <w:rFonts w:ascii="Times New Roman" w:hAnsi="Times New Roman" w:cs="Times New Roman"/>
          <w:i/>
          <w:sz w:val="22"/>
          <w:szCs w:val="22"/>
        </w:rPr>
        <w:t>Human Security Now</w:t>
      </w:r>
      <w:r w:rsidR="009E7B0E" w:rsidRPr="007C271A">
        <w:rPr>
          <w:rFonts w:ascii="Times New Roman" w:hAnsi="Times New Roman" w:cs="Times New Roman"/>
          <w:sz w:val="22"/>
          <w:szCs w:val="22"/>
        </w:rPr>
        <w:t xml:space="preserve"> Report</w:t>
      </w:r>
      <w:r w:rsidR="002C68C0" w:rsidRPr="007C271A">
        <w:rPr>
          <w:rFonts w:ascii="Times New Roman" w:hAnsi="Times New Roman" w:cs="Times New Roman"/>
          <w:sz w:val="22"/>
          <w:szCs w:val="22"/>
        </w:rPr>
        <w:t xml:space="preserve"> two years later</w:t>
      </w:r>
      <w:r w:rsidR="009E7B0E" w:rsidRPr="007C271A">
        <w:rPr>
          <w:rFonts w:ascii="Times New Roman" w:hAnsi="Times New Roman" w:cs="Times New Roman"/>
          <w:sz w:val="22"/>
          <w:szCs w:val="22"/>
        </w:rPr>
        <w:t>.</w:t>
      </w:r>
      <w:bookmarkStart w:id="3" w:name="_Ref492391103"/>
      <w:r w:rsidR="009E7B0E" w:rsidRPr="007C271A">
        <w:rPr>
          <w:rFonts w:ascii="Times New Roman" w:hAnsi="Times New Roman" w:cs="Times New Roman"/>
          <w:sz w:val="22"/>
          <w:szCs w:val="22"/>
          <w:vertAlign w:val="superscript"/>
        </w:rPr>
        <w:footnoteReference w:id="12"/>
      </w:r>
      <w:bookmarkEnd w:id="3"/>
      <w:r w:rsidR="009E7B0E" w:rsidRPr="007C271A">
        <w:rPr>
          <w:rFonts w:ascii="Times New Roman" w:hAnsi="Times New Roman" w:cs="Times New Roman"/>
          <w:sz w:val="22"/>
          <w:szCs w:val="22"/>
        </w:rPr>
        <w:t xml:space="preserve"> The Commission defined human security as:</w:t>
      </w:r>
    </w:p>
    <w:p w14:paraId="5683A375" w14:textId="2DCAA7ED" w:rsidR="009E7B0E" w:rsidRPr="007C271A" w:rsidRDefault="009E7B0E" w:rsidP="009E7B0E">
      <w:pPr>
        <w:pStyle w:val="Quote"/>
        <w:jc w:val="both"/>
        <w:rPr>
          <w:i w:val="0"/>
          <w:sz w:val="22"/>
          <w:szCs w:val="22"/>
        </w:rPr>
      </w:pPr>
      <w:proofErr w:type="gramStart"/>
      <w:r w:rsidRPr="007C271A">
        <w:rPr>
          <w:i w:val="0"/>
          <w:sz w:val="22"/>
          <w:szCs w:val="22"/>
        </w:rPr>
        <w:t>to</w:t>
      </w:r>
      <w:proofErr w:type="gramEnd"/>
      <w:r w:rsidRPr="007C271A">
        <w:rPr>
          <w:i w:val="0"/>
          <w:sz w:val="22"/>
          <w:szCs w:val="22"/>
        </w:rPr>
        <w:t xml:space="preserve"> protect the vital core of all human lives in ways that enhance human freedoms and human fulfilment. Human security means protecting fundamental freedoms— freedoms that are the essence of life. It means protecting people from critical (severe) and pervasive (widespread) threats and situations. It means using processes that build on people’s strengths and aspirations. It means creating political, social, environmental, economic, military and cultural systems that together give people the building blocks of survival, livelihood and dignity.</w:t>
      </w:r>
      <w:r w:rsidRPr="007C271A">
        <w:rPr>
          <w:i w:val="0"/>
          <w:sz w:val="22"/>
          <w:szCs w:val="22"/>
          <w:vertAlign w:val="superscript"/>
        </w:rPr>
        <w:footnoteReference w:id="13"/>
      </w:r>
    </w:p>
    <w:p w14:paraId="6CF27C83" w14:textId="22F9D181" w:rsidR="00095873" w:rsidRPr="007C271A" w:rsidRDefault="009E7B0E" w:rsidP="00566D3A">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lastRenderedPageBreak/>
        <w:t>The definition places a focus on pervasive and widespread threats in an attempt to narrow human security to the core threats to survival and make the concept more practical for operationalisation.</w:t>
      </w:r>
      <w:bookmarkStart w:id="4" w:name="_Ref492391708"/>
      <w:r w:rsidRPr="007C271A">
        <w:rPr>
          <w:rFonts w:ascii="Times New Roman" w:hAnsi="Times New Roman" w:cs="Times New Roman"/>
          <w:sz w:val="22"/>
          <w:szCs w:val="22"/>
          <w:vertAlign w:val="superscript"/>
        </w:rPr>
        <w:footnoteReference w:id="14"/>
      </w:r>
      <w:bookmarkEnd w:id="4"/>
      <w:r w:rsidRPr="007C271A">
        <w:rPr>
          <w:rFonts w:ascii="Times New Roman" w:hAnsi="Times New Roman" w:cs="Times New Roman"/>
          <w:sz w:val="22"/>
          <w:szCs w:val="22"/>
        </w:rPr>
        <w:t xml:space="preserve"> The principles expounded below are based upon the Commission</w:t>
      </w:r>
      <w:r w:rsidR="007C5FCC" w:rsidRPr="007C271A">
        <w:rPr>
          <w:rFonts w:ascii="Times New Roman" w:hAnsi="Times New Roman" w:cs="Times New Roman"/>
          <w:sz w:val="22"/>
          <w:szCs w:val="22"/>
        </w:rPr>
        <w:t>’s</w:t>
      </w:r>
      <w:r w:rsidRPr="007C271A">
        <w:rPr>
          <w:rFonts w:ascii="Times New Roman" w:hAnsi="Times New Roman" w:cs="Times New Roman"/>
          <w:sz w:val="22"/>
          <w:szCs w:val="22"/>
        </w:rPr>
        <w:t xml:space="preserve"> modelling of human security</w:t>
      </w:r>
      <w:r w:rsidR="002C68C0" w:rsidRPr="007C271A">
        <w:rPr>
          <w:rFonts w:ascii="Times New Roman" w:hAnsi="Times New Roman" w:cs="Times New Roman"/>
          <w:sz w:val="22"/>
          <w:szCs w:val="22"/>
        </w:rPr>
        <w:t xml:space="preserve"> and draw out five core elements of what human security </w:t>
      </w:r>
      <w:r w:rsidR="009F21F2" w:rsidRPr="007C271A">
        <w:rPr>
          <w:rFonts w:ascii="Times New Roman" w:hAnsi="Times New Roman" w:cs="Times New Roman"/>
          <w:sz w:val="22"/>
          <w:szCs w:val="22"/>
        </w:rPr>
        <w:t>includes</w:t>
      </w:r>
      <w:r w:rsidR="002C68C0" w:rsidRPr="007C271A">
        <w:rPr>
          <w:rFonts w:ascii="Times New Roman" w:hAnsi="Times New Roman" w:cs="Times New Roman"/>
          <w:sz w:val="22"/>
          <w:szCs w:val="22"/>
        </w:rPr>
        <w:t>.</w:t>
      </w:r>
      <w:r w:rsidR="009F21F2" w:rsidRPr="007C271A">
        <w:rPr>
          <w:rFonts w:ascii="Times New Roman" w:hAnsi="Times New Roman" w:cs="Times New Roman"/>
          <w:sz w:val="22"/>
          <w:szCs w:val="22"/>
        </w:rPr>
        <w:t xml:space="preserve"> </w:t>
      </w:r>
    </w:p>
    <w:p w14:paraId="5BFB215F" w14:textId="06E401D3" w:rsidR="007837B8" w:rsidRPr="007C271A" w:rsidRDefault="009F21F2" w:rsidP="00566D3A">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Paris has argued that human security is a concept which is not useful for policymaking because its competing policy goals are too difficult to reconcile and a further author </w:t>
      </w:r>
      <w:r w:rsidR="0004272B" w:rsidRPr="007C271A">
        <w:rPr>
          <w:rFonts w:ascii="Times New Roman" w:hAnsi="Times New Roman" w:cs="Times New Roman"/>
          <w:sz w:val="22"/>
          <w:szCs w:val="22"/>
        </w:rPr>
        <w:t>stated</w:t>
      </w:r>
      <w:r w:rsidRPr="007C271A">
        <w:rPr>
          <w:rFonts w:ascii="Times New Roman" w:hAnsi="Times New Roman" w:cs="Times New Roman"/>
          <w:sz w:val="22"/>
          <w:szCs w:val="22"/>
        </w:rPr>
        <w:t xml:space="preserve"> it “has so far proven largely unworkable in practice.”</w:t>
      </w:r>
      <w:r w:rsidRPr="007C271A">
        <w:rPr>
          <w:rStyle w:val="FootnoteReference"/>
          <w:rFonts w:cs="Times New Roman"/>
          <w:szCs w:val="22"/>
        </w:rPr>
        <w:footnoteReference w:id="15"/>
      </w:r>
      <w:r w:rsidR="00FF5184" w:rsidRPr="007C271A">
        <w:rPr>
          <w:rFonts w:ascii="Times New Roman" w:hAnsi="Times New Roman" w:cs="Times New Roman"/>
          <w:sz w:val="22"/>
          <w:szCs w:val="22"/>
        </w:rPr>
        <w:t xml:space="preserve"> However, the Commission on Human Security took a distinct focus on humanitarian crisis and conflict</w:t>
      </w:r>
      <w:r w:rsidR="00181955" w:rsidRPr="007C271A">
        <w:rPr>
          <w:rFonts w:ascii="Times New Roman" w:hAnsi="Times New Roman" w:cs="Times New Roman"/>
          <w:sz w:val="22"/>
          <w:szCs w:val="22"/>
        </w:rPr>
        <w:t xml:space="preserve"> alongside emphasising </w:t>
      </w:r>
      <w:r w:rsidR="0004272B" w:rsidRPr="007C271A">
        <w:rPr>
          <w:rFonts w:ascii="Times New Roman" w:hAnsi="Times New Roman" w:cs="Times New Roman"/>
          <w:sz w:val="22"/>
          <w:szCs w:val="22"/>
        </w:rPr>
        <w:t>the methods advanced by human security respect and simply put into practice existing international legal norms such as those within international human rights and humanitarian law. For instance, the Commission argues a rights-based human security approach “reorients humanitarian strategies towards enhancing people’s capabilities, choices and security.”</w:t>
      </w:r>
      <w:r w:rsidR="0004272B" w:rsidRPr="007C271A">
        <w:rPr>
          <w:rStyle w:val="FootnoteReference"/>
          <w:rFonts w:cs="Times New Roman"/>
          <w:szCs w:val="22"/>
        </w:rPr>
        <w:footnoteReference w:id="16"/>
      </w:r>
      <w:r w:rsidR="0004272B" w:rsidRPr="007C271A">
        <w:rPr>
          <w:rFonts w:ascii="Times New Roman" w:hAnsi="Times New Roman" w:cs="Times New Roman"/>
          <w:sz w:val="22"/>
          <w:szCs w:val="22"/>
        </w:rPr>
        <w:t xml:space="preserve"> The Commission sought to present human security as a tool with which to guide activities</w:t>
      </w:r>
      <w:r w:rsidR="00095873" w:rsidRPr="007C271A">
        <w:rPr>
          <w:rFonts w:ascii="Times New Roman" w:hAnsi="Times New Roman" w:cs="Times New Roman"/>
          <w:sz w:val="22"/>
          <w:szCs w:val="22"/>
        </w:rPr>
        <w:t xml:space="preserve"> during and after conflict.</w:t>
      </w:r>
      <w:r w:rsidR="0004272B" w:rsidRPr="007C271A">
        <w:rPr>
          <w:rFonts w:ascii="Times New Roman" w:hAnsi="Times New Roman" w:cs="Times New Roman"/>
          <w:sz w:val="22"/>
          <w:szCs w:val="22"/>
        </w:rPr>
        <w:t xml:space="preserve"> </w:t>
      </w:r>
      <w:r w:rsidR="00095873" w:rsidRPr="007C271A">
        <w:rPr>
          <w:rFonts w:ascii="Times New Roman" w:hAnsi="Times New Roman" w:cs="Times New Roman"/>
          <w:sz w:val="22"/>
          <w:szCs w:val="22"/>
        </w:rPr>
        <w:t>Concurrently, UN peace operations have developed in the 21st century to include a range of peacebuilding activities which support the development of both the state as a whole and communities at the local level. Peace operations engage with communities on a daily basis and are mandated to support elections, address sexual violence, support refugees and internally displaced persons with reintegration in</w:t>
      </w:r>
      <w:r w:rsidR="00594830" w:rsidRPr="007C271A">
        <w:rPr>
          <w:rFonts w:ascii="Times New Roman" w:hAnsi="Times New Roman" w:cs="Times New Roman"/>
          <w:sz w:val="22"/>
          <w:szCs w:val="22"/>
        </w:rPr>
        <w:t>to</w:t>
      </w:r>
      <w:r w:rsidR="00095873" w:rsidRPr="007C271A">
        <w:rPr>
          <w:rFonts w:ascii="Times New Roman" w:hAnsi="Times New Roman" w:cs="Times New Roman"/>
          <w:sz w:val="22"/>
          <w:szCs w:val="22"/>
        </w:rPr>
        <w:t xml:space="preserve"> local communities, and undertake a range of projects aimed at improving local services and rebuilding the capacity of local, regional, and national government bodies to carry out necessary functions of the state. </w:t>
      </w:r>
      <w:r w:rsidR="00087C3A" w:rsidRPr="007C271A">
        <w:rPr>
          <w:rFonts w:ascii="Times New Roman" w:hAnsi="Times New Roman" w:cs="Times New Roman"/>
          <w:sz w:val="22"/>
          <w:szCs w:val="22"/>
        </w:rPr>
        <w:t xml:space="preserve">The literature on human security is rich and definitions are abound which cannot be engaged with in the space allotted here. </w:t>
      </w:r>
      <w:r w:rsidR="00095873" w:rsidRPr="007C271A">
        <w:rPr>
          <w:rFonts w:ascii="Times New Roman" w:hAnsi="Times New Roman" w:cs="Times New Roman"/>
          <w:sz w:val="22"/>
          <w:szCs w:val="22"/>
        </w:rPr>
        <w:t xml:space="preserve">Consequently, </w:t>
      </w:r>
      <w:r w:rsidR="00087C3A" w:rsidRPr="007C271A">
        <w:rPr>
          <w:rFonts w:ascii="Times New Roman" w:hAnsi="Times New Roman" w:cs="Times New Roman"/>
          <w:sz w:val="22"/>
          <w:szCs w:val="22"/>
        </w:rPr>
        <w:t>an</w:t>
      </w:r>
      <w:r w:rsidR="0004272B" w:rsidRPr="007C271A">
        <w:rPr>
          <w:rFonts w:ascii="Times New Roman" w:hAnsi="Times New Roman" w:cs="Times New Roman"/>
          <w:sz w:val="22"/>
          <w:szCs w:val="22"/>
        </w:rPr>
        <w:t xml:space="preserve"> analytical framework based upon the Commission’s </w:t>
      </w:r>
      <w:r w:rsidR="0004272B" w:rsidRPr="007C271A">
        <w:rPr>
          <w:rFonts w:ascii="Times New Roman" w:hAnsi="Times New Roman" w:cs="Times New Roman"/>
          <w:i/>
          <w:sz w:val="22"/>
          <w:szCs w:val="22"/>
        </w:rPr>
        <w:t>Human Security Now</w:t>
      </w:r>
      <w:r w:rsidR="0004272B" w:rsidRPr="007C271A">
        <w:rPr>
          <w:rFonts w:ascii="Times New Roman" w:hAnsi="Times New Roman" w:cs="Times New Roman"/>
          <w:sz w:val="22"/>
          <w:szCs w:val="22"/>
        </w:rPr>
        <w:t xml:space="preserve"> Report </w:t>
      </w:r>
      <w:r w:rsidR="00087C3A" w:rsidRPr="007C271A">
        <w:rPr>
          <w:rFonts w:ascii="Times New Roman" w:hAnsi="Times New Roman" w:cs="Times New Roman"/>
          <w:sz w:val="22"/>
          <w:szCs w:val="22"/>
        </w:rPr>
        <w:t>sufficiently narrows the scope of the study but has been chosen because the Report aligns temporally, was commissioned by the Secretary-General</w:t>
      </w:r>
      <w:r w:rsidR="00772C5C">
        <w:rPr>
          <w:rFonts w:ascii="Times New Roman" w:hAnsi="Times New Roman" w:cs="Times New Roman"/>
          <w:sz w:val="22"/>
          <w:szCs w:val="22"/>
        </w:rPr>
        <w:t>,</w:t>
      </w:r>
      <w:r w:rsidR="00087C3A" w:rsidRPr="007C271A">
        <w:rPr>
          <w:rFonts w:ascii="Times New Roman" w:hAnsi="Times New Roman" w:cs="Times New Roman"/>
          <w:sz w:val="22"/>
          <w:szCs w:val="22"/>
        </w:rPr>
        <w:t xml:space="preserve"> and shares with UN peace operations a focus on humanitarian crisis and conflict. </w:t>
      </w:r>
    </w:p>
    <w:p w14:paraId="63AC50B7" w14:textId="2FC415B4" w:rsidR="009E7B0E" w:rsidRPr="007C271A" w:rsidRDefault="009E7B0E" w:rsidP="009E7B0E">
      <w:pPr>
        <w:spacing w:line="360" w:lineRule="auto"/>
        <w:jc w:val="both"/>
        <w:rPr>
          <w:rFonts w:ascii="Times New Roman" w:hAnsi="Times New Roman" w:cs="Times New Roman"/>
          <w:sz w:val="22"/>
          <w:szCs w:val="22"/>
        </w:rPr>
      </w:pPr>
    </w:p>
    <w:p w14:paraId="10815E94" w14:textId="120C34E4" w:rsidR="009E7B0E" w:rsidRPr="007C271A" w:rsidRDefault="00D456C5" w:rsidP="00706FD8">
      <w:pPr>
        <w:pStyle w:val="Heading3"/>
        <w:numPr>
          <w:ilvl w:val="1"/>
          <w:numId w:val="1"/>
        </w:numPr>
        <w:rPr>
          <w:rFonts w:ascii="Times New Roman" w:hAnsi="Times New Roman" w:cs="Times New Roman"/>
          <w:sz w:val="22"/>
          <w:szCs w:val="22"/>
        </w:rPr>
      </w:pPr>
      <w:r w:rsidRPr="007C271A">
        <w:rPr>
          <w:rFonts w:ascii="Times New Roman" w:hAnsi="Times New Roman" w:cs="Times New Roman"/>
          <w:sz w:val="22"/>
          <w:szCs w:val="22"/>
        </w:rPr>
        <w:t>Human rights and the rule of law</w:t>
      </w:r>
    </w:p>
    <w:p w14:paraId="71E8EBFB" w14:textId="5B0E04F8" w:rsidR="00592744" w:rsidRPr="007C271A" w:rsidRDefault="00592744" w:rsidP="009E7B0E">
      <w:pPr>
        <w:spacing w:line="360" w:lineRule="auto"/>
        <w:jc w:val="both"/>
        <w:rPr>
          <w:rFonts w:ascii="Times New Roman" w:hAnsi="Times New Roman" w:cs="Times New Roman"/>
          <w:b/>
          <w:sz w:val="22"/>
          <w:szCs w:val="22"/>
        </w:rPr>
      </w:pPr>
    </w:p>
    <w:p w14:paraId="4C0E0726" w14:textId="1E57573A" w:rsidR="002226C4" w:rsidRPr="007C271A" w:rsidRDefault="002226C4" w:rsidP="002226C4">
      <w:pPr>
        <w:spacing w:line="360" w:lineRule="auto"/>
        <w:jc w:val="both"/>
        <w:rPr>
          <w:rFonts w:ascii="Times New Roman" w:hAnsi="Times New Roman" w:cs="Times New Roman"/>
          <w:bCs/>
          <w:sz w:val="22"/>
          <w:szCs w:val="22"/>
        </w:rPr>
      </w:pPr>
      <w:r w:rsidRPr="007C271A">
        <w:rPr>
          <w:rFonts w:ascii="Times New Roman" w:hAnsi="Times New Roman" w:cs="Times New Roman"/>
          <w:bCs/>
          <w:sz w:val="22"/>
          <w:szCs w:val="22"/>
        </w:rPr>
        <w:t>It is accepted that the rule of law, respect for international legal norms such as those within human rights and humanitarian law, accountability through the law, and good governance are inherent to human security.</w:t>
      </w:r>
      <w:bookmarkStart w:id="5" w:name="_Ref508294236"/>
      <w:r w:rsidRPr="007C271A">
        <w:rPr>
          <w:rStyle w:val="FootnoteReference"/>
          <w:rFonts w:cs="Times New Roman"/>
          <w:bCs/>
          <w:szCs w:val="22"/>
        </w:rPr>
        <w:footnoteReference w:id="17"/>
      </w:r>
      <w:bookmarkEnd w:id="5"/>
      <w:r w:rsidRPr="007C271A">
        <w:rPr>
          <w:rFonts w:ascii="Times New Roman" w:hAnsi="Times New Roman" w:cs="Times New Roman"/>
          <w:bCs/>
          <w:sz w:val="22"/>
          <w:szCs w:val="22"/>
        </w:rPr>
        <w:t xml:space="preserve"> </w:t>
      </w:r>
      <w:r w:rsidR="00594830" w:rsidRPr="007C271A">
        <w:rPr>
          <w:rFonts w:ascii="Times New Roman" w:hAnsi="Times New Roman" w:cs="Times New Roman"/>
          <w:bCs/>
          <w:sz w:val="22"/>
          <w:szCs w:val="22"/>
        </w:rPr>
        <w:t>The</w:t>
      </w:r>
      <w:r w:rsidRPr="007C271A">
        <w:rPr>
          <w:rFonts w:ascii="Times New Roman" w:hAnsi="Times New Roman" w:cs="Times New Roman"/>
          <w:bCs/>
          <w:sz w:val="22"/>
          <w:szCs w:val="22"/>
        </w:rPr>
        <w:t xml:space="preserve"> Commission on Human Security</w:t>
      </w:r>
      <w:r w:rsidR="00594830" w:rsidRPr="007C271A">
        <w:rPr>
          <w:rFonts w:ascii="Times New Roman" w:hAnsi="Times New Roman" w:cs="Times New Roman"/>
          <w:bCs/>
          <w:sz w:val="22"/>
          <w:szCs w:val="22"/>
        </w:rPr>
        <w:t>,</w:t>
      </w:r>
      <w:r w:rsidRPr="007C271A">
        <w:rPr>
          <w:rFonts w:ascii="Times New Roman" w:hAnsi="Times New Roman" w:cs="Times New Roman"/>
          <w:bCs/>
          <w:sz w:val="22"/>
          <w:szCs w:val="22"/>
        </w:rPr>
        <w:t xml:space="preserve"> when discussing the importance of </w:t>
      </w:r>
      <w:r w:rsidR="00693D80" w:rsidRPr="007C271A">
        <w:rPr>
          <w:rFonts w:ascii="Times New Roman" w:hAnsi="Times New Roman" w:cs="Times New Roman"/>
          <w:bCs/>
          <w:sz w:val="22"/>
          <w:szCs w:val="22"/>
        </w:rPr>
        <w:t>existing international law</w:t>
      </w:r>
      <w:r w:rsidR="00594830" w:rsidRPr="007C271A">
        <w:rPr>
          <w:rFonts w:ascii="Times New Roman" w:hAnsi="Times New Roman" w:cs="Times New Roman"/>
          <w:bCs/>
          <w:sz w:val="22"/>
          <w:szCs w:val="22"/>
        </w:rPr>
        <w:t>, made the rights-based character of human security clear</w:t>
      </w:r>
      <w:r w:rsidRPr="007C271A">
        <w:rPr>
          <w:rFonts w:ascii="Times New Roman" w:hAnsi="Times New Roman" w:cs="Times New Roman"/>
          <w:bCs/>
          <w:sz w:val="22"/>
          <w:szCs w:val="22"/>
        </w:rPr>
        <w:t>.</w:t>
      </w:r>
      <w:r w:rsidRPr="007C271A">
        <w:rPr>
          <w:rStyle w:val="FootnoteReference"/>
          <w:rFonts w:cs="Times New Roman"/>
          <w:bCs/>
          <w:szCs w:val="22"/>
        </w:rPr>
        <w:footnoteReference w:id="18"/>
      </w:r>
      <w:r w:rsidRPr="007C271A">
        <w:rPr>
          <w:rFonts w:ascii="Times New Roman" w:hAnsi="Times New Roman" w:cs="Times New Roman"/>
          <w:bCs/>
          <w:sz w:val="22"/>
          <w:szCs w:val="22"/>
        </w:rPr>
        <w:t xml:space="preserve"> International law </w:t>
      </w:r>
      <w:r w:rsidR="00240C5C" w:rsidRPr="007C271A">
        <w:rPr>
          <w:rFonts w:ascii="Times New Roman" w:hAnsi="Times New Roman" w:cs="Times New Roman"/>
          <w:bCs/>
          <w:sz w:val="22"/>
          <w:szCs w:val="22"/>
        </w:rPr>
        <w:t xml:space="preserve">in general </w:t>
      </w:r>
      <w:r w:rsidR="00123A16" w:rsidRPr="007C271A">
        <w:rPr>
          <w:rFonts w:ascii="Times New Roman" w:hAnsi="Times New Roman" w:cs="Times New Roman"/>
          <w:bCs/>
          <w:sz w:val="22"/>
          <w:szCs w:val="22"/>
        </w:rPr>
        <w:t>“</w:t>
      </w:r>
      <w:r w:rsidRPr="007C271A">
        <w:rPr>
          <w:rFonts w:ascii="Times New Roman" w:hAnsi="Times New Roman" w:cs="Times New Roman"/>
          <w:bCs/>
          <w:sz w:val="22"/>
          <w:szCs w:val="22"/>
        </w:rPr>
        <w:t>must be at the heart of human security</w:t>
      </w:r>
      <w:r w:rsidR="00123A16" w:rsidRPr="007C271A">
        <w:rPr>
          <w:rFonts w:ascii="Times New Roman" w:hAnsi="Times New Roman" w:cs="Times New Roman"/>
          <w:bCs/>
          <w:sz w:val="22"/>
          <w:szCs w:val="22"/>
        </w:rPr>
        <w:t>”</w:t>
      </w:r>
      <w:r w:rsidRPr="007C271A">
        <w:rPr>
          <w:rFonts w:ascii="Times New Roman" w:hAnsi="Times New Roman" w:cs="Times New Roman"/>
          <w:bCs/>
          <w:sz w:val="22"/>
          <w:szCs w:val="22"/>
        </w:rPr>
        <w:t xml:space="preserve"> and the latter is constructed from the fragmented disciplines </w:t>
      </w:r>
      <w:r w:rsidRPr="007C271A">
        <w:rPr>
          <w:rFonts w:ascii="Times New Roman" w:hAnsi="Times New Roman" w:cs="Times New Roman"/>
          <w:bCs/>
          <w:sz w:val="22"/>
          <w:szCs w:val="22"/>
        </w:rPr>
        <w:lastRenderedPageBreak/>
        <w:t>of human rights law, humanitarian law, international criminal law, and refugee law.</w:t>
      </w:r>
      <w:bookmarkStart w:id="6" w:name="_Ref508294293"/>
      <w:r w:rsidRPr="007C271A">
        <w:rPr>
          <w:rStyle w:val="FootnoteReference"/>
          <w:rFonts w:cs="Times New Roman"/>
          <w:bCs/>
          <w:szCs w:val="22"/>
        </w:rPr>
        <w:footnoteReference w:id="19"/>
      </w:r>
      <w:bookmarkEnd w:id="6"/>
      <w:r w:rsidR="00AA4F7A">
        <w:rPr>
          <w:rFonts w:ascii="Times New Roman" w:hAnsi="Times New Roman" w:cs="Times New Roman"/>
          <w:bCs/>
          <w:sz w:val="22"/>
          <w:szCs w:val="22"/>
        </w:rPr>
        <w:t xml:space="preserve"> </w:t>
      </w:r>
      <w:r w:rsidR="00AA4F7A" w:rsidRPr="00AA4F7A">
        <w:rPr>
          <w:rFonts w:ascii="Times New Roman" w:hAnsi="Times New Roman" w:cs="Times New Roman"/>
          <w:bCs/>
          <w:sz w:val="22"/>
          <w:szCs w:val="22"/>
        </w:rPr>
        <w:t>International law serves as a basic criteria with which to strengthen work on human security’s objectives.</w:t>
      </w:r>
      <w:r w:rsidR="00AA4F7A">
        <w:rPr>
          <w:rStyle w:val="FootnoteReference"/>
          <w:rFonts w:cs="Times New Roman"/>
          <w:bCs/>
          <w:szCs w:val="22"/>
        </w:rPr>
        <w:footnoteReference w:id="20"/>
      </w:r>
    </w:p>
    <w:p w14:paraId="2102E3CD" w14:textId="0E4C65EF" w:rsidR="001304AF" w:rsidRPr="007C271A" w:rsidRDefault="008F7F1F" w:rsidP="00566D3A">
      <w:pPr>
        <w:spacing w:line="360" w:lineRule="auto"/>
        <w:jc w:val="both"/>
        <w:rPr>
          <w:rFonts w:ascii="Times New Roman" w:hAnsi="Times New Roman" w:cs="Times New Roman"/>
          <w:sz w:val="22"/>
          <w:szCs w:val="22"/>
        </w:rPr>
      </w:pPr>
      <w:r w:rsidRPr="007C271A">
        <w:rPr>
          <w:rFonts w:ascii="Times New Roman" w:hAnsi="Times New Roman" w:cs="Times New Roman"/>
          <w:b/>
          <w:sz w:val="22"/>
          <w:szCs w:val="22"/>
        </w:rPr>
        <w:tab/>
      </w:r>
      <w:r w:rsidR="00A75782" w:rsidRPr="007C271A">
        <w:rPr>
          <w:rFonts w:ascii="Times New Roman" w:hAnsi="Times New Roman" w:cs="Times New Roman"/>
          <w:bCs/>
          <w:sz w:val="22"/>
          <w:szCs w:val="22"/>
        </w:rPr>
        <w:t>The</w:t>
      </w:r>
      <w:r w:rsidR="00123F92" w:rsidRPr="007C271A">
        <w:rPr>
          <w:rFonts w:ascii="Times New Roman" w:hAnsi="Times New Roman" w:cs="Times New Roman"/>
          <w:bCs/>
          <w:sz w:val="22"/>
          <w:szCs w:val="22"/>
        </w:rPr>
        <w:t xml:space="preserve"> </w:t>
      </w:r>
      <w:r w:rsidR="00123F92" w:rsidRPr="007C271A">
        <w:rPr>
          <w:rFonts w:ascii="Times New Roman" w:hAnsi="Times New Roman" w:cs="Times New Roman"/>
          <w:bCs/>
          <w:i/>
          <w:sz w:val="22"/>
          <w:szCs w:val="22"/>
        </w:rPr>
        <w:t xml:space="preserve">Human Security Now </w:t>
      </w:r>
      <w:r w:rsidR="00123F92" w:rsidRPr="007C271A">
        <w:rPr>
          <w:rFonts w:ascii="Times New Roman" w:hAnsi="Times New Roman" w:cs="Times New Roman"/>
          <w:bCs/>
          <w:sz w:val="22"/>
          <w:szCs w:val="22"/>
        </w:rPr>
        <w:t xml:space="preserve">Report has a focus on </w:t>
      </w:r>
      <w:r w:rsidR="00693D80" w:rsidRPr="007C271A">
        <w:rPr>
          <w:rFonts w:ascii="Times New Roman" w:hAnsi="Times New Roman" w:cs="Times New Roman"/>
          <w:sz w:val="22"/>
          <w:szCs w:val="22"/>
        </w:rPr>
        <w:t>protecting people in violent conflict</w:t>
      </w:r>
      <w:r w:rsidR="00693D80" w:rsidRPr="007C271A" w:rsidDel="00693D80">
        <w:rPr>
          <w:rFonts w:ascii="Times New Roman" w:hAnsi="Times New Roman" w:cs="Times New Roman"/>
          <w:bCs/>
          <w:sz w:val="22"/>
          <w:szCs w:val="22"/>
        </w:rPr>
        <w:t xml:space="preserve"> </w:t>
      </w:r>
      <w:r w:rsidR="00026A07" w:rsidRPr="007C271A">
        <w:rPr>
          <w:rFonts w:ascii="Times New Roman" w:hAnsi="Times New Roman" w:cs="Times New Roman"/>
          <w:bCs/>
          <w:sz w:val="22"/>
          <w:szCs w:val="22"/>
        </w:rPr>
        <w:t>where</w:t>
      </w:r>
      <w:r w:rsidR="0030508F" w:rsidRPr="007C271A">
        <w:rPr>
          <w:rFonts w:ascii="Times New Roman" w:hAnsi="Times New Roman" w:cs="Times New Roman"/>
          <w:bCs/>
          <w:sz w:val="22"/>
          <w:szCs w:val="22"/>
        </w:rPr>
        <w:t xml:space="preserve"> </w:t>
      </w:r>
      <w:r w:rsidR="00026A07" w:rsidRPr="007C271A">
        <w:rPr>
          <w:rFonts w:ascii="Times New Roman" w:hAnsi="Times New Roman" w:cs="Times New Roman"/>
          <w:bCs/>
          <w:sz w:val="22"/>
          <w:szCs w:val="22"/>
        </w:rPr>
        <w:t>t</w:t>
      </w:r>
      <w:r w:rsidR="0030508F" w:rsidRPr="007C271A">
        <w:rPr>
          <w:rFonts w:ascii="Times New Roman" w:hAnsi="Times New Roman" w:cs="Times New Roman"/>
          <w:bCs/>
          <w:sz w:val="22"/>
          <w:szCs w:val="22"/>
        </w:rPr>
        <w:t xml:space="preserve">he </w:t>
      </w:r>
      <w:r w:rsidR="00594830" w:rsidRPr="007C271A">
        <w:rPr>
          <w:rFonts w:ascii="Times New Roman" w:hAnsi="Times New Roman" w:cs="Times New Roman"/>
          <w:bCs/>
          <w:sz w:val="22"/>
          <w:szCs w:val="22"/>
        </w:rPr>
        <w:t xml:space="preserve">authors </w:t>
      </w:r>
      <w:r w:rsidR="0030508F" w:rsidRPr="007C271A">
        <w:rPr>
          <w:rFonts w:ascii="Times New Roman" w:hAnsi="Times New Roman" w:cs="Times New Roman"/>
          <w:bCs/>
          <w:sz w:val="22"/>
          <w:szCs w:val="22"/>
        </w:rPr>
        <w:t>say that “</w:t>
      </w:r>
      <w:r w:rsidR="00026A07" w:rsidRPr="007C271A">
        <w:rPr>
          <w:rFonts w:ascii="Times New Roman" w:hAnsi="Times New Roman" w:cs="Times New Roman"/>
          <w:bCs/>
          <w:sz w:val="22"/>
          <w:szCs w:val="22"/>
        </w:rPr>
        <w:t>[p]</w:t>
      </w:r>
      <w:proofErr w:type="spellStart"/>
      <w:r w:rsidR="0030508F" w:rsidRPr="007C271A">
        <w:rPr>
          <w:rFonts w:ascii="Times New Roman" w:hAnsi="Times New Roman" w:cs="Times New Roman"/>
          <w:bCs/>
          <w:sz w:val="22"/>
          <w:szCs w:val="22"/>
        </w:rPr>
        <w:t>rotecting</w:t>
      </w:r>
      <w:proofErr w:type="spellEnd"/>
      <w:r w:rsidR="0030508F" w:rsidRPr="007C271A">
        <w:rPr>
          <w:rFonts w:ascii="Times New Roman" w:hAnsi="Times New Roman" w:cs="Times New Roman"/>
          <w:bCs/>
          <w:sz w:val="22"/>
          <w:szCs w:val="22"/>
        </w:rPr>
        <w:t xml:space="preserve"> human rights and upholding humanitarian law are essential to human security in conflict situations.”</w:t>
      </w:r>
      <w:r w:rsidR="0030508F" w:rsidRPr="007C271A">
        <w:rPr>
          <w:rStyle w:val="FootnoteReference"/>
          <w:rFonts w:cs="Times New Roman"/>
          <w:bCs/>
          <w:szCs w:val="22"/>
        </w:rPr>
        <w:footnoteReference w:id="21"/>
      </w:r>
      <w:r w:rsidR="00FD69F1" w:rsidRPr="007C271A">
        <w:rPr>
          <w:rFonts w:ascii="Times New Roman" w:hAnsi="Times New Roman" w:cs="Times New Roman"/>
          <w:bCs/>
          <w:sz w:val="22"/>
          <w:szCs w:val="22"/>
        </w:rPr>
        <w:t xml:space="preserve"> The Commission explains </w:t>
      </w:r>
      <w:r w:rsidR="00AB1D9A" w:rsidRPr="007C271A">
        <w:rPr>
          <w:rFonts w:ascii="Times New Roman" w:hAnsi="Times New Roman" w:cs="Times New Roman"/>
          <w:bCs/>
          <w:sz w:val="22"/>
          <w:szCs w:val="22"/>
        </w:rPr>
        <w:t xml:space="preserve">human security can be used to identify the rights at </w:t>
      </w:r>
      <w:r w:rsidR="001D1C33" w:rsidRPr="007C271A">
        <w:rPr>
          <w:rFonts w:ascii="Times New Roman" w:hAnsi="Times New Roman" w:cs="Times New Roman"/>
          <w:bCs/>
          <w:sz w:val="22"/>
          <w:szCs w:val="22"/>
        </w:rPr>
        <w:t xml:space="preserve">stake in a particular situation </w:t>
      </w:r>
      <w:r w:rsidR="00FA0395" w:rsidRPr="007C271A">
        <w:rPr>
          <w:rFonts w:ascii="Times New Roman" w:hAnsi="Times New Roman" w:cs="Times New Roman"/>
          <w:bCs/>
          <w:sz w:val="22"/>
          <w:szCs w:val="22"/>
        </w:rPr>
        <w:t>which demonstrates how the former can enrich existing normative rights.</w:t>
      </w:r>
      <w:r w:rsidR="00FA0395" w:rsidRPr="007C271A">
        <w:rPr>
          <w:rStyle w:val="FootnoteReference"/>
          <w:rFonts w:cs="Times New Roman"/>
          <w:bCs/>
          <w:szCs w:val="22"/>
        </w:rPr>
        <w:footnoteReference w:id="22"/>
      </w:r>
      <w:r w:rsidR="00733126" w:rsidRPr="007C271A">
        <w:rPr>
          <w:rFonts w:ascii="Times New Roman" w:hAnsi="Times New Roman" w:cs="Times New Roman"/>
          <w:bCs/>
          <w:sz w:val="22"/>
          <w:szCs w:val="22"/>
        </w:rPr>
        <w:t xml:space="preserve"> For example, using human </w:t>
      </w:r>
      <w:proofErr w:type="gramStart"/>
      <w:r w:rsidR="00733126" w:rsidRPr="007C271A">
        <w:rPr>
          <w:rFonts w:ascii="Times New Roman" w:hAnsi="Times New Roman" w:cs="Times New Roman"/>
          <w:bCs/>
          <w:sz w:val="22"/>
          <w:szCs w:val="22"/>
        </w:rPr>
        <w:t>security’s</w:t>
      </w:r>
      <w:proofErr w:type="gramEnd"/>
      <w:r w:rsidR="00733126" w:rsidRPr="007C271A">
        <w:rPr>
          <w:rFonts w:ascii="Times New Roman" w:hAnsi="Times New Roman" w:cs="Times New Roman"/>
          <w:bCs/>
          <w:sz w:val="22"/>
          <w:szCs w:val="22"/>
        </w:rPr>
        <w:t xml:space="preserve"> other principles it can be assessed which rights are most threatened and empowerment strategies can be used to build </w:t>
      </w:r>
      <w:r w:rsidR="00026A07" w:rsidRPr="007C271A">
        <w:rPr>
          <w:rFonts w:ascii="Times New Roman" w:hAnsi="Times New Roman" w:cs="Times New Roman"/>
          <w:bCs/>
          <w:sz w:val="22"/>
          <w:szCs w:val="22"/>
        </w:rPr>
        <w:t>the capacity of those affected to be resilient to security threats</w:t>
      </w:r>
      <w:r w:rsidR="00733126" w:rsidRPr="007C271A">
        <w:rPr>
          <w:rFonts w:ascii="Times New Roman" w:hAnsi="Times New Roman" w:cs="Times New Roman"/>
          <w:bCs/>
          <w:sz w:val="22"/>
          <w:szCs w:val="22"/>
        </w:rPr>
        <w:t>.</w:t>
      </w:r>
      <w:r w:rsidR="00693D80" w:rsidRPr="007C271A">
        <w:rPr>
          <w:rFonts w:ascii="Times New Roman" w:hAnsi="Times New Roman" w:cs="Times New Roman"/>
          <w:sz w:val="22"/>
          <w:szCs w:val="22"/>
        </w:rPr>
        <w:t xml:space="preserve"> </w:t>
      </w:r>
      <w:r w:rsidR="001304AF" w:rsidRPr="007C271A">
        <w:rPr>
          <w:rFonts w:ascii="Times New Roman" w:hAnsi="Times New Roman" w:cs="Times New Roman"/>
          <w:sz w:val="22"/>
          <w:szCs w:val="22"/>
        </w:rPr>
        <w:t>The report argues for integrated strategies that protect people and are mutually reinforcing with specific attention for vulnerable groups that require protection.</w:t>
      </w:r>
      <w:r w:rsidR="001304AF" w:rsidRPr="007C271A">
        <w:rPr>
          <w:rStyle w:val="FootnoteReference"/>
          <w:rFonts w:cs="Times New Roman"/>
          <w:szCs w:val="22"/>
        </w:rPr>
        <w:footnoteReference w:id="23"/>
      </w:r>
      <w:r w:rsidR="001304AF" w:rsidRPr="007C271A">
        <w:rPr>
          <w:rFonts w:ascii="Times New Roman" w:hAnsi="Times New Roman" w:cs="Times New Roman"/>
          <w:sz w:val="22"/>
          <w:szCs w:val="22"/>
        </w:rPr>
        <w:t xml:space="preserve"> At the core of this protection is promoting respect for the rule of law.</w:t>
      </w:r>
      <w:r w:rsidR="001304AF" w:rsidRPr="007C271A">
        <w:rPr>
          <w:rStyle w:val="FootnoteReference"/>
          <w:rFonts w:cs="Times New Roman"/>
          <w:szCs w:val="22"/>
        </w:rPr>
        <w:footnoteReference w:id="24"/>
      </w:r>
      <w:r w:rsidR="001304AF" w:rsidRPr="007C271A">
        <w:rPr>
          <w:rFonts w:ascii="Times New Roman" w:hAnsi="Times New Roman" w:cs="Times New Roman"/>
          <w:sz w:val="22"/>
          <w:szCs w:val="22"/>
        </w:rPr>
        <w:t xml:space="preserve"> When the international community undertakes actions aimed at protecting rights and promoting the rule of law, like </w:t>
      </w:r>
      <w:r w:rsidR="00E75B33">
        <w:rPr>
          <w:rFonts w:ascii="Times New Roman" w:hAnsi="Times New Roman" w:cs="Times New Roman"/>
          <w:sz w:val="22"/>
          <w:szCs w:val="22"/>
        </w:rPr>
        <w:t>by</w:t>
      </w:r>
      <w:r w:rsidR="001304AF" w:rsidRPr="007C271A">
        <w:rPr>
          <w:rFonts w:ascii="Times New Roman" w:hAnsi="Times New Roman" w:cs="Times New Roman"/>
          <w:sz w:val="22"/>
          <w:szCs w:val="22"/>
        </w:rPr>
        <w:t xml:space="preserve"> deploying a UN peace operation, it does so under existing normative frameworks.</w:t>
      </w:r>
      <w:r w:rsidR="001304AF" w:rsidRPr="007C271A">
        <w:rPr>
          <w:rStyle w:val="FootnoteReference"/>
          <w:rFonts w:cs="Times New Roman"/>
          <w:szCs w:val="22"/>
        </w:rPr>
        <w:footnoteReference w:id="25"/>
      </w:r>
      <w:r w:rsidR="001304AF" w:rsidRPr="007C271A">
        <w:rPr>
          <w:rFonts w:ascii="Times New Roman" w:hAnsi="Times New Roman" w:cs="Times New Roman"/>
          <w:sz w:val="22"/>
          <w:szCs w:val="22"/>
        </w:rPr>
        <w:t xml:space="preserve"> By grounding human security </w:t>
      </w:r>
      <w:r w:rsidR="00693D80" w:rsidRPr="007C271A">
        <w:rPr>
          <w:rFonts w:ascii="Times New Roman" w:hAnsi="Times New Roman" w:cs="Times New Roman"/>
          <w:sz w:val="22"/>
          <w:szCs w:val="22"/>
        </w:rPr>
        <w:t xml:space="preserve">in </w:t>
      </w:r>
      <w:r w:rsidR="001304AF" w:rsidRPr="007C271A">
        <w:rPr>
          <w:rFonts w:ascii="Times New Roman" w:hAnsi="Times New Roman" w:cs="Times New Roman"/>
          <w:sz w:val="22"/>
          <w:szCs w:val="22"/>
        </w:rPr>
        <w:t xml:space="preserve">those norms </w:t>
      </w:r>
      <w:r w:rsidR="00F11AA5" w:rsidRPr="007C271A">
        <w:rPr>
          <w:rFonts w:ascii="Times New Roman" w:hAnsi="Times New Roman" w:cs="Times New Roman"/>
          <w:sz w:val="22"/>
          <w:szCs w:val="22"/>
        </w:rPr>
        <w:t>human security</w:t>
      </w:r>
      <w:r w:rsidR="001304AF" w:rsidRPr="007C271A">
        <w:rPr>
          <w:rFonts w:ascii="Times New Roman" w:hAnsi="Times New Roman" w:cs="Times New Roman"/>
          <w:sz w:val="22"/>
          <w:szCs w:val="22"/>
        </w:rPr>
        <w:t xml:space="preserve"> can be utilised to give a universal, coherent framework that focuses the attention</w:t>
      </w:r>
      <w:r w:rsidR="00693D80" w:rsidRPr="007C271A">
        <w:rPr>
          <w:rFonts w:ascii="Times New Roman" w:hAnsi="Times New Roman" w:cs="Times New Roman"/>
          <w:sz w:val="22"/>
          <w:szCs w:val="22"/>
        </w:rPr>
        <w:t xml:space="preserve"> of existing law </w:t>
      </w:r>
      <w:r w:rsidR="001304AF" w:rsidRPr="007C271A">
        <w:rPr>
          <w:rFonts w:ascii="Times New Roman" w:hAnsi="Times New Roman" w:cs="Times New Roman"/>
          <w:sz w:val="22"/>
          <w:szCs w:val="22"/>
        </w:rPr>
        <w:t xml:space="preserve">on protecting individuals from immediate and pervasive threats identified by those affected. The threats concerned are </w:t>
      </w:r>
      <w:r w:rsidR="00927562" w:rsidRPr="007C271A">
        <w:rPr>
          <w:rFonts w:ascii="Times New Roman" w:hAnsi="Times New Roman" w:cs="Times New Roman"/>
          <w:sz w:val="22"/>
          <w:szCs w:val="22"/>
        </w:rPr>
        <w:t>identified</w:t>
      </w:r>
      <w:r w:rsidR="001304AF" w:rsidRPr="007C271A">
        <w:rPr>
          <w:rFonts w:ascii="Times New Roman" w:hAnsi="Times New Roman" w:cs="Times New Roman"/>
          <w:sz w:val="22"/>
          <w:szCs w:val="22"/>
        </w:rPr>
        <w:t xml:space="preserve"> by the vital core</w:t>
      </w:r>
      <w:r w:rsidR="00927562" w:rsidRPr="007C271A">
        <w:rPr>
          <w:rFonts w:ascii="Times New Roman" w:hAnsi="Times New Roman" w:cs="Times New Roman"/>
          <w:sz w:val="22"/>
          <w:szCs w:val="22"/>
        </w:rPr>
        <w:t>,</w:t>
      </w:r>
      <w:r w:rsidR="001304AF" w:rsidRPr="007C271A">
        <w:rPr>
          <w:rFonts w:ascii="Times New Roman" w:hAnsi="Times New Roman" w:cs="Times New Roman"/>
          <w:sz w:val="22"/>
          <w:szCs w:val="22"/>
        </w:rPr>
        <w:t xml:space="preserve"> discussed next.</w:t>
      </w:r>
    </w:p>
    <w:p w14:paraId="0C332443" w14:textId="44ECFE85" w:rsidR="001304AF" w:rsidRPr="007C271A" w:rsidRDefault="001304AF" w:rsidP="009E7B0E">
      <w:pPr>
        <w:spacing w:line="360" w:lineRule="auto"/>
        <w:jc w:val="both"/>
        <w:rPr>
          <w:rFonts w:ascii="Times New Roman" w:hAnsi="Times New Roman" w:cs="Times New Roman"/>
          <w:b/>
          <w:sz w:val="22"/>
          <w:szCs w:val="22"/>
        </w:rPr>
      </w:pPr>
    </w:p>
    <w:p w14:paraId="6AD4CB3F" w14:textId="32A4E4EC" w:rsidR="002120F2" w:rsidRPr="007C271A" w:rsidRDefault="002120F2" w:rsidP="00706FD8">
      <w:pPr>
        <w:pStyle w:val="Heading3"/>
        <w:numPr>
          <w:ilvl w:val="1"/>
          <w:numId w:val="1"/>
        </w:numPr>
        <w:spacing w:line="360" w:lineRule="auto"/>
        <w:rPr>
          <w:rFonts w:ascii="Times New Roman" w:hAnsi="Times New Roman" w:cs="Times New Roman"/>
          <w:sz w:val="22"/>
          <w:szCs w:val="22"/>
        </w:rPr>
      </w:pPr>
      <w:r w:rsidRPr="007C271A">
        <w:rPr>
          <w:rFonts w:ascii="Times New Roman" w:hAnsi="Times New Roman" w:cs="Times New Roman"/>
          <w:sz w:val="22"/>
          <w:szCs w:val="22"/>
        </w:rPr>
        <w:t>The vital core</w:t>
      </w:r>
    </w:p>
    <w:p w14:paraId="52ED0B3B" w14:textId="004E9172" w:rsidR="002120F2" w:rsidRPr="007C271A" w:rsidRDefault="002120F2" w:rsidP="009E7B0E">
      <w:pPr>
        <w:spacing w:line="360" w:lineRule="auto"/>
        <w:jc w:val="both"/>
        <w:rPr>
          <w:rFonts w:ascii="Times New Roman" w:hAnsi="Times New Roman" w:cs="Times New Roman"/>
          <w:sz w:val="22"/>
          <w:szCs w:val="22"/>
        </w:rPr>
      </w:pPr>
    </w:p>
    <w:p w14:paraId="612E62EE" w14:textId="683E7031" w:rsidR="00BA1DD3" w:rsidRPr="007C271A" w:rsidRDefault="00DF7809" w:rsidP="009E7B0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The Commission knew that it would be impossible and wholly impracticable for actors to look at </w:t>
      </w:r>
      <w:r w:rsidR="00A32F7D" w:rsidRPr="007C271A">
        <w:rPr>
          <w:rFonts w:ascii="Times New Roman" w:hAnsi="Times New Roman" w:cs="Times New Roman"/>
          <w:sz w:val="22"/>
          <w:szCs w:val="22"/>
        </w:rPr>
        <w:t>all possible</w:t>
      </w:r>
      <w:r w:rsidRPr="007C271A">
        <w:rPr>
          <w:rFonts w:ascii="Times New Roman" w:hAnsi="Times New Roman" w:cs="Times New Roman"/>
          <w:sz w:val="22"/>
          <w:szCs w:val="22"/>
        </w:rPr>
        <w:t xml:space="preserve"> security issues relating to all individuals and groups</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 xml:space="preserve"> therefore a solution was needed.</w:t>
      </w:r>
      <w:r w:rsidRPr="007C271A">
        <w:rPr>
          <w:rStyle w:val="FootnoteReference"/>
          <w:rFonts w:cs="Times New Roman"/>
          <w:szCs w:val="22"/>
        </w:rPr>
        <w:footnoteReference w:id="26"/>
      </w:r>
      <w:r w:rsidRPr="007C271A">
        <w:rPr>
          <w:rFonts w:ascii="Times New Roman" w:hAnsi="Times New Roman" w:cs="Times New Roman"/>
          <w:sz w:val="22"/>
          <w:szCs w:val="22"/>
        </w:rPr>
        <w:t xml:space="preserve"> The solution was the creation of a variable </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vital core</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 xml:space="preserve"> which is described as what people hold to be the ‘essence of life’ and ‘crucially important’.</w:t>
      </w:r>
      <w:bookmarkStart w:id="7" w:name="_Ref492033595"/>
      <w:r w:rsidRPr="007C271A">
        <w:rPr>
          <w:rStyle w:val="FootnoteReference"/>
          <w:rFonts w:cs="Times New Roman"/>
          <w:szCs w:val="22"/>
        </w:rPr>
        <w:footnoteReference w:id="27"/>
      </w:r>
      <w:bookmarkEnd w:id="7"/>
      <w:r w:rsidRPr="007C271A">
        <w:rPr>
          <w:rFonts w:ascii="Times New Roman" w:hAnsi="Times New Roman" w:cs="Times New Roman"/>
          <w:sz w:val="22"/>
          <w:szCs w:val="22"/>
        </w:rPr>
        <w:t xml:space="preserve"> The vital core is able to shift the focus on a needs basis for different individuals and groups.</w:t>
      </w:r>
    </w:p>
    <w:p w14:paraId="5D05E885" w14:textId="093A3209" w:rsidR="00117533" w:rsidRPr="007C271A" w:rsidRDefault="00363F6C" w:rsidP="009E7B0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ab/>
        <w:t xml:space="preserve">The Commission’s definition of human security </w:t>
      </w:r>
      <w:r w:rsidR="00CA31AA" w:rsidRPr="007C271A">
        <w:rPr>
          <w:rFonts w:ascii="Times New Roman" w:hAnsi="Times New Roman" w:cs="Times New Roman"/>
          <w:sz w:val="22"/>
          <w:szCs w:val="22"/>
        </w:rPr>
        <w:t xml:space="preserve">includes the protection from </w:t>
      </w:r>
      <w:r w:rsidR="008501D9" w:rsidRPr="007C271A">
        <w:rPr>
          <w:rFonts w:ascii="Times New Roman" w:hAnsi="Times New Roman" w:cs="Times New Roman"/>
          <w:sz w:val="22"/>
          <w:szCs w:val="22"/>
        </w:rPr>
        <w:t>“</w:t>
      </w:r>
      <w:r w:rsidR="00CA31AA" w:rsidRPr="007C271A">
        <w:rPr>
          <w:rFonts w:ascii="Times New Roman" w:hAnsi="Times New Roman" w:cs="Times New Roman"/>
          <w:sz w:val="22"/>
          <w:szCs w:val="22"/>
        </w:rPr>
        <w:t>critical (severe) and pervasive (widespread) threats</w:t>
      </w:r>
      <w:r w:rsidR="008501D9" w:rsidRPr="007C271A">
        <w:rPr>
          <w:rFonts w:ascii="Times New Roman" w:hAnsi="Times New Roman" w:cs="Times New Roman"/>
          <w:sz w:val="22"/>
          <w:szCs w:val="22"/>
        </w:rPr>
        <w:t xml:space="preserve"> and situations”.</w:t>
      </w:r>
      <w:r w:rsidR="008501D9" w:rsidRPr="007C271A">
        <w:rPr>
          <w:rStyle w:val="FootnoteReference"/>
          <w:rFonts w:cs="Times New Roman"/>
          <w:szCs w:val="22"/>
        </w:rPr>
        <w:footnoteReference w:id="28"/>
      </w:r>
      <w:r w:rsidR="00594830" w:rsidRPr="007C271A">
        <w:rPr>
          <w:rFonts w:ascii="Times New Roman" w:hAnsi="Times New Roman" w:cs="Times New Roman"/>
          <w:sz w:val="22"/>
          <w:szCs w:val="22"/>
        </w:rPr>
        <w:t xml:space="preserve"> </w:t>
      </w:r>
      <w:r w:rsidR="00E964C1" w:rsidRPr="007C271A">
        <w:rPr>
          <w:rFonts w:ascii="Times New Roman" w:hAnsi="Times New Roman" w:cs="Times New Roman"/>
          <w:sz w:val="22"/>
          <w:szCs w:val="22"/>
        </w:rPr>
        <w:t xml:space="preserve">There is not an exact definition of what </w:t>
      </w:r>
      <w:r w:rsidR="00CD0510" w:rsidRPr="007C271A">
        <w:rPr>
          <w:rFonts w:ascii="Times New Roman" w:hAnsi="Times New Roman" w:cs="Times New Roman"/>
          <w:sz w:val="22"/>
          <w:szCs w:val="22"/>
        </w:rPr>
        <w:t xml:space="preserve">can constitute a critical threat to avoid </w:t>
      </w:r>
      <w:r w:rsidR="00026A07" w:rsidRPr="007C271A">
        <w:rPr>
          <w:rFonts w:ascii="Times New Roman" w:hAnsi="Times New Roman" w:cs="Times New Roman"/>
          <w:sz w:val="22"/>
          <w:szCs w:val="22"/>
        </w:rPr>
        <w:t>top-down decisions</w:t>
      </w:r>
      <w:r w:rsidR="00AE7FB5" w:rsidRPr="007C271A">
        <w:rPr>
          <w:rFonts w:ascii="Times New Roman" w:hAnsi="Times New Roman" w:cs="Times New Roman"/>
          <w:sz w:val="22"/>
          <w:szCs w:val="22"/>
        </w:rPr>
        <w:t xml:space="preserve"> on what considerations are most critical to the essence of life for all people.</w:t>
      </w:r>
      <w:r w:rsidR="00AE7FB5" w:rsidRPr="007C271A">
        <w:rPr>
          <w:rStyle w:val="FootnoteReference"/>
          <w:rFonts w:cs="Times New Roman"/>
          <w:szCs w:val="22"/>
        </w:rPr>
        <w:footnoteReference w:id="29"/>
      </w:r>
      <w:r w:rsidR="00AE7FB5" w:rsidRPr="007C271A">
        <w:rPr>
          <w:rFonts w:ascii="Times New Roman" w:hAnsi="Times New Roman" w:cs="Times New Roman"/>
          <w:sz w:val="22"/>
          <w:szCs w:val="22"/>
        </w:rPr>
        <w:t xml:space="preserve"> Instead, the vital core can </w:t>
      </w:r>
      <w:r w:rsidR="00A32F7D" w:rsidRPr="007C271A">
        <w:rPr>
          <w:rFonts w:ascii="Times New Roman" w:hAnsi="Times New Roman" w:cs="Times New Roman"/>
          <w:sz w:val="22"/>
          <w:szCs w:val="22"/>
        </w:rPr>
        <w:t>vary</w:t>
      </w:r>
      <w:r w:rsidR="00AE7FB5" w:rsidRPr="007C271A">
        <w:rPr>
          <w:rFonts w:ascii="Times New Roman" w:hAnsi="Times New Roman" w:cs="Times New Roman"/>
          <w:sz w:val="22"/>
          <w:szCs w:val="22"/>
        </w:rPr>
        <w:t xml:space="preserve"> depending on the individuals and group</w:t>
      </w:r>
      <w:r w:rsidR="00F52F65" w:rsidRPr="007C271A">
        <w:rPr>
          <w:rFonts w:ascii="Times New Roman" w:hAnsi="Times New Roman" w:cs="Times New Roman"/>
          <w:sz w:val="22"/>
          <w:szCs w:val="22"/>
        </w:rPr>
        <w:t>s</w:t>
      </w:r>
      <w:r w:rsidR="00AE7FB5" w:rsidRPr="007C271A">
        <w:rPr>
          <w:rFonts w:ascii="Times New Roman" w:hAnsi="Times New Roman" w:cs="Times New Roman"/>
          <w:sz w:val="22"/>
          <w:szCs w:val="22"/>
        </w:rPr>
        <w:t xml:space="preserve"> affected, to take into consideration what they believe to be the essence of their lives</w:t>
      </w:r>
      <w:r w:rsidR="00693D80" w:rsidRPr="007C271A">
        <w:rPr>
          <w:rFonts w:ascii="Times New Roman" w:hAnsi="Times New Roman" w:cs="Times New Roman"/>
          <w:sz w:val="22"/>
          <w:szCs w:val="22"/>
        </w:rPr>
        <w:t xml:space="preserve"> be it a political, </w:t>
      </w:r>
      <w:r w:rsidR="00693D80" w:rsidRPr="007C271A">
        <w:rPr>
          <w:rFonts w:ascii="Times New Roman" w:hAnsi="Times New Roman" w:cs="Times New Roman"/>
          <w:sz w:val="22"/>
          <w:szCs w:val="22"/>
        </w:rPr>
        <w:lastRenderedPageBreak/>
        <w:t xml:space="preserve">economic, environmental or </w:t>
      </w:r>
      <w:r w:rsidR="00594830" w:rsidRPr="007C271A">
        <w:rPr>
          <w:rFonts w:ascii="Times New Roman" w:hAnsi="Times New Roman" w:cs="Times New Roman"/>
          <w:sz w:val="22"/>
          <w:szCs w:val="22"/>
        </w:rPr>
        <w:t>an</w:t>
      </w:r>
      <w:r w:rsidR="00693D80" w:rsidRPr="007C271A">
        <w:rPr>
          <w:rFonts w:ascii="Times New Roman" w:hAnsi="Times New Roman" w:cs="Times New Roman"/>
          <w:sz w:val="22"/>
          <w:szCs w:val="22"/>
        </w:rPr>
        <w:t>other issue</w:t>
      </w:r>
      <w:r w:rsidR="00AE7FB5" w:rsidRPr="007C271A">
        <w:rPr>
          <w:rFonts w:ascii="Times New Roman" w:hAnsi="Times New Roman" w:cs="Times New Roman"/>
          <w:sz w:val="22"/>
          <w:szCs w:val="22"/>
        </w:rPr>
        <w:t>. In this way security is personalised and not rigid based on what the international community</w:t>
      </w:r>
      <w:r w:rsidR="002E18D7" w:rsidRPr="007C271A">
        <w:rPr>
          <w:rFonts w:ascii="Times New Roman" w:hAnsi="Times New Roman" w:cs="Times New Roman"/>
          <w:sz w:val="22"/>
          <w:szCs w:val="22"/>
        </w:rPr>
        <w:t xml:space="preserve">, </w:t>
      </w:r>
      <w:r w:rsidR="00B46922" w:rsidRPr="007C271A">
        <w:rPr>
          <w:rFonts w:ascii="Times New Roman" w:hAnsi="Times New Roman" w:cs="Times New Roman"/>
          <w:sz w:val="22"/>
          <w:szCs w:val="22"/>
        </w:rPr>
        <w:t>and consequently</w:t>
      </w:r>
      <w:r w:rsidR="00AE7FB5" w:rsidRPr="007C271A">
        <w:rPr>
          <w:rFonts w:ascii="Times New Roman" w:hAnsi="Times New Roman" w:cs="Times New Roman"/>
          <w:sz w:val="22"/>
          <w:szCs w:val="22"/>
        </w:rPr>
        <w:t xml:space="preserve"> states</w:t>
      </w:r>
      <w:r w:rsidR="002E18D7" w:rsidRPr="007C271A">
        <w:rPr>
          <w:rFonts w:ascii="Times New Roman" w:hAnsi="Times New Roman" w:cs="Times New Roman"/>
          <w:sz w:val="22"/>
          <w:szCs w:val="22"/>
        </w:rPr>
        <w:t xml:space="preserve">, </w:t>
      </w:r>
      <w:r w:rsidR="00AE7FB5" w:rsidRPr="007C271A">
        <w:rPr>
          <w:rFonts w:ascii="Times New Roman" w:hAnsi="Times New Roman" w:cs="Times New Roman"/>
          <w:sz w:val="22"/>
          <w:szCs w:val="22"/>
        </w:rPr>
        <w:t>determine to be the most critical and pervasive threats.</w:t>
      </w:r>
    </w:p>
    <w:p w14:paraId="282721F6" w14:textId="07C67AEA" w:rsidR="00BA1DD3" w:rsidRPr="007C271A" w:rsidRDefault="00117533" w:rsidP="00CD0510">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When applying human security as an analytical framework the vital core </w:t>
      </w:r>
      <w:r w:rsidR="00693D80" w:rsidRPr="007C271A">
        <w:rPr>
          <w:rFonts w:ascii="Times New Roman" w:hAnsi="Times New Roman" w:cs="Times New Roman"/>
          <w:sz w:val="22"/>
          <w:szCs w:val="22"/>
        </w:rPr>
        <w:t>is</w:t>
      </w:r>
      <w:r w:rsidRPr="007C271A">
        <w:rPr>
          <w:rFonts w:ascii="Times New Roman" w:hAnsi="Times New Roman" w:cs="Times New Roman"/>
          <w:sz w:val="22"/>
          <w:szCs w:val="22"/>
        </w:rPr>
        <w:t xml:space="preserve"> interpreted as whether or not the actors seeking to provide security have sought to consult individuals concerned on what they hold to be ‘crucially important’ for security and well-being</w:t>
      </w:r>
      <w:r w:rsidR="00026A07" w:rsidRPr="007C271A">
        <w:rPr>
          <w:rFonts w:ascii="Times New Roman" w:hAnsi="Times New Roman" w:cs="Times New Roman"/>
          <w:sz w:val="22"/>
          <w:szCs w:val="22"/>
        </w:rPr>
        <w:t xml:space="preserve">. </w:t>
      </w:r>
      <w:r w:rsidR="003A0347" w:rsidRPr="003A0347">
        <w:rPr>
          <w:rFonts w:ascii="Times New Roman" w:hAnsi="Times New Roman" w:cs="Times New Roman"/>
          <w:sz w:val="22"/>
          <w:szCs w:val="22"/>
        </w:rPr>
        <w:t xml:space="preserve">Hanlon and Christie have made similar observations explaining “insights from grassroots civil society organizations must reach the desks of top-down development planners. Only through </w:t>
      </w:r>
      <w:proofErr w:type="spellStart"/>
      <w:r w:rsidR="003A0347" w:rsidRPr="003A0347">
        <w:rPr>
          <w:rFonts w:ascii="Times New Roman" w:hAnsi="Times New Roman" w:cs="Times New Roman"/>
          <w:sz w:val="22"/>
          <w:szCs w:val="22"/>
        </w:rPr>
        <w:t>continuious</w:t>
      </w:r>
      <w:proofErr w:type="spellEnd"/>
      <w:r w:rsidR="003A0347" w:rsidRPr="003A0347">
        <w:rPr>
          <w:rFonts w:ascii="Times New Roman" w:hAnsi="Times New Roman" w:cs="Times New Roman"/>
          <w:sz w:val="22"/>
          <w:szCs w:val="22"/>
        </w:rPr>
        <w:t xml:space="preserve"> stakeholder dialogue involving a range of both local and international actors can peacebuilding achieve meaningful results” that provide positiv</w:t>
      </w:r>
      <w:r w:rsidR="003A0347">
        <w:rPr>
          <w:rFonts w:ascii="Times New Roman" w:hAnsi="Times New Roman" w:cs="Times New Roman"/>
          <w:sz w:val="22"/>
          <w:szCs w:val="22"/>
        </w:rPr>
        <w:t>e human security improvements.</w:t>
      </w:r>
      <w:r w:rsidR="003A0347">
        <w:rPr>
          <w:rStyle w:val="FootnoteReference"/>
          <w:rFonts w:cs="Times New Roman"/>
          <w:szCs w:val="22"/>
        </w:rPr>
        <w:footnoteReference w:id="30"/>
      </w:r>
      <w:r w:rsidR="003A0347" w:rsidRPr="003A0347">
        <w:rPr>
          <w:rFonts w:ascii="Times New Roman" w:hAnsi="Times New Roman" w:cs="Times New Roman"/>
          <w:sz w:val="22"/>
          <w:szCs w:val="22"/>
        </w:rPr>
        <w:t xml:space="preserve"> </w:t>
      </w:r>
      <w:r w:rsidR="00026A07" w:rsidRPr="007C271A">
        <w:rPr>
          <w:rFonts w:ascii="Times New Roman" w:hAnsi="Times New Roman" w:cs="Times New Roman"/>
          <w:sz w:val="22"/>
          <w:szCs w:val="22"/>
        </w:rPr>
        <w:t>T</w:t>
      </w:r>
      <w:r w:rsidR="00E76CD5" w:rsidRPr="007C271A">
        <w:rPr>
          <w:rFonts w:ascii="Times New Roman" w:hAnsi="Times New Roman" w:cs="Times New Roman"/>
          <w:sz w:val="22"/>
          <w:szCs w:val="22"/>
        </w:rPr>
        <w:t xml:space="preserve">he concept </w:t>
      </w:r>
      <w:r w:rsidRPr="007C271A">
        <w:rPr>
          <w:rFonts w:ascii="Times New Roman" w:hAnsi="Times New Roman" w:cs="Times New Roman"/>
          <w:sz w:val="22"/>
          <w:szCs w:val="22"/>
        </w:rPr>
        <w:t xml:space="preserve">of human security </w:t>
      </w:r>
      <w:r w:rsidR="00E76CD5" w:rsidRPr="007C271A">
        <w:rPr>
          <w:rFonts w:ascii="Times New Roman" w:hAnsi="Times New Roman" w:cs="Times New Roman"/>
          <w:sz w:val="22"/>
          <w:szCs w:val="22"/>
        </w:rPr>
        <w:t>does not have a</w:t>
      </w:r>
      <w:r w:rsidRPr="007C271A">
        <w:rPr>
          <w:rFonts w:ascii="Times New Roman" w:hAnsi="Times New Roman" w:cs="Times New Roman"/>
          <w:sz w:val="22"/>
          <w:szCs w:val="22"/>
        </w:rPr>
        <w:t xml:space="preserve"> predetermined hierarchy of threats. Rather than having a predetermined hierarchy dictated by the international community on what </w:t>
      </w:r>
      <w:r w:rsidR="00026A07" w:rsidRPr="007C271A">
        <w:rPr>
          <w:rFonts w:ascii="Times New Roman" w:hAnsi="Times New Roman" w:cs="Times New Roman"/>
          <w:sz w:val="22"/>
          <w:szCs w:val="22"/>
        </w:rPr>
        <w:t>is</w:t>
      </w:r>
      <w:r w:rsidRPr="007C271A">
        <w:rPr>
          <w:rFonts w:ascii="Times New Roman" w:hAnsi="Times New Roman" w:cs="Times New Roman"/>
          <w:sz w:val="22"/>
          <w:szCs w:val="22"/>
        </w:rPr>
        <w:t xml:space="preserve"> see</w:t>
      </w:r>
      <w:r w:rsidR="00026A07" w:rsidRPr="007C271A">
        <w:rPr>
          <w:rFonts w:ascii="Times New Roman" w:hAnsi="Times New Roman" w:cs="Times New Roman"/>
          <w:sz w:val="22"/>
          <w:szCs w:val="22"/>
        </w:rPr>
        <w:t>n</w:t>
      </w:r>
      <w:r w:rsidRPr="007C271A">
        <w:rPr>
          <w:rFonts w:ascii="Times New Roman" w:hAnsi="Times New Roman" w:cs="Times New Roman"/>
          <w:sz w:val="22"/>
          <w:szCs w:val="22"/>
        </w:rPr>
        <w:t xml:space="preserve"> as the most effective course of action for the globe, the international community </w:t>
      </w:r>
      <w:r w:rsidR="001E5458" w:rsidRPr="007C271A">
        <w:rPr>
          <w:rFonts w:ascii="Times New Roman" w:hAnsi="Times New Roman" w:cs="Times New Roman"/>
          <w:sz w:val="22"/>
          <w:szCs w:val="22"/>
        </w:rPr>
        <w:t xml:space="preserve">instead </w:t>
      </w:r>
      <w:r w:rsidRPr="007C271A">
        <w:rPr>
          <w:rFonts w:ascii="Times New Roman" w:hAnsi="Times New Roman" w:cs="Times New Roman"/>
          <w:sz w:val="22"/>
          <w:szCs w:val="22"/>
        </w:rPr>
        <w:t xml:space="preserve">considers the most prevalent needs of individuals and communities in each threatened location. For instance, a predetermined hierarchy could suggest </w:t>
      </w:r>
      <w:r w:rsidR="00420499" w:rsidRPr="007C271A">
        <w:rPr>
          <w:rFonts w:ascii="Times New Roman" w:hAnsi="Times New Roman" w:cs="Times New Roman"/>
          <w:sz w:val="22"/>
          <w:szCs w:val="22"/>
        </w:rPr>
        <w:t xml:space="preserve">a </w:t>
      </w:r>
      <w:r w:rsidRPr="007C271A">
        <w:rPr>
          <w:rFonts w:ascii="Times New Roman" w:hAnsi="Times New Roman" w:cs="Times New Roman"/>
          <w:sz w:val="22"/>
          <w:szCs w:val="22"/>
        </w:rPr>
        <w:t xml:space="preserve">threat to political security </w:t>
      </w:r>
      <w:r w:rsidR="00420499" w:rsidRPr="007C271A">
        <w:rPr>
          <w:rFonts w:ascii="Times New Roman" w:hAnsi="Times New Roman" w:cs="Times New Roman"/>
          <w:sz w:val="22"/>
          <w:szCs w:val="22"/>
        </w:rPr>
        <w:t>is</w:t>
      </w:r>
      <w:r w:rsidRPr="007C271A">
        <w:rPr>
          <w:rFonts w:ascii="Times New Roman" w:hAnsi="Times New Roman" w:cs="Times New Roman"/>
          <w:sz w:val="22"/>
          <w:szCs w:val="22"/>
        </w:rPr>
        <w:t xml:space="preserve"> the second most important after </w:t>
      </w:r>
      <w:r w:rsidR="00420499" w:rsidRPr="007C271A">
        <w:rPr>
          <w:rFonts w:ascii="Times New Roman" w:hAnsi="Times New Roman" w:cs="Times New Roman"/>
          <w:sz w:val="22"/>
          <w:szCs w:val="22"/>
        </w:rPr>
        <w:t>the threat of violence from armed groups</w:t>
      </w:r>
      <w:r w:rsidRPr="007C271A">
        <w:rPr>
          <w:rFonts w:ascii="Times New Roman" w:hAnsi="Times New Roman" w:cs="Times New Roman"/>
          <w:sz w:val="22"/>
          <w:szCs w:val="22"/>
        </w:rPr>
        <w:t xml:space="preserve"> but for many communities food scarcity or infant mortality could be much more </w:t>
      </w:r>
      <w:r w:rsidR="001E5458" w:rsidRPr="007C271A">
        <w:rPr>
          <w:rFonts w:ascii="Times New Roman" w:hAnsi="Times New Roman" w:cs="Times New Roman"/>
          <w:sz w:val="22"/>
          <w:szCs w:val="22"/>
        </w:rPr>
        <w:t xml:space="preserve">prevalent </w:t>
      </w:r>
      <w:r w:rsidRPr="007C271A">
        <w:rPr>
          <w:rFonts w:ascii="Times New Roman" w:hAnsi="Times New Roman" w:cs="Times New Roman"/>
          <w:sz w:val="22"/>
          <w:szCs w:val="22"/>
        </w:rPr>
        <w:t>concerns</w:t>
      </w:r>
      <w:r w:rsidR="001E5458" w:rsidRPr="007C271A">
        <w:rPr>
          <w:rFonts w:ascii="Times New Roman" w:hAnsi="Times New Roman" w:cs="Times New Roman"/>
          <w:sz w:val="22"/>
          <w:szCs w:val="22"/>
        </w:rPr>
        <w:t xml:space="preserve"> than physical violence</w:t>
      </w:r>
      <w:r w:rsidRPr="007C271A">
        <w:rPr>
          <w:rFonts w:ascii="Times New Roman" w:hAnsi="Times New Roman" w:cs="Times New Roman"/>
          <w:sz w:val="22"/>
          <w:szCs w:val="22"/>
        </w:rPr>
        <w:t xml:space="preserve">. </w:t>
      </w:r>
    </w:p>
    <w:p w14:paraId="04561554" w14:textId="5512BFFC" w:rsidR="00FE4D33" w:rsidRPr="007C271A" w:rsidRDefault="00FE4D33" w:rsidP="00FE4D33">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The vital core and human security’s lack of a predetermined hierarchy of threats </w:t>
      </w:r>
      <w:r w:rsidR="00594830" w:rsidRPr="007C271A">
        <w:rPr>
          <w:rFonts w:ascii="Times New Roman" w:hAnsi="Times New Roman" w:cs="Times New Roman"/>
          <w:sz w:val="22"/>
          <w:szCs w:val="22"/>
        </w:rPr>
        <w:t xml:space="preserve">is part of what </w:t>
      </w:r>
      <w:r w:rsidRPr="007C271A">
        <w:rPr>
          <w:rFonts w:ascii="Times New Roman" w:hAnsi="Times New Roman" w:cs="Times New Roman"/>
          <w:sz w:val="22"/>
          <w:szCs w:val="22"/>
        </w:rPr>
        <w:t>gives human security its exclusive character. By adopting a framework that requires international actors to seek views of individuals and groups on what those people feel are the key factors undermining security the international actor concerned can provide a response which will lead to meaningful improvements. That is to say, the effectiveness of interventions will be enhanced and more able to provide tangible improvements that are desired by the persons affected.</w:t>
      </w:r>
    </w:p>
    <w:p w14:paraId="23DC4578" w14:textId="77777777" w:rsidR="00150BF3" w:rsidRPr="007C271A" w:rsidRDefault="00150BF3" w:rsidP="009E7B0E">
      <w:pPr>
        <w:spacing w:line="360" w:lineRule="auto"/>
        <w:jc w:val="both"/>
        <w:rPr>
          <w:rFonts w:ascii="Times New Roman" w:hAnsi="Times New Roman" w:cs="Times New Roman"/>
          <w:sz w:val="22"/>
          <w:szCs w:val="22"/>
        </w:rPr>
      </w:pPr>
    </w:p>
    <w:p w14:paraId="1927DB1B" w14:textId="25254C0C" w:rsidR="0010421F" w:rsidRPr="007C271A" w:rsidRDefault="0010421F" w:rsidP="00706FD8">
      <w:pPr>
        <w:pStyle w:val="Heading3"/>
        <w:numPr>
          <w:ilvl w:val="1"/>
          <w:numId w:val="1"/>
        </w:numPr>
        <w:rPr>
          <w:rFonts w:ascii="Times New Roman" w:hAnsi="Times New Roman" w:cs="Times New Roman"/>
          <w:sz w:val="22"/>
          <w:szCs w:val="22"/>
        </w:rPr>
      </w:pPr>
      <w:r w:rsidRPr="007C271A">
        <w:rPr>
          <w:rFonts w:ascii="Times New Roman" w:hAnsi="Times New Roman" w:cs="Times New Roman"/>
          <w:sz w:val="22"/>
          <w:szCs w:val="22"/>
        </w:rPr>
        <w:t>Vulnerability</w:t>
      </w:r>
    </w:p>
    <w:p w14:paraId="07D8F394" w14:textId="77777777" w:rsidR="002120F2" w:rsidRPr="007C271A" w:rsidRDefault="002120F2" w:rsidP="009E7B0E">
      <w:pPr>
        <w:spacing w:line="360" w:lineRule="auto"/>
        <w:jc w:val="both"/>
        <w:rPr>
          <w:rFonts w:ascii="Times New Roman" w:hAnsi="Times New Roman" w:cs="Times New Roman"/>
          <w:b/>
          <w:sz w:val="22"/>
          <w:szCs w:val="22"/>
        </w:rPr>
      </w:pPr>
    </w:p>
    <w:p w14:paraId="11CFA1EE" w14:textId="26BDC2A7" w:rsidR="00501623" w:rsidRPr="007C271A" w:rsidRDefault="00501623" w:rsidP="00501623">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Human security recognises vulnerability as a crucial factor in decision</w:t>
      </w:r>
      <w:r w:rsidR="001E5458" w:rsidRPr="007C271A">
        <w:rPr>
          <w:rFonts w:ascii="Times New Roman" w:hAnsi="Times New Roman" w:cs="Times New Roman"/>
          <w:sz w:val="22"/>
          <w:szCs w:val="22"/>
        </w:rPr>
        <w:t>-</w:t>
      </w:r>
      <w:r w:rsidRPr="007C271A">
        <w:rPr>
          <w:rFonts w:ascii="Times New Roman" w:hAnsi="Times New Roman" w:cs="Times New Roman"/>
          <w:sz w:val="22"/>
          <w:szCs w:val="22"/>
        </w:rPr>
        <w:t xml:space="preserve">making. The Commission expressly calls for concern for people on the move and for women, children, the elderly, the disabled, the indigenous, and the missing. </w:t>
      </w:r>
      <w:r w:rsidR="001E5458" w:rsidRPr="007C271A">
        <w:rPr>
          <w:rFonts w:ascii="Times New Roman" w:hAnsi="Times New Roman" w:cs="Times New Roman"/>
          <w:sz w:val="22"/>
          <w:szCs w:val="22"/>
        </w:rPr>
        <w:t>In addition</w:t>
      </w:r>
      <w:r w:rsidRPr="007C271A">
        <w:rPr>
          <w:rFonts w:ascii="Times New Roman" w:hAnsi="Times New Roman" w:cs="Times New Roman"/>
          <w:sz w:val="22"/>
          <w:szCs w:val="22"/>
        </w:rPr>
        <w:t>, the UN General Assembly, when defining human security, declared that “</w:t>
      </w:r>
      <w:r w:rsidR="00EA2C0D" w:rsidRPr="007C271A">
        <w:rPr>
          <w:rFonts w:ascii="Times New Roman" w:hAnsi="Times New Roman" w:cs="Times New Roman"/>
          <w:sz w:val="22"/>
          <w:szCs w:val="22"/>
        </w:rPr>
        <w:t>[a]</w:t>
      </w:r>
      <w:proofErr w:type="spellStart"/>
      <w:r w:rsidRPr="007C271A">
        <w:rPr>
          <w:rFonts w:ascii="Times New Roman" w:hAnsi="Times New Roman" w:cs="Times New Roman"/>
          <w:sz w:val="22"/>
          <w:szCs w:val="22"/>
        </w:rPr>
        <w:t>ll</w:t>
      </w:r>
      <w:proofErr w:type="spellEnd"/>
      <w:r w:rsidRPr="007C271A">
        <w:rPr>
          <w:rFonts w:ascii="Times New Roman" w:hAnsi="Times New Roman" w:cs="Times New Roman"/>
          <w:sz w:val="22"/>
          <w:szCs w:val="22"/>
        </w:rPr>
        <w:t xml:space="preserve"> individuals, </w:t>
      </w:r>
      <w:r w:rsidRPr="007C271A">
        <w:rPr>
          <w:rFonts w:ascii="Times New Roman" w:hAnsi="Times New Roman" w:cs="Times New Roman"/>
          <w:i/>
          <w:sz w:val="22"/>
          <w:szCs w:val="22"/>
        </w:rPr>
        <w:t>in particular vulnerable people</w:t>
      </w:r>
      <w:r w:rsidRPr="007C271A">
        <w:rPr>
          <w:rFonts w:ascii="Times New Roman" w:hAnsi="Times New Roman" w:cs="Times New Roman"/>
          <w:sz w:val="22"/>
          <w:szCs w:val="22"/>
        </w:rPr>
        <w:t>, are entitled to freedom from fear and freedom from want”.</w:t>
      </w:r>
      <w:r w:rsidRPr="007C271A">
        <w:rPr>
          <w:rStyle w:val="FootnoteReference"/>
          <w:rFonts w:cs="Times New Roman"/>
          <w:szCs w:val="22"/>
        </w:rPr>
        <w:footnoteReference w:id="31"/>
      </w:r>
      <w:r w:rsidRPr="007C271A">
        <w:rPr>
          <w:rFonts w:ascii="Times New Roman" w:hAnsi="Times New Roman" w:cs="Times New Roman"/>
          <w:sz w:val="22"/>
          <w:szCs w:val="22"/>
        </w:rPr>
        <w:t xml:space="preserve"> Due to the attention given to vulnerability by the human security discourse it necessarily forms one of the principles of the concep</w:t>
      </w:r>
      <w:r w:rsidR="0006515B" w:rsidRPr="007C271A">
        <w:rPr>
          <w:rFonts w:ascii="Times New Roman" w:hAnsi="Times New Roman" w:cs="Times New Roman"/>
          <w:sz w:val="22"/>
          <w:szCs w:val="22"/>
        </w:rPr>
        <w:t>t for the analytical framework.</w:t>
      </w:r>
    </w:p>
    <w:p w14:paraId="73AA3390" w14:textId="1829100F" w:rsidR="00501623" w:rsidRPr="007C271A" w:rsidRDefault="0006515B" w:rsidP="00EA2C0D">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There is a rich body of work on vulnerability and notably the work of </w:t>
      </w:r>
      <w:proofErr w:type="spellStart"/>
      <w:r w:rsidRPr="007C271A">
        <w:rPr>
          <w:rFonts w:ascii="Times New Roman" w:hAnsi="Times New Roman" w:cs="Times New Roman"/>
          <w:sz w:val="22"/>
          <w:szCs w:val="22"/>
        </w:rPr>
        <w:t>Fineman</w:t>
      </w:r>
      <w:proofErr w:type="spellEnd"/>
      <w:r w:rsidRPr="007C271A">
        <w:rPr>
          <w:rFonts w:ascii="Times New Roman" w:hAnsi="Times New Roman" w:cs="Times New Roman"/>
          <w:sz w:val="22"/>
          <w:szCs w:val="22"/>
        </w:rPr>
        <w:t xml:space="preserve"> has argued that identifying specific vulnerabilities can be stigmatising.</w:t>
      </w:r>
      <w:r w:rsidRPr="007C271A">
        <w:rPr>
          <w:rStyle w:val="FootnoteReference"/>
          <w:rFonts w:cs="Times New Roman"/>
          <w:szCs w:val="22"/>
        </w:rPr>
        <w:footnoteReference w:id="32"/>
      </w:r>
      <w:r w:rsidRPr="007C271A">
        <w:rPr>
          <w:rFonts w:ascii="Times New Roman" w:hAnsi="Times New Roman" w:cs="Times New Roman"/>
          <w:sz w:val="22"/>
          <w:szCs w:val="22"/>
        </w:rPr>
        <w:t xml:space="preserve"> For the purposes of this work it is simply </w:t>
      </w:r>
      <w:r w:rsidR="00594830" w:rsidRPr="007C271A">
        <w:rPr>
          <w:rFonts w:ascii="Times New Roman" w:hAnsi="Times New Roman" w:cs="Times New Roman"/>
          <w:sz w:val="22"/>
          <w:szCs w:val="22"/>
        </w:rPr>
        <w:t xml:space="preserve">suggested </w:t>
      </w:r>
      <w:r w:rsidRPr="007C271A">
        <w:rPr>
          <w:rFonts w:ascii="Times New Roman" w:hAnsi="Times New Roman" w:cs="Times New Roman"/>
          <w:sz w:val="22"/>
          <w:szCs w:val="22"/>
        </w:rPr>
        <w:t xml:space="preserve">that </w:t>
      </w:r>
      <w:r w:rsidR="00DE32CC" w:rsidRPr="007C271A">
        <w:rPr>
          <w:rFonts w:ascii="Times New Roman" w:hAnsi="Times New Roman" w:cs="Times New Roman"/>
          <w:sz w:val="22"/>
          <w:szCs w:val="22"/>
        </w:rPr>
        <w:t xml:space="preserve">some individuals or groups are more vulnerable than others and should be identified by </w:t>
      </w:r>
      <w:r w:rsidR="00DE32CC" w:rsidRPr="007C271A">
        <w:rPr>
          <w:rFonts w:ascii="Times New Roman" w:hAnsi="Times New Roman" w:cs="Times New Roman"/>
          <w:sz w:val="22"/>
          <w:szCs w:val="22"/>
        </w:rPr>
        <w:lastRenderedPageBreak/>
        <w:t>international actors.</w:t>
      </w:r>
      <w:r w:rsidR="00501623" w:rsidRPr="007C271A">
        <w:rPr>
          <w:rFonts w:ascii="Times New Roman" w:hAnsi="Times New Roman" w:cs="Times New Roman"/>
          <w:sz w:val="22"/>
          <w:szCs w:val="22"/>
        </w:rPr>
        <w:t xml:space="preserve"> For instance, </w:t>
      </w:r>
      <w:r w:rsidR="00EA2C0D" w:rsidRPr="007C271A">
        <w:rPr>
          <w:rFonts w:ascii="Times New Roman" w:hAnsi="Times New Roman" w:cs="Times New Roman"/>
          <w:sz w:val="22"/>
          <w:szCs w:val="22"/>
        </w:rPr>
        <w:t>Tobin suggests that the fact all humans are in some way vulnerable should not obscure that some are more vulnerable than others due to many factors.</w:t>
      </w:r>
      <w:r w:rsidR="00501623" w:rsidRPr="007C271A">
        <w:rPr>
          <w:rStyle w:val="FootnoteReference"/>
          <w:rFonts w:cs="Times New Roman"/>
          <w:szCs w:val="22"/>
        </w:rPr>
        <w:footnoteReference w:id="33"/>
      </w:r>
      <w:r w:rsidR="00EA2C0D" w:rsidRPr="007C271A">
        <w:rPr>
          <w:rFonts w:ascii="Times New Roman" w:hAnsi="Times New Roman" w:cs="Times New Roman"/>
          <w:sz w:val="22"/>
          <w:szCs w:val="22"/>
        </w:rPr>
        <w:t xml:space="preserve"> </w:t>
      </w:r>
      <w:r w:rsidR="00501623" w:rsidRPr="007C271A">
        <w:rPr>
          <w:rFonts w:ascii="Times New Roman" w:hAnsi="Times New Roman" w:cs="Times New Roman"/>
          <w:iCs/>
          <w:sz w:val="22"/>
          <w:szCs w:val="22"/>
        </w:rPr>
        <w:t xml:space="preserve">For the application of </w:t>
      </w:r>
      <w:r w:rsidR="00EA2C0D" w:rsidRPr="007C271A">
        <w:rPr>
          <w:rFonts w:ascii="Times New Roman" w:hAnsi="Times New Roman" w:cs="Times New Roman"/>
          <w:iCs/>
          <w:sz w:val="22"/>
          <w:szCs w:val="22"/>
        </w:rPr>
        <w:t>this</w:t>
      </w:r>
      <w:r w:rsidR="00501623" w:rsidRPr="007C271A">
        <w:rPr>
          <w:rFonts w:ascii="Times New Roman" w:hAnsi="Times New Roman" w:cs="Times New Roman"/>
          <w:iCs/>
          <w:sz w:val="22"/>
          <w:szCs w:val="22"/>
        </w:rPr>
        <w:t xml:space="preserve"> analytical framework, there needs to be clear identification of particular vulnerabilities. A human security approach could be evident if</w:t>
      </w:r>
      <w:r w:rsidR="0009056F" w:rsidRPr="007C271A">
        <w:rPr>
          <w:rFonts w:ascii="Times New Roman" w:hAnsi="Times New Roman" w:cs="Times New Roman"/>
          <w:iCs/>
          <w:sz w:val="22"/>
          <w:szCs w:val="22"/>
        </w:rPr>
        <w:t xml:space="preserve"> </w:t>
      </w:r>
      <w:r w:rsidR="00501623" w:rsidRPr="007C271A">
        <w:rPr>
          <w:rFonts w:ascii="Times New Roman" w:hAnsi="Times New Roman" w:cs="Times New Roman"/>
          <w:iCs/>
          <w:sz w:val="22"/>
          <w:szCs w:val="22"/>
        </w:rPr>
        <w:t xml:space="preserve">categories </w:t>
      </w:r>
      <w:r w:rsidR="0009056F" w:rsidRPr="007C271A">
        <w:rPr>
          <w:rFonts w:ascii="Times New Roman" w:hAnsi="Times New Roman" w:cs="Times New Roman"/>
          <w:iCs/>
          <w:sz w:val="22"/>
          <w:szCs w:val="22"/>
        </w:rPr>
        <w:t xml:space="preserve">of persons are identified as being at particular risk. </w:t>
      </w:r>
      <w:proofErr w:type="spellStart"/>
      <w:r w:rsidR="00501623" w:rsidRPr="007C271A">
        <w:rPr>
          <w:rFonts w:ascii="Times New Roman" w:hAnsi="Times New Roman" w:cs="Times New Roman"/>
          <w:sz w:val="22"/>
          <w:szCs w:val="22"/>
        </w:rPr>
        <w:t>Fineman</w:t>
      </w:r>
      <w:proofErr w:type="spellEnd"/>
      <w:r w:rsidR="00501623" w:rsidRPr="007C271A">
        <w:rPr>
          <w:rFonts w:ascii="Times New Roman" w:hAnsi="Times New Roman" w:cs="Times New Roman"/>
          <w:sz w:val="22"/>
          <w:szCs w:val="22"/>
        </w:rPr>
        <w:t xml:space="preserve"> argues that the partial antidote to vulnerability is resilience</w:t>
      </w:r>
      <w:r w:rsidR="00EA2C0D" w:rsidRPr="007C271A">
        <w:rPr>
          <w:rFonts w:ascii="Times New Roman" w:hAnsi="Times New Roman" w:cs="Times New Roman"/>
          <w:sz w:val="22"/>
          <w:szCs w:val="22"/>
        </w:rPr>
        <w:t xml:space="preserve"> which is</w:t>
      </w:r>
      <w:r w:rsidR="00501623" w:rsidRPr="007C271A">
        <w:rPr>
          <w:rFonts w:ascii="Times New Roman" w:hAnsi="Times New Roman" w:cs="Times New Roman"/>
          <w:sz w:val="22"/>
          <w:szCs w:val="22"/>
        </w:rPr>
        <w:t xml:space="preserve"> defined as “what provides an individual with the means and ability to recover from harm or setbacks.”</w:t>
      </w:r>
      <w:r w:rsidR="00501623" w:rsidRPr="007C271A">
        <w:rPr>
          <w:rStyle w:val="FootnoteReference"/>
          <w:rFonts w:cs="Times New Roman"/>
          <w:szCs w:val="22"/>
        </w:rPr>
        <w:footnoteReference w:id="34"/>
      </w:r>
      <w:r w:rsidR="00501623" w:rsidRPr="007C271A">
        <w:rPr>
          <w:rFonts w:ascii="Times New Roman" w:hAnsi="Times New Roman" w:cs="Times New Roman"/>
          <w:sz w:val="22"/>
          <w:szCs w:val="22"/>
        </w:rPr>
        <w:t xml:space="preserve"> The ability to be resilient and build further resilience is determined by the level of resources a person has access to.</w:t>
      </w:r>
      <w:r w:rsidR="00501623" w:rsidRPr="007C271A">
        <w:rPr>
          <w:rFonts w:ascii="Times New Roman" w:hAnsi="Times New Roman" w:cs="Times New Roman"/>
          <w:iCs/>
          <w:sz w:val="22"/>
          <w:szCs w:val="22"/>
        </w:rPr>
        <w:t xml:space="preserve"> The actions taken by </w:t>
      </w:r>
      <w:r w:rsidR="001E5458" w:rsidRPr="007C271A">
        <w:rPr>
          <w:rFonts w:ascii="Times New Roman" w:hAnsi="Times New Roman" w:cs="Times New Roman"/>
          <w:iCs/>
          <w:sz w:val="22"/>
          <w:szCs w:val="22"/>
        </w:rPr>
        <w:t xml:space="preserve">an </w:t>
      </w:r>
      <w:r w:rsidR="00501623" w:rsidRPr="007C271A">
        <w:rPr>
          <w:rFonts w:ascii="Times New Roman" w:hAnsi="Times New Roman" w:cs="Times New Roman"/>
          <w:iCs/>
          <w:sz w:val="22"/>
          <w:szCs w:val="22"/>
        </w:rPr>
        <w:t>international actor must contribute to building resilience to evidence a concern for human security, as opposed to identifying a vulnerability and taking short</w:t>
      </w:r>
      <w:r w:rsidR="001E5458" w:rsidRPr="007C271A">
        <w:rPr>
          <w:rFonts w:ascii="Times New Roman" w:hAnsi="Times New Roman" w:cs="Times New Roman"/>
          <w:iCs/>
          <w:sz w:val="22"/>
          <w:szCs w:val="22"/>
        </w:rPr>
        <w:t>-</w:t>
      </w:r>
      <w:r w:rsidR="00501623" w:rsidRPr="007C271A">
        <w:rPr>
          <w:rFonts w:ascii="Times New Roman" w:hAnsi="Times New Roman" w:cs="Times New Roman"/>
          <w:iCs/>
          <w:sz w:val="22"/>
          <w:szCs w:val="22"/>
        </w:rPr>
        <w:t>term action which leaves the root cause of the vulnerability intact.</w:t>
      </w:r>
    </w:p>
    <w:p w14:paraId="63891F7C" w14:textId="77777777" w:rsidR="00501623" w:rsidRPr="007C271A" w:rsidRDefault="00501623" w:rsidP="00501623">
      <w:pPr>
        <w:spacing w:line="360" w:lineRule="auto"/>
        <w:jc w:val="both"/>
        <w:rPr>
          <w:rFonts w:ascii="Times New Roman" w:hAnsi="Times New Roman" w:cs="Times New Roman"/>
          <w:sz w:val="22"/>
          <w:szCs w:val="22"/>
        </w:rPr>
      </w:pPr>
    </w:p>
    <w:p w14:paraId="1E89C1C6" w14:textId="2BDD882B" w:rsidR="00501623" w:rsidRPr="007C271A" w:rsidRDefault="00501623" w:rsidP="00706FD8">
      <w:pPr>
        <w:pStyle w:val="Heading3"/>
        <w:numPr>
          <w:ilvl w:val="1"/>
          <w:numId w:val="1"/>
        </w:numPr>
        <w:rPr>
          <w:rFonts w:ascii="Times New Roman" w:hAnsi="Times New Roman" w:cs="Times New Roman"/>
          <w:sz w:val="22"/>
          <w:szCs w:val="22"/>
        </w:rPr>
      </w:pPr>
      <w:r w:rsidRPr="007C271A">
        <w:rPr>
          <w:rFonts w:ascii="Times New Roman" w:hAnsi="Times New Roman" w:cs="Times New Roman"/>
          <w:sz w:val="22"/>
          <w:szCs w:val="22"/>
        </w:rPr>
        <w:t>Protection and empowerment</w:t>
      </w:r>
    </w:p>
    <w:p w14:paraId="25DB87B9" w14:textId="77777777" w:rsidR="00501623" w:rsidRPr="007C271A" w:rsidRDefault="00501623" w:rsidP="00501623">
      <w:pPr>
        <w:spacing w:line="360" w:lineRule="auto"/>
        <w:jc w:val="both"/>
        <w:rPr>
          <w:rFonts w:ascii="Times New Roman" w:hAnsi="Times New Roman" w:cs="Times New Roman"/>
          <w:sz w:val="22"/>
          <w:szCs w:val="22"/>
        </w:rPr>
      </w:pPr>
    </w:p>
    <w:p w14:paraId="71F27FEC" w14:textId="2BDD093F" w:rsidR="00501623" w:rsidRPr="007C271A" w:rsidRDefault="00DE32CC" w:rsidP="00501623">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The principles of protection and empowerment form one overarching </w:t>
      </w:r>
      <w:r w:rsidR="001E5458" w:rsidRPr="007C271A">
        <w:rPr>
          <w:rFonts w:ascii="Times New Roman" w:hAnsi="Times New Roman" w:cs="Times New Roman"/>
          <w:sz w:val="22"/>
          <w:szCs w:val="22"/>
        </w:rPr>
        <w:t xml:space="preserve">and interlinked </w:t>
      </w:r>
      <w:r w:rsidRPr="007C271A">
        <w:rPr>
          <w:rFonts w:ascii="Times New Roman" w:hAnsi="Times New Roman" w:cs="Times New Roman"/>
          <w:sz w:val="22"/>
          <w:szCs w:val="22"/>
        </w:rPr>
        <w:t>strategy.</w:t>
      </w:r>
      <w:r w:rsidR="00501623" w:rsidRPr="007C271A">
        <w:rPr>
          <w:rFonts w:ascii="Times New Roman" w:hAnsi="Times New Roman" w:cs="Times New Roman"/>
          <w:sz w:val="22"/>
          <w:szCs w:val="22"/>
        </w:rPr>
        <w:t xml:space="preserve"> </w:t>
      </w:r>
      <w:r w:rsidRPr="007C271A">
        <w:rPr>
          <w:rFonts w:ascii="Times New Roman" w:hAnsi="Times New Roman" w:cs="Times New Roman"/>
          <w:sz w:val="22"/>
          <w:szCs w:val="22"/>
        </w:rPr>
        <w:t>F</w:t>
      </w:r>
      <w:r w:rsidR="00501623" w:rsidRPr="007C271A">
        <w:rPr>
          <w:rFonts w:ascii="Times New Roman" w:hAnsi="Times New Roman" w:cs="Times New Roman"/>
          <w:sz w:val="22"/>
          <w:szCs w:val="22"/>
        </w:rPr>
        <w:t>irst</w:t>
      </w:r>
      <w:r w:rsidR="001E5458" w:rsidRPr="007C271A">
        <w:rPr>
          <w:rFonts w:ascii="Times New Roman" w:hAnsi="Times New Roman" w:cs="Times New Roman"/>
          <w:sz w:val="22"/>
          <w:szCs w:val="22"/>
        </w:rPr>
        <w:t>, it is</w:t>
      </w:r>
      <w:r w:rsidRPr="007C271A">
        <w:rPr>
          <w:rFonts w:ascii="Times New Roman" w:hAnsi="Times New Roman" w:cs="Times New Roman"/>
          <w:sz w:val="22"/>
          <w:szCs w:val="22"/>
        </w:rPr>
        <w:t xml:space="preserve"> recognised</w:t>
      </w:r>
      <w:r w:rsidR="00501623" w:rsidRPr="007C271A">
        <w:rPr>
          <w:rFonts w:ascii="Times New Roman" w:hAnsi="Times New Roman" w:cs="Times New Roman"/>
          <w:sz w:val="22"/>
          <w:szCs w:val="22"/>
        </w:rPr>
        <w:t xml:space="preserve"> that people require protection from a range of threats, not only </w:t>
      </w:r>
      <w:r w:rsidR="00EA2C0D" w:rsidRPr="007C271A">
        <w:rPr>
          <w:rFonts w:ascii="Times New Roman" w:hAnsi="Times New Roman" w:cs="Times New Roman"/>
          <w:i/>
          <w:sz w:val="22"/>
          <w:szCs w:val="22"/>
        </w:rPr>
        <w:t>physical</w:t>
      </w:r>
      <w:r w:rsidR="00EA2C0D" w:rsidRPr="007C271A">
        <w:rPr>
          <w:rFonts w:ascii="Times New Roman" w:hAnsi="Times New Roman" w:cs="Times New Roman"/>
          <w:sz w:val="22"/>
          <w:szCs w:val="22"/>
        </w:rPr>
        <w:t xml:space="preserve"> harm</w:t>
      </w:r>
      <w:r w:rsidR="00501623" w:rsidRPr="007C271A">
        <w:rPr>
          <w:rFonts w:ascii="Times New Roman" w:hAnsi="Times New Roman" w:cs="Times New Roman"/>
          <w:sz w:val="22"/>
          <w:szCs w:val="22"/>
        </w:rPr>
        <w:t xml:space="preserve">, and responses must be preventative where possible with a long-term vision in mind. Second, </w:t>
      </w:r>
      <w:r w:rsidR="001E5458" w:rsidRPr="007C271A">
        <w:rPr>
          <w:rFonts w:ascii="Times New Roman" w:hAnsi="Times New Roman" w:cs="Times New Roman"/>
          <w:sz w:val="22"/>
          <w:szCs w:val="22"/>
        </w:rPr>
        <w:t>empowerment strategies</w:t>
      </w:r>
      <w:r w:rsidR="00501623" w:rsidRPr="007C271A">
        <w:rPr>
          <w:rFonts w:ascii="Times New Roman" w:hAnsi="Times New Roman" w:cs="Times New Roman"/>
          <w:sz w:val="22"/>
          <w:szCs w:val="22"/>
        </w:rPr>
        <w:t xml:space="preserve"> must ensure institutions, communities, and individuals are resilient and able to identify and address security threats locally where possible and be </w:t>
      </w:r>
      <w:r w:rsidR="001E5458" w:rsidRPr="007C271A">
        <w:rPr>
          <w:rFonts w:ascii="Times New Roman" w:hAnsi="Times New Roman" w:cs="Times New Roman"/>
          <w:sz w:val="22"/>
          <w:szCs w:val="22"/>
        </w:rPr>
        <w:t>given a voice at regional, national and international levels to raise security issues.</w:t>
      </w:r>
    </w:p>
    <w:p w14:paraId="7F227804" w14:textId="727A62CA" w:rsidR="00501623" w:rsidRPr="007C271A" w:rsidRDefault="00501623" w:rsidP="00501623">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The </w:t>
      </w:r>
      <w:r w:rsidR="00EA2C0D" w:rsidRPr="007C271A">
        <w:rPr>
          <w:rFonts w:ascii="Times New Roman" w:hAnsi="Times New Roman" w:cs="Times New Roman"/>
          <w:i/>
          <w:sz w:val="22"/>
          <w:szCs w:val="22"/>
        </w:rPr>
        <w:t>Human Security Now</w:t>
      </w:r>
      <w:r w:rsidR="00EA2C0D" w:rsidRPr="007C271A">
        <w:rPr>
          <w:rFonts w:ascii="Times New Roman" w:hAnsi="Times New Roman" w:cs="Times New Roman"/>
          <w:sz w:val="22"/>
          <w:szCs w:val="22"/>
        </w:rPr>
        <w:t xml:space="preserve"> </w:t>
      </w:r>
      <w:r w:rsidRPr="007C271A">
        <w:rPr>
          <w:rFonts w:ascii="Times New Roman" w:hAnsi="Times New Roman" w:cs="Times New Roman"/>
          <w:sz w:val="22"/>
          <w:szCs w:val="22"/>
        </w:rPr>
        <w:t>Report states,</w:t>
      </w:r>
    </w:p>
    <w:p w14:paraId="6863383F" w14:textId="22F3A1C4" w:rsidR="00501623" w:rsidRPr="007C271A" w:rsidRDefault="00501623" w:rsidP="00501623">
      <w:pPr>
        <w:pStyle w:val="Quote"/>
        <w:jc w:val="both"/>
        <w:rPr>
          <w:i w:val="0"/>
          <w:sz w:val="22"/>
          <w:szCs w:val="22"/>
        </w:rPr>
      </w:pPr>
      <w:r w:rsidRPr="007C271A">
        <w:rPr>
          <w:i w:val="0"/>
          <w:sz w:val="22"/>
          <w:szCs w:val="22"/>
        </w:rPr>
        <w:t>To protect people—the first key to human security—their basic rights and freedoms must be upheld. To do so requires concerted efforts to develop national and international norms, processes and institutions, which must address insecurities in ways that are systematic not makeshift, comprehensive not compartmentalized, preventive not reactive. Human security helps identify gaps in the infrastructure of protection as well as ways to strengthen or improve it.</w:t>
      </w:r>
      <w:r w:rsidRPr="007C271A">
        <w:rPr>
          <w:rStyle w:val="FootnoteReference"/>
          <w:i w:val="0"/>
          <w:szCs w:val="22"/>
        </w:rPr>
        <w:footnoteReference w:id="35"/>
      </w:r>
    </w:p>
    <w:p w14:paraId="4171C066" w14:textId="446B8C1D" w:rsidR="00501623" w:rsidRPr="007C271A" w:rsidRDefault="00501623" w:rsidP="00501623">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The protection element means that </w:t>
      </w:r>
      <w:r w:rsidR="00594830" w:rsidRPr="007C271A">
        <w:rPr>
          <w:rFonts w:ascii="Times New Roman" w:hAnsi="Times New Roman" w:cs="Times New Roman"/>
          <w:sz w:val="22"/>
          <w:szCs w:val="22"/>
        </w:rPr>
        <w:t>an</w:t>
      </w:r>
      <w:r w:rsidRPr="007C271A">
        <w:rPr>
          <w:rFonts w:ascii="Times New Roman" w:hAnsi="Times New Roman" w:cs="Times New Roman"/>
          <w:sz w:val="22"/>
          <w:szCs w:val="22"/>
        </w:rPr>
        <w:t xml:space="preserve"> intervention </w:t>
      </w:r>
      <w:r w:rsidR="00684BA6" w:rsidRPr="007C271A">
        <w:rPr>
          <w:rFonts w:ascii="Times New Roman" w:hAnsi="Times New Roman" w:cs="Times New Roman"/>
          <w:sz w:val="22"/>
          <w:szCs w:val="22"/>
        </w:rPr>
        <w:t xml:space="preserve">should, </w:t>
      </w:r>
      <w:r w:rsidR="00AE59EB" w:rsidRPr="007C271A">
        <w:rPr>
          <w:rFonts w:ascii="Times New Roman" w:hAnsi="Times New Roman" w:cs="Times New Roman"/>
          <w:sz w:val="22"/>
          <w:szCs w:val="22"/>
        </w:rPr>
        <w:t>where possible</w:t>
      </w:r>
      <w:r w:rsidR="00684BA6" w:rsidRPr="007C271A">
        <w:rPr>
          <w:rFonts w:ascii="Times New Roman" w:hAnsi="Times New Roman" w:cs="Times New Roman"/>
          <w:sz w:val="22"/>
          <w:szCs w:val="22"/>
        </w:rPr>
        <w:t>, be</w:t>
      </w:r>
      <w:r w:rsidR="00420499"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p</w:t>
      </w:r>
      <w:r w:rsidRPr="007C271A">
        <w:rPr>
          <w:rFonts w:ascii="Times New Roman" w:hAnsi="Times New Roman" w:cs="Times New Roman"/>
          <w:sz w:val="22"/>
          <w:szCs w:val="22"/>
        </w:rPr>
        <w:t>reventative</w:t>
      </w:r>
      <w:r w:rsidR="00684BA6" w:rsidRPr="007C271A">
        <w:rPr>
          <w:rFonts w:ascii="Times New Roman" w:hAnsi="Times New Roman" w:cs="Times New Roman"/>
          <w:sz w:val="22"/>
          <w:szCs w:val="22"/>
        </w:rPr>
        <w:t xml:space="preserve"> and </w:t>
      </w:r>
      <w:r w:rsidR="00746CAC" w:rsidRPr="007C271A">
        <w:rPr>
          <w:rFonts w:ascii="Times New Roman" w:hAnsi="Times New Roman" w:cs="Times New Roman"/>
          <w:sz w:val="22"/>
          <w:szCs w:val="22"/>
        </w:rPr>
        <w:t>not simply fight fires and respond after, for example, an attack on a town by an armed group, but instead will take the initiative to ensure the security of individuals from known threats before catastrophe strikes.</w:t>
      </w:r>
      <w:r w:rsidR="00594830" w:rsidRPr="007C271A">
        <w:rPr>
          <w:rFonts w:ascii="Times New Roman" w:hAnsi="Times New Roman" w:cs="Times New Roman"/>
          <w:sz w:val="22"/>
          <w:szCs w:val="22"/>
        </w:rPr>
        <w:t xml:space="preserve"> </w:t>
      </w:r>
      <w:r w:rsidR="00746CAC" w:rsidRPr="007C271A">
        <w:rPr>
          <w:rFonts w:ascii="Times New Roman" w:hAnsi="Times New Roman" w:cs="Times New Roman"/>
          <w:sz w:val="22"/>
          <w:szCs w:val="22"/>
        </w:rPr>
        <w:t>Interventions such as the deployment of a peace operation is a top-down action and what the international community feels is needed to ‘shield people’ and create structures that ensure the rule of law and democratic engagement.</w:t>
      </w:r>
      <w:r w:rsidR="00746CAC" w:rsidRPr="007C271A">
        <w:rPr>
          <w:rStyle w:val="FootnoteReference"/>
          <w:rFonts w:cs="Times New Roman"/>
          <w:szCs w:val="22"/>
        </w:rPr>
        <w:footnoteReference w:id="36"/>
      </w:r>
      <w:r w:rsidR="00746CAC" w:rsidRPr="007C271A">
        <w:rPr>
          <w:rFonts w:ascii="Times New Roman" w:hAnsi="Times New Roman" w:cs="Times New Roman"/>
          <w:sz w:val="22"/>
          <w:szCs w:val="22"/>
        </w:rPr>
        <w:t xml:space="preserve"> However, u</w:t>
      </w:r>
      <w:r w:rsidRPr="007C271A">
        <w:rPr>
          <w:rFonts w:ascii="Times New Roman" w:hAnsi="Times New Roman" w:cs="Times New Roman"/>
          <w:sz w:val="22"/>
          <w:szCs w:val="22"/>
        </w:rPr>
        <w:t xml:space="preserve">nder a human security approach protection cannot be merely from threats of </w:t>
      </w:r>
      <w:r w:rsidR="00746CAC" w:rsidRPr="007C271A">
        <w:rPr>
          <w:rFonts w:ascii="Times New Roman" w:hAnsi="Times New Roman" w:cs="Times New Roman"/>
          <w:sz w:val="22"/>
          <w:szCs w:val="22"/>
        </w:rPr>
        <w:t xml:space="preserve">physical </w:t>
      </w:r>
      <w:r w:rsidRPr="007C271A">
        <w:rPr>
          <w:rFonts w:ascii="Times New Roman" w:hAnsi="Times New Roman" w:cs="Times New Roman"/>
          <w:sz w:val="22"/>
          <w:szCs w:val="22"/>
        </w:rPr>
        <w:t xml:space="preserve">violence and </w:t>
      </w:r>
      <w:r w:rsidR="00746CAC" w:rsidRPr="007C271A">
        <w:rPr>
          <w:rFonts w:ascii="Times New Roman" w:hAnsi="Times New Roman" w:cs="Times New Roman"/>
          <w:sz w:val="22"/>
          <w:szCs w:val="22"/>
        </w:rPr>
        <w:t>broader considerations are needed</w:t>
      </w:r>
      <w:r w:rsidRPr="007C271A">
        <w:rPr>
          <w:rFonts w:ascii="Times New Roman" w:hAnsi="Times New Roman" w:cs="Times New Roman"/>
          <w:sz w:val="22"/>
          <w:szCs w:val="22"/>
        </w:rPr>
        <w:t xml:space="preserve"> including health crises, water shortages, financial crisis or pollution.</w:t>
      </w:r>
      <w:r w:rsidRPr="007C271A">
        <w:rPr>
          <w:rStyle w:val="FootnoteReference"/>
          <w:rFonts w:cs="Times New Roman"/>
          <w:szCs w:val="22"/>
        </w:rPr>
        <w:footnoteReference w:id="37"/>
      </w:r>
      <w:r w:rsidRPr="007C271A">
        <w:rPr>
          <w:rFonts w:ascii="Times New Roman" w:hAnsi="Times New Roman" w:cs="Times New Roman"/>
          <w:sz w:val="22"/>
          <w:szCs w:val="22"/>
        </w:rPr>
        <w:t xml:space="preserve"> Many threats to human security that require protection </w:t>
      </w:r>
      <w:r w:rsidRPr="007C271A">
        <w:rPr>
          <w:rFonts w:ascii="Times New Roman" w:hAnsi="Times New Roman" w:cs="Times New Roman"/>
          <w:sz w:val="22"/>
          <w:szCs w:val="22"/>
        </w:rPr>
        <w:lastRenderedPageBreak/>
        <w:t>will stem from conflict but not all will, and the international community cannot only see protection as ensuring physical integrity when utilising a human security approach.</w:t>
      </w:r>
    </w:p>
    <w:p w14:paraId="43EED807" w14:textId="0F235B1B" w:rsidR="00501623" w:rsidRPr="007C271A" w:rsidRDefault="00501623" w:rsidP="00501623">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The empowerment aspect of the Commission’s framework is thought to have </w:t>
      </w:r>
      <w:r w:rsidR="00E73DEE" w:rsidRPr="007C271A">
        <w:rPr>
          <w:rFonts w:ascii="Times New Roman" w:hAnsi="Times New Roman" w:cs="Times New Roman"/>
          <w:sz w:val="22"/>
          <w:szCs w:val="22"/>
        </w:rPr>
        <w:t>the most</w:t>
      </w:r>
      <w:r w:rsidRPr="007C271A">
        <w:rPr>
          <w:rFonts w:ascii="Times New Roman" w:hAnsi="Times New Roman" w:cs="Times New Roman"/>
          <w:sz w:val="22"/>
          <w:szCs w:val="22"/>
        </w:rPr>
        <w:t xml:space="preserve"> potential and </w:t>
      </w:r>
      <w:r w:rsidR="00746CAC" w:rsidRPr="007C271A">
        <w:rPr>
          <w:rFonts w:ascii="Times New Roman" w:hAnsi="Times New Roman" w:cs="Times New Roman"/>
          <w:sz w:val="22"/>
          <w:szCs w:val="22"/>
        </w:rPr>
        <w:t xml:space="preserve">is argued to </w:t>
      </w:r>
      <w:r w:rsidRPr="007C271A">
        <w:rPr>
          <w:rFonts w:ascii="Times New Roman" w:hAnsi="Times New Roman" w:cs="Times New Roman"/>
          <w:sz w:val="22"/>
          <w:szCs w:val="22"/>
        </w:rPr>
        <w:t>show how human security can respond to crises in a more legitimate and focused way than existing security practices.</w:t>
      </w:r>
      <w:r w:rsidRPr="007C271A">
        <w:rPr>
          <w:rStyle w:val="FootnoteReference"/>
          <w:rFonts w:cs="Times New Roman"/>
          <w:szCs w:val="22"/>
        </w:rPr>
        <w:footnoteReference w:id="38"/>
      </w:r>
      <w:r w:rsidRPr="007C271A">
        <w:rPr>
          <w:rFonts w:ascii="Times New Roman" w:hAnsi="Times New Roman" w:cs="Times New Roman"/>
          <w:sz w:val="22"/>
          <w:szCs w:val="22"/>
        </w:rPr>
        <w:t xml:space="preserve"> Empowerment is, “</w:t>
      </w:r>
      <w:r w:rsidR="00E73DEE" w:rsidRPr="007C271A">
        <w:rPr>
          <w:rFonts w:ascii="Times New Roman" w:hAnsi="Times New Roman" w:cs="Times New Roman"/>
          <w:sz w:val="22"/>
          <w:szCs w:val="22"/>
        </w:rPr>
        <w:t>[p]</w:t>
      </w:r>
      <w:proofErr w:type="spellStart"/>
      <w:r w:rsidRPr="007C271A">
        <w:rPr>
          <w:rFonts w:ascii="Times New Roman" w:hAnsi="Times New Roman" w:cs="Times New Roman"/>
          <w:sz w:val="22"/>
          <w:szCs w:val="22"/>
        </w:rPr>
        <w:t>eople’s</w:t>
      </w:r>
      <w:proofErr w:type="spellEnd"/>
      <w:r w:rsidRPr="007C271A">
        <w:rPr>
          <w:rFonts w:ascii="Times New Roman" w:hAnsi="Times New Roman" w:cs="Times New Roman"/>
          <w:sz w:val="22"/>
          <w:szCs w:val="22"/>
        </w:rPr>
        <w:t xml:space="preserve"> ability to act on their own behalf—and on behalf of others…”</w:t>
      </w:r>
      <w:r w:rsidRPr="007C271A">
        <w:rPr>
          <w:rStyle w:val="FootnoteReference"/>
          <w:rFonts w:cs="Times New Roman"/>
          <w:szCs w:val="22"/>
        </w:rPr>
        <w:footnoteReference w:id="39"/>
      </w:r>
      <w:r w:rsidRPr="007C271A">
        <w:rPr>
          <w:rFonts w:ascii="Times New Roman" w:hAnsi="Times New Roman" w:cs="Times New Roman"/>
          <w:sz w:val="22"/>
          <w:szCs w:val="22"/>
        </w:rPr>
        <w:t xml:space="preserve"> Where people require protection, or have been protected, they can identify and implement solutions to security threats.</w:t>
      </w:r>
      <w:r w:rsidRPr="007C271A">
        <w:rPr>
          <w:rStyle w:val="FootnoteReference"/>
          <w:rFonts w:cs="Times New Roman"/>
          <w:szCs w:val="22"/>
        </w:rPr>
        <w:footnoteReference w:id="40"/>
      </w:r>
      <w:r w:rsidRPr="007C271A">
        <w:rPr>
          <w:rFonts w:ascii="Times New Roman" w:hAnsi="Times New Roman" w:cs="Times New Roman"/>
          <w:sz w:val="22"/>
          <w:szCs w:val="22"/>
        </w:rPr>
        <w:t xml:space="preserve"> To do so requires resilience where </w:t>
      </w:r>
      <w:r w:rsidR="00746CAC" w:rsidRPr="007C271A">
        <w:rPr>
          <w:rFonts w:ascii="Times New Roman" w:hAnsi="Times New Roman" w:cs="Times New Roman"/>
          <w:sz w:val="22"/>
          <w:szCs w:val="22"/>
        </w:rPr>
        <w:t>people empowered</w:t>
      </w:r>
      <w:r w:rsidRPr="007C271A">
        <w:rPr>
          <w:rFonts w:ascii="Times New Roman" w:hAnsi="Times New Roman" w:cs="Times New Roman"/>
          <w:sz w:val="22"/>
          <w:szCs w:val="22"/>
        </w:rPr>
        <w:t xml:space="preserve"> can “create new opportunities for work and address many problems locally. And they can mobilize for the security of others—say, by publicizing food shortages early, preventing famines or protesting human rights violations by states.”</w:t>
      </w:r>
      <w:r w:rsidRPr="007C271A">
        <w:rPr>
          <w:rStyle w:val="FootnoteReference"/>
          <w:rFonts w:cs="Times New Roman"/>
          <w:szCs w:val="22"/>
        </w:rPr>
        <w:footnoteReference w:id="41"/>
      </w:r>
    </w:p>
    <w:p w14:paraId="00E2A360" w14:textId="54232D25" w:rsidR="00DF2CF3" w:rsidRPr="007C271A" w:rsidRDefault="00501623" w:rsidP="00E73DEE">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It is through bottom-up engagement where individuals in society are able to identify and communicate their needs to a range of actors. Where people are adequately protected, they can be empowered to “make better choices, and actively prevent and mitigate the impact of insecurities.”</w:t>
      </w:r>
      <w:r w:rsidRPr="007C271A">
        <w:rPr>
          <w:rStyle w:val="FootnoteReference"/>
          <w:rFonts w:cs="Times New Roman"/>
          <w:szCs w:val="22"/>
        </w:rPr>
        <w:footnoteReference w:id="42"/>
      </w:r>
      <w:r w:rsidRPr="007C271A">
        <w:rPr>
          <w:rFonts w:ascii="Times New Roman" w:hAnsi="Times New Roman" w:cs="Times New Roman"/>
          <w:sz w:val="22"/>
          <w:szCs w:val="22"/>
        </w:rPr>
        <w:t xml:space="preserve"> The two strands of protection and empowerment are core to human security’s novelty. They are mutually reinforcing where “</w:t>
      </w:r>
      <w:r w:rsidR="00E73DEE" w:rsidRPr="007C271A">
        <w:rPr>
          <w:rFonts w:ascii="Times New Roman" w:hAnsi="Times New Roman" w:cs="Times New Roman"/>
          <w:sz w:val="22"/>
          <w:szCs w:val="22"/>
        </w:rPr>
        <w:t>[p]</w:t>
      </w:r>
      <w:proofErr w:type="spellStart"/>
      <w:r w:rsidRPr="007C271A">
        <w:rPr>
          <w:rFonts w:ascii="Times New Roman" w:hAnsi="Times New Roman" w:cs="Times New Roman"/>
          <w:sz w:val="22"/>
          <w:szCs w:val="22"/>
        </w:rPr>
        <w:t>eople</w:t>
      </w:r>
      <w:proofErr w:type="spellEnd"/>
      <w:r w:rsidRPr="007C271A">
        <w:rPr>
          <w:rFonts w:ascii="Times New Roman" w:hAnsi="Times New Roman" w:cs="Times New Roman"/>
          <w:sz w:val="22"/>
          <w:szCs w:val="22"/>
        </w:rPr>
        <w:t xml:space="preserve"> protected can exercise many choices. And people empowered can avoid some risks and demand improvements in the system of protection.”</w:t>
      </w:r>
      <w:r w:rsidRPr="007C271A">
        <w:rPr>
          <w:rStyle w:val="FootnoteReference"/>
          <w:rFonts w:cs="Times New Roman"/>
          <w:szCs w:val="22"/>
        </w:rPr>
        <w:footnoteReference w:id="43"/>
      </w:r>
      <w:r w:rsidRPr="007C271A">
        <w:rPr>
          <w:rFonts w:ascii="Times New Roman" w:hAnsi="Times New Roman" w:cs="Times New Roman"/>
          <w:sz w:val="22"/>
          <w:szCs w:val="22"/>
        </w:rPr>
        <w:t xml:space="preserve"> </w:t>
      </w:r>
      <w:r w:rsidR="00AA4F7A" w:rsidRPr="00AA4F7A">
        <w:rPr>
          <w:rFonts w:ascii="Times New Roman" w:hAnsi="Times New Roman" w:cs="Times New Roman"/>
          <w:sz w:val="22"/>
          <w:szCs w:val="22"/>
        </w:rPr>
        <w:t xml:space="preserve">A human security approach by the </w:t>
      </w:r>
      <w:r w:rsidR="00AA4F7A">
        <w:rPr>
          <w:rFonts w:ascii="Times New Roman" w:hAnsi="Times New Roman" w:cs="Times New Roman"/>
          <w:sz w:val="22"/>
          <w:szCs w:val="22"/>
        </w:rPr>
        <w:t>UN</w:t>
      </w:r>
      <w:r w:rsidR="00AA4F7A" w:rsidRPr="00AA4F7A">
        <w:rPr>
          <w:rFonts w:ascii="Times New Roman" w:hAnsi="Times New Roman" w:cs="Times New Roman"/>
          <w:sz w:val="22"/>
          <w:szCs w:val="22"/>
        </w:rPr>
        <w:t xml:space="preserve"> requires the facilitation of empowerment particularly where individuals have been forced to build their own security regimes within communities because the state is unwilling or unable to provide security.</w:t>
      </w:r>
      <w:r w:rsidR="00AA4F7A">
        <w:rPr>
          <w:rStyle w:val="FootnoteReference"/>
          <w:rFonts w:cs="Times New Roman"/>
          <w:szCs w:val="22"/>
        </w:rPr>
        <w:footnoteReference w:id="44"/>
      </w:r>
      <w:r w:rsidR="00AA4F7A" w:rsidRPr="00AA4F7A">
        <w:rPr>
          <w:rFonts w:ascii="Times New Roman" w:hAnsi="Times New Roman" w:cs="Times New Roman"/>
          <w:sz w:val="22"/>
          <w:szCs w:val="22"/>
        </w:rPr>
        <w:t xml:space="preserve"> </w:t>
      </w:r>
      <w:r w:rsidRPr="007C271A">
        <w:rPr>
          <w:rFonts w:ascii="Times New Roman" w:hAnsi="Times New Roman" w:cs="Times New Roman"/>
          <w:sz w:val="22"/>
          <w:szCs w:val="22"/>
        </w:rPr>
        <w:t xml:space="preserve">A UN peace operation that is utilising elements of a human security approach will </w:t>
      </w:r>
      <w:r w:rsidR="00E73DEE" w:rsidRPr="007C271A">
        <w:rPr>
          <w:rFonts w:ascii="Times New Roman" w:hAnsi="Times New Roman" w:cs="Times New Roman"/>
          <w:sz w:val="22"/>
          <w:szCs w:val="22"/>
        </w:rPr>
        <w:t>ensure</w:t>
      </w:r>
      <w:r w:rsidRPr="007C271A">
        <w:rPr>
          <w:rFonts w:ascii="Times New Roman" w:hAnsi="Times New Roman" w:cs="Times New Roman"/>
          <w:sz w:val="22"/>
          <w:szCs w:val="22"/>
        </w:rPr>
        <w:t xml:space="preserve"> protection from more than only threats of violent conflict </w:t>
      </w:r>
      <w:r w:rsidR="00420499" w:rsidRPr="007C271A">
        <w:rPr>
          <w:rFonts w:ascii="Times New Roman" w:hAnsi="Times New Roman" w:cs="Times New Roman"/>
          <w:sz w:val="22"/>
          <w:szCs w:val="22"/>
        </w:rPr>
        <w:t xml:space="preserve">and first and foremost </w:t>
      </w:r>
      <w:r w:rsidR="00E94E44" w:rsidRPr="007C271A">
        <w:rPr>
          <w:rFonts w:ascii="Times New Roman" w:hAnsi="Times New Roman" w:cs="Times New Roman"/>
          <w:sz w:val="22"/>
          <w:szCs w:val="22"/>
        </w:rPr>
        <w:t>take</w:t>
      </w:r>
      <w:r w:rsidR="00420499" w:rsidRPr="007C271A">
        <w:rPr>
          <w:rFonts w:ascii="Times New Roman" w:hAnsi="Times New Roman" w:cs="Times New Roman"/>
          <w:sz w:val="22"/>
          <w:szCs w:val="22"/>
        </w:rPr>
        <w:t xml:space="preserve"> preventative steps to address a range of security issues</w:t>
      </w:r>
      <w:r w:rsidRPr="007C271A">
        <w:rPr>
          <w:rFonts w:ascii="Times New Roman" w:hAnsi="Times New Roman" w:cs="Times New Roman"/>
          <w:sz w:val="22"/>
          <w:szCs w:val="22"/>
        </w:rPr>
        <w:t xml:space="preserve">. In addition, empowerment </w:t>
      </w:r>
      <w:r w:rsidR="00E73DEE" w:rsidRPr="007C271A">
        <w:rPr>
          <w:rFonts w:ascii="Times New Roman" w:hAnsi="Times New Roman" w:cs="Times New Roman"/>
          <w:sz w:val="22"/>
          <w:szCs w:val="22"/>
        </w:rPr>
        <w:t xml:space="preserve">will be facilitated </w:t>
      </w:r>
      <w:r w:rsidRPr="007C271A">
        <w:rPr>
          <w:rFonts w:ascii="Times New Roman" w:hAnsi="Times New Roman" w:cs="Times New Roman"/>
          <w:sz w:val="22"/>
          <w:szCs w:val="22"/>
        </w:rPr>
        <w:t xml:space="preserve">by creating space for local people to identify the causes of insecurity, implement strategies to counter those causes, and leave behind people who can bring about change in their own societies </w:t>
      </w:r>
      <w:r w:rsidR="00E73DEE" w:rsidRPr="007C271A">
        <w:rPr>
          <w:rFonts w:ascii="Times New Roman" w:hAnsi="Times New Roman" w:cs="Times New Roman"/>
          <w:sz w:val="22"/>
          <w:szCs w:val="22"/>
        </w:rPr>
        <w:t>when</w:t>
      </w:r>
      <w:r w:rsidRPr="007C271A">
        <w:rPr>
          <w:rFonts w:ascii="Times New Roman" w:hAnsi="Times New Roman" w:cs="Times New Roman"/>
          <w:sz w:val="22"/>
          <w:szCs w:val="22"/>
        </w:rPr>
        <w:t xml:space="preserve"> insecurity arises.</w:t>
      </w:r>
    </w:p>
    <w:p w14:paraId="1B05614B" w14:textId="77777777" w:rsidR="00DF2CF3" w:rsidRPr="007C271A" w:rsidRDefault="00DF2CF3" w:rsidP="00DF2CF3">
      <w:pPr>
        <w:spacing w:line="360" w:lineRule="auto"/>
        <w:jc w:val="both"/>
        <w:rPr>
          <w:rFonts w:ascii="Times New Roman" w:hAnsi="Times New Roman" w:cs="Times New Roman"/>
          <w:b/>
          <w:sz w:val="22"/>
          <w:szCs w:val="22"/>
        </w:rPr>
      </w:pPr>
    </w:p>
    <w:p w14:paraId="4BA702D5" w14:textId="022D579A" w:rsidR="00AA7D7E" w:rsidRPr="007C271A" w:rsidRDefault="00DF2CF3" w:rsidP="00AA7D7E">
      <w:pPr>
        <w:pStyle w:val="ListParagraph"/>
        <w:numPr>
          <w:ilvl w:val="0"/>
          <w:numId w:val="1"/>
        </w:numPr>
        <w:spacing w:line="360" w:lineRule="auto"/>
        <w:jc w:val="both"/>
        <w:rPr>
          <w:rFonts w:ascii="Times New Roman" w:hAnsi="Times New Roman" w:cs="Times New Roman"/>
          <w:b/>
          <w:sz w:val="22"/>
          <w:szCs w:val="22"/>
        </w:rPr>
      </w:pPr>
      <w:r w:rsidRPr="007C271A">
        <w:rPr>
          <w:rFonts w:ascii="Times New Roman" w:hAnsi="Times New Roman" w:cs="Times New Roman"/>
          <w:b/>
          <w:sz w:val="22"/>
          <w:szCs w:val="22"/>
        </w:rPr>
        <w:t>Human security in MINUSCA</w:t>
      </w:r>
    </w:p>
    <w:p w14:paraId="20864DF8" w14:textId="77777777" w:rsidR="007A2341" w:rsidRPr="007C271A" w:rsidRDefault="007A2341" w:rsidP="007A2341">
      <w:pPr>
        <w:pStyle w:val="ListParagraph"/>
        <w:spacing w:line="360" w:lineRule="auto"/>
        <w:ind w:left="1080"/>
        <w:jc w:val="both"/>
        <w:rPr>
          <w:rFonts w:ascii="Times New Roman" w:hAnsi="Times New Roman" w:cs="Times New Roman"/>
          <w:b/>
          <w:sz w:val="22"/>
          <w:szCs w:val="22"/>
        </w:rPr>
      </w:pPr>
    </w:p>
    <w:p w14:paraId="61247374" w14:textId="2412912C" w:rsidR="00AA7D7E" w:rsidRPr="007C271A" w:rsidRDefault="004A245A" w:rsidP="00C90FC2">
      <w:pPr>
        <w:pStyle w:val="Heading3"/>
        <w:numPr>
          <w:ilvl w:val="1"/>
          <w:numId w:val="1"/>
        </w:num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Human rights and the rule of law</w:t>
      </w:r>
    </w:p>
    <w:p w14:paraId="4E6E0D52" w14:textId="77777777" w:rsidR="00AA7D7E" w:rsidRPr="007C271A" w:rsidRDefault="00AA7D7E" w:rsidP="00AA7D7E">
      <w:pPr>
        <w:spacing w:line="360" w:lineRule="auto"/>
        <w:jc w:val="both"/>
        <w:rPr>
          <w:rFonts w:ascii="Times New Roman" w:hAnsi="Times New Roman" w:cs="Times New Roman"/>
          <w:sz w:val="22"/>
          <w:szCs w:val="22"/>
        </w:rPr>
      </w:pPr>
    </w:p>
    <w:p w14:paraId="6F01D702" w14:textId="5A6AC464" w:rsidR="00AA7D7E" w:rsidRPr="007C271A" w:rsidRDefault="00594830"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MINUSCA’s </w:t>
      </w:r>
      <w:r w:rsidR="00AA7D7E" w:rsidRPr="007C271A">
        <w:rPr>
          <w:rFonts w:ascii="Times New Roman" w:hAnsi="Times New Roman" w:cs="Times New Roman"/>
          <w:sz w:val="22"/>
          <w:szCs w:val="22"/>
        </w:rPr>
        <w:t>first mandate in April 2014 included a host of rights and norms-based provisions. The mandate stresses the need to end impunity for violations of international law either within the national legal system or before the International Criminal Court.</w:t>
      </w:r>
      <w:r w:rsidR="00AA7D7E" w:rsidRPr="007C271A">
        <w:rPr>
          <w:rStyle w:val="FootnoteReference"/>
          <w:rFonts w:cs="Times New Roman"/>
          <w:szCs w:val="22"/>
        </w:rPr>
        <w:footnoteReference w:id="45"/>
      </w:r>
      <w:r w:rsidR="00AA7D7E" w:rsidRPr="007C271A">
        <w:rPr>
          <w:rFonts w:ascii="Times New Roman" w:hAnsi="Times New Roman" w:cs="Times New Roman"/>
          <w:sz w:val="22"/>
          <w:szCs w:val="22"/>
        </w:rPr>
        <w:t xml:space="preserve"> To assist the transitional authorities in that </w:t>
      </w:r>
      <w:r w:rsidR="00AA7D7E" w:rsidRPr="007C271A">
        <w:rPr>
          <w:rFonts w:ascii="Times New Roman" w:hAnsi="Times New Roman" w:cs="Times New Roman"/>
          <w:sz w:val="22"/>
          <w:szCs w:val="22"/>
        </w:rPr>
        <w:lastRenderedPageBreak/>
        <w:t>endeavour, MINUSCA was to monitor and report on violations of humanitarian law and human rights and to work on preventing future violations by utilising human rights observers.</w:t>
      </w:r>
      <w:r w:rsidR="00AA7D7E" w:rsidRPr="007C271A">
        <w:rPr>
          <w:rStyle w:val="FootnoteReference"/>
          <w:rFonts w:cs="Times New Roman"/>
          <w:szCs w:val="22"/>
        </w:rPr>
        <w:footnoteReference w:id="46"/>
      </w:r>
      <w:r w:rsidR="00AA7D7E" w:rsidRPr="007C271A">
        <w:rPr>
          <w:rFonts w:ascii="Times New Roman" w:hAnsi="Times New Roman" w:cs="Times New Roman"/>
          <w:sz w:val="22"/>
          <w:szCs w:val="22"/>
        </w:rPr>
        <w:t xml:space="preserve"> Furthermore, ending impunity would be particularly difficult where the ex-</w:t>
      </w:r>
      <w:proofErr w:type="spellStart"/>
      <w:r w:rsidR="00AA7D7E" w:rsidRPr="007C271A">
        <w:rPr>
          <w:rFonts w:ascii="Times New Roman" w:hAnsi="Times New Roman" w:cs="Times New Roman"/>
          <w:sz w:val="22"/>
          <w:szCs w:val="22"/>
        </w:rPr>
        <w:t>Séléka</w:t>
      </w:r>
      <w:proofErr w:type="spellEnd"/>
      <w:r w:rsidR="00AA7D7E" w:rsidRPr="007C271A">
        <w:rPr>
          <w:rFonts w:ascii="Times New Roman" w:hAnsi="Times New Roman" w:cs="Times New Roman"/>
          <w:sz w:val="22"/>
          <w:szCs w:val="22"/>
        </w:rPr>
        <w:t xml:space="preserve"> are in control of government functions. MINUSCA was mandated to extend state authority and to build the capacity of the judicial system and reinstate the criminal justice system “within the framework of the United Nations global focal point on rule of law”.</w:t>
      </w:r>
      <w:r w:rsidR="00AA7D7E" w:rsidRPr="007C271A">
        <w:rPr>
          <w:rStyle w:val="FootnoteReference"/>
          <w:rFonts w:cs="Times New Roman"/>
          <w:szCs w:val="22"/>
        </w:rPr>
        <w:footnoteReference w:id="47"/>
      </w:r>
      <w:r w:rsidR="00AA7D7E" w:rsidRPr="007C271A">
        <w:rPr>
          <w:rFonts w:ascii="Times New Roman" w:hAnsi="Times New Roman" w:cs="Times New Roman"/>
          <w:sz w:val="22"/>
          <w:szCs w:val="22"/>
        </w:rPr>
        <w:t xml:space="preserve"> From the mission’s inception there was an understanding that for an effective state the rule of law needed to be re-established. Since 2014 the mission has worked on the reform of the police and gendarmerie in compliance with the </w:t>
      </w:r>
      <w:r w:rsidR="00C90FC2" w:rsidRPr="007C271A">
        <w:rPr>
          <w:rFonts w:ascii="Times New Roman" w:hAnsi="Times New Roman" w:cs="Times New Roman"/>
          <w:sz w:val="22"/>
          <w:szCs w:val="22"/>
        </w:rPr>
        <w:t xml:space="preserve">UN Human Rights Due Diligence Policy (HRDDP) </w:t>
      </w:r>
      <w:r w:rsidR="00AA7D7E" w:rsidRPr="007C271A">
        <w:rPr>
          <w:rFonts w:ascii="Times New Roman" w:hAnsi="Times New Roman" w:cs="Times New Roman"/>
          <w:sz w:val="22"/>
          <w:szCs w:val="22"/>
        </w:rPr>
        <w:t xml:space="preserve">and expanded its monitoring of violations to specifically focus on children and women in light of the sexual violence that has taken place throughout the </w:t>
      </w:r>
      <w:r w:rsidRPr="007C271A">
        <w:rPr>
          <w:rFonts w:ascii="Times New Roman" w:hAnsi="Times New Roman" w:cs="Times New Roman"/>
          <w:sz w:val="22"/>
          <w:szCs w:val="22"/>
        </w:rPr>
        <w:t>Central African Republic (</w:t>
      </w:r>
      <w:r w:rsidR="00AA7D7E" w:rsidRPr="007C271A">
        <w:rPr>
          <w:rFonts w:ascii="Times New Roman" w:hAnsi="Times New Roman" w:cs="Times New Roman"/>
          <w:sz w:val="22"/>
          <w:szCs w:val="22"/>
        </w:rPr>
        <w:t>CAR</w:t>
      </w:r>
      <w:r w:rsidRPr="007C271A">
        <w:rPr>
          <w:rFonts w:ascii="Times New Roman" w:hAnsi="Times New Roman" w:cs="Times New Roman"/>
          <w:sz w:val="22"/>
          <w:szCs w:val="22"/>
        </w:rPr>
        <w:t>)</w:t>
      </w:r>
      <w:r w:rsidR="00AA7D7E" w:rsidRPr="007C271A">
        <w:rPr>
          <w:rFonts w:ascii="Times New Roman" w:hAnsi="Times New Roman" w:cs="Times New Roman"/>
          <w:sz w:val="22"/>
          <w:szCs w:val="22"/>
        </w:rPr>
        <w:t>.</w:t>
      </w:r>
      <w:bookmarkStart w:id="8" w:name="_Ref528918729"/>
      <w:r w:rsidR="00AA7D7E" w:rsidRPr="007C271A">
        <w:rPr>
          <w:rStyle w:val="FootnoteReference"/>
          <w:rFonts w:cs="Times New Roman"/>
          <w:szCs w:val="22"/>
        </w:rPr>
        <w:footnoteReference w:id="48"/>
      </w:r>
      <w:bookmarkEnd w:id="8"/>
    </w:p>
    <w:p w14:paraId="45906F71" w14:textId="77777777" w:rsidR="00233CA0" w:rsidRPr="00233CA0" w:rsidRDefault="00AA7D7E" w:rsidP="00233CA0">
      <w:pPr>
        <w:spacing w:line="360" w:lineRule="auto"/>
        <w:jc w:val="both"/>
        <w:rPr>
          <w:sz w:val="22"/>
          <w:szCs w:val="22"/>
        </w:rPr>
      </w:pPr>
      <w:r w:rsidRPr="007C271A">
        <w:rPr>
          <w:rFonts w:ascii="Times New Roman" w:hAnsi="Times New Roman" w:cs="Times New Roman"/>
          <w:sz w:val="22"/>
          <w:szCs w:val="22"/>
        </w:rPr>
        <w:tab/>
        <w:t>To re-establish the rule of law MINUSCA sought to support the reopening of courts, prisons, police stations, and related infrastructure.</w:t>
      </w:r>
      <w:r w:rsidRPr="007C271A">
        <w:rPr>
          <w:rStyle w:val="FootnoteReference"/>
          <w:rFonts w:cs="Times New Roman"/>
          <w:szCs w:val="22"/>
        </w:rPr>
        <w:footnoteReference w:id="49"/>
      </w:r>
      <w:r w:rsidRPr="007C271A">
        <w:rPr>
          <w:rFonts w:ascii="Times New Roman" w:hAnsi="Times New Roman" w:cs="Times New Roman"/>
          <w:sz w:val="22"/>
          <w:szCs w:val="22"/>
        </w:rPr>
        <w:t xml:space="preserve"> The mission would provide a secure environment for the operation of the criminal justice system to end impunity and ensure adherence to human rights law.</w:t>
      </w:r>
      <w:r w:rsidRPr="007C271A">
        <w:rPr>
          <w:rStyle w:val="FootnoteReference"/>
          <w:rFonts w:cs="Times New Roman"/>
          <w:szCs w:val="22"/>
        </w:rPr>
        <w:footnoteReference w:id="50"/>
      </w:r>
      <w:r w:rsidRPr="007C271A">
        <w:rPr>
          <w:rFonts w:ascii="Times New Roman" w:hAnsi="Times New Roman" w:cs="Times New Roman"/>
          <w:sz w:val="22"/>
          <w:szCs w:val="22"/>
        </w:rPr>
        <w:t xml:space="preserve"> This formed part of an overarching strategy for MINUSCA</w:t>
      </w:r>
      <w:r w:rsidR="00D86FC7" w:rsidRPr="007C271A">
        <w:rPr>
          <w:rFonts w:ascii="Times New Roman" w:hAnsi="Times New Roman" w:cs="Times New Roman"/>
          <w:sz w:val="22"/>
          <w:szCs w:val="22"/>
        </w:rPr>
        <w:t xml:space="preserve">, and </w:t>
      </w:r>
      <w:r w:rsidR="00594830" w:rsidRPr="007C271A">
        <w:rPr>
          <w:rFonts w:ascii="Times New Roman" w:hAnsi="Times New Roman" w:cs="Times New Roman"/>
          <w:sz w:val="22"/>
          <w:szCs w:val="22"/>
        </w:rPr>
        <w:t xml:space="preserve">is </w:t>
      </w:r>
      <w:r w:rsidR="00D86FC7" w:rsidRPr="007C271A">
        <w:rPr>
          <w:rFonts w:ascii="Times New Roman" w:hAnsi="Times New Roman" w:cs="Times New Roman"/>
          <w:sz w:val="22"/>
          <w:szCs w:val="22"/>
        </w:rPr>
        <w:t xml:space="preserve">seen to be vital to the success of the mission, </w:t>
      </w:r>
      <w:r w:rsidRPr="007C271A">
        <w:rPr>
          <w:rFonts w:ascii="Times New Roman" w:hAnsi="Times New Roman" w:cs="Times New Roman"/>
          <w:sz w:val="22"/>
          <w:szCs w:val="22"/>
        </w:rPr>
        <w:t>where it was believed a) international forces would be more effective if the penal system was re-established and b) there must be development and respect of human rights and the rule of law if the CAR is to have peace.</w:t>
      </w:r>
      <w:bookmarkStart w:id="9" w:name="_Ref528918966"/>
      <w:r w:rsidRPr="007C271A">
        <w:rPr>
          <w:rStyle w:val="FootnoteReference"/>
          <w:rFonts w:cs="Times New Roman"/>
          <w:szCs w:val="22"/>
        </w:rPr>
        <w:footnoteReference w:id="51"/>
      </w:r>
      <w:bookmarkEnd w:id="9"/>
      <w:r w:rsidRPr="007C271A">
        <w:rPr>
          <w:rFonts w:ascii="Times New Roman" w:hAnsi="Times New Roman" w:cs="Times New Roman"/>
          <w:sz w:val="22"/>
          <w:szCs w:val="22"/>
        </w:rPr>
        <w:t xml:space="preserve"> The CAR’s legal system has been said to be ‘dysfunctional’ with a severe lack of resources.</w:t>
      </w:r>
      <w:bookmarkStart w:id="10" w:name="_Ref528924415"/>
      <w:r w:rsidRPr="007C271A">
        <w:rPr>
          <w:rStyle w:val="FootnoteReference"/>
          <w:rFonts w:cs="Times New Roman"/>
          <w:szCs w:val="22"/>
        </w:rPr>
        <w:footnoteReference w:id="52"/>
      </w:r>
      <w:bookmarkEnd w:id="10"/>
      <w:r w:rsidRPr="007C271A">
        <w:rPr>
          <w:rFonts w:ascii="Times New Roman" w:hAnsi="Times New Roman" w:cs="Times New Roman"/>
          <w:sz w:val="22"/>
          <w:szCs w:val="22"/>
        </w:rPr>
        <w:t xml:space="preserve"> To rectify this, MINUSCA </w:t>
      </w:r>
      <w:r w:rsidR="00594830" w:rsidRPr="007C271A">
        <w:rPr>
          <w:rFonts w:ascii="Times New Roman" w:hAnsi="Times New Roman" w:cs="Times New Roman"/>
          <w:sz w:val="22"/>
          <w:szCs w:val="22"/>
        </w:rPr>
        <w:t xml:space="preserve">was granted </w:t>
      </w:r>
      <w:r w:rsidRPr="007C271A">
        <w:rPr>
          <w:rFonts w:ascii="Times New Roman" w:hAnsi="Times New Roman" w:cs="Times New Roman"/>
          <w:sz w:val="22"/>
          <w:szCs w:val="22"/>
        </w:rPr>
        <w:t>urgent temporary measures</w:t>
      </w:r>
      <w:r w:rsidR="00594830" w:rsidRPr="007C271A">
        <w:rPr>
          <w:rFonts w:ascii="Times New Roman" w:hAnsi="Times New Roman" w:cs="Times New Roman"/>
          <w:sz w:val="22"/>
          <w:szCs w:val="22"/>
        </w:rPr>
        <w:t xml:space="preserve"> under its mandate</w:t>
      </w:r>
      <w:r w:rsidRPr="007C271A">
        <w:rPr>
          <w:rFonts w:ascii="Times New Roman" w:hAnsi="Times New Roman" w:cs="Times New Roman"/>
          <w:sz w:val="22"/>
          <w:szCs w:val="22"/>
        </w:rPr>
        <w:t xml:space="preserve"> “to maintain basic law and order and fight impunity”.</w:t>
      </w:r>
      <w:bookmarkStart w:id="11" w:name="_Ref528918815"/>
      <w:r w:rsidRPr="007C271A">
        <w:rPr>
          <w:rStyle w:val="FootnoteReference"/>
          <w:rFonts w:cs="Times New Roman"/>
          <w:szCs w:val="22"/>
        </w:rPr>
        <w:footnoteReference w:id="53"/>
      </w:r>
      <w:bookmarkEnd w:id="11"/>
      <w:r w:rsidRPr="007C271A">
        <w:rPr>
          <w:rFonts w:ascii="Times New Roman" w:hAnsi="Times New Roman" w:cs="Times New Roman"/>
          <w:sz w:val="22"/>
          <w:szCs w:val="22"/>
        </w:rPr>
        <w:t xml:space="preserve"> These temporary measures are beyond the normal law enforcement capabilities of peace operations and are created without establishing precedent</w:t>
      </w:r>
      <w:r w:rsidRPr="00233CA0">
        <w:rPr>
          <w:rFonts w:ascii="Times New Roman" w:hAnsi="Times New Roman" w:cs="Times New Roman"/>
          <w:sz w:val="22"/>
          <w:szCs w:val="22"/>
        </w:rPr>
        <w:t>.</w:t>
      </w:r>
      <w:r w:rsidRPr="00233CA0">
        <w:rPr>
          <w:rStyle w:val="FootnoteReference"/>
          <w:rFonts w:cs="Times New Roman"/>
          <w:szCs w:val="22"/>
        </w:rPr>
        <w:footnoteReference w:id="54"/>
      </w:r>
      <w:r w:rsidRPr="00233CA0">
        <w:rPr>
          <w:rFonts w:ascii="Times New Roman" w:hAnsi="Times New Roman" w:cs="Times New Roman"/>
          <w:sz w:val="22"/>
          <w:szCs w:val="22"/>
        </w:rPr>
        <w:t xml:space="preserve"> </w:t>
      </w:r>
      <w:r w:rsidR="00233CA0" w:rsidRPr="00233CA0">
        <w:rPr>
          <w:sz w:val="22"/>
          <w:szCs w:val="22"/>
        </w:rPr>
        <w:t>In 2019 it was reported that the temporary measures were used to apprehend 54 persons on suspicion of crimes such as murder, kidnap, armed robbery and torture.</w:t>
      </w:r>
      <w:bookmarkStart w:id="12" w:name="_Ref30513855"/>
      <w:r w:rsidR="00233CA0" w:rsidRPr="00233CA0">
        <w:rPr>
          <w:rStyle w:val="FootnoteReference"/>
          <w:szCs w:val="22"/>
        </w:rPr>
        <w:footnoteReference w:id="55"/>
      </w:r>
      <w:bookmarkEnd w:id="12"/>
      <w:r w:rsidR="00233CA0" w:rsidRPr="00233CA0">
        <w:rPr>
          <w:sz w:val="22"/>
          <w:szCs w:val="22"/>
        </w:rPr>
        <w:t xml:space="preserve"> </w:t>
      </w:r>
    </w:p>
    <w:p w14:paraId="34A247DC" w14:textId="75EABF48" w:rsidR="00AA7D7E" w:rsidRPr="00307754" w:rsidRDefault="00AA7D7E" w:rsidP="00233CA0">
      <w:pPr>
        <w:spacing w:line="360" w:lineRule="auto"/>
        <w:ind w:firstLine="720"/>
        <w:jc w:val="both"/>
        <w:rPr>
          <w:rFonts w:ascii="Times New Roman" w:hAnsi="Times New Roman" w:cs="Times New Roman"/>
        </w:rPr>
      </w:pPr>
      <w:r w:rsidRPr="007C271A">
        <w:rPr>
          <w:rFonts w:ascii="Times New Roman" w:hAnsi="Times New Roman" w:cs="Times New Roman"/>
          <w:sz w:val="22"/>
          <w:szCs w:val="22"/>
        </w:rPr>
        <w:t>MINUSCA first deployed a team of investigation and prosecution experts to assist with investigations of serious violations of international law.</w:t>
      </w:r>
      <w:bookmarkStart w:id="13" w:name="_Ref528924467"/>
      <w:r w:rsidRPr="007C271A">
        <w:rPr>
          <w:rStyle w:val="FootnoteReference"/>
          <w:rFonts w:cs="Times New Roman"/>
          <w:szCs w:val="22"/>
        </w:rPr>
        <w:footnoteReference w:id="56"/>
      </w:r>
      <w:bookmarkEnd w:id="13"/>
      <w:r w:rsidRPr="007C271A">
        <w:rPr>
          <w:rFonts w:ascii="Times New Roman" w:hAnsi="Times New Roman" w:cs="Times New Roman"/>
          <w:sz w:val="22"/>
          <w:szCs w:val="22"/>
        </w:rPr>
        <w:t xml:space="preserve"> At a later date, international prosecutors, judges and national magistrates would try the alleged perpetrators of violations.</w:t>
      </w:r>
      <w:r w:rsidRPr="007C271A">
        <w:rPr>
          <w:rStyle w:val="FootnoteReference"/>
          <w:rFonts w:cs="Times New Roman"/>
          <w:szCs w:val="22"/>
        </w:rPr>
        <w:footnoteReference w:id="57"/>
      </w:r>
      <w:r w:rsidRPr="007C271A">
        <w:rPr>
          <w:rFonts w:ascii="Times New Roman" w:hAnsi="Times New Roman" w:cs="Times New Roman"/>
          <w:sz w:val="22"/>
          <w:szCs w:val="22"/>
        </w:rPr>
        <w:t xml:space="preserve"> The resulting body to hold these trials is the Special Criminal Court mandated under MINUSCA’s temporary measures in </w:t>
      </w:r>
      <w:r w:rsidRPr="007C271A">
        <w:rPr>
          <w:rFonts w:ascii="Times New Roman" w:hAnsi="Times New Roman" w:cs="Times New Roman"/>
          <w:sz w:val="22"/>
          <w:szCs w:val="22"/>
        </w:rPr>
        <w:lastRenderedPageBreak/>
        <w:t>agreement with the Transitional Authorities.</w:t>
      </w:r>
      <w:bookmarkStart w:id="14" w:name="_Ref528924539"/>
      <w:r w:rsidRPr="007C271A">
        <w:rPr>
          <w:rStyle w:val="FootnoteReference"/>
          <w:rFonts w:cs="Times New Roman"/>
          <w:szCs w:val="22"/>
        </w:rPr>
        <w:footnoteReference w:id="58"/>
      </w:r>
      <w:bookmarkEnd w:id="14"/>
      <w:r w:rsidRPr="007C271A">
        <w:rPr>
          <w:rFonts w:ascii="Times New Roman" w:hAnsi="Times New Roman" w:cs="Times New Roman"/>
          <w:sz w:val="22"/>
          <w:szCs w:val="22"/>
        </w:rPr>
        <w:t xml:space="preserve"> The Special Criminal Court has been criticised by the Russian delegation as having potential for extreme costs and inefficiency.</w:t>
      </w:r>
      <w:r w:rsidRPr="007C271A">
        <w:rPr>
          <w:rStyle w:val="FootnoteReference"/>
          <w:rFonts w:cs="Times New Roman"/>
          <w:szCs w:val="22"/>
        </w:rPr>
        <w:footnoteReference w:id="59"/>
      </w:r>
      <w:r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P</w:t>
      </w:r>
      <w:r w:rsidRPr="007C271A">
        <w:rPr>
          <w:rFonts w:ascii="Times New Roman" w:hAnsi="Times New Roman" w:cs="Times New Roman"/>
          <w:sz w:val="22"/>
          <w:szCs w:val="22"/>
        </w:rPr>
        <w:t>rogress was slow, despite its inception in August 2014 it was not until June 2017 that a Special Prosecutor and five judges were sworn in and until May 2018 for rules of procedure and evidence for the Court to be adopted.</w:t>
      </w:r>
      <w:r w:rsidRPr="007C271A">
        <w:rPr>
          <w:rStyle w:val="FootnoteReference"/>
          <w:rFonts w:cs="Times New Roman"/>
          <w:szCs w:val="22"/>
        </w:rPr>
        <w:footnoteReference w:id="60"/>
      </w:r>
      <w:r w:rsidRPr="007C271A">
        <w:rPr>
          <w:rFonts w:ascii="Times New Roman" w:hAnsi="Times New Roman" w:cs="Times New Roman"/>
          <w:sz w:val="22"/>
          <w:szCs w:val="22"/>
        </w:rPr>
        <w:t xml:space="preserve"> </w:t>
      </w:r>
      <w:r w:rsidR="00233CA0" w:rsidRPr="00307754">
        <w:rPr>
          <w:rFonts w:ascii="Times New Roman" w:hAnsi="Times New Roman" w:cs="Times New Roman"/>
          <w:sz w:val="22"/>
          <w:szCs w:val="22"/>
        </w:rPr>
        <w:t>The Court’s first session was held in October 2018 and the first investigations supported by MINUSCA were launched in 2019.</w:t>
      </w:r>
      <w:r w:rsidR="00233CA0" w:rsidRPr="00307754">
        <w:rPr>
          <w:rStyle w:val="FootnoteReference"/>
          <w:rFonts w:cs="Times New Roman"/>
          <w:szCs w:val="22"/>
        </w:rPr>
        <w:footnoteReference w:id="61"/>
      </w:r>
      <w:r w:rsidR="00233CA0" w:rsidRPr="00307754">
        <w:rPr>
          <w:rFonts w:ascii="Times New Roman" w:hAnsi="Times New Roman" w:cs="Times New Roman"/>
          <w:sz w:val="22"/>
          <w:szCs w:val="22"/>
        </w:rPr>
        <w:t xml:space="preserve"> By October 2019 the Court had identified 22 priority cases and MINUSCA had created a ‘special legal corps’ to “protect the rights of the accused.”</w:t>
      </w:r>
      <w:r w:rsidR="00233CA0" w:rsidRPr="00307754">
        <w:rPr>
          <w:rStyle w:val="FootnoteReference"/>
          <w:rFonts w:cs="Times New Roman"/>
          <w:szCs w:val="22"/>
        </w:rPr>
        <w:footnoteReference w:id="62"/>
      </w:r>
      <w:r w:rsidR="00233CA0" w:rsidRPr="00307754">
        <w:rPr>
          <w:rFonts w:ascii="Times New Roman" w:hAnsi="Times New Roman" w:cs="Times New Roman"/>
          <w:sz w:val="22"/>
          <w:szCs w:val="22"/>
        </w:rPr>
        <w:t xml:space="preserve"> What is notable though is that the mandate for providing support to the Court has been greatly shortened in the most recent iteration of MINUSCA’s mandate.</w:t>
      </w:r>
      <w:r w:rsidR="00DE7383">
        <w:rPr>
          <w:rStyle w:val="FootnoteReference"/>
          <w:rFonts w:cs="Times New Roman"/>
          <w:szCs w:val="22"/>
        </w:rPr>
        <w:footnoteReference w:id="63"/>
      </w:r>
      <w:r w:rsidR="00AE0776">
        <w:rPr>
          <w:rFonts w:ascii="Times New Roman" w:hAnsi="Times New Roman" w:cs="Times New Roman"/>
          <w:sz w:val="22"/>
          <w:szCs w:val="22"/>
        </w:rPr>
        <w:t xml:space="preserve"> </w:t>
      </w:r>
      <w:r w:rsidR="00233CA0" w:rsidRPr="00307754">
        <w:rPr>
          <w:rFonts w:ascii="Times New Roman" w:hAnsi="Times New Roman" w:cs="Times New Roman"/>
          <w:sz w:val="22"/>
          <w:szCs w:val="22"/>
        </w:rPr>
        <w:t xml:space="preserve">This may indicate that now the Court has been established it will develop further independence from the UN. Ending impunity through a court such as this is a way in which the Security Council can link the work of peace operations to wider agendas on international criminal justice and universal human rights. </w:t>
      </w:r>
    </w:p>
    <w:p w14:paraId="50AB9E8F" w14:textId="5AE7A568" w:rsidR="00AA7D7E" w:rsidRPr="007C271A" w:rsidRDefault="00C90FC2" w:rsidP="00AA7D7E">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I</w:t>
      </w:r>
      <w:r w:rsidR="00AA7D7E" w:rsidRPr="007C271A">
        <w:rPr>
          <w:rFonts w:ascii="Times New Roman" w:hAnsi="Times New Roman" w:cs="Times New Roman"/>
          <w:sz w:val="22"/>
          <w:szCs w:val="22"/>
        </w:rPr>
        <w:t>n less than one year from the mission’s deployment</w:t>
      </w:r>
      <w:r w:rsidRPr="007C271A">
        <w:rPr>
          <w:rFonts w:ascii="Times New Roman" w:hAnsi="Times New Roman" w:cs="Times New Roman"/>
          <w:sz w:val="22"/>
          <w:szCs w:val="22"/>
        </w:rPr>
        <w:t xml:space="preserve">, </w:t>
      </w:r>
      <w:r w:rsidR="00AA7D7E" w:rsidRPr="007C271A">
        <w:rPr>
          <w:rFonts w:ascii="Times New Roman" w:hAnsi="Times New Roman" w:cs="Times New Roman"/>
          <w:sz w:val="22"/>
          <w:szCs w:val="22"/>
        </w:rPr>
        <w:t>courts in Bangui resumed their functions and magistrates were deployed to 12 out of 28 courts in other areas of the CAR.</w:t>
      </w:r>
      <w:bookmarkStart w:id="15" w:name="_Ref528924961"/>
      <w:r w:rsidR="00AA7D7E" w:rsidRPr="007C271A">
        <w:rPr>
          <w:rStyle w:val="FootnoteReference"/>
          <w:rFonts w:cs="Times New Roman"/>
          <w:szCs w:val="22"/>
        </w:rPr>
        <w:footnoteReference w:id="64"/>
      </w:r>
      <w:bookmarkEnd w:id="15"/>
      <w:r w:rsidR="00AA7D7E" w:rsidRPr="007C271A">
        <w:rPr>
          <w:rFonts w:ascii="Times New Roman" w:hAnsi="Times New Roman" w:cs="Times New Roman"/>
          <w:sz w:val="22"/>
          <w:szCs w:val="22"/>
        </w:rPr>
        <w:t xml:space="preserve"> By 2017, civil cases were being adjudicated by mobile courts supported by MINUSCA and UNDP and criminal cases were being heard in Bangui.</w:t>
      </w:r>
      <w:bookmarkStart w:id="16" w:name="_Ref528925053"/>
      <w:r w:rsidR="00AA7D7E" w:rsidRPr="007C271A">
        <w:rPr>
          <w:rStyle w:val="FootnoteReference"/>
          <w:rFonts w:cs="Times New Roman"/>
          <w:szCs w:val="22"/>
        </w:rPr>
        <w:footnoteReference w:id="65"/>
      </w:r>
      <w:bookmarkEnd w:id="16"/>
      <w:r w:rsidR="00AA7D7E" w:rsidRPr="007C271A">
        <w:rPr>
          <w:rFonts w:ascii="Times New Roman" w:hAnsi="Times New Roman" w:cs="Times New Roman"/>
          <w:sz w:val="22"/>
          <w:szCs w:val="22"/>
        </w:rPr>
        <w:t xml:space="preserve"> Prisons were reopened and MINUSCA was granted a number of corrections officers as part of its troop ceiling to assist with the training of CAR prison officers and improving </w:t>
      </w:r>
      <w:r w:rsidRPr="007C271A">
        <w:rPr>
          <w:rFonts w:ascii="Times New Roman" w:hAnsi="Times New Roman" w:cs="Times New Roman"/>
          <w:sz w:val="22"/>
          <w:szCs w:val="22"/>
        </w:rPr>
        <w:t>prison</w:t>
      </w:r>
      <w:r w:rsidR="00AA7D7E" w:rsidRPr="007C271A">
        <w:rPr>
          <w:rFonts w:ascii="Times New Roman" w:hAnsi="Times New Roman" w:cs="Times New Roman"/>
          <w:sz w:val="22"/>
          <w:szCs w:val="22"/>
        </w:rPr>
        <w:t xml:space="preserve"> standards.</w:t>
      </w:r>
      <w:r w:rsidR="00AA7D7E" w:rsidRPr="007C271A">
        <w:rPr>
          <w:rStyle w:val="FootnoteReference"/>
          <w:rFonts w:cs="Times New Roman"/>
          <w:szCs w:val="22"/>
        </w:rPr>
        <w:footnoteReference w:id="66"/>
      </w:r>
    </w:p>
    <w:p w14:paraId="62EEB368" w14:textId="216A7F94" w:rsidR="00AA7D7E" w:rsidRPr="007C271A" w:rsidRDefault="00AA7D7E" w:rsidP="00AA7D7E">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Despite MINUSCA’s efforts on human rights and the rule of law as a priority task, there are still rampant abuses in the CAR. In one reporting period from 15 November 2017 to 15 February 2018, MINUSCA documented 1,283 abuses and violations of human rights and humanitarian law.</w:t>
      </w:r>
      <w:bookmarkStart w:id="17" w:name="_Ref528925160"/>
      <w:r w:rsidRPr="007C271A">
        <w:rPr>
          <w:rStyle w:val="FootnoteReference"/>
          <w:rFonts w:cs="Times New Roman"/>
          <w:szCs w:val="22"/>
        </w:rPr>
        <w:footnoteReference w:id="67"/>
      </w:r>
      <w:bookmarkEnd w:id="17"/>
      <w:r w:rsidRPr="007C271A">
        <w:rPr>
          <w:rFonts w:ascii="Times New Roman" w:hAnsi="Times New Roman" w:cs="Times New Roman"/>
          <w:sz w:val="22"/>
          <w:szCs w:val="22"/>
        </w:rPr>
        <w:t xml:space="preserve"> The violations included attacks against schools, conflict-related sexual violence, killings, and cruel and inhuman treatment.</w:t>
      </w:r>
      <w:r w:rsidRPr="007C271A">
        <w:rPr>
          <w:rStyle w:val="FootnoteReference"/>
          <w:rFonts w:cs="Times New Roman"/>
          <w:szCs w:val="22"/>
        </w:rPr>
        <w:footnoteReference w:id="68"/>
      </w:r>
      <w:r w:rsidRPr="007C271A">
        <w:rPr>
          <w:rFonts w:ascii="Times New Roman" w:hAnsi="Times New Roman" w:cs="Times New Roman"/>
          <w:sz w:val="22"/>
          <w:szCs w:val="22"/>
        </w:rPr>
        <w:t xml:space="preserve"> The number of incidents documented represent</w:t>
      </w:r>
      <w:r w:rsidR="000E6A8F" w:rsidRPr="007C271A">
        <w:rPr>
          <w:rFonts w:ascii="Times New Roman" w:hAnsi="Times New Roman" w:cs="Times New Roman"/>
          <w:sz w:val="22"/>
          <w:szCs w:val="22"/>
        </w:rPr>
        <w:t>ed</w:t>
      </w:r>
      <w:r w:rsidRPr="007C271A">
        <w:rPr>
          <w:rFonts w:ascii="Times New Roman" w:hAnsi="Times New Roman" w:cs="Times New Roman"/>
          <w:sz w:val="22"/>
          <w:szCs w:val="22"/>
        </w:rPr>
        <w:t xml:space="preserve"> an increase of 59% from the previous reporting period. </w:t>
      </w:r>
    </w:p>
    <w:p w14:paraId="7A65865A" w14:textId="04946176" w:rsidR="00AA7D7E" w:rsidRPr="007C271A" w:rsidRDefault="00AA7D7E" w:rsidP="00AA7D7E">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The work of MINUSCA on human rights and extending the rule of law forms a crucial part of its understanding of stabilization. The mission has taken up the mantle of revitalising the justice system in the wake of widespread human rights abuses and sexual violence perpetrated throughout the conflict. The mandate specifies the temporary measures used to establish the Special Criminal Court are used </w:t>
      </w:r>
      <w:r w:rsidRPr="007C271A">
        <w:rPr>
          <w:rFonts w:ascii="Times New Roman" w:hAnsi="Times New Roman" w:cs="Times New Roman"/>
          <w:sz w:val="22"/>
          <w:szCs w:val="22"/>
        </w:rPr>
        <w:lastRenderedPageBreak/>
        <w:t>without establishing precedent.</w:t>
      </w:r>
      <w:r w:rsidRPr="007C271A">
        <w:rPr>
          <w:rStyle w:val="FootnoteReference"/>
          <w:rFonts w:cs="Times New Roman"/>
          <w:szCs w:val="22"/>
        </w:rPr>
        <w:footnoteReference w:id="69"/>
      </w:r>
      <w:r w:rsidRPr="007C271A">
        <w:rPr>
          <w:rFonts w:ascii="Times New Roman" w:hAnsi="Times New Roman" w:cs="Times New Roman"/>
          <w:sz w:val="22"/>
          <w:szCs w:val="22"/>
        </w:rPr>
        <w:t xml:space="preserve"> However, if the Court is successful the use of similar </w:t>
      </w:r>
      <w:r w:rsidR="00594830" w:rsidRPr="007C271A">
        <w:rPr>
          <w:rFonts w:ascii="Times New Roman" w:hAnsi="Times New Roman" w:cs="Times New Roman"/>
          <w:sz w:val="22"/>
          <w:szCs w:val="22"/>
        </w:rPr>
        <w:t xml:space="preserve">arrangements </w:t>
      </w:r>
      <w:r w:rsidRPr="007C271A">
        <w:rPr>
          <w:rFonts w:ascii="Times New Roman" w:hAnsi="Times New Roman" w:cs="Times New Roman"/>
          <w:sz w:val="22"/>
          <w:szCs w:val="22"/>
        </w:rPr>
        <w:t xml:space="preserve">in future mandates could prove desirable. What is concerning is whether other aspects of stabilization will undermine building the rule of law. </w:t>
      </w:r>
      <w:r w:rsidR="000F2FCB" w:rsidRPr="007C271A">
        <w:rPr>
          <w:rFonts w:ascii="Times New Roman" w:hAnsi="Times New Roman" w:cs="Times New Roman"/>
          <w:sz w:val="22"/>
          <w:szCs w:val="22"/>
        </w:rPr>
        <w:t>From</w:t>
      </w:r>
      <w:r w:rsidRPr="007C271A">
        <w:rPr>
          <w:rFonts w:ascii="Times New Roman" w:hAnsi="Times New Roman" w:cs="Times New Roman"/>
          <w:sz w:val="22"/>
          <w:szCs w:val="22"/>
        </w:rPr>
        <w:t xml:space="preserve"> a human security standpoint basing the mission’s responses on established principles of human rights and the rule of law is of crucial importance to provide a solid foundation for </w:t>
      </w:r>
      <w:r w:rsidR="00392C87" w:rsidRPr="007C271A">
        <w:rPr>
          <w:rFonts w:ascii="Times New Roman" w:hAnsi="Times New Roman" w:cs="Times New Roman"/>
          <w:sz w:val="22"/>
          <w:szCs w:val="22"/>
        </w:rPr>
        <w:t>the rebuilding of the CAR’s institutions</w:t>
      </w:r>
      <w:r w:rsidRPr="007C271A">
        <w:rPr>
          <w:rFonts w:ascii="Times New Roman" w:hAnsi="Times New Roman" w:cs="Times New Roman"/>
          <w:sz w:val="22"/>
          <w:szCs w:val="22"/>
        </w:rPr>
        <w:t xml:space="preserve">. </w:t>
      </w:r>
      <w:r w:rsidR="007837B8" w:rsidRPr="007C271A">
        <w:rPr>
          <w:rFonts w:ascii="Times New Roman" w:hAnsi="Times New Roman" w:cs="Times New Roman"/>
          <w:sz w:val="22"/>
          <w:szCs w:val="22"/>
        </w:rPr>
        <w:t>Although,</w:t>
      </w:r>
      <w:r w:rsidR="00746CAC" w:rsidRPr="007C271A">
        <w:rPr>
          <w:rFonts w:ascii="Times New Roman" w:hAnsi="Times New Roman" w:cs="Times New Roman"/>
          <w:sz w:val="22"/>
          <w:szCs w:val="22"/>
        </w:rPr>
        <w:t xml:space="preserve"> these actions must be undertaken in concert with local people, with local concerns being addressed if there is to be faith restored in the system.</w:t>
      </w:r>
    </w:p>
    <w:p w14:paraId="23E02847" w14:textId="77777777" w:rsidR="00AA7D7E" w:rsidRPr="007C271A" w:rsidRDefault="00AA7D7E" w:rsidP="00AA7D7E">
      <w:pPr>
        <w:spacing w:line="360" w:lineRule="auto"/>
        <w:ind w:firstLine="720"/>
        <w:jc w:val="both"/>
        <w:rPr>
          <w:rFonts w:ascii="Times New Roman" w:hAnsi="Times New Roman" w:cs="Times New Roman"/>
          <w:sz w:val="22"/>
          <w:szCs w:val="22"/>
        </w:rPr>
      </w:pPr>
    </w:p>
    <w:p w14:paraId="6975EFC0" w14:textId="32B58DC9" w:rsidR="00AA7D7E" w:rsidRPr="007C271A" w:rsidRDefault="00AA7D7E" w:rsidP="00C90FC2">
      <w:pPr>
        <w:pStyle w:val="Heading3"/>
        <w:numPr>
          <w:ilvl w:val="1"/>
          <w:numId w:val="1"/>
        </w:num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Vital core</w:t>
      </w:r>
    </w:p>
    <w:p w14:paraId="6C7B8F49" w14:textId="77777777" w:rsidR="00AA7D7E" w:rsidRPr="007C271A" w:rsidRDefault="00AA7D7E" w:rsidP="00AA7D7E">
      <w:pPr>
        <w:spacing w:line="360" w:lineRule="auto"/>
        <w:jc w:val="both"/>
        <w:rPr>
          <w:rFonts w:ascii="Times New Roman" w:hAnsi="Times New Roman" w:cs="Times New Roman"/>
          <w:sz w:val="22"/>
          <w:szCs w:val="22"/>
        </w:rPr>
      </w:pPr>
    </w:p>
    <w:p w14:paraId="5B34CAFF" w14:textId="4B6B9D2B" w:rsidR="00AA7D7E" w:rsidRPr="007C271A"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The UN understands that in its early stages a peace operation must address urgent priorities and provide immediate dividends to the population.</w:t>
      </w:r>
      <w:r w:rsidRPr="007C271A">
        <w:rPr>
          <w:rStyle w:val="FootnoteReference"/>
          <w:rFonts w:cs="Times New Roman"/>
          <w:szCs w:val="22"/>
        </w:rPr>
        <w:footnoteReference w:id="70"/>
      </w:r>
      <w:r w:rsidRPr="007C271A">
        <w:rPr>
          <w:rFonts w:ascii="Times New Roman" w:hAnsi="Times New Roman" w:cs="Times New Roman"/>
          <w:sz w:val="22"/>
          <w:szCs w:val="22"/>
        </w:rPr>
        <w:t xml:space="preserve"> For a human security </w:t>
      </w:r>
      <w:r w:rsidR="00746CAC" w:rsidRPr="007C271A">
        <w:rPr>
          <w:rFonts w:ascii="Times New Roman" w:hAnsi="Times New Roman" w:cs="Times New Roman"/>
          <w:sz w:val="22"/>
          <w:szCs w:val="22"/>
        </w:rPr>
        <w:t xml:space="preserve">approach </w:t>
      </w:r>
      <w:r w:rsidRPr="007C271A">
        <w:rPr>
          <w:rFonts w:ascii="Times New Roman" w:hAnsi="Times New Roman" w:cs="Times New Roman"/>
          <w:sz w:val="22"/>
          <w:szCs w:val="22"/>
        </w:rPr>
        <w:t>those priorities and dividends must reflect the needs identified by the communities in question. The Secretary-General states, “</w:t>
      </w:r>
      <w:r w:rsidR="000F2FCB" w:rsidRPr="007C271A">
        <w:rPr>
          <w:rFonts w:ascii="Times New Roman" w:hAnsi="Times New Roman" w:cs="Times New Roman"/>
          <w:sz w:val="22"/>
          <w:szCs w:val="22"/>
        </w:rPr>
        <w:t>[t]</w:t>
      </w:r>
      <w:r w:rsidRPr="007C271A">
        <w:rPr>
          <w:rFonts w:ascii="Times New Roman" w:hAnsi="Times New Roman" w:cs="Times New Roman"/>
          <w:sz w:val="22"/>
          <w:szCs w:val="22"/>
        </w:rPr>
        <w:t>he work of the United Nations in the Central African Republic must be based on a clear understanding of the current situation and be tailored to the future needs of its people.”</w:t>
      </w:r>
      <w:r w:rsidRPr="007C271A">
        <w:rPr>
          <w:rStyle w:val="FootnoteReference"/>
          <w:rFonts w:cs="Times New Roman"/>
          <w:szCs w:val="22"/>
        </w:rPr>
        <w:footnoteReference w:id="71"/>
      </w:r>
      <w:r w:rsidRPr="007C271A">
        <w:rPr>
          <w:rFonts w:ascii="Times New Roman" w:hAnsi="Times New Roman" w:cs="Times New Roman"/>
          <w:sz w:val="22"/>
          <w:szCs w:val="22"/>
        </w:rPr>
        <w:t xml:space="preserve"> </w:t>
      </w:r>
      <w:r w:rsidR="000F2FCB" w:rsidRPr="007C271A">
        <w:rPr>
          <w:rFonts w:ascii="Times New Roman" w:hAnsi="Times New Roman" w:cs="Times New Roman"/>
          <w:sz w:val="22"/>
          <w:szCs w:val="22"/>
        </w:rPr>
        <w:t>It is therefore crucial that</w:t>
      </w:r>
      <w:r w:rsidRPr="007C271A">
        <w:rPr>
          <w:rFonts w:ascii="Times New Roman" w:hAnsi="Times New Roman" w:cs="Times New Roman"/>
          <w:sz w:val="22"/>
          <w:szCs w:val="22"/>
        </w:rPr>
        <w:t xml:space="preserve"> the </w:t>
      </w:r>
      <w:r w:rsidR="000F2FCB" w:rsidRPr="007C271A">
        <w:rPr>
          <w:rFonts w:ascii="Times New Roman" w:hAnsi="Times New Roman" w:cs="Times New Roman"/>
          <w:sz w:val="22"/>
          <w:szCs w:val="22"/>
        </w:rPr>
        <w:t xml:space="preserve">UN’s knowledge </w:t>
      </w:r>
      <w:r w:rsidR="005C22D0" w:rsidRPr="007C271A">
        <w:rPr>
          <w:rFonts w:ascii="Times New Roman" w:hAnsi="Times New Roman" w:cs="Times New Roman"/>
          <w:sz w:val="22"/>
          <w:szCs w:val="22"/>
        </w:rPr>
        <w:t>of</w:t>
      </w:r>
      <w:r w:rsidR="000F2FCB" w:rsidRPr="007C271A">
        <w:rPr>
          <w:rFonts w:ascii="Times New Roman" w:hAnsi="Times New Roman" w:cs="Times New Roman"/>
          <w:sz w:val="22"/>
          <w:szCs w:val="22"/>
        </w:rPr>
        <w:t xml:space="preserve"> the </w:t>
      </w:r>
      <w:r w:rsidRPr="007C271A">
        <w:rPr>
          <w:rFonts w:ascii="Times New Roman" w:hAnsi="Times New Roman" w:cs="Times New Roman"/>
          <w:sz w:val="22"/>
          <w:szCs w:val="22"/>
        </w:rPr>
        <w:t xml:space="preserve">current situation </w:t>
      </w:r>
      <w:r w:rsidR="000F2FCB" w:rsidRPr="007C271A">
        <w:rPr>
          <w:rFonts w:ascii="Times New Roman" w:hAnsi="Times New Roman" w:cs="Times New Roman"/>
          <w:sz w:val="22"/>
          <w:szCs w:val="22"/>
        </w:rPr>
        <w:t>is</w:t>
      </w:r>
      <w:r w:rsidRPr="007C271A">
        <w:rPr>
          <w:rFonts w:ascii="Times New Roman" w:hAnsi="Times New Roman" w:cs="Times New Roman"/>
          <w:sz w:val="22"/>
          <w:szCs w:val="22"/>
        </w:rPr>
        <w:t xml:space="preserve"> informed by local people. However, no detail is given on whether a particular priority task </w:t>
      </w:r>
      <w:r w:rsidR="00C90FC2" w:rsidRPr="007C271A">
        <w:rPr>
          <w:rFonts w:ascii="Times New Roman" w:hAnsi="Times New Roman" w:cs="Times New Roman"/>
          <w:sz w:val="22"/>
          <w:szCs w:val="22"/>
        </w:rPr>
        <w:t>has been</w:t>
      </w:r>
      <w:r w:rsidRPr="007C271A">
        <w:rPr>
          <w:rFonts w:ascii="Times New Roman" w:hAnsi="Times New Roman" w:cs="Times New Roman"/>
          <w:sz w:val="22"/>
          <w:szCs w:val="22"/>
        </w:rPr>
        <w:t xml:space="preserve"> constructed directly from consultations with civil society, international partners, or the host state. What can be seen in the documentation is that both MINUSCA and representatives of the Security Council do discuss mission matters with a broad range of actors. For instance, during a strategic review of the mission the UN met with the </w:t>
      </w:r>
      <w:r w:rsidR="00BA218D" w:rsidRPr="007C271A">
        <w:rPr>
          <w:rFonts w:ascii="Times New Roman" w:hAnsi="Times New Roman" w:cs="Times New Roman"/>
          <w:sz w:val="22"/>
          <w:szCs w:val="22"/>
        </w:rPr>
        <w:t>g</w:t>
      </w:r>
      <w:r w:rsidRPr="007C271A">
        <w:rPr>
          <w:rFonts w:ascii="Times New Roman" w:hAnsi="Times New Roman" w:cs="Times New Roman"/>
          <w:sz w:val="22"/>
          <w:szCs w:val="22"/>
        </w:rPr>
        <w:t>overnment, civil society and women’s groups to discuss the mission priorities.</w:t>
      </w:r>
      <w:r w:rsidRPr="007C271A">
        <w:rPr>
          <w:rStyle w:val="FootnoteReference"/>
          <w:rFonts w:cs="Times New Roman"/>
          <w:szCs w:val="22"/>
        </w:rPr>
        <w:footnoteReference w:id="72"/>
      </w:r>
      <w:r w:rsidRPr="007C271A">
        <w:rPr>
          <w:rFonts w:ascii="Times New Roman" w:hAnsi="Times New Roman" w:cs="Times New Roman"/>
          <w:sz w:val="22"/>
          <w:szCs w:val="22"/>
        </w:rPr>
        <w:t xml:space="preserve"> In March 2015, a Security Council mission to the CAR spoke to local authorities, magistrates, the police and gendarmerie, civil society, religious leaders, and ex-</w:t>
      </w:r>
      <w:proofErr w:type="spellStart"/>
      <w:r w:rsidRPr="007C271A">
        <w:rPr>
          <w:rFonts w:ascii="Times New Roman" w:hAnsi="Times New Roman" w:cs="Times New Roman"/>
          <w:sz w:val="22"/>
          <w:szCs w:val="22"/>
        </w:rPr>
        <w:t>Séléka</w:t>
      </w:r>
      <w:proofErr w:type="spellEnd"/>
      <w:r w:rsidRPr="007C271A">
        <w:rPr>
          <w:rFonts w:ascii="Times New Roman" w:hAnsi="Times New Roman" w:cs="Times New Roman"/>
          <w:sz w:val="22"/>
          <w:szCs w:val="22"/>
        </w:rPr>
        <w:t xml:space="preserve"> representatives.</w:t>
      </w:r>
      <w:r w:rsidRPr="007C271A">
        <w:rPr>
          <w:rStyle w:val="FootnoteReference"/>
          <w:rFonts w:cs="Times New Roman"/>
          <w:szCs w:val="22"/>
        </w:rPr>
        <w:footnoteReference w:id="73"/>
      </w:r>
      <w:r w:rsidRPr="007C271A">
        <w:rPr>
          <w:rFonts w:ascii="Times New Roman" w:hAnsi="Times New Roman" w:cs="Times New Roman"/>
          <w:sz w:val="22"/>
          <w:szCs w:val="22"/>
        </w:rPr>
        <w:t xml:space="preserve"> These opportunities give space for representatives to raise locally informed issues with the international community which may influence the decision-making of the Secretariat and the Security Council when formulating the mission mandate. </w:t>
      </w:r>
    </w:p>
    <w:p w14:paraId="135C6CA2" w14:textId="7CA39453" w:rsidR="00AA7D7E" w:rsidRPr="00DA5B9B"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ab/>
        <w:t xml:space="preserve">An opportunity for </w:t>
      </w:r>
      <w:r w:rsidR="005908C3" w:rsidRPr="007C271A">
        <w:rPr>
          <w:rFonts w:ascii="Times New Roman" w:hAnsi="Times New Roman" w:cs="Times New Roman"/>
          <w:sz w:val="22"/>
          <w:szCs w:val="22"/>
        </w:rPr>
        <w:t>the vital core to be identified at the national level</w:t>
      </w:r>
      <w:r w:rsidRPr="007C271A">
        <w:rPr>
          <w:rFonts w:ascii="Times New Roman" w:hAnsi="Times New Roman" w:cs="Times New Roman"/>
          <w:sz w:val="22"/>
          <w:szCs w:val="22"/>
        </w:rPr>
        <w:t xml:space="preserve"> was at the Bangui National Forum in May 2015. The Forum aimed to provide space for national reconciliation and allow for discussion on the peace process with a wide range of participants.</w:t>
      </w:r>
      <w:r w:rsidRPr="007C271A">
        <w:rPr>
          <w:rStyle w:val="FootnoteReference"/>
          <w:rFonts w:cs="Times New Roman"/>
          <w:szCs w:val="22"/>
        </w:rPr>
        <w:footnoteReference w:id="74"/>
      </w:r>
      <w:r w:rsidRPr="007C271A">
        <w:rPr>
          <w:rFonts w:ascii="Times New Roman" w:hAnsi="Times New Roman" w:cs="Times New Roman"/>
          <w:sz w:val="22"/>
          <w:szCs w:val="22"/>
        </w:rPr>
        <w:t xml:space="preserve"> Over 600 representatives attended representing the government, political parties, civil society, the media, and religious organisations. MINUSCA held a workshop to prepare for the Forum for national stakeholders and international partners and MINUSCA supported local consultations to collect the views of a wide range of people in </w:t>
      </w:r>
      <w:r w:rsidRPr="007C271A">
        <w:rPr>
          <w:rFonts w:ascii="Times New Roman" w:hAnsi="Times New Roman" w:cs="Times New Roman"/>
          <w:sz w:val="22"/>
          <w:szCs w:val="22"/>
        </w:rPr>
        <w:lastRenderedPageBreak/>
        <w:t>advance of the forum, an effort welcomed by the Security Council.</w:t>
      </w:r>
      <w:bookmarkStart w:id="18" w:name="_Ref528925407"/>
      <w:r w:rsidRPr="007C271A">
        <w:rPr>
          <w:rStyle w:val="FootnoteReference"/>
          <w:rFonts w:cs="Times New Roman"/>
          <w:szCs w:val="22"/>
        </w:rPr>
        <w:footnoteReference w:id="75"/>
      </w:r>
      <w:bookmarkEnd w:id="18"/>
      <w:r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The support MINUSCA provided to hold</w:t>
      </w:r>
      <w:r w:rsidRPr="007C271A">
        <w:rPr>
          <w:rFonts w:ascii="Times New Roman" w:hAnsi="Times New Roman" w:cs="Times New Roman"/>
          <w:sz w:val="22"/>
          <w:szCs w:val="22"/>
        </w:rPr>
        <w:t xml:space="preserve"> a large national forum on the peace process allowed for the Central African people to be directly included in national reconciliation and consequently, to be empowered. </w:t>
      </w:r>
      <w:r w:rsidR="008225EA" w:rsidRPr="007C271A">
        <w:rPr>
          <w:rFonts w:ascii="Times New Roman" w:hAnsi="Times New Roman" w:cs="Times New Roman"/>
          <w:sz w:val="22"/>
          <w:szCs w:val="22"/>
        </w:rPr>
        <w:t xml:space="preserve">President </w:t>
      </w:r>
      <w:proofErr w:type="spellStart"/>
      <w:r w:rsidR="008225EA" w:rsidRPr="007C271A">
        <w:rPr>
          <w:rFonts w:ascii="Times New Roman" w:hAnsi="Times New Roman" w:cs="Times New Roman"/>
          <w:sz w:val="22"/>
          <w:szCs w:val="22"/>
        </w:rPr>
        <w:t>Touadera</w:t>
      </w:r>
      <w:proofErr w:type="spellEnd"/>
      <w:r w:rsidR="008225EA" w:rsidRPr="007C271A">
        <w:rPr>
          <w:rFonts w:ascii="Times New Roman" w:hAnsi="Times New Roman" w:cs="Times New Roman"/>
          <w:sz w:val="22"/>
          <w:szCs w:val="22"/>
        </w:rPr>
        <w:t xml:space="preserve"> reported to the Security Council that “the Bangui Forum accorded significant attention to the issue of victims, who were able to share their views and their expectations.”</w:t>
      </w:r>
      <w:r w:rsidR="008225EA" w:rsidRPr="007C271A">
        <w:rPr>
          <w:rStyle w:val="FootnoteReference"/>
          <w:rFonts w:cs="Times New Roman"/>
          <w:szCs w:val="22"/>
        </w:rPr>
        <w:footnoteReference w:id="76"/>
      </w:r>
      <w:r w:rsidR="008225EA" w:rsidRPr="007C271A">
        <w:rPr>
          <w:rFonts w:ascii="Times New Roman" w:hAnsi="Times New Roman" w:cs="Times New Roman"/>
          <w:sz w:val="22"/>
          <w:szCs w:val="22"/>
        </w:rPr>
        <w:t xml:space="preserve"> H</w:t>
      </w:r>
      <w:r w:rsidR="008225EA" w:rsidRPr="00DA5B9B">
        <w:rPr>
          <w:rFonts w:ascii="Times New Roman" w:hAnsi="Times New Roman" w:cs="Times New Roman"/>
          <w:sz w:val="22"/>
          <w:szCs w:val="22"/>
        </w:rPr>
        <w:t xml:space="preserve">owever, Lombard and </w:t>
      </w:r>
      <w:proofErr w:type="spellStart"/>
      <w:r w:rsidR="008225EA" w:rsidRPr="00DA5B9B">
        <w:rPr>
          <w:rFonts w:ascii="Times New Roman" w:hAnsi="Times New Roman" w:cs="Times New Roman"/>
          <w:sz w:val="22"/>
          <w:szCs w:val="22"/>
        </w:rPr>
        <w:t>Picco</w:t>
      </w:r>
      <w:proofErr w:type="spellEnd"/>
      <w:r w:rsidR="008225EA" w:rsidRPr="00DA5B9B">
        <w:rPr>
          <w:rFonts w:ascii="Times New Roman" w:hAnsi="Times New Roman" w:cs="Times New Roman"/>
          <w:sz w:val="22"/>
          <w:szCs w:val="22"/>
        </w:rPr>
        <w:t xml:space="preserve"> have highlighted that the Forum had little mention of activities and initiatives at the local level and instead focused on national responses for achieving justice for victims such as the Special Criminal Court.</w:t>
      </w:r>
      <w:r w:rsidR="008225EA" w:rsidRPr="00DA5B9B">
        <w:rPr>
          <w:rStyle w:val="FootnoteReference"/>
          <w:rFonts w:cs="Times New Roman"/>
          <w:szCs w:val="22"/>
        </w:rPr>
        <w:footnoteReference w:id="77"/>
      </w:r>
      <w:r w:rsidR="008225EA" w:rsidRPr="00DA5B9B">
        <w:rPr>
          <w:rFonts w:ascii="Times New Roman" w:hAnsi="Times New Roman" w:cs="Times New Roman"/>
          <w:sz w:val="22"/>
          <w:szCs w:val="22"/>
        </w:rPr>
        <w:t xml:space="preserve"> </w:t>
      </w:r>
      <w:r w:rsidRPr="00DA5B9B">
        <w:rPr>
          <w:rFonts w:ascii="Times New Roman" w:hAnsi="Times New Roman" w:cs="Times New Roman"/>
          <w:sz w:val="22"/>
          <w:szCs w:val="22"/>
        </w:rPr>
        <w:t xml:space="preserve">Unfortunately, no follow-up national forums have been held </w:t>
      </w:r>
      <w:r w:rsidR="008225EA" w:rsidRPr="00DA5B9B">
        <w:rPr>
          <w:rFonts w:ascii="Times New Roman" w:hAnsi="Times New Roman" w:cs="Times New Roman"/>
          <w:sz w:val="22"/>
          <w:szCs w:val="22"/>
        </w:rPr>
        <w:t xml:space="preserve">to address the gap of discussing local issues </w:t>
      </w:r>
      <w:r w:rsidRPr="00DA5B9B">
        <w:rPr>
          <w:rFonts w:ascii="Times New Roman" w:hAnsi="Times New Roman" w:cs="Times New Roman"/>
          <w:sz w:val="22"/>
          <w:szCs w:val="22"/>
        </w:rPr>
        <w:t xml:space="preserve">which hampers the ability of people to be able to speak about </w:t>
      </w:r>
      <w:r w:rsidR="008225EA" w:rsidRPr="00DA5B9B">
        <w:rPr>
          <w:rFonts w:ascii="Times New Roman" w:hAnsi="Times New Roman" w:cs="Times New Roman"/>
          <w:sz w:val="22"/>
          <w:szCs w:val="22"/>
        </w:rPr>
        <w:t>concerns</w:t>
      </w:r>
      <w:r w:rsidRPr="00DA5B9B">
        <w:rPr>
          <w:rFonts w:ascii="Times New Roman" w:hAnsi="Times New Roman" w:cs="Times New Roman"/>
          <w:sz w:val="22"/>
          <w:szCs w:val="22"/>
        </w:rPr>
        <w:t xml:space="preserve"> most relevant to them and their communities.</w:t>
      </w:r>
      <w:r w:rsidR="00233CA0" w:rsidRPr="00DA5B9B">
        <w:rPr>
          <w:rFonts w:ascii="Times New Roman" w:hAnsi="Times New Roman" w:cs="Times New Roman"/>
          <w:sz w:val="22"/>
          <w:szCs w:val="22"/>
        </w:rPr>
        <w:t xml:space="preserve"> </w:t>
      </w:r>
      <w:r w:rsidR="000B2044" w:rsidRPr="00DA5B9B">
        <w:rPr>
          <w:rFonts w:ascii="Times New Roman" w:hAnsi="Times New Roman" w:cs="Times New Roman"/>
          <w:sz w:val="22"/>
          <w:szCs w:val="22"/>
        </w:rPr>
        <w:t xml:space="preserve">Importantly, the </w:t>
      </w:r>
      <w:r w:rsidR="00233CA0" w:rsidRPr="00DA5B9B">
        <w:rPr>
          <w:rFonts w:ascii="Times New Roman" w:hAnsi="Times New Roman" w:cs="Times New Roman"/>
          <w:sz w:val="22"/>
          <w:szCs w:val="22"/>
        </w:rPr>
        <w:t>UN has since recognised the importance of understanding local perceptions with the Secretary-General making specific recommendations that would aim to make sure the UN “take[s] into account the views and needs of Central Africans.”</w:t>
      </w:r>
      <w:r w:rsidR="00233CA0" w:rsidRPr="00DA5B9B">
        <w:rPr>
          <w:rStyle w:val="FootnoteReference"/>
          <w:rFonts w:cs="Times New Roman"/>
          <w:szCs w:val="22"/>
        </w:rPr>
        <w:footnoteReference w:id="78"/>
      </w:r>
    </w:p>
    <w:p w14:paraId="5BC04E14" w14:textId="72311319" w:rsidR="00AA7D7E" w:rsidRPr="007C271A"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ab/>
        <w:t xml:space="preserve">Recently in Bangui, tensions escalated in a predominantly Muslim neighbourhood, the PK5, and the community requested the </w:t>
      </w:r>
      <w:r w:rsidR="004D704A" w:rsidRPr="007C271A">
        <w:rPr>
          <w:rFonts w:ascii="Times New Roman" w:hAnsi="Times New Roman" w:cs="Times New Roman"/>
          <w:sz w:val="22"/>
          <w:szCs w:val="22"/>
        </w:rPr>
        <w:t>g</w:t>
      </w:r>
      <w:r w:rsidRPr="007C271A">
        <w:rPr>
          <w:rFonts w:ascii="Times New Roman" w:hAnsi="Times New Roman" w:cs="Times New Roman"/>
          <w:sz w:val="22"/>
          <w:szCs w:val="22"/>
        </w:rPr>
        <w:t xml:space="preserve">overnment and MINUSCA </w:t>
      </w:r>
      <w:r w:rsidR="00AF7556" w:rsidRPr="007C271A">
        <w:rPr>
          <w:rFonts w:ascii="Times New Roman" w:hAnsi="Times New Roman" w:cs="Times New Roman"/>
          <w:sz w:val="22"/>
          <w:szCs w:val="22"/>
        </w:rPr>
        <w:t xml:space="preserve">to </w:t>
      </w:r>
      <w:r w:rsidRPr="007C271A">
        <w:rPr>
          <w:rFonts w:ascii="Times New Roman" w:hAnsi="Times New Roman" w:cs="Times New Roman"/>
          <w:sz w:val="22"/>
          <w:szCs w:val="22"/>
        </w:rPr>
        <w:t>step in.</w:t>
      </w:r>
      <w:r w:rsidRPr="007C271A">
        <w:rPr>
          <w:rStyle w:val="FootnoteReference"/>
          <w:rFonts w:cs="Times New Roman"/>
          <w:szCs w:val="22"/>
        </w:rPr>
        <w:footnoteReference w:id="79"/>
      </w:r>
      <w:r w:rsidRPr="007C271A">
        <w:rPr>
          <w:rFonts w:ascii="Times New Roman" w:hAnsi="Times New Roman" w:cs="Times New Roman"/>
          <w:sz w:val="22"/>
          <w:szCs w:val="22"/>
        </w:rPr>
        <w:t xml:space="preserve"> MINUSCA and </w:t>
      </w:r>
      <w:r w:rsidR="00594830" w:rsidRPr="007C271A">
        <w:rPr>
          <w:rFonts w:ascii="Times New Roman" w:hAnsi="Times New Roman" w:cs="Times New Roman"/>
          <w:sz w:val="22"/>
          <w:szCs w:val="22"/>
        </w:rPr>
        <w:t>the CAR armed forces (</w:t>
      </w:r>
      <w:r w:rsidRPr="007C271A">
        <w:rPr>
          <w:rFonts w:ascii="Times New Roman" w:hAnsi="Times New Roman" w:cs="Times New Roman"/>
          <w:sz w:val="22"/>
          <w:szCs w:val="22"/>
        </w:rPr>
        <w:t>FACA</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 xml:space="preserve"> arrested and disarmed criminal groups in the neighbourhood, seized weapons, ammunition, and narcotics.</w:t>
      </w:r>
      <w:r w:rsidRPr="007C271A">
        <w:rPr>
          <w:rStyle w:val="FootnoteReference"/>
          <w:rFonts w:cs="Times New Roman"/>
          <w:szCs w:val="22"/>
        </w:rPr>
        <w:footnoteReference w:id="80"/>
      </w:r>
      <w:r w:rsidRPr="007C271A">
        <w:rPr>
          <w:rFonts w:ascii="Times New Roman" w:hAnsi="Times New Roman" w:cs="Times New Roman"/>
          <w:sz w:val="22"/>
          <w:szCs w:val="22"/>
        </w:rPr>
        <w:t xml:space="preserve"> An operation such as this is a prime example of the UN forces responded to a direct security threat communicated from the local level. Community liaison assistants </w:t>
      </w:r>
      <w:r w:rsidR="00594830" w:rsidRPr="007C271A">
        <w:rPr>
          <w:rFonts w:ascii="Times New Roman" w:hAnsi="Times New Roman" w:cs="Times New Roman"/>
          <w:sz w:val="22"/>
          <w:szCs w:val="22"/>
        </w:rPr>
        <w:t xml:space="preserve">(CLAs) </w:t>
      </w:r>
      <w:r w:rsidRPr="007C271A">
        <w:rPr>
          <w:rFonts w:ascii="Times New Roman" w:hAnsi="Times New Roman" w:cs="Times New Roman"/>
          <w:sz w:val="22"/>
          <w:szCs w:val="22"/>
        </w:rPr>
        <w:t>are</w:t>
      </w:r>
      <w:r w:rsidR="0094091F" w:rsidRPr="007C271A">
        <w:rPr>
          <w:rFonts w:ascii="Times New Roman" w:hAnsi="Times New Roman" w:cs="Times New Roman"/>
          <w:sz w:val="22"/>
          <w:szCs w:val="22"/>
        </w:rPr>
        <w:t xml:space="preserve"> also</w:t>
      </w:r>
      <w:r w:rsidRPr="007C271A">
        <w:rPr>
          <w:rFonts w:ascii="Times New Roman" w:hAnsi="Times New Roman" w:cs="Times New Roman"/>
          <w:sz w:val="22"/>
          <w:szCs w:val="22"/>
        </w:rPr>
        <w:t xml:space="preserve"> in use by MINUSCA to identify security threats</w:t>
      </w:r>
      <w:r w:rsidR="00641EA4" w:rsidRPr="007C271A">
        <w:rPr>
          <w:rFonts w:ascii="Times New Roman" w:hAnsi="Times New Roman" w:cs="Times New Roman"/>
          <w:sz w:val="22"/>
          <w:szCs w:val="22"/>
        </w:rPr>
        <w:t>. The assistants are ‘critical links’ between the mission and communities in remote areas.</w:t>
      </w:r>
      <w:bookmarkStart w:id="19" w:name="_Ref528840705"/>
      <w:r w:rsidR="00641EA4" w:rsidRPr="007C271A">
        <w:rPr>
          <w:rFonts w:ascii="Times New Roman" w:hAnsi="Times New Roman" w:cs="Times New Roman"/>
          <w:sz w:val="22"/>
          <w:szCs w:val="22"/>
          <w:vertAlign w:val="superscript"/>
        </w:rPr>
        <w:footnoteReference w:id="81"/>
      </w:r>
      <w:bookmarkEnd w:id="19"/>
      <w:r w:rsidR="00641EA4"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CLAs</w:t>
      </w:r>
      <w:r w:rsidR="000118AE" w:rsidRPr="007C271A">
        <w:rPr>
          <w:rFonts w:ascii="Times New Roman" w:hAnsi="Times New Roman" w:cs="Times New Roman"/>
          <w:sz w:val="22"/>
          <w:szCs w:val="22"/>
        </w:rPr>
        <w:t xml:space="preserve"> are recruited to help the missions gain public support for the mandate, they </w:t>
      </w:r>
      <w:r w:rsidR="00641EA4" w:rsidRPr="007C271A">
        <w:rPr>
          <w:rFonts w:ascii="Times New Roman" w:hAnsi="Times New Roman" w:cs="Times New Roman"/>
          <w:sz w:val="22"/>
          <w:szCs w:val="22"/>
        </w:rPr>
        <w:t>speak the local language, can find out the risks to communities, act at mediators, and communicate outcomes to both civilian and military contingents of an operation.</w:t>
      </w:r>
      <w:r w:rsidR="000118AE" w:rsidRPr="007C271A">
        <w:rPr>
          <w:rStyle w:val="FootnoteReference"/>
          <w:rFonts w:cs="Times New Roman"/>
          <w:szCs w:val="22"/>
        </w:rPr>
        <w:footnoteReference w:id="82"/>
      </w:r>
      <w:r w:rsidR="00641EA4" w:rsidRPr="007C271A">
        <w:rPr>
          <w:rFonts w:ascii="Times New Roman" w:hAnsi="Times New Roman" w:cs="Times New Roman"/>
          <w:sz w:val="22"/>
          <w:szCs w:val="22"/>
        </w:rPr>
        <w:t xml:space="preserve"> </w:t>
      </w:r>
      <w:r w:rsidR="00EE3E75" w:rsidRPr="007C271A">
        <w:rPr>
          <w:rFonts w:ascii="Times New Roman" w:hAnsi="Times New Roman" w:cs="Times New Roman"/>
          <w:sz w:val="22"/>
          <w:szCs w:val="22"/>
        </w:rPr>
        <w:t>CLAs</w:t>
      </w:r>
      <w:r w:rsidR="00641EA4" w:rsidRPr="007C271A">
        <w:rPr>
          <w:rFonts w:ascii="Times New Roman" w:hAnsi="Times New Roman" w:cs="Times New Roman"/>
          <w:sz w:val="22"/>
          <w:szCs w:val="22"/>
        </w:rPr>
        <w:t xml:space="preserve"> are able to work with communities to formulate protection strategies and alert mechanisms for community security.</w:t>
      </w:r>
      <w:bookmarkStart w:id="20" w:name="_Ref528840843"/>
      <w:r w:rsidR="00641EA4" w:rsidRPr="007C271A">
        <w:rPr>
          <w:rFonts w:ascii="Times New Roman" w:hAnsi="Times New Roman" w:cs="Times New Roman"/>
          <w:sz w:val="22"/>
          <w:szCs w:val="22"/>
          <w:vertAlign w:val="superscript"/>
        </w:rPr>
        <w:footnoteReference w:id="83"/>
      </w:r>
      <w:bookmarkEnd w:id="20"/>
      <w:r w:rsidR="00641EA4" w:rsidRPr="007C271A">
        <w:rPr>
          <w:rFonts w:ascii="Times New Roman" w:hAnsi="Times New Roman" w:cs="Times New Roman"/>
          <w:sz w:val="22"/>
          <w:szCs w:val="22"/>
        </w:rPr>
        <w:t xml:space="preserve"> </w:t>
      </w:r>
      <w:r w:rsidR="00EE3E75" w:rsidRPr="007C271A">
        <w:rPr>
          <w:rFonts w:ascii="Times New Roman" w:hAnsi="Times New Roman" w:cs="Times New Roman"/>
          <w:sz w:val="22"/>
          <w:szCs w:val="22"/>
        </w:rPr>
        <w:t>However, it should be noted that CLAs may lead to a particular community feeling underrepresented where the CL</w:t>
      </w:r>
      <w:r w:rsidR="00260F1D" w:rsidRPr="007C271A">
        <w:rPr>
          <w:rFonts w:ascii="Times New Roman" w:hAnsi="Times New Roman" w:cs="Times New Roman"/>
          <w:sz w:val="22"/>
          <w:szCs w:val="22"/>
        </w:rPr>
        <w:t>A is from a different ethnicity or where a community feels the CLA, as a local employee of the UN, is using their UN role to spy on them.</w:t>
      </w:r>
      <w:r w:rsidR="00260F1D" w:rsidRPr="007C271A">
        <w:rPr>
          <w:rStyle w:val="FootnoteReference"/>
          <w:rFonts w:cs="Times New Roman"/>
          <w:szCs w:val="22"/>
        </w:rPr>
        <w:footnoteReference w:id="84"/>
      </w:r>
      <w:r w:rsidR="00260F1D" w:rsidRPr="007C271A">
        <w:rPr>
          <w:rFonts w:ascii="Times New Roman" w:hAnsi="Times New Roman" w:cs="Times New Roman"/>
          <w:sz w:val="22"/>
          <w:szCs w:val="22"/>
        </w:rPr>
        <w:t xml:space="preserve"> </w:t>
      </w:r>
      <w:r w:rsidRPr="007C271A">
        <w:rPr>
          <w:rFonts w:ascii="Times New Roman" w:hAnsi="Times New Roman" w:cs="Times New Roman"/>
          <w:sz w:val="22"/>
          <w:szCs w:val="22"/>
        </w:rPr>
        <w:t>The direct involvement of MINUSCA with communities allows for the people affected to raise the issues most relevant to them which is necessary for the realisation of human security’s principles. A bottom-up approach is important to make the peace process as locally owned as possible.</w:t>
      </w:r>
    </w:p>
    <w:p w14:paraId="7B803D30" w14:textId="77777777" w:rsidR="00AA7D7E" w:rsidRPr="007C271A" w:rsidRDefault="00AA7D7E" w:rsidP="00AA7D7E">
      <w:pPr>
        <w:spacing w:line="360" w:lineRule="auto"/>
        <w:jc w:val="both"/>
        <w:rPr>
          <w:rFonts w:ascii="Times New Roman" w:hAnsi="Times New Roman" w:cs="Times New Roman"/>
          <w:sz w:val="22"/>
          <w:szCs w:val="22"/>
        </w:rPr>
      </w:pPr>
    </w:p>
    <w:p w14:paraId="01B8582C" w14:textId="379196D4" w:rsidR="00AA7D7E" w:rsidRPr="007C271A" w:rsidRDefault="00AA7D7E" w:rsidP="00C90FC2">
      <w:pPr>
        <w:pStyle w:val="Heading3"/>
        <w:numPr>
          <w:ilvl w:val="1"/>
          <w:numId w:val="1"/>
        </w:num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lastRenderedPageBreak/>
        <w:t>Vulnerability</w:t>
      </w:r>
    </w:p>
    <w:p w14:paraId="181B3BAC" w14:textId="77777777" w:rsidR="00AA7D7E" w:rsidRPr="007C271A" w:rsidRDefault="00AA7D7E" w:rsidP="00AA7D7E">
      <w:pPr>
        <w:pStyle w:val="Heading3"/>
        <w:spacing w:line="360" w:lineRule="auto"/>
        <w:jc w:val="both"/>
        <w:rPr>
          <w:rFonts w:ascii="Times New Roman" w:hAnsi="Times New Roman" w:cs="Times New Roman"/>
          <w:i w:val="0"/>
          <w:sz w:val="22"/>
          <w:szCs w:val="22"/>
        </w:rPr>
      </w:pPr>
    </w:p>
    <w:p w14:paraId="67CCE4FD" w14:textId="77777777" w:rsidR="00AA7D7E" w:rsidRPr="007C271A" w:rsidRDefault="00AA7D7E" w:rsidP="00AA7D7E">
      <w:pPr>
        <w:spacing w:line="360" w:lineRule="auto"/>
        <w:jc w:val="both"/>
        <w:rPr>
          <w:rFonts w:ascii="Times New Roman" w:hAnsi="Times New Roman" w:cs="Times New Roman"/>
          <w:sz w:val="22"/>
          <w:szCs w:val="22"/>
          <w:lang w:eastAsia="en-GB"/>
        </w:rPr>
      </w:pPr>
      <w:r w:rsidRPr="007C271A">
        <w:rPr>
          <w:rFonts w:ascii="Times New Roman" w:hAnsi="Times New Roman" w:cs="Times New Roman"/>
          <w:sz w:val="22"/>
          <w:szCs w:val="22"/>
          <w:lang w:eastAsia="en-GB"/>
        </w:rPr>
        <w:t>The specifics of vulnerability are given little attention in the reports and meetings held on MINUSCA. The most notable identification of vulnerability is with regards to women and children. In Security Council meetings it is mentioned a number of times that women and children form the most vulnerable segments of the population and are ‘particularly vulnerable’.</w:t>
      </w:r>
      <w:bookmarkStart w:id="21" w:name="_Ref528925523"/>
      <w:r w:rsidRPr="007C271A">
        <w:rPr>
          <w:rStyle w:val="FootnoteReference"/>
          <w:rFonts w:cs="Times New Roman"/>
          <w:szCs w:val="22"/>
          <w:lang w:eastAsia="en-GB"/>
        </w:rPr>
        <w:footnoteReference w:id="85"/>
      </w:r>
      <w:bookmarkEnd w:id="21"/>
      <w:r w:rsidRPr="007C271A">
        <w:rPr>
          <w:rFonts w:ascii="Times New Roman" w:hAnsi="Times New Roman" w:cs="Times New Roman"/>
          <w:sz w:val="22"/>
          <w:szCs w:val="22"/>
          <w:lang w:eastAsia="en-GB"/>
        </w:rPr>
        <w:t xml:space="preserve"> The reason for this is largely because of widespread sexual violence against women and the use of child soldiers by armed groups in the CAR.</w:t>
      </w:r>
      <w:r w:rsidRPr="007C271A">
        <w:rPr>
          <w:rStyle w:val="FootnoteReference"/>
          <w:rFonts w:cs="Times New Roman"/>
          <w:szCs w:val="22"/>
          <w:lang w:eastAsia="en-GB"/>
        </w:rPr>
        <w:footnoteReference w:id="86"/>
      </w:r>
      <w:r w:rsidRPr="007C271A">
        <w:rPr>
          <w:rFonts w:ascii="Times New Roman" w:hAnsi="Times New Roman" w:cs="Times New Roman"/>
          <w:sz w:val="22"/>
          <w:szCs w:val="22"/>
          <w:lang w:eastAsia="en-GB"/>
        </w:rPr>
        <w:t xml:space="preserve"> Attention being given to women and children in armed conflict is not uncommon with the Security Council establishing a Working Group on Children in Armed Conflict in 2005 and an Informal Expert Group on Women, Peace and Security in 2016.</w:t>
      </w:r>
      <w:r w:rsidRPr="007C271A">
        <w:rPr>
          <w:rStyle w:val="FootnoteReference"/>
          <w:rFonts w:cs="Times New Roman"/>
          <w:szCs w:val="22"/>
          <w:lang w:eastAsia="en-GB"/>
        </w:rPr>
        <w:footnoteReference w:id="87"/>
      </w:r>
      <w:r w:rsidRPr="007C271A">
        <w:rPr>
          <w:rFonts w:ascii="Times New Roman" w:hAnsi="Times New Roman" w:cs="Times New Roman"/>
          <w:sz w:val="22"/>
          <w:szCs w:val="22"/>
          <w:lang w:eastAsia="en-GB"/>
        </w:rPr>
        <w:t xml:space="preserve"> </w:t>
      </w:r>
    </w:p>
    <w:p w14:paraId="3A79B4E6" w14:textId="67D16F16" w:rsidR="00AA7D7E" w:rsidRPr="007C271A" w:rsidRDefault="00AA7D7E" w:rsidP="00AA7D7E">
      <w:pPr>
        <w:spacing w:line="360" w:lineRule="auto"/>
        <w:jc w:val="both"/>
        <w:rPr>
          <w:rFonts w:ascii="Times New Roman" w:hAnsi="Times New Roman" w:cs="Times New Roman"/>
          <w:sz w:val="22"/>
          <w:szCs w:val="22"/>
          <w:lang w:eastAsia="en-GB"/>
        </w:rPr>
      </w:pPr>
      <w:r w:rsidRPr="007C271A">
        <w:rPr>
          <w:rFonts w:ascii="Times New Roman" w:hAnsi="Times New Roman" w:cs="Times New Roman"/>
          <w:sz w:val="22"/>
          <w:szCs w:val="22"/>
          <w:lang w:eastAsia="en-GB"/>
        </w:rPr>
        <w:tab/>
        <w:t xml:space="preserve">Despite mentioning the vulnerability of women and children in the CAR the Security Council does not discuss building resilience of those vulnerable groups in its meetings. It can be read into a number of MINUSCA’s activities that the result would be improved resilience. For instance, MINUSCA, alongside the </w:t>
      </w:r>
      <w:r w:rsidR="004D704A" w:rsidRPr="007C271A">
        <w:rPr>
          <w:rFonts w:ascii="Times New Roman" w:hAnsi="Times New Roman" w:cs="Times New Roman"/>
          <w:sz w:val="22"/>
          <w:szCs w:val="22"/>
          <w:lang w:eastAsia="en-GB"/>
        </w:rPr>
        <w:t>g</w:t>
      </w:r>
      <w:r w:rsidRPr="007C271A">
        <w:rPr>
          <w:rFonts w:ascii="Times New Roman" w:hAnsi="Times New Roman" w:cs="Times New Roman"/>
          <w:sz w:val="22"/>
          <w:szCs w:val="22"/>
          <w:lang w:eastAsia="en-GB"/>
        </w:rPr>
        <w:t xml:space="preserve">overnment and UNICEF, facilitated the holding of school exams in various prefectures and women have been involved in labour intensive work programmes as part of </w:t>
      </w:r>
      <w:r w:rsidRPr="007C271A">
        <w:rPr>
          <w:rFonts w:ascii="Times New Roman" w:hAnsi="Times New Roman" w:cs="Times New Roman"/>
          <w:sz w:val="22"/>
          <w:szCs w:val="22"/>
        </w:rPr>
        <w:t>community violence reduction programmes</w:t>
      </w:r>
      <w:r w:rsidRPr="007C271A">
        <w:rPr>
          <w:rFonts w:ascii="Times New Roman" w:hAnsi="Times New Roman" w:cs="Times New Roman"/>
          <w:sz w:val="22"/>
          <w:szCs w:val="22"/>
          <w:lang w:eastAsia="en-GB"/>
        </w:rPr>
        <w:t>.</w:t>
      </w:r>
      <w:r w:rsidRPr="007C271A">
        <w:rPr>
          <w:rStyle w:val="FootnoteReference"/>
          <w:rFonts w:cs="Times New Roman"/>
          <w:szCs w:val="22"/>
          <w:lang w:eastAsia="en-GB"/>
        </w:rPr>
        <w:footnoteReference w:id="88"/>
      </w:r>
      <w:r w:rsidRPr="007C271A">
        <w:rPr>
          <w:rFonts w:ascii="Times New Roman" w:hAnsi="Times New Roman" w:cs="Times New Roman"/>
          <w:sz w:val="22"/>
          <w:szCs w:val="22"/>
          <w:lang w:eastAsia="en-GB"/>
        </w:rPr>
        <w:t xml:space="preserve"> In addition, women have routinely been empowered to participate in the peace process which consequently allows for the building of resilience.</w:t>
      </w:r>
      <w:r w:rsidR="00880F26" w:rsidRPr="007C271A">
        <w:rPr>
          <w:rFonts w:ascii="Times New Roman" w:hAnsi="Times New Roman" w:cs="Times New Roman"/>
          <w:sz w:val="22"/>
          <w:szCs w:val="22"/>
          <w:lang w:eastAsia="en-GB"/>
        </w:rPr>
        <w:t xml:space="preserve"> Nevertheless, an express concern for building the resilience of vulnerable groups is absent from the UN’s reporting on MINUSCA.</w:t>
      </w:r>
    </w:p>
    <w:p w14:paraId="6A1DA01D" w14:textId="7873DE01" w:rsidR="00AA7D7E" w:rsidRPr="007C271A" w:rsidRDefault="00AA7D7E" w:rsidP="00AA7D7E">
      <w:pPr>
        <w:spacing w:line="360" w:lineRule="auto"/>
        <w:jc w:val="both"/>
        <w:rPr>
          <w:rFonts w:ascii="Times New Roman" w:hAnsi="Times New Roman" w:cs="Times New Roman"/>
          <w:sz w:val="22"/>
          <w:szCs w:val="22"/>
          <w:lang w:eastAsia="en-GB"/>
        </w:rPr>
      </w:pPr>
      <w:r w:rsidRPr="007C271A">
        <w:rPr>
          <w:rFonts w:ascii="Times New Roman" w:hAnsi="Times New Roman" w:cs="Times New Roman"/>
          <w:sz w:val="22"/>
          <w:szCs w:val="22"/>
          <w:lang w:eastAsia="en-GB"/>
        </w:rPr>
        <w:tab/>
        <w:t>Other groups have, on occasion, been identified by the Security Council or Secretariat as vulnerable.</w:t>
      </w:r>
      <w:r w:rsidR="00233CA0">
        <w:rPr>
          <w:rStyle w:val="FootnoteReference"/>
          <w:rFonts w:cs="Times New Roman"/>
          <w:szCs w:val="22"/>
          <w:lang w:eastAsia="en-GB"/>
        </w:rPr>
        <w:footnoteReference w:id="89"/>
      </w:r>
      <w:r w:rsidRPr="007C271A">
        <w:rPr>
          <w:rFonts w:ascii="Times New Roman" w:hAnsi="Times New Roman" w:cs="Times New Roman"/>
          <w:sz w:val="22"/>
          <w:szCs w:val="22"/>
          <w:lang w:eastAsia="en-GB"/>
        </w:rPr>
        <w:t xml:space="preserve"> Namely, the elderly, disabled, and the Muslim community. The Secretary-General reported that the elderly is disproportionately affected by the violence in the CAR but no further details are given.</w:t>
      </w:r>
      <w:r w:rsidRPr="007C271A">
        <w:rPr>
          <w:rStyle w:val="FootnoteReference"/>
          <w:rFonts w:cs="Times New Roman"/>
          <w:szCs w:val="22"/>
          <w:lang w:eastAsia="en-GB"/>
        </w:rPr>
        <w:footnoteReference w:id="90"/>
      </w:r>
      <w:r w:rsidRPr="007C271A">
        <w:rPr>
          <w:rFonts w:ascii="Times New Roman" w:hAnsi="Times New Roman" w:cs="Times New Roman"/>
          <w:sz w:val="22"/>
          <w:szCs w:val="22"/>
          <w:lang w:eastAsia="en-GB"/>
        </w:rPr>
        <w:t xml:space="preserve"> Likewise, in its first renewal of MINUSCA’s mandate the Security Council expressed concern for the situation of persons with disabilities and the need to address their situation in the humanitarian response.</w:t>
      </w:r>
      <w:r w:rsidRPr="007C271A">
        <w:rPr>
          <w:rStyle w:val="FootnoteReference"/>
          <w:rFonts w:cs="Times New Roman"/>
          <w:szCs w:val="22"/>
          <w:lang w:eastAsia="en-GB"/>
        </w:rPr>
        <w:footnoteReference w:id="91"/>
      </w:r>
      <w:r w:rsidRPr="007C271A">
        <w:rPr>
          <w:rFonts w:ascii="Times New Roman" w:hAnsi="Times New Roman" w:cs="Times New Roman"/>
          <w:sz w:val="22"/>
          <w:szCs w:val="22"/>
          <w:lang w:eastAsia="en-GB"/>
        </w:rPr>
        <w:t xml:space="preserve"> The concern for the disabled </w:t>
      </w:r>
      <w:r w:rsidR="00594830" w:rsidRPr="007C271A">
        <w:rPr>
          <w:rFonts w:ascii="Times New Roman" w:hAnsi="Times New Roman" w:cs="Times New Roman"/>
          <w:sz w:val="22"/>
          <w:szCs w:val="22"/>
          <w:lang w:eastAsia="en-GB"/>
        </w:rPr>
        <w:t xml:space="preserve">was </w:t>
      </w:r>
      <w:r w:rsidR="00880F26" w:rsidRPr="007C271A">
        <w:rPr>
          <w:rFonts w:ascii="Times New Roman" w:hAnsi="Times New Roman" w:cs="Times New Roman"/>
          <w:sz w:val="22"/>
          <w:szCs w:val="22"/>
          <w:lang w:eastAsia="en-GB"/>
        </w:rPr>
        <w:t>removed</w:t>
      </w:r>
      <w:r w:rsidRPr="007C271A">
        <w:rPr>
          <w:rFonts w:ascii="Times New Roman" w:hAnsi="Times New Roman" w:cs="Times New Roman"/>
          <w:sz w:val="22"/>
          <w:szCs w:val="22"/>
          <w:lang w:eastAsia="en-GB"/>
        </w:rPr>
        <w:t xml:space="preserve"> from later renewals of the mandate. </w:t>
      </w:r>
    </w:p>
    <w:p w14:paraId="0D945A18" w14:textId="586DC777" w:rsidR="00AA7D7E" w:rsidRPr="007C271A"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lang w:eastAsia="en-GB"/>
        </w:rPr>
        <w:tab/>
      </w:r>
      <w:r w:rsidR="00880F26" w:rsidRPr="007C271A">
        <w:rPr>
          <w:rFonts w:ascii="Times New Roman" w:hAnsi="Times New Roman" w:cs="Times New Roman"/>
          <w:sz w:val="22"/>
          <w:szCs w:val="22"/>
          <w:lang w:eastAsia="en-GB"/>
        </w:rPr>
        <w:t>During the conflict</w:t>
      </w:r>
      <w:r w:rsidRPr="007C271A">
        <w:rPr>
          <w:rFonts w:ascii="Times New Roman" w:hAnsi="Times New Roman" w:cs="Times New Roman"/>
          <w:sz w:val="22"/>
          <w:szCs w:val="22"/>
          <w:lang w:eastAsia="en-GB"/>
        </w:rPr>
        <w:t xml:space="preserve"> the Muslim community </w:t>
      </w:r>
      <w:r w:rsidR="00880F26" w:rsidRPr="007C271A">
        <w:rPr>
          <w:rFonts w:ascii="Times New Roman" w:hAnsi="Times New Roman" w:cs="Times New Roman"/>
          <w:sz w:val="22"/>
          <w:szCs w:val="22"/>
          <w:lang w:eastAsia="en-GB"/>
        </w:rPr>
        <w:t>has been</w:t>
      </w:r>
      <w:r w:rsidRPr="007C271A">
        <w:rPr>
          <w:rFonts w:ascii="Times New Roman" w:hAnsi="Times New Roman" w:cs="Times New Roman"/>
          <w:sz w:val="22"/>
          <w:szCs w:val="22"/>
          <w:lang w:eastAsia="en-GB"/>
        </w:rPr>
        <w:t xml:space="preserve"> targeted by the anti-</w:t>
      </w:r>
      <w:proofErr w:type="spellStart"/>
      <w:r w:rsidRPr="007C271A">
        <w:rPr>
          <w:rFonts w:ascii="Times New Roman" w:hAnsi="Times New Roman" w:cs="Times New Roman"/>
          <w:sz w:val="22"/>
          <w:szCs w:val="22"/>
          <w:lang w:eastAsia="en-GB"/>
        </w:rPr>
        <w:t>Balaka</w:t>
      </w:r>
      <w:proofErr w:type="spellEnd"/>
      <w:r w:rsidRPr="007C271A">
        <w:rPr>
          <w:rFonts w:ascii="Times New Roman" w:hAnsi="Times New Roman" w:cs="Times New Roman"/>
          <w:sz w:val="22"/>
          <w:szCs w:val="22"/>
          <w:lang w:eastAsia="en-GB"/>
        </w:rPr>
        <w:t xml:space="preserve"> in retaliation for the actions of the ex-</w:t>
      </w:r>
      <w:proofErr w:type="spellStart"/>
      <w:r w:rsidRPr="007C271A">
        <w:rPr>
          <w:rFonts w:ascii="Times New Roman" w:hAnsi="Times New Roman" w:cs="Times New Roman"/>
          <w:sz w:val="22"/>
          <w:szCs w:val="22"/>
        </w:rPr>
        <w:t>Séléka</w:t>
      </w:r>
      <w:proofErr w:type="spellEnd"/>
      <w:r w:rsidRPr="007C271A">
        <w:rPr>
          <w:rFonts w:ascii="Times New Roman" w:hAnsi="Times New Roman" w:cs="Times New Roman"/>
          <w:sz w:val="22"/>
          <w:szCs w:val="22"/>
        </w:rPr>
        <w:t xml:space="preserve">. Consequently, </w:t>
      </w:r>
      <w:r w:rsidR="00880F26" w:rsidRPr="007C271A">
        <w:rPr>
          <w:rFonts w:ascii="Times New Roman" w:hAnsi="Times New Roman" w:cs="Times New Roman"/>
          <w:sz w:val="22"/>
          <w:szCs w:val="22"/>
        </w:rPr>
        <w:t>a</w:t>
      </w:r>
      <w:r w:rsidRPr="007C271A">
        <w:rPr>
          <w:rFonts w:ascii="Times New Roman" w:hAnsi="Times New Roman" w:cs="Times New Roman"/>
          <w:sz w:val="22"/>
          <w:szCs w:val="22"/>
        </w:rPr>
        <w:t xml:space="preserve"> large part of the Muslim population has been displaced or left the CAR.</w:t>
      </w:r>
      <w:r w:rsidRPr="007C271A">
        <w:rPr>
          <w:rStyle w:val="FootnoteReference"/>
          <w:rFonts w:cs="Times New Roman"/>
          <w:szCs w:val="22"/>
        </w:rPr>
        <w:footnoteReference w:id="92"/>
      </w:r>
      <w:r w:rsidRPr="007C271A">
        <w:rPr>
          <w:rFonts w:ascii="Times New Roman" w:hAnsi="Times New Roman" w:cs="Times New Roman"/>
          <w:sz w:val="22"/>
          <w:szCs w:val="22"/>
        </w:rPr>
        <w:t xml:space="preserve"> The UN refers to these communities as vulnerable on a couple of occasions.</w:t>
      </w:r>
      <w:bookmarkStart w:id="22" w:name="_Ref528925896"/>
      <w:r w:rsidRPr="007C271A">
        <w:rPr>
          <w:rStyle w:val="FootnoteReference"/>
          <w:rFonts w:cs="Times New Roman"/>
          <w:szCs w:val="22"/>
        </w:rPr>
        <w:footnoteReference w:id="93"/>
      </w:r>
      <w:bookmarkEnd w:id="22"/>
      <w:r w:rsidRPr="007C271A">
        <w:rPr>
          <w:rFonts w:ascii="Times New Roman" w:hAnsi="Times New Roman" w:cs="Times New Roman"/>
          <w:sz w:val="22"/>
          <w:szCs w:val="22"/>
        </w:rPr>
        <w:t xml:space="preserve"> </w:t>
      </w:r>
      <w:r w:rsidRPr="007C271A">
        <w:rPr>
          <w:rFonts w:ascii="Times New Roman" w:hAnsi="Times New Roman" w:cs="Times New Roman"/>
          <w:sz w:val="22"/>
          <w:szCs w:val="22"/>
        </w:rPr>
        <w:lastRenderedPageBreak/>
        <w:t xml:space="preserve">However, the planning of the mission’s </w:t>
      </w:r>
      <w:proofErr w:type="spellStart"/>
      <w:r w:rsidR="00594830" w:rsidRPr="007C271A">
        <w:rPr>
          <w:rFonts w:ascii="Times New Roman" w:hAnsi="Times New Roman" w:cs="Times New Roman"/>
          <w:sz w:val="22"/>
          <w:szCs w:val="22"/>
        </w:rPr>
        <w:t>PoC</w:t>
      </w:r>
      <w:proofErr w:type="spellEnd"/>
      <w:r w:rsidRPr="007C271A">
        <w:rPr>
          <w:rFonts w:ascii="Times New Roman" w:hAnsi="Times New Roman" w:cs="Times New Roman"/>
          <w:sz w:val="22"/>
          <w:szCs w:val="22"/>
        </w:rPr>
        <w:t xml:space="preserve"> strategy did not identify Muslims, or Christians for that matter, as particularly vulnerable.</w:t>
      </w:r>
      <w:r w:rsidRPr="007C271A">
        <w:rPr>
          <w:rStyle w:val="FootnoteReference"/>
          <w:rFonts w:cs="Times New Roman"/>
          <w:szCs w:val="22"/>
        </w:rPr>
        <w:footnoteReference w:id="94"/>
      </w:r>
      <w:r w:rsidRPr="007C271A">
        <w:rPr>
          <w:rFonts w:ascii="Times New Roman" w:hAnsi="Times New Roman" w:cs="Times New Roman"/>
          <w:sz w:val="22"/>
          <w:szCs w:val="22"/>
        </w:rPr>
        <w:t xml:space="preserve"> It is likely that the UN has tried to avoid religious issues in its response to the CAR to ensure the organisation did not give credence to the claims that the conflict is a religious one. Instead the Under-Secretary-General for Peacekeeping Operations claims, “</w:t>
      </w:r>
      <w:proofErr w:type="gramStart"/>
      <w:r w:rsidRPr="007C271A">
        <w:rPr>
          <w:rFonts w:ascii="Times New Roman" w:hAnsi="Times New Roman" w:cs="Times New Roman"/>
          <w:sz w:val="22"/>
          <w:szCs w:val="22"/>
        </w:rPr>
        <w:t>religion</w:t>
      </w:r>
      <w:proofErr w:type="gramEnd"/>
      <w:r w:rsidRPr="007C271A">
        <w:rPr>
          <w:rFonts w:ascii="Times New Roman" w:hAnsi="Times New Roman" w:cs="Times New Roman"/>
          <w:sz w:val="22"/>
          <w:szCs w:val="22"/>
        </w:rPr>
        <w:t xml:space="preserve"> is not at the heart of the difficulties facing the Central African Republic.”</w:t>
      </w:r>
      <w:r w:rsidRPr="007C271A">
        <w:rPr>
          <w:rStyle w:val="FootnoteReference"/>
          <w:rFonts w:cs="Times New Roman"/>
          <w:szCs w:val="22"/>
        </w:rPr>
        <w:footnoteReference w:id="95"/>
      </w:r>
      <w:r w:rsidRPr="007C271A">
        <w:rPr>
          <w:rFonts w:ascii="Times New Roman" w:hAnsi="Times New Roman" w:cs="Times New Roman"/>
          <w:sz w:val="22"/>
          <w:szCs w:val="22"/>
        </w:rPr>
        <w:t xml:space="preserve"> It is difficult to assess whether express identification as vulnerable would improve the situation of displaced Muslim individuals but what is clear is that resilience needs to be built to prevent future displacements. The UN may </w:t>
      </w:r>
      <w:r w:rsidR="00880F26" w:rsidRPr="007C271A">
        <w:rPr>
          <w:rFonts w:ascii="Times New Roman" w:hAnsi="Times New Roman" w:cs="Times New Roman"/>
          <w:sz w:val="22"/>
          <w:szCs w:val="22"/>
        </w:rPr>
        <w:t>have</w:t>
      </w:r>
      <w:r w:rsidRPr="007C271A">
        <w:rPr>
          <w:rFonts w:ascii="Times New Roman" w:hAnsi="Times New Roman" w:cs="Times New Roman"/>
          <w:sz w:val="22"/>
          <w:szCs w:val="22"/>
        </w:rPr>
        <w:t xml:space="preserve"> to recognise that it needs to specifically work with Muslim communities to ensure they are able to have a voice in the CAR and withstand future instability without the need to flee. The mission would fail in part if Muslim individuals were unable to return to their homes or in the future were forced to flee once again in the absence of UN forces. </w:t>
      </w:r>
    </w:p>
    <w:p w14:paraId="0F51113B" w14:textId="77777777" w:rsidR="00AA7D7E" w:rsidRPr="007C271A" w:rsidRDefault="00AA7D7E" w:rsidP="00AA7D7E">
      <w:pPr>
        <w:spacing w:line="360" w:lineRule="auto"/>
        <w:jc w:val="both"/>
        <w:rPr>
          <w:rFonts w:ascii="Times New Roman" w:hAnsi="Times New Roman" w:cs="Times New Roman"/>
          <w:sz w:val="22"/>
          <w:szCs w:val="22"/>
          <w:lang w:eastAsia="en-GB"/>
        </w:rPr>
      </w:pPr>
    </w:p>
    <w:p w14:paraId="340EB4FD" w14:textId="10610EB0" w:rsidR="00AA7D7E" w:rsidRPr="007C271A" w:rsidRDefault="00AA7D7E" w:rsidP="00C90FC2">
      <w:pPr>
        <w:pStyle w:val="Heading3"/>
        <w:numPr>
          <w:ilvl w:val="1"/>
          <w:numId w:val="1"/>
        </w:num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Protection </w:t>
      </w:r>
    </w:p>
    <w:p w14:paraId="33421C5C" w14:textId="77777777" w:rsidR="00AA7D7E" w:rsidRPr="007C271A" w:rsidRDefault="00AA7D7E" w:rsidP="00AA7D7E">
      <w:pPr>
        <w:spacing w:line="360" w:lineRule="auto"/>
        <w:jc w:val="both"/>
        <w:rPr>
          <w:rFonts w:ascii="Times New Roman" w:hAnsi="Times New Roman" w:cs="Times New Roman"/>
          <w:sz w:val="22"/>
          <w:szCs w:val="22"/>
        </w:rPr>
      </w:pPr>
    </w:p>
    <w:p w14:paraId="0A46D615" w14:textId="624F1120" w:rsidR="00AA7D7E" w:rsidRPr="007C271A"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MINUSCA was mandated from the start with a clear protection of </w:t>
      </w:r>
      <w:proofErr w:type="gramStart"/>
      <w:r w:rsidRPr="007C271A">
        <w:rPr>
          <w:rFonts w:ascii="Times New Roman" w:hAnsi="Times New Roman" w:cs="Times New Roman"/>
          <w:sz w:val="22"/>
          <w:szCs w:val="22"/>
        </w:rPr>
        <w:t>civilian</w:t>
      </w:r>
      <w:r w:rsidR="00415641" w:rsidRPr="007C271A">
        <w:rPr>
          <w:rFonts w:ascii="Times New Roman" w:hAnsi="Times New Roman" w:cs="Times New Roman"/>
          <w:sz w:val="22"/>
          <w:szCs w:val="22"/>
        </w:rPr>
        <w:t>s</w:t>
      </w:r>
      <w:proofErr w:type="gramEnd"/>
      <w:r w:rsidRPr="007C271A">
        <w:rPr>
          <w:rFonts w:ascii="Times New Roman" w:hAnsi="Times New Roman" w:cs="Times New Roman"/>
          <w:sz w:val="22"/>
          <w:szCs w:val="22"/>
        </w:rPr>
        <w:t xml:space="preserve"> mandate.</w:t>
      </w:r>
      <w:r w:rsidRPr="007C271A">
        <w:rPr>
          <w:rStyle w:val="FootnoteReference"/>
          <w:rFonts w:cs="Times New Roman"/>
          <w:szCs w:val="22"/>
        </w:rPr>
        <w:footnoteReference w:id="96"/>
      </w:r>
      <w:r w:rsidRPr="007C271A">
        <w:rPr>
          <w:rFonts w:ascii="Times New Roman" w:hAnsi="Times New Roman" w:cs="Times New Roman"/>
          <w:sz w:val="22"/>
          <w:szCs w:val="22"/>
        </w:rPr>
        <w:t xml:space="preserve"> The mandate includes protecting the population from physical violence, through robust force, active patrolling, and the use of Children Protection Advisors and Women Protection Advisors.</w:t>
      </w:r>
      <w:r w:rsidRPr="007C271A">
        <w:rPr>
          <w:rStyle w:val="FootnoteReference"/>
          <w:rFonts w:cs="Times New Roman"/>
          <w:szCs w:val="22"/>
        </w:rPr>
        <w:footnoteReference w:id="97"/>
      </w:r>
      <w:r w:rsidRPr="007C271A">
        <w:rPr>
          <w:rFonts w:ascii="Times New Roman" w:hAnsi="Times New Roman" w:cs="Times New Roman"/>
          <w:sz w:val="22"/>
          <w:szCs w:val="22"/>
        </w:rPr>
        <w:t xml:space="preserve"> The purpose is to deter and restrict the activities of armed groups in cooperation with the French Operation </w:t>
      </w:r>
      <w:proofErr w:type="spellStart"/>
      <w:r w:rsidRPr="007C271A">
        <w:rPr>
          <w:rFonts w:ascii="Times New Roman" w:hAnsi="Times New Roman" w:cs="Times New Roman"/>
          <w:sz w:val="22"/>
          <w:szCs w:val="22"/>
        </w:rPr>
        <w:t>Sangaris</w:t>
      </w:r>
      <w:proofErr w:type="spellEnd"/>
      <w:r w:rsidRPr="007C271A">
        <w:rPr>
          <w:rFonts w:ascii="Times New Roman" w:hAnsi="Times New Roman" w:cs="Times New Roman"/>
          <w:sz w:val="22"/>
          <w:szCs w:val="22"/>
        </w:rPr>
        <w:t xml:space="preserve"> force.</w:t>
      </w:r>
      <w:r w:rsidRPr="007C271A">
        <w:rPr>
          <w:rStyle w:val="FootnoteReference"/>
          <w:rFonts w:cs="Times New Roman"/>
          <w:szCs w:val="22"/>
        </w:rPr>
        <w:footnoteReference w:id="98"/>
      </w:r>
      <w:r w:rsidRPr="007C271A">
        <w:rPr>
          <w:rFonts w:ascii="Times New Roman" w:hAnsi="Times New Roman" w:cs="Times New Roman"/>
          <w:sz w:val="22"/>
          <w:szCs w:val="22"/>
        </w:rPr>
        <w:t xml:space="preserve"> MINUSCA has been faced with a high level of violence throughout its </w:t>
      </w:r>
      <w:r w:rsidR="00451E03" w:rsidRPr="007C271A">
        <w:rPr>
          <w:rFonts w:ascii="Times New Roman" w:hAnsi="Times New Roman" w:cs="Times New Roman"/>
          <w:sz w:val="22"/>
          <w:szCs w:val="22"/>
        </w:rPr>
        <w:t>deployment</w:t>
      </w:r>
      <w:r w:rsidRPr="007C271A">
        <w:rPr>
          <w:rFonts w:ascii="Times New Roman" w:hAnsi="Times New Roman" w:cs="Times New Roman"/>
          <w:sz w:val="22"/>
          <w:szCs w:val="22"/>
        </w:rPr>
        <w:t xml:space="preserve"> and in 2015 the protection of civilians “remained the</w:t>
      </w:r>
      <w:r w:rsidR="0068657B" w:rsidRPr="007C271A">
        <w:rPr>
          <w:rFonts w:ascii="Times New Roman" w:hAnsi="Times New Roman" w:cs="Times New Roman"/>
          <w:sz w:val="22"/>
          <w:szCs w:val="22"/>
        </w:rPr>
        <w:t xml:space="preserve"> </w:t>
      </w:r>
      <w:r w:rsidRPr="007C271A">
        <w:rPr>
          <w:rFonts w:ascii="Times New Roman" w:hAnsi="Times New Roman" w:cs="Times New Roman"/>
          <w:sz w:val="22"/>
          <w:szCs w:val="22"/>
        </w:rPr>
        <w:t>highest priority task for MINUSCA.”</w:t>
      </w:r>
      <w:r w:rsidRPr="007C271A">
        <w:rPr>
          <w:rStyle w:val="FootnoteReference"/>
          <w:rFonts w:cs="Times New Roman"/>
          <w:szCs w:val="22"/>
        </w:rPr>
        <w:footnoteReference w:id="99"/>
      </w:r>
    </w:p>
    <w:p w14:paraId="5A8FA33E" w14:textId="47422CB0" w:rsidR="00AA7D7E" w:rsidRPr="007C271A" w:rsidRDefault="00432A1D" w:rsidP="00451E03">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 xml:space="preserve">The first key area for protection is the so-called ‘robust’ use of force. </w:t>
      </w:r>
      <w:r w:rsidR="00AA7D7E" w:rsidRPr="007C271A">
        <w:rPr>
          <w:rFonts w:ascii="Times New Roman" w:hAnsi="Times New Roman" w:cs="Times New Roman"/>
          <w:sz w:val="22"/>
          <w:szCs w:val="22"/>
        </w:rPr>
        <w:t>Since 2016 the mission has had a strategic objective to support the creation of conditions that will reduce the presence and threat of armed groups through a “proactive and robust posture without prejudice to the basic principles of peacekeeping.”</w:t>
      </w:r>
      <w:bookmarkStart w:id="23" w:name="_Ref525742074"/>
      <w:r w:rsidR="00AA7D7E" w:rsidRPr="007C271A">
        <w:rPr>
          <w:rFonts w:ascii="Times New Roman" w:hAnsi="Times New Roman" w:cs="Times New Roman"/>
          <w:sz w:val="22"/>
          <w:szCs w:val="22"/>
          <w:vertAlign w:val="superscript"/>
        </w:rPr>
        <w:footnoteReference w:id="100"/>
      </w:r>
      <w:bookmarkEnd w:id="23"/>
      <w:r w:rsidR="00AA7D7E" w:rsidRPr="007C271A">
        <w:rPr>
          <w:rFonts w:ascii="Times New Roman" w:hAnsi="Times New Roman" w:cs="Times New Roman"/>
          <w:sz w:val="22"/>
          <w:szCs w:val="22"/>
        </w:rPr>
        <w:t xml:space="preserve"> The use of robust force </w:t>
      </w:r>
      <w:r w:rsidR="00451E03" w:rsidRPr="007C271A">
        <w:rPr>
          <w:rFonts w:ascii="Times New Roman" w:hAnsi="Times New Roman" w:cs="Times New Roman"/>
          <w:sz w:val="22"/>
          <w:szCs w:val="22"/>
        </w:rPr>
        <w:t xml:space="preserve">is intended to </w:t>
      </w:r>
      <w:r w:rsidR="00AA7D7E" w:rsidRPr="007C271A">
        <w:rPr>
          <w:rFonts w:ascii="Times New Roman" w:hAnsi="Times New Roman" w:cs="Times New Roman"/>
          <w:sz w:val="22"/>
          <w:szCs w:val="22"/>
        </w:rPr>
        <w:t>provide for the restoration of state authorities and provision of basic services.</w:t>
      </w:r>
      <w:bookmarkStart w:id="24" w:name="_Ref525742211"/>
      <w:r w:rsidR="00AA7D7E" w:rsidRPr="007C271A">
        <w:rPr>
          <w:rStyle w:val="FootnoteReference"/>
          <w:rFonts w:cs="Times New Roman"/>
          <w:szCs w:val="22"/>
        </w:rPr>
        <w:footnoteReference w:id="101"/>
      </w:r>
      <w:bookmarkEnd w:id="24"/>
      <w:r w:rsidR="00AA7D7E" w:rsidRPr="007C271A">
        <w:rPr>
          <w:rFonts w:ascii="Times New Roman" w:hAnsi="Times New Roman" w:cs="Times New Roman"/>
          <w:sz w:val="22"/>
          <w:szCs w:val="22"/>
        </w:rPr>
        <w:t xml:space="preserve"> Interestingly, the UN Independent Expert on the situation of human rights in the Central African Republic, Marie-</w:t>
      </w:r>
      <w:proofErr w:type="spellStart"/>
      <w:r w:rsidR="00AA7D7E" w:rsidRPr="007C271A">
        <w:rPr>
          <w:rFonts w:ascii="Times New Roman" w:hAnsi="Times New Roman" w:cs="Times New Roman"/>
          <w:sz w:val="22"/>
          <w:szCs w:val="22"/>
        </w:rPr>
        <w:t>Thérèse</w:t>
      </w:r>
      <w:proofErr w:type="spellEnd"/>
      <w:r w:rsidR="00AA7D7E" w:rsidRPr="007C271A">
        <w:rPr>
          <w:rFonts w:ascii="Times New Roman" w:hAnsi="Times New Roman" w:cs="Times New Roman"/>
          <w:sz w:val="22"/>
          <w:szCs w:val="22"/>
        </w:rPr>
        <w:t xml:space="preserve"> Keita </w:t>
      </w:r>
      <w:proofErr w:type="spellStart"/>
      <w:r w:rsidR="00AA7D7E" w:rsidRPr="007C271A">
        <w:rPr>
          <w:rFonts w:ascii="Times New Roman" w:hAnsi="Times New Roman" w:cs="Times New Roman"/>
          <w:sz w:val="22"/>
          <w:szCs w:val="22"/>
        </w:rPr>
        <w:t>Bocoum</w:t>
      </w:r>
      <w:proofErr w:type="spellEnd"/>
      <w:r w:rsidR="00AA7D7E" w:rsidRPr="007C271A">
        <w:rPr>
          <w:rFonts w:ascii="Times New Roman" w:hAnsi="Times New Roman" w:cs="Times New Roman"/>
          <w:sz w:val="22"/>
          <w:szCs w:val="22"/>
        </w:rPr>
        <w:t>, called for a strategy on the ‘neutralisation’ of armed groups in the CAR.</w:t>
      </w:r>
      <w:r w:rsidR="00AA7D7E" w:rsidRPr="007C271A">
        <w:rPr>
          <w:rFonts w:ascii="Times New Roman" w:hAnsi="Times New Roman" w:cs="Times New Roman"/>
          <w:sz w:val="22"/>
          <w:szCs w:val="22"/>
          <w:vertAlign w:val="superscript"/>
        </w:rPr>
        <w:footnoteReference w:id="102"/>
      </w:r>
      <w:r w:rsidR="00AA7D7E" w:rsidRPr="007C271A">
        <w:rPr>
          <w:rFonts w:ascii="Times New Roman" w:hAnsi="Times New Roman" w:cs="Times New Roman"/>
          <w:sz w:val="22"/>
          <w:szCs w:val="22"/>
        </w:rPr>
        <w:t xml:space="preserve"> Thus far, the neutralisation of armed groups has not been included in MINUSCA’s mandate to deno</w:t>
      </w:r>
      <w:r w:rsidR="000D430E" w:rsidRPr="007C271A">
        <w:rPr>
          <w:rFonts w:ascii="Times New Roman" w:hAnsi="Times New Roman" w:cs="Times New Roman"/>
          <w:sz w:val="22"/>
          <w:szCs w:val="22"/>
        </w:rPr>
        <w:t>te peace enforcement action similar to that taken</w:t>
      </w:r>
      <w:r w:rsidR="00451E03" w:rsidRPr="007C271A">
        <w:rPr>
          <w:rFonts w:ascii="Times New Roman" w:hAnsi="Times New Roman" w:cs="Times New Roman"/>
          <w:sz w:val="22"/>
          <w:szCs w:val="22"/>
        </w:rPr>
        <w:t xml:space="preserve"> by the Force Intervention Brigade deployed as part of the UN Stabilization Mission in the Democratic Republic of the Congo</w:t>
      </w:r>
      <w:r w:rsidR="00C832B8">
        <w:rPr>
          <w:rFonts w:ascii="Times New Roman" w:hAnsi="Times New Roman" w:cs="Times New Roman"/>
          <w:sz w:val="22"/>
          <w:szCs w:val="22"/>
        </w:rPr>
        <w:t xml:space="preserve"> (MONUSCO)</w:t>
      </w:r>
      <w:r w:rsidR="00AA7D7E" w:rsidRPr="007C271A">
        <w:rPr>
          <w:rFonts w:ascii="Times New Roman" w:hAnsi="Times New Roman" w:cs="Times New Roman"/>
          <w:sz w:val="22"/>
          <w:szCs w:val="22"/>
        </w:rPr>
        <w:t>.</w:t>
      </w:r>
    </w:p>
    <w:p w14:paraId="53766387" w14:textId="0E61F65D" w:rsidR="00AA7D7E" w:rsidRPr="00C832B8" w:rsidRDefault="00AA7D7E" w:rsidP="008178D3">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lastRenderedPageBreak/>
        <w:t xml:space="preserve">In February 2017 Operation </w:t>
      </w:r>
      <w:proofErr w:type="spellStart"/>
      <w:r w:rsidRPr="007C271A">
        <w:rPr>
          <w:rFonts w:ascii="Times New Roman" w:hAnsi="Times New Roman" w:cs="Times New Roman"/>
          <w:sz w:val="22"/>
          <w:szCs w:val="22"/>
        </w:rPr>
        <w:t>Bekpa</w:t>
      </w:r>
      <w:proofErr w:type="spellEnd"/>
      <w:r w:rsidRPr="007C271A">
        <w:rPr>
          <w:rFonts w:ascii="Times New Roman" w:hAnsi="Times New Roman" w:cs="Times New Roman"/>
          <w:sz w:val="22"/>
          <w:szCs w:val="22"/>
        </w:rPr>
        <w:t xml:space="preserve"> sought to stabilise the town of </w:t>
      </w:r>
      <w:proofErr w:type="spellStart"/>
      <w:r w:rsidRPr="007C271A">
        <w:rPr>
          <w:rFonts w:ascii="Times New Roman" w:hAnsi="Times New Roman" w:cs="Times New Roman"/>
          <w:sz w:val="22"/>
          <w:szCs w:val="22"/>
        </w:rPr>
        <w:t>Bambari</w:t>
      </w:r>
      <w:proofErr w:type="spellEnd"/>
      <w:r w:rsidRPr="007C271A">
        <w:rPr>
          <w:rFonts w:ascii="Times New Roman" w:hAnsi="Times New Roman" w:cs="Times New Roman"/>
          <w:sz w:val="22"/>
          <w:szCs w:val="22"/>
        </w:rPr>
        <w:t xml:space="preserve"> by securing the agreement that the armed groups would leave. MINUSCA used armed helicopters to engage armed groups attempting to re-enter the town.</w:t>
      </w:r>
      <w:bookmarkStart w:id="25" w:name="_Ref525725664"/>
      <w:r w:rsidRPr="007C271A">
        <w:rPr>
          <w:rFonts w:ascii="Times New Roman" w:hAnsi="Times New Roman" w:cs="Times New Roman"/>
          <w:sz w:val="22"/>
          <w:szCs w:val="22"/>
          <w:vertAlign w:val="superscript"/>
        </w:rPr>
        <w:footnoteReference w:id="103"/>
      </w:r>
      <w:bookmarkEnd w:id="25"/>
      <w:r w:rsidRPr="007C271A">
        <w:rPr>
          <w:rFonts w:ascii="Times New Roman" w:hAnsi="Times New Roman" w:cs="Times New Roman"/>
          <w:sz w:val="22"/>
          <w:szCs w:val="22"/>
        </w:rPr>
        <w:t xml:space="preserve"> </w:t>
      </w:r>
      <w:r w:rsidRPr="007C271A">
        <w:rPr>
          <w:rFonts w:ascii="Times New Roman" w:hAnsi="Times New Roman" w:cs="Times New Roman"/>
          <w:color w:val="000000"/>
          <w:sz w:val="22"/>
          <w:szCs w:val="22"/>
        </w:rPr>
        <w:t xml:space="preserve">Lieutenant General </w:t>
      </w:r>
      <w:proofErr w:type="spellStart"/>
      <w:r w:rsidRPr="007C271A">
        <w:rPr>
          <w:rFonts w:ascii="Times New Roman" w:hAnsi="Times New Roman" w:cs="Times New Roman"/>
          <w:color w:val="000000"/>
          <w:sz w:val="22"/>
          <w:szCs w:val="22"/>
        </w:rPr>
        <w:t>Keïta</w:t>
      </w:r>
      <w:proofErr w:type="spellEnd"/>
      <w:r w:rsidRPr="007C271A">
        <w:rPr>
          <w:rFonts w:ascii="Times New Roman" w:hAnsi="Times New Roman" w:cs="Times New Roman"/>
          <w:color w:val="000000"/>
          <w:sz w:val="22"/>
          <w:szCs w:val="22"/>
        </w:rPr>
        <w:t xml:space="preserve"> reported to the Security Council that the “operation succeeded because we bent various administrative rules, challenged some limiting agreements with troops and changed morale where the use of force was involved.”</w:t>
      </w:r>
      <w:r w:rsidRPr="007C271A">
        <w:rPr>
          <w:rStyle w:val="FootnoteReference"/>
          <w:rFonts w:cs="Times New Roman"/>
          <w:color w:val="000000"/>
          <w:szCs w:val="22"/>
        </w:rPr>
        <w:footnoteReference w:id="104"/>
      </w:r>
      <w:r w:rsidRPr="007C271A">
        <w:rPr>
          <w:rFonts w:ascii="Times New Roman" w:hAnsi="Times New Roman" w:cs="Times New Roman"/>
          <w:color w:val="000000"/>
          <w:sz w:val="22"/>
          <w:szCs w:val="22"/>
        </w:rPr>
        <w:t xml:space="preserve"> The robust posture of MINUSCA forces is perceived to be preventative and avert ‘major armed confrontations’ and improve security.</w:t>
      </w:r>
      <w:bookmarkStart w:id="26" w:name="_Ref525725900"/>
      <w:r w:rsidRPr="007C271A">
        <w:rPr>
          <w:rStyle w:val="FootnoteReference"/>
          <w:rFonts w:cs="Times New Roman"/>
          <w:color w:val="000000"/>
          <w:szCs w:val="22"/>
        </w:rPr>
        <w:footnoteReference w:id="105"/>
      </w:r>
      <w:bookmarkEnd w:id="26"/>
      <w:r w:rsidRPr="007C271A">
        <w:rPr>
          <w:rFonts w:ascii="Times New Roman" w:hAnsi="Times New Roman" w:cs="Times New Roman"/>
          <w:color w:val="000000"/>
          <w:sz w:val="22"/>
          <w:szCs w:val="22"/>
        </w:rPr>
        <w:t xml:space="preserve"> </w:t>
      </w:r>
      <w:r w:rsidRPr="007C271A">
        <w:rPr>
          <w:rFonts w:ascii="Times New Roman" w:hAnsi="Times New Roman" w:cs="Times New Roman"/>
          <w:sz w:val="22"/>
          <w:szCs w:val="22"/>
        </w:rPr>
        <w:t xml:space="preserve">For instance, MINUSCA undertook robust operations to ‘expel’ the </w:t>
      </w:r>
      <w:r w:rsidRPr="007C271A">
        <w:rPr>
          <w:rFonts w:ascii="Times New Roman" w:hAnsi="Times New Roman" w:cs="Times New Roman"/>
          <w:color w:val="000000"/>
          <w:sz w:val="22"/>
          <w:szCs w:val="22"/>
        </w:rPr>
        <w:t xml:space="preserve">Front </w:t>
      </w:r>
      <w:proofErr w:type="spellStart"/>
      <w:r w:rsidRPr="007C271A">
        <w:rPr>
          <w:rFonts w:ascii="Times New Roman" w:hAnsi="Times New Roman" w:cs="Times New Roman"/>
          <w:color w:val="000000"/>
          <w:sz w:val="22"/>
          <w:szCs w:val="22"/>
        </w:rPr>
        <w:t>démocratique</w:t>
      </w:r>
      <w:proofErr w:type="spellEnd"/>
      <w:r w:rsidRPr="007C271A">
        <w:rPr>
          <w:rFonts w:ascii="Times New Roman" w:hAnsi="Times New Roman" w:cs="Times New Roman"/>
          <w:color w:val="000000"/>
          <w:sz w:val="22"/>
          <w:szCs w:val="22"/>
        </w:rPr>
        <w:t xml:space="preserve"> group from roads between </w:t>
      </w:r>
      <w:proofErr w:type="spellStart"/>
      <w:r w:rsidRPr="007C271A">
        <w:rPr>
          <w:rFonts w:ascii="Times New Roman" w:hAnsi="Times New Roman" w:cs="Times New Roman"/>
          <w:color w:val="000000"/>
          <w:sz w:val="22"/>
          <w:szCs w:val="22"/>
        </w:rPr>
        <w:t>Baboua</w:t>
      </w:r>
      <w:proofErr w:type="spellEnd"/>
      <w:r w:rsidRPr="007C271A">
        <w:rPr>
          <w:rFonts w:ascii="Times New Roman" w:hAnsi="Times New Roman" w:cs="Times New Roman"/>
          <w:color w:val="000000"/>
          <w:sz w:val="22"/>
          <w:szCs w:val="22"/>
        </w:rPr>
        <w:t xml:space="preserve"> and </w:t>
      </w:r>
      <w:proofErr w:type="spellStart"/>
      <w:r w:rsidRPr="007C271A">
        <w:rPr>
          <w:rFonts w:ascii="Times New Roman" w:hAnsi="Times New Roman" w:cs="Times New Roman"/>
          <w:color w:val="000000"/>
          <w:sz w:val="22"/>
          <w:szCs w:val="22"/>
        </w:rPr>
        <w:t>Beloko</w:t>
      </w:r>
      <w:proofErr w:type="spellEnd"/>
      <w:r w:rsidRPr="007C271A">
        <w:rPr>
          <w:rFonts w:ascii="Times New Roman" w:hAnsi="Times New Roman" w:cs="Times New Roman"/>
          <w:color w:val="000000"/>
          <w:sz w:val="22"/>
          <w:szCs w:val="22"/>
        </w:rPr>
        <w:t>.</w:t>
      </w:r>
      <w:r w:rsidRPr="007C271A">
        <w:rPr>
          <w:rStyle w:val="FootnoteReference"/>
          <w:rFonts w:cs="Times New Roman"/>
          <w:color w:val="000000"/>
          <w:szCs w:val="22"/>
        </w:rPr>
        <w:footnoteReference w:id="106"/>
      </w:r>
      <w:r w:rsidRPr="007C271A">
        <w:rPr>
          <w:rFonts w:ascii="Times New Roman" w:hAnsi="Times New Roman" w:cs="Times New Roman"/>
          <w:color w:val="000000"/>
          <w:sz w:val="22"/>
          <w:szCs w:val="22"/>
        </w:rPr>
        <w:t xml:space="preserve"> </w:t>
      </w:r>
      <w:r w:rsidRPr="007C271A">
        <w:rPr>
          <w:rFonts w:ascii="Times New Roman" w:hAnsi="Times New Roman" w:cs="Times New Roman"/>
          <w:sz w:val="22"/>
          <w:szCs w:val="22"/>
        </w:rPr>
        <w:t xml:space="preserve">More recently, </w:t>
      </w:r>
      <w:r w:rsidR="00451E03" w:rsidRPr="007C271A">
        <w:rPr>
          <w:rFonts w:ascii="Times New Roman" w:hAnsi="Times New Roman" w:cs="Times New Roman"/>
          <w:sz w:val="22"/>
          <w:szCs w:val="22"/>
        </w:rPr>
        <w:t>the</w:t>
      </w:r>
      <w:r w:rsidR="005025C7" w:rsidRPr="007C271A">
        <w:rPr>
          <w:rFonts w:ascii="Times New Roman" w:hAnsi="Times New Roman" w:cs="Times New Roman"/>
          <w:sz w:val="22"/>
          <w:szCs w:val="22"/>
        </w:rPr>
        <w:t xml:space="preserve"> aforementioned</w:t>
      </w:r>
      <w:r w:rsidR="005D059E" w:rsidRPr="007C271A">
        <w:rPr>
          <w:rFonts w:ascii="Times New Roman" w:hAnsi="Times New Roman" w:cs="Times New Roman"/>
          <w:sz w:val="22"/>
          <w:szCs w:val="22"/>
        </w:rPr>
        <w:t xml:space="preserve"> </w:t>
      </w:r>
      <w:r w:rsidRPr="007C271A">
        <w:rPr>
          <w:rFonts w:ascii="Times New Roman" w:hAnsi="Times New Roman" w:cs="Times New Roman"/>
          <w:sz w:val="22"/>
          <w:szCs w:val="22"/>
        </w:rPr>
        <w:t>‘joint disarmament and arrest operation’</w:t>
      </w:r>
      <w:r w:rsidR="005D059E" w:rsidRPr="007C271A">
        <w:rPr>
          <w:rFonts w:ascii="Times New Roman" w:hAnsi="Times New Roman" w:cs="Times New Roman"/>
          <w:sz w:val="22"/>
          <w:szCs w:val="22"/>
        </w:rPr>
        <w:t xml:space="preserve"> in Bangui’s PK5 neighbourhood, launched</w:t>
      </w:r>
      <w:r w:rsidRPr="007C271A">
        <w:rPr>
          <w:rFonts w:ascii="Times New Roman" w:hAnsi="Times New Roman" w:cs="Times New Roman"/>
          <w:sz w:val="22"/>
          <w:szCs w:val="22"/>
        </w:rPr>
        <w:t xml:space="preserve"> alongside FACA </w:t>
      </w:r>
      <w:r w:rsidR="002B5DC6" w:rsidRPr="007C271A">
        <w:rPr>
          <w:rFonts w:ascii="Times New Roman" w:hAnsi="Times New Roman" w:cs="Times New Roman"/>
          <w:sz w:val="22"/>
          <w:szCs w:val="22"/>
        </w:rPr>
        <w:t xml:space="preserve">resulted </w:t>
      </w:r>
      <w:r w:rsidRPr="007C271A">
        <w:rPr>
          <w:rFonts w:ascii="Times New Roman" w:hAnsi="Times New Roman" w:cs="Times New Roman"/>
          <w:sz w:val="22"/>
          <w:szCs w:val="22"/>
        </w:rPr>
        <w:t xml:space="preserve">in armed raids which led to exchanges of fire and the death of </w:t>
      </w:r>
      <w:r w:rsidR="00432A1D" w:rsidRPr="007C271A">
        <w:rPr>
          <w:rFonts w:ascii="Times New Roman" w:hAnsi="Times New Roman" w:cs="Times New Roman"/>
          <w:sz w:val="22"/>
          <w:szCs w:val="22"/>
        </w:rPr>
        <w:t xml:space="preserve">a </w:t>
      </w:r>
      <w:r w:rsidRPr="007C271A">
        <w:rPr>
          <w:rFonts w:ascii="Times New Roman" w:hAnsi="Times New Roman" w:cs="Times New Roman"/>
          <w:sz w:val="22"/>
          <w:szCs w:val="22"/>
        </w:rPr>
        <w:t>peacekeeper.</w:t>
      </w:r>
      <w:r w:rsidRPr="007C271A">
        <w:rPr>
          <w:rFonts w:ascii="Times New Roman" w:hAnsi="Times New Roman" w:cs="Times New Roman"/>
          <w:sz w:val="22"/>
          <w:szCs w:val="22"/>
          <w:vertAlign w:val="superscript"/>
        </w:rPr>
        <w:footnoteReference w:id="107"/>
      </w:r>
      <w:r w:rsidRPr="007C271A">
        <w:rPr>
          <w:rFonts w:ascii="Times New Roman" w:hAnsi="Times New Roman" w:cs="Times New Roman"/>
          <w:sz w:val="22"/>
          <w:szCs w:val="22"/>
        </w:rPr>
        <w:t xml:space="preserve"> An operation that includes armed raids to stop the activities of criminal gangs is an example of an action that supports the extension of state authority and toes the fine line between a ‘robust posture’ and </w:t>
      </w:r>
      <w:r w:rsidR="00432A1D" w:rsidRPr="007C271A">
        <w:rPr>
          <w:rFonts w:ascii="Times New Roman" w:hAnsi="Times New Roman" w:cs="Times New Roman"/>
          <w:sz w:val="22"/>
          <w:szCs w:val="22"/>
        </w:rPr>
        <w:t xml:space="preserve">taking the initiative in </w:t>
      </w:r>
      <w:r w:rsidRPr="007C271A">
        <w:rPr>
          <w:rFonts w:ascii="Times New Roman" w:hAnsi="Times New Roman" w:cs="Times New Roman"/>
          <w:sz w:val="22"/>
          <w:szCs w:val="22"/>
        </w:rPr>
        <w:t>enforcement activity.</w:t>
      </w:r>
      <w:r w:rsidR="00B550D1" w:rsidRPr="007C271A">
        <w:rPr>
          <w:rStyle w:val="FootnoteReference"/>
          <w:rFonts w:cs="Times New Roman"/>
          <w:szCs w:val="22"/>
        </w:rPr>
        <w:footnoteReference w:id="108"/>
      </w:r>
      <w:r w:rsidR="008178D3">
        <w:rPr>
          <w:rFonts w:ascii="Times New Roman" w:hAnsi="Times New Roman" w:cs="Times New Roman"/>
          <w:sz w:val="22"/>
          <w:szCs w:val="22"/>
        </w:rPr>
        <w:t xml:space="preserve"> </w:t>
      </w:r>
      <w:r w:rsidR="008178D3" w:rsidRPr="00C832B8">
        <w:rPr>
          <w:rFonts w:ascii="Times New Roman" w:hAnsi="Times New Roman" w:cs="Times New Roman"/>
          <w:sz w:val="22"/>
          <w:szCs w:val="22"/>
        </w:rPr>
        <w:t xml:space="preserve">In 2019 it was reported that violence between FACA and the Union pour la </w:t>
      </w:r>
      <w:proofErr w:type="spellStart"/>
      <w:r w:rsidR="008178D3" w:rsidRPr="00C832B8">
        <w:rPr>
          <w:rFonts w:ascii="Times New Roman" w:hAnsi="Times New Roman" w:cs="Times New Roman"/>
          <w:sz w:val="22"/>
          <w:szCs w:val="22"/>
        </w:rPr>
        <w:t>paix</w:t>
      </w:r>
      <w:proofErr w:type="spellEnd"/>
      <w:r w:rsidR="008178D3" w:rsidRPr="00C832B8">
        <w:rPr>
          <w:rFonts w:ascii="Times New Roman" w:hAnsi="Times New Roman" w:cs="Times New Roman"/>
          <w:sz w:val="22"/>
          <w:szCs w:val="22"/>
        </w:rPr>
        <w:t xml:space="preserve"> </w:t>
      </w:r>
      <w:proofErr w:type="spellStart"/>
      <w:r w:rsidR="008178D3" w:rsidRPr="00C832B8">
        <w:rPr>
          <w:rFonts w:ascii="Times New Roman" w:hAnsi="Times New Roman" w:cs="Times New Roman"/>
          <w:sz w:val="22"/>
          <w:szCs w:val="22"/>
        </w:rPr>
        <w:t>en</w:t>
      </w:r>
      <w:proofErr w:type="spellEnd"/>
      <w:r w:rsidR="008178D3" w:rsidRPr="00C832B8">
        <w:rPr>
          <w:rFonts w:ascii="Times New Roman" w:hAnsi="Times New Roman" w:cs="Times New Roman"/>
          <w:sz w:val="22"/>
          <w:szCs w:val="22"/>
        </w:rPr>
        <w:t xml:space="preserve"> </w:t>
      </w:r>
      <w:proofErr w:type="spellStart"/>
      <w:r w:rsidR="008178D3" w:rsidRPr="00C832B8">
        <w:rPr>
          <w:rFonts w:ascii="Times New Roman" w:hAnsi="Times New Roman" w:cs="Times New Roman"/>
          <w:sz w:val="22"/>
          <w:szCs w:val="22"/>
        </w:rPr>
        <w:t>Centrafrique</w:t>
      </w:r>
      <w:proofErr w:type="spellEnd"/>
      <w:r w:rsidR="008178D3" w:rsidRPr="00C832B8">
        <w:rPr>
          <w:rFonts w:ascii="Times New Roman" w:hAnsi="Times New Roman" w:cs="Times New Roman"/>
          <w:sz w:val="22"/>
          <w:szCs w:val="22"/>
        </w:rPr>
        <w:t xml:space="preserve"> ‘prompted’ MINUSCA to launch a robust operation to protect civilians that involved MINUSCA seizing and dismantling bases of the armed group.</w:t>
      </w:r>
      <w:r w:rsidR="008178D3" w:rsidRPr="00C832B8">
        <w:rPr>
          <w:rStyle w:val="FootnoteReference"/>
          <w:rFonts w:cs="Times New Roman"/>
          <w:szCs w:val="22"/>
        </w:rPr>
        <w:footnoteReference w:id="109"/>
      </w:r>
    </w:p>
    <w:p w14:paraId="7FD5225B" w14:textId="6D07D92D" w:rsidR="00AA7D7E" w:rsidRPr="007C271A" w:rsidRDefault="004D704A" w:rsidP="007C5FCC">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Under the analytical framework</w:t>
      </w:r>
      <w:r w:rsidR="007C5FCC" w:rsidRPr="007C271A">
        <w:rPr>
          <w:rFonts w:ascii="Times New Roman" w:hAnsi="Times New Roman" w:cs="Times New Roman"/>
          <w:sz w:val="22"/>
          <w:szCs w:val="22"/>
        </w:rPr>
        <w:t xml:space="preserve">, protection means upholding rights and freedoms, taking preventive not reactive steps, and identifying gaps in protection. </w:t>
      </w:r>
      <w:r w:rsidR="001F3E51" w:rsidRPr="007C271A">
        <w:rPr>
          <w:rFonts w:ascii="Times New Roman" w:hAnsi="Times New Roman" w:cs="Times New Roman"/>
          <w:sz w:val="22"/>
          <w:szCs w:val="22"/>
        </w:rPr>
        <w:t>The UN consistently attempts to create a protective environment under its protection of civilian strategies where a robust posture</w:t>
      </w:r>
      <w:r w:rsidR="007C5FCC" w:rsidRPr="007C271A">
        <w:rPr>
          <w:rFonts w:ascii="Times New Roman" w:hAnsi="Times New Roman" w:cs="Times New Roman"/>
          <w:sz w:val="22"/>
          <w:szCs w:val="22"/>
        </w:rPr>
        <w:t xml:space="preserve"> </w:t>
      </w:r>
      <w:r w:rsidR="001F3E51" w:rsidRPr="007C271A">
        <w:rPr>
          <w:rFonts w:ascii="Times New Roman" w:hAnsi="Times New Roman" w:cs="Times New Roman"/>
          <w:sz w:val="22"/>
          <w:szCs w:val="22"/>
        </w:rPr>
        <w:t xml:space="preserve">is used to deter violence against civilians. To be in line with human security this must mean creating a protective environment which </w:t>
      </w:r>
      <w:r w:rsidR="001F3E51" w:rsidRPr="007C271A">
        <w:rPr>
          <w:rFonts w:ascii="Times New Roman" w:hAnsi="Times New Roman" w:cs="Times New Roman"/>
          <w:i/>
          <w:sz w:val="22"/>
          <w:szCs w:val="22"/>
        </w:rPr>
        <w:t>prevents</w:t>
      </w:r>
      <w:r w:rsidR="001F3E51" w:rsidRPr="007C271A">
        <w:rPr>
          <w:rFonts w:ascii="Times New Roman" w:hAnsi="Times New Roman" w:cs="Times New Roman"/>
          <w:sz w:val="22"/>
          <w:szCs w:val="22"/>
        </w:rPr>
        <w:t xml:space="preserve"> violence against civilians and not one that necessitates UN intervention after the fact.</w:t>
      </w:r>
    </w:p>
    <w:p w14:paraId="0002D2AC" w14:textId="634A3309" w:rsidR="00AA7D7E" w:rsidRPr="007C271A" w:rsidRDefault="00AA7D7E" w:rsidP="00F67107">
      <w:pPr>
        <w:spacing w:line="360" w:lineRule="auto"/>
        <w:ind w:firstLine="720"/>
        <w:jc w:val="both"/>
        <w:rPr>
          <w:rFonts w:ascii="Times New Roman" w:hAnsi="Times New Roman" w:cs="Times New Roman"/>
          <w:sz w:val="22"/>
          <w:szCs w:val="22"/>
        </w:rPr>
      </w:pPr>
      <w:r w:rsidRPr="007C271A">
        <w:rPr>
          <w:rFonts w:ascii="Times New Roman" w:hAnsi="Times New Roman" w:cs="Times New Roman"/>
          <w:sz w:val="22"/>
          <w:szCs w:val="22"/>
        </w:rPr>
        <w:t>Recently, MINUSCA has been supporting the redeployment of FACA. Following the desertion of a large number of CAR troops the Transitional Authorities sought assistance with rebuilding its military capabilities. The EU deployed a training mission (EUTM RCA) in 2016 to assist with defence sector reform and has trained almost 3000 FACA soldiers who are now being redeployed to work alongside international forces.</w:t>
      </w:r>
      <w:r w:rsidRPr="007C271A">
        <w:rPr>
          <w:rStyle w:val="FootnoteReference"/>
          <w:rFonts w:cs="Times New Roman"/>
          <w:szCs w:val="22"/>
        </w:rPr>
        <w:footnoteReference w:id="110"/>
      </w:r>
      <w:r w:rsidRPr="007C271A">
        <w:rPr>
          <w:rFonts w:ascii="Times New Roman" w:hAnsi="Times New Roman" w:cs="Times New Roman"/>
          <w:sz w:val="22"/>
          <w:szCs w:val="22"/>
        </w:rPr>
        <w:t xml:space="preserve"> The UN stresses the members of FACA need “clean criminal and human rights records.”</w:t>
      </w:r>
      <w:bookmarkStart w:id="27" w:name="_Ref528926330"/>
      <w:r w:rsidRPr="007C271A">
        <w:rPr>
          <w:rStyle w:val="FootnoteReference"/>
          <w:rFonts w:cs="Times New Roman"/>
          <w:szCs w:val="22"/>
        </w:rPr>
        <w:footnoteReference w:id="111"/>
      </w:r>
      <w:bookmarkEnd w:id="27"/>
      <w:r w:rsidRPr="007C271A">
        <w:rPr>
          <w:rFonts w:ascii="Times New Roman" w:hAnsi="Times New Roman" w:cs="Times New Roman"/>
          <w:sz w:val="22"/>
          <w:szCs w:val="22"/>
        </w:rPr>
        <w:t xml:space="preserve"> However, given the history of abuses by FACA it is paramount that communities trust </w:t>
      </w:r>
      <w:r w:rsidR="00432A1D" w:rsidRPr="007C271A">
        <w:rPr>
          <w:rFonts w:ascii="Times New Roman" w:hAnsi="Times New Roman" w:cs="Times New Roman"/>
          <w:sz w:val="22"/>
          <w:szCs w:val="22"/>
        </w:rPr>
        <w:t>the</w:t>
      </w:r>
      <w:r w:rsidRPr="007C271A">
        <w:rPr>
          <w:rFonts w:ascii="Times New Roman" w:hAnsi="Times New Roman" w:cs="Times New Roman"/>
          <w:sz w:val="22"/>
          <w:szCs w:val="22"/>
        </w:rPr>
        <w:t xml:space="preserve"> forces will not commit further human rights violations.</w:t>
      </w:r>
      <w:r w:rsidRPr="007C271A">
        <w:rPr>
          <w:rStyle w:val="FootnoteReference"/>
          <w:rFonts w:cs="Times New Roman"/>
          <w:szCs w:val="22"/>
        </w:rPr>
        <w:footnoteReference w:id="112"/>
      </w:r>
      <w:r w:rsidRPr="007C271A">
        <w:rPr>
          <w:rFonts w:ascii="Times New Roman" w:hAnsi="Times New Roman" w:cs="Times New Roman"/>
          <w:sz w:val="22"/>
          <w:szCs w:val="22"/>
        </w:rPr>
        <w:t xml:space="preserve"> MINUSCA has carried out joint patrols with FACA and supported their redeployment </w:t>
      </w:r>
      <w:r w:rsidR="00432A1D" w:rsidRPr="007C271A">
        <w:rPr>
          <w:rFonts w:ascii="Times New Roman" w:hAnsi="Times New Roman" w:cs="Times New Roman"/>
          <w:sz w:val="22"/>
          <w:szCs w:val="22"/>
        </w:rPr>
        <w:t xml:space="preserve">to </w:t>
      </w:r>
      <w:r w:rsidRPr="007C271A">
        <w:rPr>
          <w:rFonts w:ascii="Times New Roman" w:hAnsi="Times New Roman" w:cs="Times New Roman"/>
          <w:color w:val="000000"/>
          <w:sz w:val="22"/>
          <w:szCs w:val="22"/>
        </w:rPr>
        <w:t xml:space="preserve">Obo and </w:t>
      </w:r>
      <w:proofErr w:type="spellStart"/>
      <w:r w:rsidRPr="007C271A">
        <w:rPr>
          <w:rFonts w:ascii="Times New Roman" w:hAnsi="Times New Roman" w:cs="Times New Roman"/>
          <w:color w:val="000000"/>
          <w:sz w:val="22"/>
          <w:szCs w:val="22"/>
        </w:rPr>
        <w:t>Paoua</w:t>
      </w:r>
      <w:proofErr w:type="spellEnd"/>
      <w:r w:rsidRPr="007C271A">
        <w:rPr>
          <w:rFonts w:ascii="Times New Roman" w:hAnsi="Times New Roman" w:cs="Times New Roman"/>
          <w:color w:val="000000"/>
          <w:sz w:val="22"/>
          <w:szCs w:val="22"/>
        </w:rPr>
        <w:t xml:space="preserve"> on an ad hoc and </w:t>
      </w:r>
      <w:r w:rsidRPr="007C271A">
        <w:rPr>
          <w:rFonts w:ascii="Times New Roman" w:hAnsi="Times New Roman" w:cs="Times New Roman"/>
          <w:color w:val="000000"/>
          <w:sz w:val="22"/>
          <w:szCs w:val="22"/>
        </w:rPr>
        <w:lastRenderedPageBreak/>
        <w:t>temporary basis.</w:t>
      </w:r>
      <w:r w:rsidRPr="007C271A">
        <w:rPr>
          <w:rStyle w:val="FootnoteReference"/>
          <w:rFonts w:cs="Times New Roman"/>
          <w:szCs w:val="22"/>
        </w:rPr>
        <w:footnoteReference w:id="113"/>
      </w:r>
      <w:r w:rsidRPr="007C271A">
        <w:rPr>
          <w:rFonts w:ascii="Times New Roman" w:hAnsi="Times New Roman" w:cs="Times New Roman"/>
          <w:color w:val="000000"/>
          <w:sz w:val="22"/>
          <w:szCs w:val="22"/>
        </w:rPr>
        <w:t xml:space="preserve"> </w:t>
      </w:r>
      <w:r w:rsidRPr="007C271A">
        <w:rPr>
          <w:rFonts w:ascii="Times New Roman" w:hAnsi="Times New Roman" w:cs="Times New Roman"/>
          <w:sz w:val="22"/>
          <w:szCs w:val="22"/>
        </w:rPr>
        <w:t xml:space="preserve">In the interim, while FACA regains the trust of the CAR people, the UN forces risk damaging their relationship with communities once the UN begins to cooperate more frequently with FACA forces. One way to mitigate the risk of marginalisation is by ensuring the mandate is clearly disseminated to the population and it is explained that, in the case of MINUSCA, the EU-trained FACA soldiers must comply with the HRDDP. </w:t>
      </w:r>
      <w:proofErr w:type="spellStart"/>
      <w:r w:rsidRPr="007C271A">
        <w:rPr>
          <w:rFonts w:ascii="Times New Roman" w:hAnsi="Times New Roman" w:cs="Times New Roman"/>
          <w:sz w:val="22"/>
          <w:szCs w:val="22"/>
        </w:rPr>
        <w:t>Karlsrud</w:t>
      </w:r>
      <w:proofErr w:type="spellEnd"/>
      <w:r w:rsidRPr="007C271A">
        <w:rPr>
          <w:rFonts w:ascii="Times New Roman" w:hAnsi="Times New Roman" w:cs="Times New Roman"/>
          <w:sz w:val="22"/>
          <w:szCs w:val="22"/>
        </w:rPr>
        <w:t xml:space="preserve"> says the emphasis on the HRDDP shows there are “lingering concerns” about close cooperation with other actors.</w:t>
      </w:r>
      <w:r w:rsidRPr="007C271A">
        <w:rPr>
          <w:rFonts w:ascii="Times New Roman" w:hAnsi="Times New Roman" w:cs="Times New Roman"/>
          <w:sz w:val="22"/>
          <w:szCs w:val="22"/>
          <w:vertAlign w:val="superscript"/>
        </w:rPr>
        <w:footnoteReference w:id="114"/>
      </w:r>
      <w:r w:rsidRPr="007C271A">
        <w:rPr>
          <w:rFonts w:ascii="Times New Roman" w:hAnsi="Times New Roman" w:cs="Times New Roman"/>
          <w:sz w:val="22"/>
          <w:szCs w:val="22"/>
        </w:rPr>
        <w:t xml:space="preserve"> </w:t>
      </w:r>
      <w:r w:rsidR="007837B8" w:rsidRPr="007C271A">
        <w:rPr>
          <w:rFonts w:ascii="Times New Roman" w:hAnsi="Times New Roman" w:cs="Times New Roman"/>
          <w:sz w:val="22"/>
          <w:szCs w:val="22"/>
        </w:rPr>
        <w:t>The UN further needs to remain committed to the HRDDP to ensure the forces it works with under a stabilization mandate are not a risk to the reputation of the UN’s blue helmets.</w:t>
      </w:r>
    </w:p>
    <w:p w14:paraId="0758C397" w14:textId="77777777" w:rsidR="00AA7D7E" w:rsidRPr="007C271A" w:rsidRDefault="00AA7D7E" w:rsidP="00AA7D7E">
      <w:pPr>
        <w:spacing w:line="360" w:lineRule="auto"/>
        <w:jc w:val="both"/>
        <w:rPr>
          <w:rFonts w:ascii="Times New Roman" w:hAnsi="Times New Roman" w:cs="Times New Roman"/>
          <w:color w:val="000000"/>
          <w:sz w:val="22"/>
          <w:szCs w:val="22"/>
        </w:rPr>
      </w:pPr>
      <w:r w:rsidRPr="007C271A">
        <w:rPr>
          <w:rFonts w:ascii="Times New Roman" w:hAnsi="Times New Roman" w:cs="Times New Roman"/>
          <w:color w:val="000000"/>
          <w:sz w:val="22"/>
          <w:szCs w:val="22"/>
        </w:rPr>
        <w:tab/>
        <w:t>The second key area of protection that is important for human security is preventing sexual violence and abuse against women and children.</w:t>
      </w:r>
      <w:r w:rsidRPr="007C271A">
        <w:rPr>
          <w:rStyle w:val="FootnoteReference"/>
          <w:rFonts w:cs="Times New Roman"/>
          <w:color w:val="000000"/>
          <w:szCs w:val="22"/>
        </w:rPr>
        <w:footnoteReference w:id="115"/>
      </w:r>
      <w:r w:rsidRPr="007C271A">
        <w:rPr>
          <w:rFonts w:ascii="Times New Roman" w:hAnsi="Times New Roman" w:cs="Times New Roman"/>
          <w:color w:val="000000"/>
          <w:sz w:val="22"/>
          <w:szCs w:val="22"/>
        </w:rPr>
        <w:t xml:space="preserve"> For the first time UN-Women and UNDPKO provided specialized pre-deployment training on preventing sexual violence.</w:t>
      </w:r>
      <w:r w:rsidRPr="007C271A">
        <w:rPr>
          <w:rStyle w:val="FootnoteReference"/>
          <w:rFonts w:cs="Times New Roman"/>
          <w:color w:val="000000"/>
          <w:szCs w:val="22"/>
        </w:rPr>
        <w:footnoteReference w:id="116"/>
      </w:r>
      <w:r w:rsidRPr="007C271A">
        <w:rPr>
          <w:rFonts w:ascii="Times New Roman" w:hAnsi="Times New Roman" w:cs="Times New Roman"/>
          <w:color w:val="000000"/>
          <w:sz w:val="22"/>
          <w:szCs w:val="22"/>
        </w:rPr>
        <w:t xml:space="preserve"> The statistics on sexual violence in the CAR are staggering with an estimated 44.5% of the population suffering from sexual and gender-based violence in 2014.</w:t>
      </w:r>
      <w:r w:rsidRPr="007C271A">
        <w:rPr>
          <w:rStyle w:val="FootnoteReference"/>
          <w:rFonts w:cs="Times New Roman"/>
          <w:color w:val="000000"/>
          <w:szCs w:val="22"/>
        </w:rPr>
        <w:footnoteReference w:id="117"/>
      </w:r>
      <w:r w:rsidRPr="007C271A">
        <w:rPr>
          <w:rFonts w:ascii="Times New Roman" w:hAnsi="Times New Roman" w:cs="Times New Roman"/>
          <w:color w:val="000000"/>
          <w:sz w:val="22"/>
          <w:szCs w:val="22"/>
        </w:rPr>
        <w:t xml:space="preserve"> To prepare for this reality MINUSCA ran around 70 training sessions on sexual violence, launched an evaluation of centres for victims of sexual violence, and supported the Government in developing a strategy for investigating sexual violence.</w:t>
      </w:r>
      <w:r w:rsidRPr="007C271A">
        <w:rPr>
          <w:rStyle w:val="FootnoteReference"/>
          <w:rFonts w:cs="Times New Roman"/>
          <w:color w:val="000000"/>
          <w:szCs w:val="22"/>
        </w:rPr>
        <w:footnoteReference w:id="118"/>
      </w:r>
      <w:r w:rsidRPr="007C271A">
        <w:rPr>
          <w:rFonts w:ascii="Times New Roman" w:hAnsi="Times New Roman" w:cs="Times New Roman"/>
          <w:color w:val="000000"/>
          <w:sz w:val="22"/>
          <w:szCs w:val="22"/>
        </w:rPr>
        <w:t xml:space="preserve"> MINUSCA’s work on sexual violence, with the assistance of Women Protection Advisors, are directly tied to the rule of law efforts and ending impunity. MINUSCA has been seeking the prosecution of gender and sexual violence-based cases alongside both preventing future cases and giving support for victims.</w:t>
      </w:r>
      <w:r w:rsidRPr="007C271A">
        <w:rPr>
          <w:rStyle w:val="FootnoteReference"/>
          <w:rFonts w:cs="Times New Roman"/>
          <w:color w:val="000000"/>
          <w:szCs w:val="22"/>
        </w:rPr>
        <w:footnoteReference w:id="119"/>
      </w:r>
    </w:p>
    <w:p w14:paraId="735426AF" w14:textId="77777777" w:rsidR="00AA7D7E" w:rsidRPr="007C271A" w:rsidRDefault="00AA7D7E" w:rsidP="00AA7D7E">
      <w:pPr>
        <w:spacing w:line="360" w:lineRule="auto"/>
        <w:jc w:val="both"/>
        <w:rPr>
          <w:rFonts w:ascii="Times New Roman" w:hAnsi="Times New Roman" w:cs="Times New Roman"/>
          <w:color w:val="000000"/>
          <w:sz w:val="22"/>
          <w:szCs w:val="22"/>
        </w:rPr>
      </w:pPr>
      <w:r w:rsidRPr="007C271A">
        <w:rPr>
          <w:rFonts w:ascii="Times New Roman" w:hAnsi="Times New Roman" w:cs="Times New Roman"/>
          <w:color w:val="000000"/>
          <w:sz w:val="22"/>
          <w:szCs w:val="22"/>
        </w:rPr>
        <w:tab/>
        <w:t>However, gender and sexual based violence cannot be discussed without acknowledging that MINUSCA and other international forces have been responsible for various instances of sexual abuse. At first the UN was slow to respond to the allegations against its peacekeepers leading to an External Independent Panel to review the allegations.</w:t>
      </w:r>
      <w:r w:rsidRPr="007C271A">
        <w:rPr>
          <w:rStyle w:val="FootnoteReference"/>
          <w:rFonts w:cs="Times New Roman"/>
          <w:color w:val="000000"/>
          <w:szCs w:val="22"/>
        </w:rPr>
        <w:footnoteReference w:id="120"/>
      </w:r>
      <w:r w:rsidRPr="007C271A">
        <w:rPr>
          <w:rFonts w:ascii="Times New Roman" w:hAnsi="Times New Roman" w:cs="Times New Roman"/>
          <w:color w:val="000000"/>
          <w:sz w:val="22"/>
          <w:szCs w:val="22"/>
        </w:rPr>
        <w:t xml:space="preserve"> The General Assembly adopted a resolution approving a zero-tolerance policy on sexual exploitation and abuse, but allegations continued against MINUSCA personnel with new reports of abuse throughout 2017.</w:t>
      </w:r>
      <w:r w:rsidRPr="007C271A">
        <w:rPr>
          <w:rStyle w:val="FootnoteReference"/>
          <w:rFonts w:cs="Times New Roman"/>
          <w:color w:val="000000"/>
          <w:szCs w:val="22"/>
        </w:rPr>
        <w:footnoteReference w:id="121"/>
      </w:r>
      <w:r w:rsidRPr="007C271A">
        <w:rPr>
          <w:rFonts w:ascii="Times New Roman" w:hAnsi="Times New Roman" w:cs="Times New Roman"/>
          <w:color w:val="000000"/>
          <w:sz w:val="22"/>
          <w:szCs w:val="22"/>
        </w:rPr>
        <w:t xml:space="preserve"> The MINUSCA mandate was renewed in 2017 to include stronger provisions for the prevention of sexual abuse.</w:t>
      </w:r>
      <w:r w:rsidRPr="007C271A">
        <w:rPr>
          <w:rStyle w:val="FootnoteReference"/>
          <w:rFonts w:cs="Times New Roman"/>
          <w:color w:val="000000"/>
          <w:szCs w:val="22"/>
        </w:rPr>
        <w:footnoteReference w:id="122"/>
      </w:r>
      <w:r w:rsidRPr="007C271A">
        <w:rPr>
          <w:rFonts w:ascii="Times New Roman" w:hAnsi="Times New Roman" w:cs="Times New Roman"/>
          <w:color w:val="000000"/>
          <w:sz w:val="22"/>
          <w:szCs w:val="22"/>
        </w:rPr>
        <w:t xml:space="preserve"> The Security Council stipulates that all personnel will be vetted for sexual misconduct and troop contributing countries should provide pre-deployment awareness training ensure ‘full accountability’ for their personnel.</w:t>
      </w:r>
      <w:r w:rsidRPr="007C271A">
        <w:rPr>
          <w:rStyle w:val="FootnoteReference"/>
          <w:rFonts w:cs="Times New Roman"/>
          <w:color w:val="000000"/>
          <w:szCs w:val="22"/>
        </w:rPr>
        <w:footnoteReference w:id="123"/>
      </w:r>
      <w:r w:rsidRPr="007C271A">
        <w:rPr>
          <w:rFonts w:ascii="Times New Roman" w:hAnsi="Times New Roman" w:cs="Times New Roman"/>
          <w:color w:val="000000"/>
          <w:sz w:val="22"/>
          <w:szCs w:val="22"/>
        </w:rPr>
        <w:t xml:space="preserve"> </w:t>
      </w:r>
    </w:p>
    <w:p w14:paraId="7E5D0366" w14:textId="77777777" w:rsidR="00AA7D7E" w:rsidRPr="007C271A" w:rsidRDefault="00AA7D7E" w:rsidP="00AA7D7E">
      <w:pPr>
        <w:spacing w:line="360" w:lineRule="auto"/>
        <w:jc w:val="both"/>
        <w:rPr>
          <w:rFonts w:ascii="Times New Roman" w:hAnsi="Times New Roman" w:cs="Times New Roman"/>
          <w:color w:val="000000"/>
          <w:sz w:val="22"/>
          <w:szCs w:val="22"/>
        </w:rPr>
      </w:pPr>
    </w:p>
    <w:p w14:paraId="515862A7" w14:textId="2AC84E4A" w:rsidR="00AA7D7E" w:rsidRPr="007C271A" w:rsidRDefault="00AA7D7E" w:rsidP="00C90FC2">
      <w:pPr>
        <w:pStyle w:val="Heading3"/>
        <w:numPr>
          <w:ilvl w:val="1"/>
          <w:numId w:val="1"/>
        </w:num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lastRenderedPageBreak/>
        <w:t>Empowerment</w:t>
      </w:r>
    </w:p>
    <w:p w14:paraId="46CD9196" w14:textId="77777777" w:rsidR="00AA7D7E" w:rsidRPr="007C271A" w:rsidRDefault="00AA7D7E" w:rsidP="00AA7D7E">
      <w:pPr>
        <w:spacing w:line="360" w:lineRule="auto"/>
        <w:jc w:val="both"/>
        <w:rPr>
          <w:rFonts w:ascii="Times New Roman" w:hAnsi="Times New Roman" w:cs="Times New Roman"/>
          <w:sz w:val="22"/>
          <w:szCs w:val="22"/>
        </w:rPr>
      </w:pPr>
    </w:p>
    <w:p w14:paraId="5756F711" w14:textId="5773662F" w:rsidR="00AA7D7E" w:rsidRPr="007C271A"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 xml:space="preserve">During the planning stages it was understood that the crisis affecting the country could not be resolved without dialogue between a broad </w:t>
      </w:r>
      <w:proofErr w:type="gramStart"/>
      <w:r w:rsidRPr="007C271A">
        <w:rPr>
          <w:rFonts w:ascii="Times New Roman" w:hAnsi="Times New Roman" w:cs="Times New Roman"/>
          <w:sz w:val="22"/>
          <w:szCs w:val="22"/>
        </w:rPr>
        <w:t>spectrum</w:t>
      </w:r>
      <w:proofErr w:type="gramEnd"/>
      <w:r w:rsidRPr="007C271A">
        <w:rPr>
          <w:rFonts w:ascii="Times New Roman" w:hAnsi="Times New Roman" w:cs="Times New Roman"/>
          <w:sz w:val="22"/>
          <w:szCs w:val="22"/>
        </w:rPr>
        <w:t xml:space="preserve"> of Central Africans.</w:t>
      </w:r>
      <w:r w:rsidRPr="007C271A">
        <w:rPr>
          <w:rStyle w:val="FootnoteReference"/>
          <w:rFonts w:cs="Times New Roman"/>
          <w:szCs w:val="22"/>
        </w:rPr>
        <w:footnoteReference w:id="124"/>
      </w:r>
      <w:r w:rsidRPr="007C271A">
        <w:rPr>
          <w:rFonts w:ascii="Times New Roman" w:hAnsi="Times New Roman" w:cs="Times New Roman"/>
          <w:sz w:val="22"/>
          <w:szCs w:val="22"/>
        </w:rPr>
        <w:t xml:space="preserve"> MINUSCA has attempted to facilitate this by empowering women to have an active role in an inclusive peace process. In its first mandate, MINUSCA was instructed to facilitate and provide technical assistance to the electoral process ensuring “full and effective participation of women at all levels and at an early stage”.</w:t>
      </w:r>
      <w:r w:rsidRPr="007C271A">
        <w:rPr>
          <w:rStyle w:val="FootnoteReference"/>
          <w:rFonts w:cs="Times New Roman"/>
          <w:szCs w:val="22"/>
        </w:rPr>
        <w:footnoteReference w:id="125"/>
      </w:r>
      <w:r w:rsidRPr="007C271A">
        <w:rPr>
          <w:rFonts w:ascii="Times New Roman" w:hAnsi="Times New Roman" w:cs="Times New Roman"/>
          <w:sz w:val="22"/>
          <w:szCs w:val="22"/>
        </w:rPr>
        <w:t xml:space="preserve"> The mandates also recognise gender as a cross-cutting issue and that the mission will assist the government in making sure women are represented in all spheres and at all levels.</w:t>
      </w:r>
      <w:r w:rsidRPr="007C271A">
        <w:rPr>
          <w:rStyle w:val="FootnoteReference"/>
          <w:rFonts w:cs="Times New Roman"/>
          <w:szCs w:val="22"/>
        </w:rPr>
        <w:footnoteReference w:id="126"/>
      </w:r>
      <w:r w:rsidRPr="007C271A">
        <w:rPr>
          <w:rFonts w:ascii="Times New Roman" w:hAnsi="Times New Roman" w:cs="Times New Roman"/>
          <w:sz w:val="22"/>
          <w:szCs w:val="22"/>
        </w:rPr>
        <w:t xml:space="preserve"> The Executive Director of UN</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Women reported to the Security Council that “</w:t>
      </w:r>
      <w:r w:rsidR="001F3E51" w:rsidRPr="007C271A">
        <w:rPr>
          <w:rFonts w:ascii="Times New Roman" w:hAnsi="Times New Roman" w:cs="Times New Roman"/>
          <w:sz w:val="22"/>
          <w:szCs w:val="22"/>
        </w:rPr>
        <w:t>[e]</w:t>
      </w:r>
      <w:proofErr w:type="spellStart"/>
      <w:r w:rsidRPr="007C271A">
        <w:rPr>
          <w:rFonts w:ascii="Times New Roman" w:hAnsi="Times New Roman" w:cs="Times New Roman"/>
          <w:sz w:val="22"/>
          <w:szCs w:val="22"/>
        </w:rPr>
        <w:t>mpowered</w:t>
      </w:r>
      <w:proofErr w:type="spellEnd"/>
      <w:r w:rsidRPr="007C271A">
        <w:rPr>
          <w:rFonts w:ascii="Times New Roman" w:hAnsi="Times New Roman" w:cs="Times New Roman"/>
          <w:sz w:val="22"/>
          <w:szCs w:val="22"/>
        </w:rPr>
        <w:t xml:space="preserve"> women are the best drivers of growth, the best hope of reconciliation and the best buffer against the radicalization of youth and the repetition of cycles of violence.”</w:t>
      </w:r>
      <w:r w:rsidRPr="007C271A">
        <w:rPr>
          <w:rStyle w:val="FootnoteReference"/>
          <w:rFonts w:cs="Times New Roman"/>
          <w:szCs w:val="22"/>
        </w:rPr>
        <w:footnoteReference w:id="127"/>
      </w:r>
      <w:r w:rsidRPr="007C271A">
        <w:rPr>
          <w:rFonts w:ascii="Times New Roman" w:hAnsi="Times New Roman" w:cs="Times New Roman"/>
          <w:sz w:val="22"/>
          <w:szCs w:val="22"/>
        </w:rPr>
        <w:t xml:space="preserve"> UN</w:t>
      </w:r>
      <w:r w:rsidR="00594830" w:rsidRPr="007C271A">
        <w:rPr>
          <w:rFonts w:ascii="Times New Roman" w:hAnsi="Times New Roman" w:cs="Times New Roman"/>
          <w:sz w:val="22"/>
          <w:szCs w:val="22"/>
        </w:rPr>
        <w:t>-</w:t>
      </w:r>
      <w:r w:rsidRPr="007C271A">
        <w:rPr>
          <w:rFonts w:ascii="Times New Roman" w:hAnsi="Times New Roman" w:cs="Times New Roman"/>
          <w:sz w:val="22"/>
          <w:szCs w:val="22"/>
        </w:rPr>
        <w:t>Women assisted MINUSCA in promoting women’s participation and leadership for local reconciliation, national dialogues and transitional justice.</w:t>
      </w:r>
      <w:r w:rsidRPr="007C271A">
        <w:rPr>
          <w:rStyle w:val="FootnoteReference"/>
          <w:rFonts w:cs="Times New Roman"/>
          <w:szCs w:val="22"/>
        </w:rPr>
        <w:footnoteReference w:id="128"/>
      </w:r>
      <w:r w:rsidRPr="007C271A">
        <w:rPr>
          <w:rFonts w:ascii="Times New Roman" w:hAnsi="Times New Roman" w:cs="Times New Roman"/>
          <w:sz w:val="22"/>
          <w:szCs w:val="22"/>
        </w:rPr>
        <w:t xml:space="preserve"> Women’s participation is key for demanding improvements in the system of protection which caters for women in particular and their specific vulnerabilities. Allowing space for women to use their voices will allow for better identification of how security issues are affecting communities and how the international community can respond.</w:t>
      </w:r>
    </w:p>
    <w:p w14:paraId="3E511D45" w14:textId="0F8C3500" w:rsidR="00AA7D7E" w:rsidRPr="007C271A" w:rsidRDefault="00AA7D7E" w:rsidP="00AA7D7E">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ab/>
        <w:t xml:space="preserve">MINUSCA has specifically advocated for women to play a bigger role in national politics. </w:t>
      </w:r>
      <w:r w:rsidR="004A1E4D" w:rsidRPr="007C271A">
        <w:rPr>
          <w:rFonts w:ascii="Times New Roman" w:hAnsi="Times New Roman" w:cs="Times New Roman"/>
          <w:sz w:val="22"/>
          <w:szCs w:val="22"/>
        </w:rPr>
        <w:t>The mission</w:t>
      </w:r>
      <w:r w:rsidRPr="007C271A">
        <w:rPr>
          <w:rFonts w:ascii="Times New Roman" w:hAnsi="Times New Roman" w:cs="Times New Roman"/>
          <w:sz w:val="22"/>
          <w:szCs w:val="22"/>
        </w:rPr>
        <w:t xml:space="preserve"> pushed for a minimum of 30% representation of women in the national consultation process.</w:t>
      </w:r>
      <w:bookmarkStart w:id="28" w:name="_Ref528926701"/>
      <w:r w:rsidRPr="007C271A">
        <w:rPr>
          <w:rStyle w:val="FootnoteReference"/>
          <w:rFonts w:cs="Times New Roman"/>
          <w:szCs w:val="22"/>
        </w:rPr>
        <w:footnoteReference w:id="129"/>
      </w:r>
      <w:bookmarkEnd w:id="28"/>
      <w:r w:rsidRPr="007C271A">
        <w:rPr>
          <w:rFonts w:ascii="Times New Roman" w:hAnsi="Times New Roman" w:cs="Times New Roman"/>
          <w:sz w:val="22"/>
          <w:szCs w:val="22"/>
        </w:rPr>
        <w:t xml:space="preserve"> There is not, however, a legal quota for </w:t>
      </w:r>
      <w:r w:rsidR="004A1E4D" w:rsidRPr="007C271A">
        <w:rPr>
          <w:rFonts w:ascii="Times New Roman" w:hAnsi="Times New Roman" w:cs="Times New Roman"/>
          <w:sz w:val="22"/>
          <w:szCs w:val="22"/>
        </w:rPr>
        <w:t>female</w:t>
      </w:r>
      <w:r w:rsidRPr="007C271A">
        <w:rPr>
          <w:rFonts w:ascii="Times New Roman" w:hAnsi="Times New Roman" w:cs="Times New Roman"/>
          <w:sz w:val="22"/>
          <w:szCs w:val="22"/>
        </w:rPr>
        <w:t xml:space="preserve"> candidates in elections.</w:t>
      </w:r>
      <w:r w:rsidR="004B032D" w:rsidRPr="007C271A">
        <w:rPr>
          <w:rStyle w:val="FootnoteReference"/>
          <w:rFonts w:cs="Times New Roman"/>
          <w:szCs w:val="22"/>
        </w:rPr>
        <w:footnoteReference w:id="130"/>
      </w:r>
      <w:r w:rsidRPr="007C271A">
        <w:rPr>
          <w:rFonts w:ascii="Times New Roman" w:hAnsi="Times New Roman" w:cs="Times New Roman"/>
          <w:sz w:val="22"/>
          <w:szCs w:val="22"/>
        </w:rPr>
        <w:t xml:space="preserve"> The 2016 elections saw only one woman elected in the first round of voting and five in the second, out of 131 seats, representing just 4.5% of elected candidates.</w:t>
      </w:r>
      <w:r w:rsidRPr="007C271A">
        <w:rPr>
          <w:rStyle w:val="FootnoteReference"/>
          <w:rFonts w:cs="Times New Roman"/>
          <w:szCs w:val="22"/>
        </w:rPr>
        <w:footnoteReference w:id="131"/>
      </w:r>
      <w:r w:rsidRPr="007C271A">
        <w:rPr>
          <w:rFonts w:ascii="Times New Roman" w:hAnsi="Times New Roman" w:cs="Times New Roman"/>
          <w:sz w:val="22"/>
          <w:szCs w:val="22"/>
        </w:rPr>
        <w:t xml:space="preserve"> Furthermore, a large number of women voted but </w:t>
      </w:r>
      <w:r w:rsidR="001624C1" w:rsidRPr="007C271A">
        <w:rPr>
          <w:rFonts w:ascii="Times New Roman" w:hAnsi="Times New Roman" w:cs="Times New Roman"/>
          <w:sz w:val="22"/>
          <w:szCs w:val="22"/>
        </w:rPr>
        <w:t>since the end of the</w:t>
      </w:r>
      <w:r w:rsidRPr="007C271A">
        <w:rPr>
          <w:rFonts w:ascii="Times New Roman" w:hAnsi="Times New Roman" w:cs="Times New Roman"/>
          <w:sz w:val="22"/>
          <w:szCs w:val="22"/>
        </w:rPr>
        <w:t xml:space="preserve"> transitional government</w:t>
      </w:r>
      <w:r w:rsidR="001624C1" w:rsidRPr="007C271A">
        <w:rPr>
          <w:rFonts w:ascii="Times New Roman" w:hAnsi="Times New Roman" w:cs="Times New Roman"/>
          <w:sz w:val="22"/>
          <w:szCs w:val="22"/>
        </w:rPr>
        <w:t>,</w:t>
      </w:r>
      <w:r w:rsidRPr="007C271A">
        <w:rPr>
          <w:rFonts w:ascii="Times New Roman" w:hAnsi="Times New Roman" w:cs="Times New Roman"/>
          <w:sz w:val="22"/>
          <w:szCs w:val="22"/>
        </w:rPr>
        <w:t xml:space="preserve"> where there was a female head of state</w:t>
      </w:r>
      <w:r w:rsidR="001624C1" w:rsidRPr="007C271A">
        <w:rPr>
          <w:rFonts w:ascii="Times New Roman" w:hAnsi="Times New Roman" w:cs="Times New Roman"/>
          <w:sz w:val="22"/>
          <w:szCs w:val="22"/>
        </w:rPr>
        <w:t>,</w:t>
      </w:r>
      <w:r w:rsidRPr="007C271A">
        <w:rPr>
          <w:rFonts w:ascii="Times New Roman" w:hAnsi="Times New Roman" w:cs="Times New Roman"/>
          <w:sz w:val="22"/>
          <w:szCs w:val="22"/>
        </w:rPr>
        <w:t xml:space="preserve"> there has been a “reassertion of the prevailing norms of gender inequality in society into the democratic process”.</w:t>
      </w:r>
      <w:r w:rsidRPr="007C271A">
        <w:rPr>
          <w:rStyle w:val="FootnoteReference"/>
          <w:rFonts w:cs="Times New Roman"/>
          <w:szCs w:val="22"/>
        </w:rPr>
        <w:footnoteReference w:id="132"/>
      </w:r>
      <w:r w:rsidRPr="007C271A">
        <w:rPr>
          <w:rFonts w:ascii="Times New Roman" w:hAnsi="Times New Roman" w:cs="Times New Roman"/>
          <w:sz w:val="22"/>
          <w:szCs w:val="22"/>
        </w:rPr>
        <w:t xml:space="preserve"> Women in the CAR also have limited financial resources for political campaigns and a low literacy rate.</w:t>
      </w:r>
      <w:r w:rsidRPr="007C271A">
        <w:rPr>
          <w:rStyle w:val="FootnoteReference"/>
          <w:rFonts w:cs="Times New Roman"/>
          <w:szCs w:val="22"/>
        </w:rPr>
        <w:footnoteReference w:id="133"/>
      </w:r>
      <w:r w:rsidRPr="007C271A">
        <w:rPr>
          <w:rFonts w:ascii="Times New Roman" w:hAnsi="Times New Roman" w:cs="Times New Roman"/>
          <w:sz w:val="22"/>
          <w:szCs w:val="22"/>
        </w:rPr>
        <w:t xml:space="preserve"> The Security Council does continue to reiterate the need for the participation of women in the peace process and participation in inclusive dialogues for political agreement</w:t>
      </w:r>
      <w:r w:rsidR="00652DEE" w:rsidRPr="007C271A">
        <w:rPr>
          <w:rFonts w:ascii="Times New Roman" w:hAnsi="Times New Roman" w:cs="Times New Roman"/>
          <w:sz w:val="22"/>
          <w:szCs w:val="22"/>
        </w:rPr>
        <w:t xml:space="preserve"> but more work is needed to ensure women are given the resources to have effective participation</w:t>
      </w:r>
      <w:r w:rsidRPr="007C271A">
        <w:rPr>
          <w:rFonts w:ascii="Times New Roman" w:hAnsi="Times New Roman" w:cs="Times New Roman"/>
          <w:sz w:val="22"/>
          <w:szCs w:val="22"/>
        </w:rPr>
        <w:t>.</w:t>
      </w:r>
      <w:r w:rsidRPr="007C271A">
        <w:rPr>
          <w:rStyle w:val="FootnoteReference"/>
          <w:rFonts w:cs="Times New Roman"/>
          <w:szCs w:val="22"/>
        </w:rPr>
        <w:footnoteReference w:id="134"/>
      </w:r>
    </w:p>
    <w:p w14:paraId="48DCAE97" w14:textId="7476467C" w:rsidR="00AA7D7E" w:rsidRPr="00037017" w:rsidRDefault="00AA7D7E" w:rsidP="00AA7D7E">
      <w:pPr>
        <w:spacing w:line="360" w:lineRule="auto"/>
        <w:jc w:val="both"/>
        <w:rPr>
          <w:rFonts w:ascii="Times New Roman" w:hAnsi="Times New Roman" w:cs="Times New Roman"/>
          <w:color w:val="000000"/>
          <w:sz w:val="22"/>
          <w:szCs w:val="22"/>
        </w:rPr>
      </w:pPr>
      <w:r w:rsidRPr="007C271A">
        <w:rPr>
          <w:rFonts w:ascii="Times New Roman" w:hAnsi="Times New Roman" w:cs="Times New Roman"/>
          <w:color w:val="000000"/>
          <w:sz w:val="22"/>
          <w:szCs w:val="22"/>
        </w:rPr>
        <w:lastRenderedPageBreak/>
        <w:tab/>
      </w:r>
      <w:r w:rsidRPr="00037017">
        <w:rPr>
          <w:rFonts w:ascii="Times New Roman" w:hAnsi="Times New Roman" w:cs="Times New Roman"/>
          <w:color w:val="000000"/>
          <w:sz w:val="22"/>
          <w:szCs w:val="22"/>
        </w:rPr>
        <w:t>Since 2016, MINUSCA has worked towards national reconciliation through “an inclusive process that involves men and women of all social, economic, political, religious and ethnic backgrounds, including, those displaced by the crisis”.</w:t>
      </w:r>
      <w:r w:rsidRPr="00037017">
        <w:rPr>
          <w:rStyle w:val="FootnoteReference"/>
          <w:rFonts w:cs="Times New Roman"/>
          <w:color w:val="000000"/>
          <w:szCs w:val="22"/>
        </w:rPr>
        <w:footnoteReference w:id="135"/>
      </w:r>
      <w:r w:rsidRPr="00037017">
        <w:rPr>
          <w:rFonts w:ascii="Times New Roman" w:hAnsi="Times New Roman" w:cs="Times New Roman"/>
          <w:color w:val="000000"/>
          <w:sz w:val="22"/>
          <w:szCs w:val="22"/>
        </w:rPr>
        <w:t xml:space="preserve"> MINUSCA had previously, in 2015, established local peace and reconciliation committees in cooperation with UNDP but from 2017 the committees formed part of the President’s peace infrastructure.</w:t>
      </w:r>
      <w:r w:rsidRPr="00037017">
        <w:rPr>
          <w:rStyle w:val="FootnoteReference"/>
          <w:rFonts w:cs="Times New Roman"/>
          <w:color w:val="000000"/>
          <w:szCs w:val="22"/>
        </w:rPr>
        <w:footnoteReference w:id="136"/>
      </w:r>
      <w:r w:rsidRPr="00037017">
        <w:rPr>
          <w:rFonts w:ascii="Times New Roman" w:hAnsi="Times New Roman" w:cs="Times New Roman"/>
          <w:color w:val="000000"/>
          <w:sz w:val="22"/>
          <w:szCs w:val="22"/>
        </w:rPr>
        <w:t xml:space="preserve"> The committees are elected by the communities and “are expected to solve local conflicts and promote peace through mediation and dialogue.”</w:t>
      </w:r>
      <w:r w:rsidRPr="00037017">
        <w:rPr>
          <w:rStyle w:val="FootnoteReference"/>
          <w:rFonts w:cs="Times New Roman"/>
          <w:color w:val="000000"/>
          <w:szCs w:val="22"/>
        </w:rPr>
        <w:footnoteReference w:id="137"/>
      </w:r>
      <w:r w:rsidRPr="00037017">
        <w:rPr>
          <w:rFonts w:ascii="Times New Roman" w:hAnsi="Times New Roman" w:cs="Times New Roman"/>
          <w:color w:val="000000"/>
          <w:sz w:val="22"/>
          <w:szCs w:val="22"/>
        </w:rPr>
        <w:t xml:space="preserve"> </w:t>
      </w:r>
      <w:r w:rsidR="008178D3" w:rsidRPr="00037017">
        <w:rPr>
          <w:rFonts w:ascii="Times New Roman" w:hAnsi="Times New Roman" w:cs="Times New Roman"/>
          <w:color w:val="000000"/>
          <w:sz w:val="22"/>
          <w:szCs w:val="22"/>
        </w:rPr>
        <w:t>Furthermore the committees “offer agency to women, members of civil society, religious leaders and young people.”</w:t>
      </w:r>
      <w:r w:rsidR="008178D3" w:rsidRPr="00037017">
        <w:rPr>
          <w:rStyle w:val="FootnoteReference"/>
          <w:rFonts w:cs="Times New Roman"/>
          <w:color w:val="000000"/>
          <w:szCs w:val="22"/>
        </w:rPr>
        <w:footnoteReference w:id="138"/>
      </w:r>
      <w:r w:rsidR="008178D3" w:rsidRPr="00037017">
        <w:rPr>
          <w:rFonts w:ascii="Times New Roman" w:hAnsi="Times New Roman" w:cs="Times New Roman"/>
          <w:color w:val="000000"/>
        </w:rPr>
        <w:t xml:space="preserve"> </w:t>
      </w:r>
      <w:r w:rsidRPr="00037017">
        <w:rPr>
          <w:rFonts w:ascii="Times New Roman" w:hAnsi="Times New Roman" w:cs="Times New Roman"/>
          <w:color w:val="000000"/>
          <w:sz w:val="22"/>
          <w:szCs w:val="22"/>
        </w:rPr>
        <w:t>This</w:t>
      </w:r>
      <w:r w:rsidR="00527F5A" w:rsidRPr="00037017">
        <w:rPr>
          <w:rFonts w:ascii="Times New Roman" w:hAnsi="Times New Roman" w:cs="Times New Roman"/>
          <w:color w:val="000000"/>
          <w:sz w:val="22"/>
          <w:szCs w:val="22"/>
        </w:rPr>
        <w:t xml:space="preserve"> is</w:t>
      </w:r>
      <w:r w:rsidRPr="00037017">
        <w:rPr>
          <w:rFonts w:ascii="Times New Roman" w:hAnsi="Times New Roman" w:cs="Times New Roman"/>
          <w:color w:val="000000"/>
          <w:sz w:val="22"/>
          <w:szCs w:val="22"/>
        </w:rPr>
        <w:t xml:space="preserve"> remarkably similar to the human security aim of giving people the ability to act on their own behalf and on the behalf of others.</w:t>
      </w:r>
      <w:r w:rsidRPr="00037017">
        <w:rPr>
          <w:rStyle w:val="FootnoteReference"/>
          <w:rFonts w:cs="Times New Roman"/>
          <w:color w:val="000000"/>
          <w:szCs w:val="22"/>
        </w:rPr>
        <w:footnoteReference w:id="139"/>
      </w:r>
      <w:r w:rsidRPr="00037017">
        <w:rPr>
          <w:rFonts w:ascii="Times New Roman" w:hAnsi="Times New Roman" w:cs="Times New Roman"/>
          <w:color w:val="000000"/>
          <w:sz w:val="22"/>
          <w:szCs w:val="22"/>
        </w:rPr>
        <w:t xml:space="preserve"> Examples of local peace committee activities include community awareness campaigns, reopening of markets, and facilitating dialogue between farmers and herders to resolve differences without the influence of armed groups.</w:t>
      </w:r>
      <w:r w:rsidRPr="00037017">
        <w:rPr>
          <w:rStyle w:val="FootnoteReference"/>
          <w:rFonts w:cs="Times New Roman"/>
          <w:color w:val="000000"/>
          <w:szCs w:val="22"/>
        </w:rPr>
        <w:footnoteReference w:id="140"/>
      </w:r>
      <w:r w:rsidRPr="00037017">
        <w:rPr>
          <w:rFonts w:ascii="Times New Roman" w:hAnsi="Times New Roman" w:cs="Times New Roman"/>
          <w:color w:val="000000"/>
          <w:sz w:val="22"/>
          <w:szCs w:val="22"/>
        </w:rPr>
        <w:t xml:space="preserve"> </w:t>
      </w:r>
      <w:r w:rsidR="008178D3" w:rsidRPr="00037017">
        <w:rPr>
          <w:rFonts w:ascii="Times New Roman" w:hAnsi="Times New Roman" w:cs="Times New Roman"/>
          <w:color w:val="000000"/>
          <w:sz w:val="22"/>
          <w:szCs w:val="22"/>
        </w:rPr>
        <w:t xml:space="preserve">In 2019 the Secretary-General reported that a local committee created following a peace agreement in </w:t>
      </w:r>
      <w:proofErr w:type="spellStart"/>
      <w:r w:rsidR="008178D3" w:rsidRPr="00037017">
        <w:rPr>
          <w:rFonts w:ascii="Times New Roman" w:hAnsi="Times New Roman" w:cs="Times New Roman"/>
          <w:color w:val="000000"/>
          <w:sz w:val="22"/>
          <w:szCs w:val="22"/>
        </w:rPr>
        <w:t>Bangassou</w:t>
      </w:r>
      <w:proofErr w:type="spellEnd"/>
      <w:r w:rsidR="008178D3" w:rsidRPr="00037017">
        <w:rPr>
          <w:rFonts w:ascii="Times New Roman" w:hAnsi="Times New Roman" w:cs="Times New Roman"/>
          <w:color w:val="000000"/>
          <w:sz w:val="22"/>
          <w:szCs w:val="22"/>
        </w:rPr>
        <w:t xml:space="preserve"> had been working on providing conditions for the safe return of Muslims who fled in 2017.</w:t>
      </w:r>
      <w:r w:rsidR="008178D3" w:rsidRPr="00037017">
        <w:rPr>
          <w:rStyle w:val="FootnoteReference"/>
          <w:rFonts w:cs="Times New Roman"/>
          <w:color w:val="000000"/>
          <w:szCs w:val="22"/>
        </w:rPr>
        <w:footnoteReference w:id="141"/>
      </w:r>
      <w:r w:rsidR="008178D3" w:rsidRPr="00037017">
        <w:rPr>
          <w:rFonts w:ascii="Times New Roman" w:hAnsi="Times New Roman" w:cs="Times New Roman"/>
          <w:color w:val="000000"/>
          <w:sz w:val="22"/>
          <w:szCs w:val="22"/>
        </w:rPr>
        <w:t xml:space="preserve"> </w:t>
      </w:r>
      <w:r w:rsidRPr="00037017">
        <w:rPr>
          <w:rFonts w:ascii="Times New Roman" w:hAnsi="Times New Roman" w:cs="Times New Roman"/>
          <w:color w:val="000000"/>
          <w:sz w:val="22"/>
          <w:szCs w:val="22"/>
        </w:rPr>
        <w:t xml:space="preserve">By creating </w:t>
      </w:r>
      <w:r w:rsidR="00CD3254">
        <w:rPr>
          <w:rFonts w:ascii="Times New Roman" w:hAnsi="Times New Roman" w:cs="Times New Roman"/>
          <w:color w:val="000000"/>
          <w:sz w:val="22"/>
          <w:szCs w:val="22"/>
        </w:rPr>
        <w:t xml:space="preserve">and supporting </w:t>
      </w:r>
      <w:r w:rsidRPr="00037017">
        <w:rPr>
          <w:rFonts w:ascii="Times New Roman" w:hAnsi="Times New Roman" w:cs="Times New Roman"/>
          <w:color w:val="000000"/>
          <w:sz w:val="22"/>
          <w:szCs w:val="22"/>
        </w:rPr>
        <w:t>local peace and reconciliation committees the mission is preparing for when it will no longer</w:t>
      </w:r>
      <w:r w:rsidR="001C10C8" w:rsidRPr="00037017">
        <w:rPr>
          <w:rFonts w:ascii="Times New Roman" w:hAnsi="Times New Roman" w:cs="Times New Roman"/>
          <w:color w:val="000000"/>
          <w:sz w:val="22"/>
          <w:szCs w:val="22"/>
        </w:rPr>
        <w:t xml:space="preserve"> be</w:t>
      </w:r>
      <w:r w:rsidRPr="00037017">
        <w:rPr>
          <w:rFonts w:ascii="Times New Roman" w:hAnsi="Times New Roman" w:cs="Times New Roman"/>
          <w:color w:val="000000"/>
          <w:sz w:val="22"/>
          <w:szCs w:val="22"/>
        </w:rPr>
        <w:t xml:space="preserve"> present and communities will need to resolve differences without conflict. Supporting the committees is an example of how MINUSCA aims to strengthen the capacity of individuals and communities to resolve conflicts. Having the capacity to mitigate the impact of insecurities and make better choices is a core aspect of empowerment </w:t>
      </w:r>
      <w:r w:rsidR="00B46CB2">
        <w:rPr>
          <w:rFonts w:ascii="Times New Roman" w:hAnsi="Times New Roman" w:cs="Times New Roman"/>
          <w:color w:val="000000"/>
          <w:sz w:val="22"/>
          <w:szCs w:val="22"/>
        </w:rPr>
        <w:t>that</w:t>
      </w:r>
      <w:r w:rsidRPr="00037017">
        <w:rPr>
          <w:rFonts w:ascii="Times New Roman" w:hAnsi="Times New Roman" w:cs="Times New Roman"/>
          <w:color w:val="000000"/>
          <w:sz w:val="22"/>
          <w:szCs w:val="22"/>
        </w:rPr>
        <w:t xml:space="preserve"> is being operationalised by MINUSCA. </w:t>
      </w:r>
    </w:p>
    <w:p w14:paraId="097880E0" w14:textId="34873513" w:rsidR="00512F46" w:rsidRPr="007C271A" w:rsidRDefault="00512F46" w:rsidP="00AA7D7E">
      <w:pPr>
        <w:spacing w:line="360" w:lineRule="auto"/>
        <w:jc w:val="both"/>
        <w:rPr>
          <w:rFonts w:ascii="Times New Roman" w:hAnsi="Times New Roman" w:cs="Times New Roman"/>
          <w:color w:val="000000"/>
          <w:sz w:val="22"/>
          <w:szCs w:val="22"/>
        </w:rPr>
      </w:pPr>
    </w:p>
    <w:p w14:paraId="5CE3909A" w14:textId="1301A00C" w:rsidR="00512F46" w:rsidRPr="007C271A" w:rsidRDefault="00BA608C" w:rsidP="001F3E51">
      <w:pPr>
        <w:pStyle w:val="Heading2"/>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Peacebuilding at the local level</w:t>
      </w:r>
      <w:r w:rsidR="006D4EC9" w:rsidRPr="007C271A">
        <w:rPr>
          <w:rFonts w:ascii="Times New Roman" w:hAnsi="Times New Roman" w:cs="Times New Roman"/>
          <w:sz w:val="22"/>
          <w:szCs w:val="22"/>
        </w:rPr>
        <w:t xml:space="preserve"> and the threat </w:t>
      </w:r>
      <w:r w:rsidR="00F95060" w:rsidRPr="007C271A">
        <w:rPr>
          <w:rFonts w:ascii="Times New Roman" w:hAnsi="Times New Roman" w:cs="Times New Roman"/>
          <w:sz w:val="22"/>
          <w:szCs w:val="22"/>
        </w:rPr>
        <w:t>posed by</w:t>
      </w:r>
      <w:r w:rsidR="006D4EC9" w:rsidRPr="007C271A">
        <w:rPr>
          <w:rFonts w:ascii="Times New Roman" w:hAnsi="Times New Roman" w:cs="Times New Roman"/>
          <w:sz w:val="22"/>
          <w:szCs w:val="22"/>
        </w:rPr>
        <w:t xml:space="preserve"> militarisation</w:t>
      </w:r>
    </w:p>
    <w:p w14:paraId="46FC6909" w14:textId="77777777" w:rsidR="001F3E51" w:rsidRPr="00BB65C8" w:rsidRDefault="001F3E51" w:rsidP="001F3E51">
      <w:pPr>
        <w:spacing w:line="360" w:lineRule="auto"/>
        <w:jc w:val="both"/>
        <w:rPr>
          <w:rFonts w:ascii="Times New Roman" w:hAnsi="Times New Roman" w:cs="Times New Roman"/>
          <w:sz w:val="22"/>
          <w:szCs w:val="22"/>
          <w:lang w:eastAsia="en-GB"/>
        </w:rPr>
      </w:pPr>
    </w:p>
    <w:p w14:paraId="4581A97D" w14:textId="33DBE1A6" w:rsidR="00BA608C" w:rsidRPr="00BF3F80" w:rsidRDefault="00BA608C" w:rsidP="003271C1">
      <w:pPr>
        <w:spacing w:line="360" w:lineRule="auto"/>
        <w:jc w:val="both"/>
        <w:rPr>
          <w:rFonts w:ascii="Times New Roman" w:hAnsi="Times New Roman" w:cs="Times New Roman"/>
          <w:sz w:val="22"/>
          <w:szCs w:val="22"/>
          <w:lang w:eastAsia="en-GB"/>
        </w:rPr>
      </w:pPr>
      <w:r w:rsidRPr="00BF3F80">
        <w:rPr>
          <w:rFonts w:ascii="Times New Roman" w:hAnsi="Times New Roman" w:cs="Times New Roman"/>
          <w:sz w:val="22"/>
          <w:szCs w:val="22"/>
          <w:lang w:eastAsia="en-GB"/>
        </w:rPr>
        <w:t xml:space="preserve">Two aspects of </w:t>
      </w:r>
      <w:r w:rsidR="007D065D" w:rsidRPr="00BF3F80">
        <w:rPr>
          <w:rFonts w:ascii="Times New Roman" w:hAnsi="Times New Roman" w:cs="Times New Roman"/>
          <w:sz w:val="22"/>
          <w:szCs w:val="22"/>
          <w:lang w:eastAsia="en-GB"/>
        </w:rPr>
        <w:t xml:space="preserve">MINUSCA’s stabilization mandate </w:t>
      </w:r>
      <w:r w:rsidRPr="00BF3F80">
        <w:rPr>
          <w:rFonts w:ascii="Times New Roman" w:hAnsi="Times New Roman" w:cs="Times New Roman"/>
          <w:sz w:val="22"/>
          <w:szCs w:val="22"/>
          <w:lang w:eastAsia="en-GB"/>
        </w:rPr>
        <w:t>appear to be a</w:t>
      </w:r>
      <w:r w:rsidR="00CD3254" w:rsidRPr="00BF3F80">
        <w:rPr>
          <w:rFonts w:ascii="Times New Roman" w:hAnsi="Times New Roman" w:cs="Times New Roman"/>
          <w:sz w:val="22"/>
          <w:szCs w:val="22"/>
          <w:lang w:eastAsia="en-GB"/>
        </w:rPr>
        <w:t>t</w:t>
      </w:r>
      <w:r w:rsidRPr="00BF3F80">
        <w:rPr>
          <w:rFonts w:ascii="Times New Roman" w:hAnsi="Times New Roman" w:cs="Times New Roman"/>
          <w:sz w:val="22"/>
          <w:szCs w:val="22"/>
          <w:lang w:eastAsia="en-GB"/>
        </w:rPr>
        <w:t xml:space="preserve"> loggerheads following the above study of the mission. On the one hand, the UN </w:t>
      </w:r>
      <w:r w:rsidR="003B2132" w:rsidRPr="00BF3F80">
        <w:rPr>
          <w:rFonts w:ascii="Times New Roman" w:hAnsi="Times New Roman" w:cs="Times New Roman"/>
          <w:sz w:val="22"/>
          <w:szCs w:val="22"/>
          <w:lang w:eastAsia="en-GB"/>
        </w:rPr>
        <w:t>can be seen to</w:t>
      </w:r>
      <w:r w:rsidRPr="00BF3F80">
        <w:rPr>
          <w:rFonts w:ascii="Times New Roman" w:hAnsi="Times New Roman" w:cs="Times New Roman"/>
          <w:sz w:val="22"/>
          <w:szCs w:val="22"/>
          <w:lang w:eastAsia="en-GB"/>
        </w:rPr>
        <w:t xml:space="preserve"> </w:t>
      </w:r>
      <w:r w:rsidR="003B2132" w:rsidRPr="00BF3F80">
        <w:rPr>
          <w:rFonts w:ascii="Times New Roman" w:hAnsi="Times New Roman" w:cs="Times New Roman"/>
          <w:sz w:val="22"/>
          <w:szCs w:val="22"/>
          <w:lang w:eastAsia="en-GB"/>
        </w:rPr>
        <w:t>pursue</w:t>
      </w:r>
      <w:r w:rsidRPr="00BF3F80">
        <w:rPr>
          <w:rFonts w:ascii="Times New Roman" w:hAnsi="Times New Roman" w:cs="Times New Roman"/>
          <w:sz w:val="22"/>
          <w:szCs w:val="22"/>
          <w:lang w:eastAsia="en-GB"/>
        </w:rPr>
        <w:t xml:space="preserve"> inclusive peace processes as part of their peacebuilding agenda with local engagement as a priority. </w:t>
      </w:r>
      <w:r w:rsidRPr="00BF3F80">
        <w:rPr>
          <w:rFonts w:ascii="Times New Roman" w:hAnsi="Times New Roman" w:cs="Times New Roman"/>
          <w:sz w:val="22"/>
          <w:szCs w:val="22"/>
        </w:rPr>
        <w:t xml:space="preserve">There appears to be an implicit understanding </w:t>
      </w:r>
      <w:r w:rsidR="00A42B0F" w:rsidRPr="00BF3F80">
        <w:rPr>
          <w:rFonts w:ascii="Times New Roman" w:hAnsi="Times New Roman" w:cs="Times New Roman"/>
          <w:sz w:val="22"/>
          <w:szCs w:val="22"/>
        </w:rPr>
        <w:t xml:space="preserve">in </w:t>
      </w:r>
      <w:r w:rsidR="005E080C" w:rsidRPr="00BF3F80">
        <w:rPr>
          <w:rFonts w:ascii="Times New Roman" w:hAnsi="Times New Roman" w:cs="Times New Roman"/>
          <w:sz w:val="22"/>
          <w:szCs w:val="22"/>
        </w:rPr>
        <w:t>the mission that the</w:t>
      </w:r>
      <w:r w:rsidRPr="00BF3F80">
        <w:rPr>
          <w:rFonts w:ascii="Times New Roman" w:hAnsi="Times New Roman" w:cs="Times New Roman"/>
          <w:sz w:val="22"/>
          <w:szCs w:val="22"/>
        </w:rPr>
        <w:t xml:space="preserve"> peace process needs to involve </w:t>
      </w:r>
      <w:r w:rsidR="007D065D" w:rsidRPr="00BF3F80">
        <w:rPr>
          <w:rFonts w:ascii="Times New Roman" w:hAnsi="Times New Roman" w:cs="Times New Roman"/>
          <w:sz w:val="22"/>
          <w:szCs w:val="22"/>
        </w:rPr>
        <w:t xml:space="preserve">some level of </w:t>
      </w:r>
      <w:r w:rsidRPr="00BF3F80">
        <w:rPr>
          <w:rFonts w:ascii="Times New Roman" w:hAnsi="Times New Roman" w:cs="Times New Roman"/>
          <w:sz w:val="22"/>
          <w:szCs w:val="22"/>
        </w:rPr>
        <w:t>bottom-up empowerment to allow individuals to ‘make better choices’ and avoid conflict in the future.</w:t>
      </w:r>
      <w:r w:rsidRPr="00BF3F80">
        <w:rPr>
          <w:rFonts w:ascii="Times New Roman" w:hAnsi="Times New Roman" w:cs="Times New Roman"/>
          <w:sz w:val="22"/>
          <w:szCs w:val="22"/>
          <w:lang w:eastAsia="en-GB"/>
        </w:rPr>
        <w:t xml:space="preserve"> </w:t>
      </w:r>
      <w:r w:rsidR="007D065D" w:rsidRPr="00BF3F80">
        <w:rPr>
          <w:rFonts w:ascii="Times New Roman" w:hAnsi="Times New Roman" w:cs="Times New Roman"/>
          <w:sz w:val="22"/>
          <w:szCs w:val="22"/>
          <w:lang w:eastAsia="en-GB"/>
        </w:rPr>
        <w:t>On the other hand, the mission</w:t>
      </w:r>
      <w:r w:rsidRPr="00BF3F80">
        <w:rPr>
          <w:rFonts w:ascii="Times New Roman" w:hAnsi="Times New Roman" w:cs="Times New Roman"/>
          <w:sz w:val="22"/>
          <w:szCs w:val="22"/>
          <w:lang w:eastAsia="en-GB"/>
        </w:rPr>
        <w:t xml:space="preserve"> is a highly militarised endeavour </w:t>
      </w:r>
      <w:r w:rsidR="003B2132" w:rsidRPr="00BF3F80">
        <w:rPr>
          <w:rFonts w:ascii="Times New Roman" w:hAnsi="Times New Roman" w:cs="Times New Roman"/>
          <w:sz w:val="22"/>
          <w:szCs w:val="22"/>
          <w:lang w:eastAsia="en-GB"/>
        </w:rPr>
        <w:t>with</w:t>
      </w:r>
      <w:r w:rsidR="007D065D" w:rsidRPr="00BF3F80">
        <w:rPr>
          <w:rFonts w:ascii="Times New Roman" w:hAnsi="Times New Roman" w:cs="Times New Roman"/>
          <w:sz w:val="22"/>
          <w:szCs w:val="22"/>
          <w:lang w:eastAsia="en-GB"/>
        </w:rPr>
        <w:t xml:space="preserve"> a robust mandate which includes</w:t>
      </w:r>
      <w:r w:rsidR="003B2132" w:rsidRPr="00BF3F80">
        <w:rPr>
          <w:rFonts w:ascii="Times New Roman" w:hAnsi="Times New Roman" w:cs="Times New Roman"/>
          <w:sz w:val="22"/>
          <w:szCs w:val="22"/>
          <w:lang w:eastAsia="en-GB"/>
        </w:rPr>
        <w:t xml:space="preserve"> cooperation with FACA and the use of ‘robust’ force in pursuit of stability.</w:t>
      </w:r>
    </w:p>
    <w:p w14:paraId="7ACF7CBF" w14:textId="5CA8B47F" w:rsidR="003B2132" w:rsidRPr="003D0BAC" w:rsidRDefault="003B2132" w:rsidP="003B2132">
      <w:pPr>
        <w:spacing w:line="360" w:lineRule="auto"/>
        <w:ind w:firstLine="720"/>
        <w:contextualSpacing/>
        <w:jc w:val="both"/>
        <w:rPr>
          <w:rFonts w:ascii="Times New Roman" w:eastAsiaTheme="majorEastAsia" w:hAnsi="Times New Roman" w:cs="Times New Roman"/>
          <w:bCs/>
          <w:color w:val="000000" w:themeColor="text1"/>
          <w:sz w:val="22"/>
          <w:szCs w:val="22"/>
          <w:lang w:eastAsia="en-GB"/>
        </w:rPr>
      </w:pPr>
      <w:r w:rsidRPr="003D0BAC">
        <w:rPr>
          <w:rFonts w:ascii="Times New Roman" w:eastAsiaTheme="majorEastAsia" w:hAnsi="Times New Roman" w:cs="Times New Roman"/>
          <w:bCs/>
          <w:color w:val="000000" w:themeColor="text1"/>
          <w:sz w:val="22"/>
          <w:szCs w:val="22"/>
          <w:lang w:eastAsia="en-GB"/>
        </w:rPr>
        <w:t xml:space="preserve">The UN has not always sought to involve the local in peacebuilding efforts. Instead there was previously an understanding that liberal peacebuilding from the top would trickle down to peace at the </w:t>
      </w:r>
      <w:r w:rsidRPr="003D0BAC">
        <w:rPr>
          <w:rFonts w:ascii="Times New Roman" w:eastAsiaTheme="majorEastAsia" w:hAnsi="Times New Roman" w:cs="Times New Roman"/>
          <w:bCs/>
          <w:color w:val="000000" w:themeColor="text1"/>
          <w:sz w:val="22"/>
          <w:szCs w:val="22"/>
          <w:lang w:eastAsia="en-GB"/>
        </w:rPr>
        <w:lastRenderedPageBreak/>
        <w:t>local level. For instance, in the DRC in the early to mid-2000s peacebuilding was focused on the peace process and elections at the national level.</w:t>
      </w:r>
      <w:bookmarkStart w:id="29" w:name="_Ref12544176"/>
      <w:r w:rsidRPr="003D0BAC">
        <w:rPr>
          <w:rStyle w:val="FootnoteReference"/>
          <w:rFonts w:eastAsiaTheme="majorEastAsia" w:cs="Times New Roman"/>
          <w:bCs/>
          <w:color w:val="000000" w:themeColor="text1"/>
          <w:szCs w:val="22"/>
          <w:lang w:eastAsia="en-GB"/>
        </w:rPr>
        <w:footnoteReference w:id="142"/>
      </w:r>
      <w:bookmarkEnd w:id="29"/>
      <w:r w:rsidRPr="003D0BAC">
        <w:rPr>
          <w:rFonts w:ascii="Times New Roman" w:eastAsiaTheme="majorEastAsia" w:hAnsi="Times New Roman" w:cs="Times New Roman"/>
          <w:bCs/>
          <w:color w:val="000000" w:themeColor="text1"/>
          <w:sz w:val="22"/>
          <w:szCs w:val="22"/>
          <w:lang w:eastAsia="en-GB"/>
        </w:rPr>
        <w:t xml:space="preserve"> However, top-down approaches have been described as “inherently hegemonic and out-of-touch with local realities” and studies have shown that success at the national level does not necessarily mean there will be </w:t>
      </w:r>
      <w:r w:rsidR="0089439F">
        <w:rPr>
          <w:rFonts w:ascii="Times New Roman" w:eastAsiaTheme="majorEastAsia" w:hAnsi="Times New Roman" w:cs="Times New Roman"/>
          <w:bCs/>
          <w:color w:val="000000" w:themeColor="text1"/>
          <w:sz w:val="22"/>
          <w:szCs w:val="22"/>
          <w:lang w:eastAsia="en-GB"/>
        </w:rPr>
        <w:t xml:space="preserve">equal </w:t>
      </w:r>
      <w:r w:rsidRPr="003D0BAC">
        <w:rPr>
          <w:rFonts w:ascii="Times New Roman" w:eastAsiaTheme="majorEastAsia" w:hAnsi="Times New Roman" w:cs="Times New Roman"/>
          <w:bCs/>
          <w:color w:val="000000" w:themeColor="text1"/>
          <w:sz w:val="22"/>
          <w:szCs w:val="22"/>
          <w:lang w:eastAsia="en-GB"/>
        </w:rPr>
        <w:t>success at the local level.</w:t>
      </w:r>
      <w:bookmarkStart w:id="30" w:name="_Ref12544164"/>
      <w:r w:rsidRPr="003D0BAC">
        <w:rPr>
          <w:rStyle w:val="FootnoteReference"/>
          <w:rFonts w:eastAsiaTheme="majorEastAsia" w:cs="Times New Roman"/>
          <w:bCs/>
          <w:color w:val="000000" w:themeColor="text1"/>
          <w:szCs w:val="22"/>
          <w:lang w:eastAsia="en-GB"/>
        </w:rPr>
        <w:footnoteReference w:id="143"/>
      </w:r>
      <w:bookmarkEnd w:id="30"/>
      <w:r w:rsidRPr="003D0BAC">
        <w:rPr>
          <w:rFonts w:ascii="Times New Roman" w:eastAsiaTheme="majorEastAsia" w:hAnsi="Times New Roman" w:cs="Times New Roman"/>
          <w:bCs/>
          <w:color w:val="000000" w:themeColor="text1"/>
          <w:sz w:val="22"/>
          <w:szCs w:val="22"/>
          <w:lang w:eastAsia="en-GB"/>
        </w:rPr>
        <w:t xml:space="preserve"> Instead, top-down approaches can miss the nuances of a conflict, worsen conditions, and marginalise communities.</w:t>
      </w:r>
      <w:r w:rsidRPr="003D0BAC">
        <w:rPr>
          <w:rStyle w:val="FootnoteReference"/>
          <w:rFonts w:eastAsiaTheme="majorEastAsia" w:cs="Times New Roman"/>
          <w:bCs/>
          <w:color w:val="000000" w:themeColor="text1"/>
          <w:szCs w:val="22"/>
          <w:lang w:eastAsia="en-GB"/>
        </w:rPr>
        <w:footnoteReference w:id="144"/>
      </w:r>
      <w:r w:rsidRPr="003D0BAC">
        <w:rPr>
          <w:rFonts w:ascii="Times New Roman" w:eastAsiaTheme="majorEastAsia" w:hAnsi="Times New Roman" w:cs="Times New Roman"/>
          <w:bCs/>
          <w:color w:val="000000" w:themeColor="text1"/>
          <w:sz w:val="22"/>
          <w:szCs w:val="22"/>
          <w:lang w:eastAsia="en-GB"/>
        </w:rPr>
        <w:t xml:space="preserve"> To avoid this the UN needs to navigate a complex environment ensuring both engagement at the local level and wider national reconciliation.</w:t>
      </w:r>
      <w:r w:rsidR="00BB65C8" w:rsidRPr="003D0BAC">
        <w:rPr>
          <w:rFonts w:ascii="Times New Roman" w:eastAsiaTheme="majorEastAsia" w:hAnsi="Times New Roman" w:cs="Times New Roman"/>
          <w:bCs/>
          <w:color w:val="000000" w:themeColor="text1"/>
          <w:sz w:val="22"/>
          <w:szCs w:val="22"/>
          <w:lang w:eastAsia="en-GB"/>
        </w:rPr>
        <w:t xml:space="preserve"> This view is reflected by UN policy which understands that to achieve effective peacebuilding there must be local ownership and the incorporation of local partners into the process.</w:t>
      </w:r>
      <w:r w:rsidR="00BB65C8" w:rsidRPr="003D0BAC">
        <w:rPr>
          <w:rStyle w:val="FootnoteReference"/>
          <w:rFonts w:eastAsiaTheme="majorEastAsia" w:cs="Times New Roman"/>
          <w:bCs/>
          <w:color w:val="000000" w:themeColor="text1"/>
          <w:szCs w:val="22"/>
          <w:lang w:eastAsia="en-GB"/>
        </w:rPr>
        <w:footnoteReference w:id="145"/>
      </w:r>
      <w:r w:rsidR="00A54FC0">
        <w:rPr>
          <w:rFonts w:ascii="Times New Roman" w:eastAsiaTheme="majorEastAsia" w:hAnsi="Times New Roman" w:cs="Times New Roman"/>
          <w:bCs/>
          <w:color w:val="000000" w:themeColor="text1"/>
          <w:sz w:val="22"/>
          <w:szCs w:val="22"/>
          <w:lang w:eastAsia="en-GB"/>
        </w:rPr>
        <w:t xml:space="preserve"> Peacebuilding as a whole is intrinsically linked to improving human security. For instance, Hanlon and Christie have suggested that without peacebuilding efforts to re-establish the police, judicial system and a functioning bureaucracy individuals “struggle to regain their security.”</w:t>
      </w:r>
      <w:r w:rsidR="00A54FC0">
        <w:rPr>
          <w:rStyle w:val="FootnoteReference"/>
          <w:rFonts w:eastAsiaTheme="majorEastAsia" w:cs="Times New Roman"/>
          <w:bCs/>
          <w:color w:val="000000" w:themeColor="text1"/>
          <w:szCs w:val="22"/>
          <w:lang w:eastAsia="en-GB"/>
        </w:rPr>
        <w:footnoteReference w:id="146"/>
      </w:r>
    </w:p>
    <w:p w14:paraId="699969F9" w14:textId="0E480907" w:rsidR="00A541A0" w:rsidRPr="003D0BAC" w:rsidRDefault="00916E8F" w:rsidP="00BB65C8">
      <w:pPr>
        <w:spacing w:line="360" w:lineRule="auto"/>
        <w:ind w:firstLine="720"/>
        <w:contextualSpacing/>
        <w:jc w:val="both"/>
        <w:rPr>
          <w:rFonts w:ascii="Times New Roman" w:eastAsiaTheme="majorEastAsia" w:hAnsi="Times New Roman" w:cs="Times New Roman"/>
          <w:bCs/>
          <w:color w:val="000000" w:themeColor="text1"/>
          <w:sz w:val="22"/>
          <w:szCs w:val="22"/>
          <w:lang w:eastAsia="en-GB"/>
        </w:rPr>
      </w:pPr>
      <w:r w:rsidRPr="003D0BAC">
        <w:rPr>
          <w:rFonts w:ascii="Times New Roman" w:eastAsiaTheme="majorEastAsia" w:hAnsi="Times New Roman" w:cs="Times New Roman"/>
          <w:bCs/>
          <w:color w:val="000000" w:themeColor="text1"/>
          <w:sz w:val="22"/>
          <w:szCs w:val="22"/>
          <w:lang w:eastAsia="en-GB"/>
        </w:rPr>
        <w:t xml:space="preserve">A recent study of the </w:t>
      </w:r>
      <w:r w:rsidR="00BB65C8" w:rsidRPr="003D0BAC">
        <w:rPr>
          <w:rFonts w:ascii="Times New Roman" w:eastAsiaTheme="majorEastAsia" w:hAnsi="Times New Roman" w:cs="Times New Roman"/>
          <w:bCs/>
          <w:color w:val="000000" w:themeColor="text1"/>
          <w:sz w:val="22"/>
          <w:szCs w:val="22"/>
          <w:lang w:eastAsia="en-GB"/>
        </w:rPr>
        <w:t xml:space="preserve">other two ongoing stabilization missions, </w:t>
      </w:r>
      <w:r w:rsidRPr="003D0BAC">
        <w:rPr>
          <w:rFonts w:ascii="Times New Roman" w:eastAsiaTheme="majorEastAsia" w:hAnsi="Times New Roman" w:cs="Times New Roman"/>
          <w:bCs/>
          <w:color w:val="000000" w:themeColor="text1"/>
          <w:sz w:val="22"/>
          <w:szCs w:val="22"/>
          <w:lang w:eastAsia="en-GB"/>
        </w:rPr>
        <w:t>United Nations Multidimensional Integrated Stabilization Mission in Mali (MINUSMA) and MONUSCO</w:t>
      </w:r>
      <w:r w:rsidR="00B74905">
        <w:rPr>
          <w:rFonts w:ascii="Times New Roman" w:eastAsiaTheme="majorEastAsia" w:hAnsi="Times New Roman" w:cs="Times New Roman"/>
          <w:bCs/>
          <w:color w:val="000000" w:themeColor="text1"/>
          <w:sz w:val="22"/>
          <w:szCs w:val="22"/>
          <w:lang w:eastAsia="en-GB"/>
        </w:rPr>
        <w:t>,</w:t>
      </w:r>
      <w:r w:rsidRPr="003D0BAC">
        <w:rPr>
          <w:rFonts w:ascii="Times New Roman" w:eastAsiaTheme="majorEastAsia" w:hAnsi="Times New Roman" w:cs="Times New Roman"/>
          <w:bCs/>
          <w:color w:val="000000" w:themeColor="text1"/>
          <w:sz w:val="22"/>
          <w:szCs w:val="22"/>
          <w:lang w:eastAsia="en-GB"/>
        </w:rPr>
        <w:t xml:space="preserve"> has concluded that stabilization mandates are “antithetical” to the UN’s understanding of peacebuilding and strategies to engage </w:t>
      </w:r>
      <w:r w:rsidR="00D35059">
        <w:rPr>
          <w:rFonts w:ascii="Times New Roman" w:eastAsiaTheme="majorEastAsia" w:hAnsi="Times New Roman" w:cs="Times New Roman"/>
          <w:bCs/>
          <w:color w:val="000000" w:themeColor="text1"/>
          <w:sz w:val="22"/>
          <w:szCs w:val="22"/>
          <w:lang w:eastAsia="en-GB"/>
        </w:rPr>
        <w:t>the</w:t>
      </w:r>
      <w:r w:rsidRPr="003D0BAC">
        <w:rPr>
          <w:rFonts w:ascii="Times New Roman" w:eastAsiaTheme="majorEastAsia" w:hAnsi="Times New Roman" w:cs="Times New Roman"/>
          <w:bCs/>
          <w:color w:val="000000" w:themeColor="text1"/>
          <w:sz w:val="22"/>
          <w:szCs w:val="22"/>
          <w:lang w:eastAsia="en-GB"/>
        </w:rPr>
        <w:t xml:space="preserve"> local are undermined by “an overarching militarized and state-centric blueprint for stabilization.”</w:t>
      </w:r>
      <w:r w:rsidRPr="003D0BAC">
        <w:rPr>
          <w:rStyle w:val="FootnoteReference"/>
          <w:rFonts w:eastAsiaTheme="majorEastAsia" w:cs="Times New Roman"/>
          <w:bCs/>
          <w:color w:val="000000" w:themeColor="text1"/>
          <w:szCs w:val="22"/>
          <w:lang w:eastAsia="en-GB"/>
        </w:rPr>
        <w:footnoteReference w:id="147"/>
      </w:r>
      <w:r w:rsidRPr="003D0BAC">
        <w:rPr>
          <w:rFonts w:ascii="Times New Roman" w:eastAsiaTheme="majorEastAsia" w:hAnsi="Times New Roman" w:cs="Times New Roman"/>
          <w:bCs/>
          <w:color w:val="000000" w:themeColor="text1"/>
          <w:sz w:val="22"/>
          <w:szCs w:val="22"/>
          <w:lang w:eastAsia="en-GB"/>
        </w:rPr>
        <w:t xml:space="preserve"> </w:t>
      </w:r>
      <w:r w:rsidR="00BF66E4" w:rsidRPr="003D0BAC">
        <w:rPr>
          <w:rFonts w:ascii="Times New Roman" w:eastAsiaTheme="majorEastAsia" w:hAnsi="Times New Roman" w:cs="Times New Roman"/>
          <w:bCs/>
          <w:color w:val="000000" w:themeColor="text1"/>
          <w:sz w:val="22"/>
          <w:szCs w:val="22"/>
          <w:lang w:eastAsia="en-GB"/>
        </w:rPr>
        <w:t>In a similar vein, t</w:t>
      </w:r>
      <w:r w:rsidRPr="003D0BAC">
        <w:rPr>
          <w:rFonts w:ascii="Times New Roman" w:eastAsiaTheme="majorEastAsia" w:hAnsi="Times New Roman" w:cs="Times New Roman"/>
          <w:bCs/>
          <w:color w:val="000000" w:themeColor="text1"/>
          <w:sz w:val="22"/>
          <w:szCs w:val="22"/>
          <w:lang w:eastAsia="en-GB"/>
        </w:rPr>
        <w:t>he below discussion explains how MINUSCA has a focus</w:t>
      </w:r>
      <w:r w:rsidR="00BB65C8" w:rsidRPr="003D0BAC">
        <w:rPr>
          <w:rFonts w:ascii="Times New Roman" w:eastAsiaTheme="majorEastAsia" w:hAnsi="Times New Roman" w:cs="Times New Roman"/>
          <w:bCs/>
          <w:color w:val="000000" w:themeColor="text1"/>
          <w:sz w:val="22"/>
          <w:szCs w:val="22"/>
          <w:lang w:eastAsia="en-GB"/>
        </w:rPr>
        <w:t xml:space="preserve"> on two aspects of human security as part of the peacebuilding agenda</w:t>
      </w:r>
      <w:r w:rsidRPr="003D0BAC">
        <w:rPr>
          <w:rFonts w:ascii="Times New Roman" w:eastAsiaTheme="majorEastAsia" w:hAnsi="Times New Roman" w:cs="Times New Roman"/>
          <w:bCs/>
          <w:color w:val="000000" w:themeColor="text1"/>
          <w:sz w:val="22"/>
          <w:szCs w:val="22"/>
          <w:lang w:eastAsia="en-GB"/>
        </w:rPr>
        <w:t xml:space="preserve">, namely entrenching the rule of law and </w:t>
      </w:r>
      <w:r w:rsidR="00BB65C8" w:rsidRPr="003D0BAC">
        <w:rPr>
          <w:rFonts w:ascii="Times New Roman" w:eastAsiaTheme="majorEastAsia" w:hAnsi="Times New Roman" w:cs="Times New Roman"/>
          <w:bCs/>
          <w:color w:val="000000" w:themeColor="text1"/>
          <w:sz w:val="22"/>
          <w:szCs w:val="22"/>
          <w:lang w:eastAsia="en-GB"/>
        </w:rPr>
        <w:t xml:space="preserve">empowerment of the local, but that militarisation risks undermining these efforts. </w:t>
      </w:r>
    </w:p>
    <w:p w14:paraId="042CC4E2" w14:textId="64B526E6" w:rsidR="00CC460E" w:rsidRPr="007C271A" w:rsidRDefault="00916E8F" w:rsidP="00BA608C">
      <w:pPr>
        <w:spacing w:line="360" w:lineRule="auto"/>
        <w:ind w:firstLine="720"/>
        <w:jc w:val="both"/>
        <w:rPr>
          <w:rFonts w:ascii="Times New Roman" w:hAnsi="Times New Roman" w:cs="Times New Roman"/>
          <w:sz w:val="22"/>
          <w:szCs w:val="22"/>
          <w:lang w:eastAsia="en-GB"/>
        </w:rPr>
      </w:pPr>
      <w:r w:rsidRPr="003D0BAC">
        <w:rPr>
          <w:rFonts w:ascii="Times New Roman" w:hAnsi="Times New Roman" w:cs="Times New Roman"/>
          <w:sz w:val="22"/>
          <w:szCs w:val="22"/>
          <w:lang w:eastAsia="en-GB"/>
        </w:rPr>
        <w:t>As part of its peacebuilding agenda</w:t>
      </w:r>
      <w:r w:rsidR="00242461" w:rsidRPr="003D0BAC">
        <w:rPr>
          <w:rFonts w:ascii="Times New Roman" w:hAnsi="Times New Roman" w:cs="Times New Roman"/>
          <w:sz w:val="22"/>
          <w:szCs w:val="22"/>
          <w:lang w:eastAsia="en-GB"/>
        </w:rPr>
        <w:t>,</w:t>
      </w:r>
      <w:r w:rsidRPr="003D0BAC">
        <w:rPr>
          <w:rFonts w:ascii="Times New Roman" w:hAnsi="Times New Roman" w:cs="Times New Roman"/>
          <w:sz w:val="22"/>
          <w:szCs w:val="22"/>
          <w:lang w:eastAsia="en-GB"/>
        </w:rPr>
        <w:t xml:space="preserve"> the UN has adopted a focus on t</w:t>
      </w:r>
      <w:r w:rsidR="00BD7CC4" w:rsidRPr="003D0BAC">
        <w:rPr>
          <w:rFonts w:ascii="Times New Roman" w:hAnsi="Times New Roman" w:cs="Times New Roman"/>
          <w:sz w:val="22"/>
          <w:szCs w:val="22"/>
          <w:lang w:eastAsia="en-GB"/>
        </w:rPr>
        <w:t xml:space="preserve">he rule of law with </w:t>
      </w:r>
      <w:r w:rsidR="00BD7CC4" w:rsidRPr="003D0BAC">
        <w:rPr>
          <w:rFonts w:ascii="Times New Roman" w:hAnsi="Times New Roman" w:cs="Times New Roman"/>
          <w:sz w:val="22"/>
          <w:szCs w:val="22"/>
        </w:rPr>
        <w:t>the Secretary-General stating it is “at the very heart of the [UN’s] mission”.</w:t>
      </w:r>
      <w:r w:rsidR="00BD7CC4" w:rsidRPr="003D0BAC">
        <w:rPr>
          <w:rStyle w:val="FootnoteReference"/>
          <w:rFonts w:cs="Times New Roman"/>
          <w:szCs w:val="22"/>
        </w:rPr>
        <w:footnoteReference w:id="148"/>
      </w:r>
      <w:r w:rsidR="00BD7CC4" w:rsidRPr="003D0BAC">
        <w:rPr>
          <w:rFonts w:ascii="Times New Roman" w:hAnsi="Times New Roman" w:cs="Times New Roman"/>
          <w:sz w:val="22"/>
          <w:szCs w:val="22"/>
        </w:rPr>
        <w:t xml:space="preserve"> MINUSCA is an exemplary example of this with an unequivocal focus on ending impunity and rebuilding the rule of law. As explained above, the concept of human security has argued that protection from insecurity goes beyond physical protection and instead human security involves wider objectives. Insecurity c</w:t>
      </w:r>
      <w:r w:rsidR="00BD7CC4" w:rsidRPr="007C271A">
        <w:rPr>
          <w:rFonts w:ascii="Times New Roman" w:hAnsi="Times New Roman" w:cs="Times New Roman"/>
          <w:sz w:val="22"/>
          <w:szCs w:val="22"/>
        </w:rPr>
        <w:t xml:space="preserve">an be caused by crime, insecurities involving </w:t>
      </w:r>
      <w:r w:rsidR="007132D2" w:rsidRPr="007C271A">
        <w:rPr>
          <w:rFonts w:ascii="Times New Roman" w:hAnsi="Times New Roman" w:cs="Times New Roman"/>
          <w:sz w:val="22"/>
          <w:szCs w:val="22"/>
        </w:rPr>
        <w:t>employment</w:t>
      </w:r>
      <w:r w:rsidR="00BD7CC4" w:rsidRPr="007C271A">
        <w:rPr>
          <w:rFonts w:ascii="Times New Roman" w:hAnsi="Times New Roman" w:cs="Times New Roman"/>
          <w:sz w:val="22"/>
          <w:szCs w:val="22"/>
        </w:rPr>
        <w:t xml:space="preserve">, social vulnerability, health and illness, and more. In this vein, </w:t>
      </w:r>
      <w:proofErr w:type="spellStart"/>
      <w:r w:rsidR="00BD7CC4" w:rsidRPr="007C271A">
        <w:rPr>
          <w:rFonts w:ascii="Times New Roman" w:hAnsi="Times New Roman" w:cs="Times New Roman"/>
          <w:sz w:val="22"/>
          <w:szCs w:val="22"/>
        </w:rPr>
        <w:t>Sannerholm</w:t>
      </w:r>
      <w:proofErr w:type="spellEnd"/>
      <w:r w:rsidR="00BD7CC4" w:rsidRPr="007C271A">
        <w:rPr>
          <w:rFonts w:ascii="Times New Roman" w:hAnsi="Times New Roman" w:cs="Times New Roman"/>
          <w:sz w:val="22"/>
          <w:szCs w:val="22"/>
        </w:rPr>
        <w:t xml:space="preserve"> argues the rule of law is seen as a remedy for wider concerns of insecurity, such as social vulnerabilities, health or economic threats, as law governs many aspects of an </w:t>
      </w:r>
      <w:r w:rsidR="007132D2" w:rsidRPr="007C271A">
        <w:rPr>
          <w:rFonts w:ascii="Times New Roman" w:hAnsi="Times New Roman" w:cs="Times New Roman"/>
          <w:sz w:val="22"/>
          <w:szCs w:val="22"/>
        </w:rPr>
        <w:t>individual’s</w:t>
      </w:r>
      <w:r w:rsidR="00BD7CC4" w:rsidRPr="007C271A">
        <w:rPr>
          <w:rFonts w:ascii="Times New Roman" w:hAnsi="Times New Roman" w:cs="Times New Roman"/>
          <w:sz w:val="22"/>
          <w:szCs w:val="22"/>
        </w:rPr>
        <w:t xml:space="preserve"> life from criminal justice to private economic affairs.</w:t>
      </w:r>
      <w:r w:rsidR="00BD7CC4" w:rsidRPr="007C271A">
        <w:rPr>
          <w:rStyle w:val="FootnoteReference"/>
          <w:rFonts w:cs="Times New Roman"/>
          <w:szCs w:val="22"/>
        </w:rPr>
        <w:footnoteReference w:id="149"/>
      </w:r>
      <w:r w:rsidR="00BD7CC4" w:rsidRPr="007C271A">
        <w:rPr>
          <w:rFonts w:ascii="Times New Roman" w:hAnsi="Times New Roman" w:cs="Times New Roman"/>
          <w:sz w:val="22"/>
          <w:szCs w:val="22"/>
        </w:rPr>
        <w:t xml:space="preserve"> Other reasons for the UN’s focus on the rule of law </w:t>
      </w:r>
      <w:r w:rsidR="00BD7CC4" w:rsidRPr="007C271A">
        <w:rPr>
          <w:rFonts w:ascii="Times New Roman" w:hAnsi="Times New Roman" w:cs="Times New Roman"/>
          <w:sz w:val="22"/>
          <w:szCs w:val="22"/>
        </w:rPr>
        <w:lastRenderedPageBreak/>
        <w:t>have been given such as addressing past wrongs and atrocities by providing the host state with a functioning judicial system and also the fact the rule of law assists with long-term peacebuilding.</w:t>
      </w:r>
      <w:r w:rsidR="00BD7CC4" w:rsidRPr="007C271A">
        <w:rPr>
          <w:rStyle w:val="FootnoteReference"/>
          <w:rFonts w:cs="Times New Roman"/>
          <w:szCs w:val="22"/>
        </w:rPr>
        <w:footnoteReference w:id="150"/>
      </w:r>
    </w:p>
    <w:p w14:paraId="1876A744" w14:textId="36C58560" w:rsidR="007132D2" w:rsidRPr="007C271A" w:rsidRDefault="00BD7CC4" w:rsidP="00BD7CC4">
      <w:pPr>
        <w:spacing w:line="360" w:lineRule="auto"/>
        <w:ind w:firstLine="720"/>
        <w:contextualSpacing/>
        <w:jc w:val="both"/>
        <w:rPr>
          <w:rFonts w:ascii="Times New Roman" w:hAnsi="Times New Roman" w:cs="Times New Roman"/>
          <w:sz w:val="22"/>
          <w:szCs w:val="22"/>
        </w:rPr>
      </w:pPr>
      <w:r w:rsidRPr="007C271A">
        <w:rPr>
          <w:rFonts w:ascii="Times New Roman" w:hAnsi="Times New Roman" w:cs="Times New Roman"/>
          <w:sz w:val="22"/>
          <w:szCs w:val="22"/>
        </w:rPr>
        <w:t>By focusing on the rule of law</w:t>
      </w:r>
      <w:r w:rsidR="007132D2" w:rsidRPr="007C271A">
        <w:rPr>
          <w:rFonts w:ascii="Times New Roman" w:hAnsi="Times New Roman" w:cs="Times New Roman"/>
          <w:sz w:val="22"/>
          <w:szCs w:val="22"/>
        </w:rPr>
        <w:t>,</w:t>
      </w:r>
      <w:r w:rsidRPr="007C271A">
        <w:rPr>
          <w:rFonts w:ascii="Times New Roman" w:hAnsi="Times New Roman" w:cs="Times New Roman"/>
          <w:sz w:val="22"/>
          <w:szCs w:val="22"/>
        </w:rPr>
        <w:t xml:space="preserve"> </w:t>
      </w:r>
      <w:r w:rsidR="00594830" w:rsidRPr="007C271A">
        <w:rPr>
          <w:rFonts w:ascii="Times New Roman" w:hAnsi="Times New Roman" w:cs="Times New Roman"/>
          <w:sz w:val="22"/>
          <w:szCs w:val="22"/>
        </w:rPr>
        <w:t>MINUSCA</w:t>
      </w:r>
      <w:r w:rsidRPr="007C271A">
        <w:rPr>
          <w:rFonts w:ascii="Times New Roman" w:hAnsi="Times New Roman" w:cs="Times New Roman"/>
          <w:sz w:val="22"/>
          <w:szCs w:val="22"/>
        </w:rPr>
        <w:t xml:space="preserve"> put</w:t>
      </w:r>
      <w:r w:rsidR="00594830" w:rsidRPr="007C271A">
        <w:rPr>
          <w:rFonts w:ascii="Times New Roman" w:hAnsi="Times New Roman" w:cs="Times New Roman"/>
          <w:sz w:val="22"/>
          <w:szCs w:val="22"/>
        </w:rPr>
        <w:t>’s</w:t>
      </w:r>
      <w:r w:rsidRPr="007C271A">
        <w:rPr>
          <w:rFonts w:ascii="Times New Roman" w:hAnsi="Times New Roman" w:cs="Times New Roman"/>
          <w:sz w:val="22"/>
          <w:szCs w:val="22"/>
        </w:rPr>
        <w:t xml:space="preserve"> into action the normative foundations of human security providing the framework for other, more ambitious goals. If this strategy is effective</w:t>
      </w:r>
      <w:r w:rsidR="00594830" w:rsidRPr="007C271A">
        <w:rPr>
          <w:rFonts w:ascii="Times New Roman" w:hAnsi="Times New Roman" w:cs="Times New Roman"/>
          <w:sz w:val="22"/>
          <w:szCs w:val="22"/>
        </w:rPr>
        <w:t xml:space="preserve"> and holds legitimacy amongst local people</w:t>
      </w:r>
      <w:r w:rsidRPr="007C271A">
        <w:rPr>
          <w:rFonts w:ascii="Times New Roman" w:hAnsi="Times New Roman" w:cs="Times New Roman"/>
          <w:sz w:val="22"/>
          <w:szCs w:val="22"/>
        </w:rPr>
        <w:t xml:space="preserve"> the use of similar </w:t>
      </w:r>
      <w:r w:rsidR="009A0BE7" w:rsidRPr="007C271A">
        <w:rPr>
          <w:rFonts w:ascii="Times New Roman" w:hAnsi="Times New Roman" w:cs="Times New Roman"/>
          <w:sz w:val="22"/>
          <w:szCs w:val="22"/>
        </w:rPr>
        <w:t>hybrid solutions</w:t>
      </w:r>
      <w:r w:rsidRPr="007C271A">
        <w:rPr>
          <w:rFonts w:ascii="Times New Roman" w:hAnsi="Times New Roman" w:cs="Times New Roman"/>
          <w:sz w:val="22"/>
          <w:szCs w:val="22"/>
        </w:rPr>
        <w:t xml:space="preserve">, like the Special Criminal Court, could </w:t>
      </w:r>
      <w:r w:rsidR="00594830" w:rsidRPr="007C271A">
        <w:rPr>
          <w:rFonts w:ascii="Times New Roman" w:hAnsi="Times New Roman" w:cs="Times New Roman"/>
          <w:sz w:val="22"/>
          <w:szCs w:val="22"/>
        </w:rPr>
        <w:t>be deemed a suitable method of achieving rule of law goals in future mandates</w:t>
      </w:r>
      <w:r w:rsidRPr="007C271A">
        <w:rPr>
          <w:rFonts w:ascii="Times New Roman" w:hAnsi="Times New Roman" w:cs="Times New Roman"/>
          <w:sz w:val="22"/>
          <w:szCs w:val="22"/>
        </w:rPr>
        <w:t xml:space="preserve">. </w:t>
      </w:r>
      <w:r w:rsidR="007132D2" w:rsidRPr="007C271A">
        <w:rPr>
          <w:rFonts w:ascii="Times New Roman" w:hAnsi="Times New Roman" w:cs="Times New Roman"/>
          <w:sz w:val="22"/>
          <w:szCs w:val="22"/>
        </w:rPr>
        <w:t xml:space="preserve">Within the CAR one study has indicated that individuals do believe those </w:t>
      </w:r>
      <w:r w:rsidR="007132D2" w:rsidRPr="007C271A">
        <w:rPr>
          <w:rFonts w:ascii="Times New Roman" w:hAnsi="Times New Roman" w:cs="Times New Roman"/>
          <w:i/>
          <w:sz w:val="22"/>
          <w:szCs w:val="22"/>
        </w:rPr>
        <w:t>responsible</w:t>
      </w:r>
      <w:r w:rsidR="007132D2" w:rsidRPr="007C271A">
        <w:rPr>
          <w:rFonts w:ascii="Times New Roman" w:hAnsi="Times New Roman" w:cs="Times New Roman"/>
          <w:sz w:val="22"/>
          <w:szCs w:val="22"/>
        </w:rPr>
        <w:t xml:space="preserve"> for the conflict and crimes committed thereafter, should be punished.</w:t>
      </w:r>
      <w:r w:rsidR="007132D2" w:rsidRPr="007C271A">
        <w:rPr>
          <w:rStyle w:val="FootnoteReference"/>
          <w:rFonts w:cs="Times New Roman"/>
          <w:szCs w:val="22"/>
        </w:rPr>
        <w:footnoteReference w:id="151"/>
      </w:r>
      <w:r w:rsidR="007132D2" w:rsidRPr="007C271A">
        <w:rPr>
          <w:rFonts w:ascii="Times New Roman" w:hAnsi="Times New Roman" w:cs="Times New Roman"/>
          <w:sz w:val="22"/>
          <w:szCs w:val="22"/>
        </w:rPr>
        <w:t xml:space="preserve"> Whereas persons who have merely capitalised on the conflict and committed </w:t>
      </w:r>
      <w:r w:rsidR="009A0BE7" w:rsidRPr="007C271A">
        <w:rPr>
          <w:rFonts w:ascii="Times New Roman" w:hAnsi="Times New Roman" w:cs="Times New Roman"/>
          <w:sz w:val="22"/>
          <w:szCs w:val="22"/>
        </w:rPr>
        <w:t>‘</w:t>
      </w:r>
      <w:r w:rsidR="007132D2" w:rsidRPr="007C271A">
        <w:rPr>
          <w:rFonts w:ascii="Times New Roman" w:hAnsi="Times New Roman" w:cs="Times New Roman"/>
          <w:sz w:val="22"/>
          <w:szCs w:val="22"/>
        </w:rPr>
        <w:t>petty</w:t>
      </w:r>
      <w:r w:rsidR="009A0BE7" w:rsidRPr="007C271A">
        <w:rPr>
          <w:rFonts w:ascii="Times New Roman" w:hAnsi="Times New Roman" w:cs="Times New Roman"/>
          <w:sz w:val="22"/>
          <w:szCs w:val="22"/>
        </w:rPr>
        <w:t>’</w:t>
      </w:r>
      <w:r w:rsidR="007132D2" w:rsidRPr="007C271A">
        <w:rPr>
          <w:rFonts w:ascii="Times New Roman" w:hAnsi="Times New Roman" w:cs="Times New Roman"/>
          <w:sz w:val="22"/>
          <w:szCs w:val="22"/>
        </w:rPr>
        <w:t xml:space="preserve"> crimes such as looting are much more varied.</w:t>
      </w:r>
      <w:r w:rsidR="007132D2" w:rsidRPr="007C271A">
        <w:rPr>
          <w:rStyle w:val="FootnoteReference"/>
          <w:rFonts w:cs="Times New Roman"/>
          <w:szCs w:val="22"/>
        </w:rPr>
        <w:footnoteReference w:id="152"/>
      </w:r>
      <w:r w:rsidR="007132D2" w:rsidRPr="007C271A">
        <w:rPr>
          <w:rFonts w:ascii="Times New Roman" w:hAnsi="Times New Roman" w:cs="Times New Roman"/>
          <w:sz w:val="22"/>
          <w:szCs w:val="22"/>
        </w:rPr>
        <w:t xml:space="preserve"> Ending impunity though is difficult where there is little trust in the justice system with people believing trials are “won by the disputant who pays the magistrate more or by the one who has a better relationship with him.</w:t>
      </w:r>
      <w:r w:rsidR="007132D2" w:rsidRPr="007C271A">
        <w:rPr>
          <w:rStyle w:val="FootnoteReference"/>
          <w:rFonts w:cs="Times New Roman"/>
          <w:szCs w:val="22"/>
        </w:rPr>
        <w:footnoteReference w:id="153"/>
      </w:r>
      <w:r w:rsidR="007132D2" w:rsidRPr="007C271A">
        <w:rPr>
          <w:rFonts w:ascii="Times New Roman" w:hAnsi="Times New Roman" w:cs="Times New Roman"/>
          <w:sz w:val="22"/>
          <w:szCs w:val="22"/>
        </w:rPr>
        <w:t xml:space="preserve"> In the same study, interviewees indicated an international body would be needed to provide justice.</w:t>
      </w:r>
      <w:r w:rsidR="007132D2" w:rsidRPr="007C271A">
        <w:rPr>
          <w:rStyle w:val="FootnoteReference"/>
          <w:rFonts w:cs="Times New Roman"/>
          <w:szCs w:val="22"/>
        </w:rPr>
        <w:footnoteReference w:id="154"/>
      </w:r>
    </w:p>
    <w:p w14:paraId="3F99CBB4" w14:textId="3AE820A4" w:rsidR="00BD7CC4" w:rsidRPr="007C271A" w:rsidRDefault="009A0BE7" w:rsidP="00566D3A">
      <w:pPr>
        <w:spacing w:line="360" w:lineRule="auto"/>
        <w:ind w:firstLine="720"/>
        <w:contextualSpacing/>
        <w:jc w:val="both"/>
        <w:rPr>
          <w:rFonts w:ascii="Times New Roman" w:hAnsi="Times New Roman" w:cs="Times New Roman"/>
          <w:sz w:val="22"/>
          <w:szCs w:val="22"/>
        </w:rPr>
      </w:pPr>
      <w:r w:rsidRPr="007C271A">
        <w:rPr>
          <w:rFonts w:ascii="Times New Roman" w:hAnsi="Times New Roman" w:cs="Times New Roman"/>
          <w:sz w:val="22"/>
          <w:szCs w:val="22"/>
        </w:rPr>
        <w:t>Providing support and methods of e</w:t>
      </w:r>
      <w:r w:rsidR="00BD7CC4" w:rsidRPr="007C271A">
        <w:rPr>
          <w:rFonts w:ascii="Times New Roman" w:hAnsi="Times New Roman" w:cs="Times New Roman"/>
          <w:sz w:val="22"/>
          <w:szCs w:val="22"/>
        </w:rPr>
        <w:t xml:space="preserve">nding impunity is a way in which the UN Security Council can link the </w:t>
      </w:r>
      <w:r w:rsidR="000D7112">
        <w:rPr>
          <w:rFonts w:ascii="Times New Roman" w:hAnsi="Times New Roman" w:cs="Times New Roman"/>
          <w:sz w:val="22"/>
          <w:szCs w:val="22"/>
        </w:rPr>
        <w:t>mission’s peacebuilding activities</w:t>
      </w:r>
      <w:r w:rsidR="00BD7CC4" w:rsidRPr="007C271A">
        <w:rPr>
          <w:rFonts w:ascii="Times New Roman" w:hAnsi="Times New Roman" w:cs="Times New Roman"/>
          <w:sz w:val="22"/>
          <w:szCs w:val="22"/>
        </w:rPr>
        <w:t xml:space="preserve"> to wider agendas on international criminal justice and universal human rights. A focus on the rule of law and ending impunity could be a positive step for UN peace operations where missions can tap into the UN’s rich expertise in the area. </w:t>
      </w:r>
      <w:r w:rsidR="00906C6E" w:rsidRPr="007C271A">
        <w:rPr>
          <w:rFonts w:ascii="Times New Roman" w:hAnsi="Times New Roman" w:cs="Times New Roman"/>
          <w:sz w:val="22"/>
          <w:szCs w:val="22"/>
        </w:rPr>
        <w:t>However</w:t>
      </w:r>
      <w:r w:rsidR="00BD7CC4" w:rsidRPr="007C271A">
        <w:rPr>
          <w:rFonts w:ascii="Times New Roman" w:hAnsi="Times New Roman" w:cs="Times New Roman"/>
          <w:sz w:val="22"/>
          <w:szCs w:val="22"/>
        </w:rPr>
        <w:t xml:space="preserve">, if the UN wishes to continue this strategy the Security Council will need to pay close attention to the outcome of the approach taken in the CAR. </w:t>
      </w:r>
      <w:r w:rsidRPr="007C271A">
        <w:rPr>
          <w:rFonts w:ascii="Times New Roman" w:hAnsi="Times New Roman" w:cs="Times New Roman"/>
          <w:sz w:val="22"/>
          <w:szCs w:val="22"/>
        </w:rPr>
        <w:t xml:space="preserve">Local perceptions of justice and ending impunity are vital in shaping future approaches that provide visible justice that is trusted by local people. </w:t>
      </w:r>
      <w:r w:rsidR="006639C7" w:rsidRPr="007C271A">
        <w:rPr>
          <w:rFonts w:ascii="Times New Roman" w:hAnsi="Times New Roman" w:cs="Times New Roman"/>
          <w:sz w:val="22"/>
          <w:szCs w:val="22"/>
        </w:rPr>
        <w:t>Particularly where host state forces are responsible for human rights violations</w:t>
      </w:r>
      <w:r w:rsidR="00BD7CC4" w:rsidRPr="007C271A">
        <w:rPr>
          <w:rFonts w:ascii="Times New Roman" w:hAnsi="Times New Roman" w:cs="Times New Roman"/>
          <w:sz w:val="22"/>
          <w:szCs w:val="22"/>
        </w:rPr>
        <w:t xml:space="preserve"> </w:t>
      </w:r>
      <w:r w:rsidR="006639C7" w:rsidRPr="007C271A">
        <w:rPr>
          <w:rFonts w:ascii="Times New Roman" w:hAnsi="Times New Roman" w:cs="Times New Roman"/>
          <w:sz w:val="22"/>
          <w:szCs w:val="22"/>
        </w:rPr>
        <w:t xml:space="preserve">the effectiveness of UN’s efforts in entrenching </w:t>
      </w:r>
      <w:r w:rsidR="00BD7CC4" w:rsidRPr="007C271A">
        <w:rPr>
          <w:rFonts w:ascii="Times New Roman" w:hAnsi="Times New Roman" w:cs="Times New Roman"/>
          <w:sz w:val="22"/>
          <w:szCs w:val="22"/>
        </w:rPr>
        <w:t>the rule of law</w:t>
      </w:r>
      <w:r w:rsidR="006639C7" w:rsidRPr="007C271A">
        <w:rPr>
          <w:rFonts w:ascii="Times New Roman" w:hAnsi="Times New Roman" w:cs="Times New Roman"/>
          <w:sz w:val="22"/>
          <w:szCs w:val="22"/>
        </w:rPr>
        <w:t xml:space="preserve"> become questionable</w:t>
      </w:r>
      <w:r w:rsidR="00BD7CC4" w:rsidRPr="007C271A">
        <w:rPr>
          <w:rFonts w:ascii="Times New Roman" w:hAnsi="Times New Roman" w:cs="Times New Roman"/>
          <w:sz w:val="22"/>
          <w:szCs w:val="22"/>
        </w:rPr>
        <w:t xml:space="preserve">. </w:t>
      </w:r>
      <w:r w:rsidRPr="007C271A">
        <w:rPr>
          <w:rFonts w:ascii="Times New Roman" w:hAnsi="Times New Roman" w:cs="Times New Roman"/>
          <w:sz w:val="22"/>
          <w:szCs w:val="22"/>
        </w:rPr>
        <w:t>The UN must be resolute when it seeks to ensure the rule of law applies to all actors involved in a (post)conflict situation.</w:t>
      </w:r>
      <w:r w:rsidR="000213AE" w:rsidRPr="007C271A">
        <w:rPr>
          <w:rFonts w:ascii="Times New Roman" w:hAnsi="Times New Roman" w:cs="Times New Roman"/>
          <w:sz w:val="22"/>
          <w:szCs w:val="22"/>
        </w:rPr>
        <w:t xml:space="preserve"> Ending impunity cannot only be applied to some of those actors and importantly for a hybrid court heavily supported by the international community it cannot be seen to provide only victor’s justice, especially where the UN have designated the state as the legitimate authority.</w:t>
      </w:r>
      <w:r w:rsidR="00BD7CC4" w:rsidRPr="007C271A">
        <w:rPr>
          <w:rFonts w:ascii="Times New Roman" w:hAnsi="Times New Roman" w:cs="Times New Roman"/>
          <w:sz w:val="22"/>
          <w:szCs w:val="22"/>
        </w:rPr>
        <w:t xml:space="preserve"> The UN will need to balance its </w:t>
      </w:r>
      <w:r w:rsidR="006639C7" w:rsidRPr="007C271A">
        <w:rPr>
          <w:rFonts w:ascii="Times New Roman" w:hAnsi="Times New Roman" w:cs="Times New Roman"/>
          <w:sz w:val="22"/>
          <w:szCs w:val="22"/>
        </w:rPr>
        <w:t xml:space="preserve">express </w:t>
      </w:r>
      <w:r w:rsidR="00BD7CC4" w:rsidRPr="007C271A">
        <w:rPr>
          <w:rFonts w:ascii="Times New Roman" w:hAnsi="Times New Roman" w:cs="Times New Roman"/>
          <w:sz w:val="22"/>
          <w:szCs w:val="22"/>
        </w:rPr>
        <w:t xml:space="preserve">support for </w:t>
      </w:r>
      <w:r w:rsidR="006639C7" w:rsidRPr="007C271A">
        <w:rPr>
          <w:rFonts w:ascii="Times New Roman" w:hAnsi="Times New Roman" w:cs="Times New Roman"/>
          <w:sz w:val="22"/>
          <w:szCs w:val="22"/>
        </w:rPr>
        <w:t xml:space="preserve">building the capacity of </w:t>
      </w:r>
      <w:r w:rsidR="00BD7CC4" w:rsidRPr="007C271A">
        <w:rPr>
          <w:rFonts w:ascii="Times New Roman" w:hAnsi="Times New Roman" w:cs="Times New Roman"/>
          <w:sz w:val="22"/>
          <w:szCs w:val="22"/>
        </w:rPr>
        <w:t>the host state alongside its work on the rule of law and human rights to ensure the two areas are not in conflict and do not prevent the organisation from pursuing human security.</w:t>
      </w:r>
    </w:p>
    <w:p w14:paraId="33E08476" w14:textId="763903AC" w:rsidR="000213AE" w:rsidRPr="007C271A" w:rsidRDefault="00943B54" w:rsidP="00566D3A">
      <w:pPr>
        <w:spacing w:line="360" w:lineRule="auto"/>
        <w:ind w:firstLine="720"/>
        <w:contextualSpacing/>
        <w:jc w:val="both"/>
        <w:rPr>
          <w:rFonts w:ascii="Times New Roman" w:hAnsi="Times New Roman" w:cs="Times New Roman"/>
          <w:sz w:val="22"/>
          <w:szCs w:val="22"/>
        </w:rPr>
      </w:pPr>
      <w:r>
        <w:rPr>
          <w:rFonts w:ascii="Times New Roman" w:hAnsi="Times New Roman" w:cs="Times New Roman"/>
          <w:sz w:val="22"/>
          <w:szCs w:val="22"/>
        </w:rPr>
        <w:t>E</w:t>
      </w:r>
      <w:r w:rsidR="000213AE" w:rsidRPr="007C271A">
        <w:rPr>
          <w:rFonts w:ascii="Times New Roman" w:hAnsi="Times New Roman" w:cs="Times New Roman"/>
          <w:sz w:val="22"/>
          <w:szCs w:val="22"/>
        </w:rPr>
        <w:t>mpowerment, was visible in a range of MINUSCA’s activities.</w:t>
      </w:r>
      <w:r w:rsidR="001E461A">
        <w:rPr>
          <w:rFonts w:ascii="Times New Roman" w:hAnsi="Times New Roman" w:cs="Times New Roman"/>
          <w:sz w:val="22"/>
          <w:szCs w:val="22"/>
        </w:rPr>
        <w:t xml:space="preserve"> </w:t>
      </w:r>
      <w:r w:rsidR="00E148C0">
        <w:rPr>
          <w:rFonts w:ascii="Times New Roman" w:hAnsi="Times New Roman" w:cs="Times New Roman"/>
          <w:sz w:val="22"/>
          <w:szCs w:val="22"/>
        </w:rPr>
        <w:t xml:space="preserve">Women in particular are a focus of UN </w:t>
      </w:r>
      <w:r w:rsidR="000D7112">
        <w:rPr>
          <w:rFonts w:ascii="Times New Roman" w:hAnsi="Times New Roman" w:cs="Times New Roman"/>
          <w:sz w:val="22"/>
          <w:szCs w:val="22"/>
        </w:rPr>
        <w:t xml:space="preserve">peacebuilding </w:t>
      </w:r>
      <w:r w:rsidR="00E148C0">
        <w:rPr>
          <w:rFonts w:ascii="Times New Roman" w:hAnsi="Times New Roman" w:cs="Times New Roman"/>
          <w:sz w:val="22"/>
          <w:szCs w:val="22"/>
        </w:rPr>
        <w:t>activities with the</w:t>
      </w:r>
      <w:r w:rsidR="002A6481" w:rsidRPr="007C271A">
        <w:rPr>
          <w:rFonts w:ascii="Times New Roman" w:hAnsi="Times New Roman" w:cs="Times New Roman"/>
          <w:sz w:val="22"/>
          <w:szCs w:val="22"/>
        </w:rPr>
        <w:t xml:space="preserve"> Secretary-General</w:t>
      </w:r>
      <w:r w:rsidR="001E461A">
        <w:rPr>
          <w:rFonts w:ascii="Times New Roman" w:hAnsi="Times New Roman" w:cs="Times New Roman"/>
          <w:sz w:val="22"/>
          <w:szCs w:val="22"/>
        </w:rPr>
        <w:t xml:space="preserve"> </w:t>
      </w:r>
      <w:r w:rsidR="002A6481" w:rsidRPr="007C271A">
        <w:rPr>
          <w:rFonts w:ascii="Times New Roman" w:hAnsi="Times New Roman" w:cs="Times New Roman"/>
          <w:sz w:val="22"/>
          <w:szCs w:val="22"/>
        </w:rPr>
        <w:t>specifically recognis</w:t>
      </w:r>
      <w:r w:rsidR="00E148C0">
        <w:rPr>
          <w:rFonts w:ascii="Times New Roman" w:hAnsi="Times New Roman" w:cs="Times New Roman"/>
          <w:sz w:val="22"/>
          <w:szCs w:val="22"/>
        </w:rPr>
        <w:t>ing</w:t>
      </w:r>
      <w:r w:rsidR="002A6481" w:rsidRPr="007C271A">
        <w:rPr>
          <w:rFonts w:ascii="Times New Roman" w:hAnsi="Times New Roman" w:cs="Times New Roman"/>
          <w:sz w:val="22"/>
          <w:szCs w:val="22"/>
        </w:rPr>
        <w:t xml:space="preserve"> </w:t>
      </w:r>
      <w:r w:rsidR="001E461A">
        <w:rPr>
          <w:rFonts w:ascii="Times New Roman" w:hAnsi="Times New Roman" w:cs="Times New Roman"/>
          <w:sz w:val="22"/>
          <w:szCs w:val="22"/>
        </w:rPr>
        <w:t xml:space="preserve">that </w:t>
      </w:r>
      <w:r w:rsidR="002A6481" w:rsidRPr="007C271A">
        <w:rPr>
          <w:rFonts w:ascii="Times New Roman" w:hAnsi="Times New Roman" w:cs="Times New Roman"/>
          <w:sz w:val="22"/>
          <w:szCs w:val="22"/>
        </w:rPr>
        <w:t>the participation of women is directly linked to the success of a peace process.</w:t>
      </w:r>
      <w:r w:rsidR="002A6481" w:rsidRPr="007C271A">
        <w:rPr>
          <w:rFonts w:ascii="Times New Roman" w:hAnsi="Times New Roman" w:cs="Times New Roman"/>
          <w:sz w:val="22"/>
          <w:szCs w:val="22"/>
          <w:vertAlign w:val="superscript"/>
        </w:rPr>
        <w:footnoteReference w:id="155"/>
      </w:r>
      <w:r w:rsidR="002A6481" w:rsidRPr="007C271A">
        <w:rPr>
          <w:rFonts w:ascii="Times New Roman" w:hAnsi="Times New Roman" w:cs="Times New Roman"/>
          <w:sz w:val="22"/>
          <w:szCs w:val="22"/>
        </w:rPr>
        <w:t xml:space="preserve"> To protect progress made on bottom-up empowerment, the UN needs to be forceful in its push for bottom-up inclusion in national </w:t>
      </w:r>
      <w:r w:rsidR="002A6481" w:rsidRPr="007C271A">
        <w:rPr>
          <w:rFonts w:ascii="Times New Roman" w:hAnsi="Times New Roman" w:cs="Times New Roman"/>
          <w:sz w:val="22"/>
          <w:szCs w:val="22"/>
        </w:rPr>
        <w:lastRenderedPageBreak/>
        <w:t xml:space="preserve">peace processes to ensure the organisation’s positive work at the local level does in fact feed up to peace at the national level. MINUSCA’s mandate makes frequent mention of promoting participation of a range of local-level actors and the mission </w:t>
      </w:r>
      <w:r w:rsidR="00906C6E" w:rsidRPr="007C271A">
        <w:rPr>
          <w:rFonts w:ascii="Times New Roman" w:hAnsi="Times New Roman" w:cs="Times New Roman"/>
          <w:sz w:val="22"/>
          <w:szCs w:val="22"/>
        </w:rPr>
        <w:t>assisted</w:t>
      </w:r>
      <w:r w:rsidR="002A6481" w:rsidRPr="007C271A">
        <w:rPr>
          <w:rFonts w:ascii="Times New Roman" w:hAnsi="Times New Roman" w:cs="Times New Roman"/>
          <w:sz w:val="22"/>
          <w:szCs w:val="22"/>
        </w:rPr>
        <w:t xml:space="preserve"> with the holding of the Bangui Forum. </w:t>
      </w:r>
      <w:r w:rsidR="00B30588" w:rsidRPr="007C271A">
        <w:rPr>
          <w:rFonts w:ascii="Times New Roman" w:hAnsi="Times New Roman" w:cs="Times New Roman"/>
          <w:sz w:val="22"/>
          <w:szCs w:val="22"/>
        </w:rPr>
        <w:t>P</w:t>
      </w:r>
      <w:r w:rsidR="002A6481" w:rsidRPr="007C271A">
        <w:rPr>
          <w:rFonts w:ascii="Times New Roman" w:hAnsi="Times New Roman" w:cs="Times New Roman"/>
          <w:sz w:val="22"/>
          <w:szCs w:val="22"/>
        </w:rPr>
        <w:t xml:space="preserve">rogress </w:t>
      </w:r>
      <w:r w:rsidR="00B30588" w:rsidRPr="007C271A">
        <w:rPr>
          <w:rFonts w:ascii="Times New Roman" w:hAnsi="Times New Roman" w:cs="Times New Roman"/>
          <w:sz w:val="22"/>
          <w:szCs w:val="22"/>
        </w:rPr>
        <w:t xml:space="preserve">though </w:t>
      </w:r>
      <w:r w:rsidR="002A6481" w:rsidRPr="007C271A">
        <w:rPr>
          <w:rFonts w:ascii="Times New Roman" w:hAnsi="Times New Roman" w:cs="Times New Roman"/>
          <w:sz w:val="22"/>
          <w:szCs w:val="22"/>
        </w:rPr>
        <w:t>could be lost where resulting peace negotiations or government reconciliation plans do not adequately include local actors. For instance, the Bangui Form led to recommendations that there existed a need for the increased participation of citizens and the bridging of the gap between Bangui and the rest of the CAR.</w:t>
      </w:r>
      <w:r w:rsidR="002A6481" w:rsidRPr="007C271A">
        <w:rPr>
          <w:rStyle w:val="FootnoteReference"/>
          <w:rFonts w:cs="Times New Roman"/>
          <w:szCs w:val="22"/>
        </w:rPr>
        <w:footnoteReference w:id="156"/>
      </w:r>
      <w:r w:rsidR="002A6481" w:rsidRPr="007C271A">
        <w:rPr>
          <w:rFonts w:ascii="Times New Roman" w:hAnsi="Times New Roman" w:cs="Times New Roman"/>
          <w:sz w:val="22"/>
          <w:szCs w:val="22"/>
        </w:rPr>
        <w:t xml:space="preserve"> Bottom-up empowerment then would be an ideal method of achieving </w:t>
      </w:r>
      <w:r w:rsidR="008E500E" w:rsidRPr="007C271A">
        <w:rPr>
          <w:rFonts w:ascii="Times New Roman" w:hAnsi="Times New Roman" w:cs="Times New Roman"/>
          <w:sz w:val="22"/>
          <w:szCs w:val="22"/>
        </w:rPr>
        <w:t>this aspiration. However, progress has been hindered by the government’s failure to disseminate the outcomes of the Forum and MINUSCA’s inability to influence the host state in its national level negotiations because of the mission’s ‘hands-off’ approach.</w:t>
      </w:r>
      <w:r w:rsidR="008E500E" w:rsidRPr="007C271A">
        <w:rPr>
          <w:rStyle w:val="FootnoteReference"/>
          <w:rFonts w:cs="Times New Roman"/>
          <w:szCs w:val="22"/>
        </w:rPr>
        <w:footnoteReference w:id="157"/>
      </w:r>
    </w:p>
    <w:p w14:paraId="4489B88A" w14:textId="044EE45C" w:rsidR="00CC460E" w:rsidRPr="007C271A" w:rsidRDefault="008E500E" w:rsidP="003271C1">
      <w:pPr>
        <w:spacing w:line="360" w:lineRule="auto"/>
        <w:jc w:val="both"/>
        <w:rPr>
          <w:rFonts w:ascii="Times New Roman" w:hAnsi="Times New Roman" w:cs="Times New Roman"/>
          <w:sz w:val="22"/>
          <w:szCs w:val="22"/>
          <w:lang w:eastAsia="en-GB"/>
        </w:rPr>
      </w:pPr>
      <w:r w:rsidRPr="007C271A">
        <w:rPr>
          <w:rFonts w:ascii="Times New Roman" w:hAnsi="Times New Roman" w:cs="Times New Roman"/>
          <w:sz w:val="22"/>
          <w:szCs w:val="22"/>
          <w:lang w:eastAsia="en-GB"/>
        </w:rPr>
        <w:tab/>
      </w:r>
      <w:r w:rsidR="007369D6" w:rsidRPr="007C271A">
        <w:rPr>
          <w:rFonts w:ascii="Times New Roman" w:hAnsi="Times New Roman" w:cs="Times New Roman"/>
          <w:sz w:val="22"/>
          <w:szCs w:val="22"/>
          <w:lang w:eastAsia="en-GB"/>
        </w:rPr>
        <w:t>To realise the empowerment of the local the host state needs to feed local participation into the wider national reconciliation programmes. No matter how much the UN cho</w:t>
      </w:r>
      <w:r w:rsidR="000D7112">
        <w:rPr>
          <w:rFonts w:ascii="Times New Roman" w:hAnsi="Times New Roman" w:cs="Times New Roman"/>
          <w:sz w:val="22"/>
          <w:szCs w:val="22"/>
          <w:lang w:eastAsia="en-GB"/>
        </w:rPr>
        <w:t>o</w:t>
      </w:r>
      <w:r w:rsidR="007369D6" w:rsidRPr="007C271A">
        <w:rPr>
          <w:rFonts w:ascii="Times New Roman" w:hAnsi="Times New Roman" w:cs="Times New Roman"/>
          <w:sz w:val="22"/>
          <w:szCs w:val="22"/>
          <w:lang w:eastAsia="en-GB"/>
        </w:rPr>
        <w:t xml:space="preserve">ses to focus on empowerment little can be done without the host state’s support for a bottom-up peace process. Similarly, within the UN the empowerment aspects of the mission must feed up into the decision-making of the Secretariat and Security Council. The mission documents examined above rarely identify where a decision has been taken due to local input being acted on by the Security Council. </w:t>
      </w:r>
      <w:r w:rsidR="003F5E85" w:rsidRPr="007C271A">
        <w:rPr>
          <w:rFonts w:ascii="Times New Roman" w:hAnsi="Times New Roman" w:cs="Times New Roman"/>
          <w:sz w:val="22"/>
          <w:szCs w:val="22"/>
          <w:lang w:eastAsia="en-GB"/>
        </w:rPr>
        <w:t>Quick impact projects (QIPs)</w:t>
      </w:r>
      <w:r w:rsidR="007369D6" w:rsidRPr="007C271A">
        <w:rPr>
          <w:rFonts w:ascii="Times New Roman" w:hAnsi="Times New Roman" w:cs="Times New Roman"/>
          <w:sz w:val="22"/>
          <w:szCs w:val="22"/>
          <w:lang w:eastAsia="en-GB"/>
        </w:rPr>
        <w:t xml:space="preserve"> for instance </w:t>
      </w:r>
      <w:r w:rsidR="003F5E85" w:rsidRPr="007C271A">
        <w:rPr>
          <w:rFonts w:ascii="Times New Roman" w:hAnsi="Times New Roman" w:cs="Times New Roman"/>
          <w:sz w:val="22"/>
          <w:szCs w:val="22"/>
          <w:lang w:eastAsia="en-GB"/>
        </w:rPr>
        <w:t>are mentioned as a method of reducing impoverishment, which “is helping to fuel armed groups.”</w:t>
      </w:r>
      <w:r w:rsidR="003F5E85" w:rsidRPr="007C271A">
        <w:rPr>
          <w:rStyle w:val="FootnoteReference"/>
          <w:rFonts w:cs="Times New Roman"/>
          <w:szCs w:val="22"/>
          <w:lang w:eastAsia="en-GB"/>
        </w:rPr>
        <w:footnoteReference w:id="158"/>
      </w:r>
      <w:r w:rsidR="003F5E85" w:rsidRPr="007C271A">
        <w:rPr>
          <w:rFonts w:ascii="Times New Roman" w:hAnsi="Times New Roman" w:cs="Times New Roman"/>
          <w:sz w:val="22"/>
          <w:szCs w:val="22"/>
          <w:lang w:eastAsia="en-GB"/>
        </w:rPr>
        <w:t xml:space="preserve"> It is nevertheless unclear to what extent local input, where </w:t>
      </w:r>
      <w:r w:rsidR="00AE0DE4" w:rsidRPr="007C271A">
        <w:rPr>
          <w:rFonts w:ascii="Times New Roman" w:hAnsi="Times New Roman" w:cs="Times New Roman"/>
          <w:sz w:val="22"/>
          <w:szCs w:val="22"/>
          <w:lang w:eastAsia="en-GB"/>
        </w:rPr>
        <w:t xml:space="preserve">empowered </w:t>
      </w:r>
      <w:r w:rsidR="003F5E85" w:rsidRPr="007C271A">
        <w:rPr>
          <w:rFonts w:ascii="Times New Roman" w:hAnsi="Times New Roman" w:cs="Times New Roman"/>
          <w:sz w:val="22"/>
          <w:szCs w:val="22"/>
          <w:lang w:eastAsia="en-GB"/>
        </w:rPr>
        <w:t xml:space="preserve">persons identify the vital core, is utilised in determining what QIPs </w:t>
      </w:r>
      <w:r w:rsidR="00B76639" w:rsidRPr="007C271A">
        <w:rPr>
          <w:rFonts w:ascii="Times New Roman" w:hAnsi="Times New Roman" w:cs="Times New Roman"/>
          <w:sz w:val="22"/>
          <w:szCs w:val="22"/>
          <w:lang w:eastAsia="en-GB"/>
        </w:rPr>
        <w:t>the mission will</w:t>
      </w:r>
      <w:r w:rsidR="003F5E85" w:rsidRPr="007C271A">
        <w:rPr>
          <w:rFonts w:ascii="Times New Roman" w:hAnsi="Times New Roman" w:cs="Times New Roman"/>
          <w:sz w:val="22"/>
          <w:szCs w:val="22"/>
          <w:lang w:eastAsia="en-GB"/>
        </w:rPr>
        <w:t xml:space="preserve"> implement. For example, the UN</w:t>
      </w:r>
      <w:r w:rsidR="00ED1CC7">
        <w:rPr>
          <w:rFonts w:ascii="Times New Roman" w:hAnsi="Times New Roman" w:cs="Times New Roman"/>
          <w:sz w:val="22"/>
          <w:szCs w:val="22"/>
          <w:lang w:eastAsia="en-GB"/>
        </w:rPr>
        <w:t xml:space="preserve"> reporting</w:t>
      </w:r>
      <w:r w:rsidR="003F5E85" w:rsidRPr="007C271A">
        <w:rPr>
          <w:rFonts w:ascii="Times New Roman" w:hAnsi="Times New Roman" w:cs="Times New Roman"/>
          <w:sz w:val="22"/>
          <w:szCs w:val="22"/>
          <w:lang w:eastAsia="en-GB"/>
        </w:rPr>
        <w:t xml:space="preserve"> does not elaborate on whether local people in the fourth district of Bangui requested the mission to construct a sports and cultural centre for the youth</w:t>
      </w:r>
      <w:r w:rsidR="00594830" w:rsidRPr="007C271A">
        <w:rPr>
          <w:rFonts w:ascii="Times New Roman" w:hAnsi="Times New Roman" w:cs="Times New Roman"/>
          <w:sz w:val="22"/>
          <w:szCs w:val="22"/>
          <w:lang w:eastAsia="en-GB"/>
        </w:rPr>
        <w:t>, which forms one such QIP</w:t>
      </w:r>
      <w:r w:rsidR="003F5E85" w:rsidRPr="007C271A">
        <w:rPr>
          <w:rFonts w:ascii="Times New Roman" w:hAnsi="Times New Roman" w:cs="Times New Roman"/>
          <w:sz w:val="22"/>
          <w:szCs w:val="22"/>
          <w:lang w:eastAsia="en-GB"/>
        </w:rPr>
        <w:t>.</w:t>
      </w:r>
      <w:r w:rsidR="003F5E85" w:rsidRPr="007C271A">
        <w:rPr>
          <w:rStyle w:val="FootnoteReference"/>
          <w:rFonts w:cs="Times New Roman"/>
          <w:szCs w:val="22"/>
          <w:lang w:eastAsia="en-GB"/>
        </w:rPr>
        <w:footnoteReference w:id="159"/>
      </w:r>
      <w:r w:rsidR="003F5E85" w:rsidRPr="007C271A">
        <w:rPr>
          <w:rFonts w:ascii="Times New Roman" w:hAnsi="Times New Roman" w:cs="Times New Roman"/>
          <w:sz w:val="22"/>
          <w:szCs w:val="22"/>
          <w:lang w:eastAsia="en-GB"/>
        </w:rPr>
        <w:t xml:space="preserve"> Going forward, the UN’s empowerment strategy will need </w:t>
      </w:r>
      <w:r w:rsidR="00820676" w:rsidRPr="007C271A">
        <w:rPr>
          <w:rFonts w:ascii="Times New Roman" w:hAnsi="Times New Roman" w:cs="Times New Roman"/>
          <w:sz w:val="22"/>
          <w:szCs w:val="22"/>
          <w:lang w:eastAsia="en-GB"/>
        </w:rPr>
        <w:t xml:space="preserve">more transparent reporting and would benefit from an overarching policy to guide the implementation of a mandate which calls for meaningful engagement with local populations. The Security Council in particular will need to </w:t>
      </w:r>
      <w:r w:rsidR="00513B01" w:rsidRPr="007C271A">
        <w:rPr>
          <w:rFonts w:ascii="Times New Roman" w:hAnsi="Times New Roman" w:cs="Times New Roman"/>
          <w:sz w:val="22"/>
          <w:szCs w:val="22"/>
          <w:lang w:eastAsia="en-GB"/>
        </w:rPr>
        <w:t xml:space="preserve">provide space for local views to be listened to and acted upon for the UN to assist with </w:t>
      </w:r>
      <w:r w:rsidR="00022976">
        <w:rPr>
          <w:rFonts w:ascii="Times New Roman" w:hAnsi="Times New Roman" w:cs="Times New Roman"/>
          <w:sz w:val="22"/>
          <w:szCs w:val="22"/>
          <w:lang w:eastAsia="en-GB"/>
        </w:rPr>
        <w:t xml:space="preserve">building </w:t>
      </w:r>
      <w:r w:rsidR="00513B01" w:rsidRPr="007C271A">
        <w:rPr>
          <w:rFonts w:ascii="Times New Roman" w:hAnsi="Times New Roman" w:cs="Times New Roman"/>
          <w:sz w:val="22"/>
          <w:szCs w:val="22"/>
          <w:lang w:eastAsia="en-GB"/>
        </w:rPr>
        <w:t>a truly bottom-up peace.</w:t>
      </w:r>
    </w:p>
    <w:p w14:paraId="10890285" w14:textId="2680F216" w:rsidR="00B23377" w:rsidRPr="007C271A" w:rsidRDefault="004C24A7" w:rsidP="003271C1">
      <w:pPr>
        <w:spacing w:line="360" w:lineRule="auto"/>
        <w:jc w:val="both"/>
        <w:rPr>
          <w:rFonts w:ascii="Times New Roman" w:hAnsi="Times New Roman" w:cs="Times New Roman"/>
          <w:bCs/>
          <w:sz w:val="22"/>
          <w:szCs w:val="22"/>
          <w:lang w:eastAsia="en-GB"/>
        </w:rPr>
      </w:pPr>
      <w:r w:rsidRPr="007C271A">
        <w:rPr>
          <w:rFonts w:ascii="Times New Roman" w:hAnsi="Times New Roman" w:cs="Times New Roman"/>
          <w:sz w:val="22"/>
          <w:szCs w:val="22"/>
          <w:lang w:eastAsia="en-GB"/>
        </w:rPr>
        <w:tab/>
      </w:r>
      <w:r w:rsidR="008D3708">
        <w:rPr>
          <w:rFonts w:ascii="Times New Roman" w:hAnsi="Times New Roman" w:cs="Times New Roman"/>
          <w:sz w:val="22"/>
          <w:szCs w:val="22"/>
          <w:lang w:eastAsia="en-GB"/>
        </w:rPr>
        <w:t>M</w:t>
      </w:r>
      <w:r w:rsidRPr="007C271A">
        <w:rPr>
          <w:rFonts w:ascii="Times New Roman" w:hAnsi="Times New Roman" w:cs="Times New Roman"/>
          <w:sz w:val="22"/>
          <w:szCs w:val="22"/>
          <w:lang w:eastAsia="en-GB"/>
        </w:rPr>
        <w:t>ilitarisation</w:t>
      </w:r>
      <w:r w:rsidR="008D3708">
        <w:rPr>
          <w:rFonts w:ascii="Times New Roman" w:hAnsi="Times New Roman" w:cs="Times New Roman"/>
          <w:sz w:val="22"/>
          <w:szCs w:val="22"/>
          <w:lang w:eastAsia="en-GB"/>
        </w:rPr>
        <w:t xml:space="preserve"> within UN stabilisation mission</w:t>
      </w:r>
      <w:r w:rsidR="000D7112">
        <w:rPr>
          <w:rFonts w:ascii="Times New Roman" w:hAnsi="Times New Roman" w:cs="Times New Roman"/>
          <w:sz w:val="22"/>
          <w:szCs w:val="22"/>
          <w:lang w:eastAsia="en-GB"/>
        </w:rPr>
        <w:t>s</w:t>
      </w:r>
      <w:r w:rsidR="008D3708">
        <w:rPr>
          <w:rFonts w:ascii="Times New Roman" w:hAnsi="Times New Roman" w:cs="Times New Roman"/>
          <w:sz w:val="22"/>
          <w:szCs w:val="22"/>
          <w:lang w:eastAsia="en-GB"/>
        </w:rPr>
        <w:t xml:space="preserve"> </w:t>
      </w:r>
      <w:r w:rsidRPr="007C271A">
        <w:rPr>
          <w:rFonts w:ascii="Times New Roman" w:hAnsi="Times New Roman" w:cs="Times New Roman"/>
          <w:sz w:val="22"/>
          <w:szCs w:val="22"/>
          <w:lang w:eastAsia="en-GB"/>
        </w:rPr>
        <w:t xml:space="preserve">is </w:t>
      </w:r>
      <w:r w:rsidR="008D3708">
        <w:rPr>
          <w:rFonts w:ascii="Times New Roman" w:hAnsi="Times New Roman" w:cs="Times New Roman"/>
          <w:sz w:val="22"/>
          <w:szCs w:val="22"/>
          <w:lang w:eastAsia="en-GB"/>
        </w:rPr>
        <w:t xml:space="preserve">a trend </w:t>
      </w:r>
      <w:r w:rsidRPr="007C271A">
        <w:rPr>
          <w:rFonts w:ascii="Times New Roman" w:hAnsi="Times New Roman" w:cs="Times New Roman"/>
          <w:sz w:val="22"/>
          <w:szCs w:val="22"/>
          <w:lang w:eastAsia="en-GB"/>
        </w:rPr>
        <w:t xml:space="preserve">which many texts have discussed and </w:t>
      </w:r>
      <w:r w:rsidR="004112B0" w:rsidRPr="007C271A">
        <w:rPr>
          <w:rFonts w:ascii="Times New Roman" w:hAnsi="Times New Roman" w:cs="Times New Roman"/>
          <w:sz w:val="22"/>
          <w:szCs w:val="22"/>
          <w:lang w:eastAsia="en-GB"/>
        </w:rPr>
        <w:t xml:space="preserve">undoubtedly </w:t>
      </w:r>
      <w:r w:rsidRPr="007C271A">
        <w:rPr>
          <w:rFonts w:ascii="Times New Roman" w:hAnsi="Times New Roman" w:cs="Times New Roman"/>
          <w:sz w:val="22"/>
          <w:szCs w:val="22"/>
          <w:lang w:eastAsia="en-GB"/>
        </w:rPr>
        <w:t xml:space="preserve">will expand on in the future. For the purposes of this article it will be outlined how militarisation can undermine the UN’s </w:t>
      </w:r>
      <w:r w:rsidR="004112B0" w:rsidRPr="007C271A">
        <w:rPr>
          <w:rFonts w:ascii="Times New Roman" w:hAnsi="Times New Roman" w:cs="Times New Roman"/>
          <w:sz w:val="22"/>
          <w:szCs w:val="22"/>
          <w:lang w:eastAsia="en-GB"/>
        </w:rPr>
        <w:t xml:space="preserve">human security-related </w:t>
      </w:r>
      <w:r w:rsidRPr="007C271A">
        <w:rPr>
          <w:rFonts w:ascii="Times New Roman" w:hAnsi="Times New Roman" w:cs="Times New Roman"/>
          <w:sz w:val="22"/>
          <w:szCs w:val="22"/>
          <w:lang w:eastAsia="en-GB"/>
        </w:rPr>
        <w:t xml:space="preserve">efforts but that is not to say </w:t>
      </w:r>
      <w:r w:rsidR="00AE0DE4" w:rsidRPr="007C271A">
        <w:rPr>
          <w:rFonts w:ascii="Times New Roman" w:hAnsi="Times New Roman" w:cs="Times New Roman"/>
          <w:sz w:val="22"/>
          <w:szCs w:val="22"/>
          <w:lang w:eastAsia="en-GB"/>
        </w:rPr>
        <w:t>it</w:t>
      </w:r>
      <w:r w:rsidRPr="007C271A">
        <w:rPr>
          <w:rFonts w:ascii="Times New Roman" w:hAnsi="Times New Roman" w:cs="Times New Roman"/>
          <w:sz w:val="22"/>
          <w:szCs w:val="22"/>
          <w:lang w:eastAsia="en-GB"/>
        </w:rPr>
        <w:t xml:space="preserve"> is the only negative associated with militarisation or indeed that there are no positives.</w:t>
      </w:r>
      <w:r w:rsidRPr="007C271A">
        <w:rPr>
          <w:rStyle w:val="FootnoteReference"/>
          <w:rFonts w:cs="Times New Roman"/>
          <w:szCs w:val="22"/>
          <w:lang w:eastAsia="en-GB"/>
        </w:rPr>
        <w:footnoteReference w:id="160"/>
      </w:r>
      <w:r w:rsidR="004112B0" w:rsidRPr="007C271A">
        <w:rPr>
          <w:rFonts w:ascii="Times New Roman" w:hAnsi="Times New Roman" w:cs="Times New Roman"/>
          <w:sz w:val="22"/>
          <w:szCs w:val="22"/>
          <w:lang w:eastAsia="en-GB"/>
        </w:rPr>
        <w:t xml:space="preserve"> </w:t>
      </w:r>
      <w:r w:rsidR="00AE0DE4" w:rsidRPr="007C271A">
        <w:rPr>
          <w:rFonts w:ascii="Times New Roman" w:hAnsi="Times New Roman" w:cs="Times New Roman"/>
          <w:sz w:val="22"/>
          <w:szCs w:val="22"/>
          <w:lang w:eastAsia="en-GB"/>
        </w:rPr>
        <w:t>What is clear in MINUSCA is a preoccupation with</w:t>
      </w:r>
      <w:r w:rsidR="00B23377" w:rsidRPr="007C271A">
        <w:rPr>
          <w:rFonts w:ascii="Times New Roman" w:hAnsi="Times New Roman" w:cs="Times New Roman"/>
          <w:sz w:val="22"/>
          <w:szCs w:val="22"/>
          <w:lang w:eastAsia="en-GB"/>
        </w:rPr>
        <w:t xml:space="preserve"> providing robust responses to provide</w:t>
      </w:r>
      <w:r w:rsidR="00AE0DE4" w:rsidRPr="007C271A">
        <w:rPr>
          <w:rFonts w:ascii="Times New Roman" w:hAnsi="Times New Roman" w:cs="Times New Roman"/>
          <w:sz w:val="22"/>
          <w:szCs w:val="22"/>
          <w:lang w:eastAsia="en-GB"/>
        </w:rPr>
        <w:t xml:space="preserve"> </w:t>
      </w:r>
      <w:r w:rsidR="00AE0DE4" w:rsidRPr="007C271A">
        <w:rPr>
          <w:rFonts w:ascii="Times New Roman" w:hAnsi="Times New Roman" w:cs="Times New Roman"/>
          <w:i/>
          <w:sz w:val="22"/>
          <w:szCs w:val="22"/>
          <w:lang w:eastAsia="en-GB"/>
        </w:rPr>
        <w:t>physical</w:t>
      </w:r>
      <w:r w:rsidR="00AE0DE4" w:rsidRPr="007C271A">
        <w:rPr>
          <w:rFonts w:ascii="Times New Roman" w:hAnsi="Times New Roman" w:cs="Times New Roman"/>
          <w:sz w:val="22"/>
          <w:szCs w:val="22"/>
          <w:lang w:eastAsia="en-GB"/>
        </w:rPr>
        <w:t xml:space="preserve"> protection. MINUSCA has not primarily concerned itself with broader facets of human security</w:t>
      </w:r>
      <w:r w:rsidR="00594830" w:rsidRPr="007C271A">
        <w:rPr>
          <w:rFonts w:ascii="Times New Roman" w:hAnsi="Times New Roman" w:cs="Times New Roman"/>
          <w:sz w:val="22"/>
          <w:szCs w:val="22"/>
          <w:lang w:eastAsia="en-GB"/>
        </w:rPr>
        <w:t xml:space="preserve">-based protections </w:t>
      </w:r>
      <w:r w:rsidR="00AE0DE4" w:rsidRPr="007C271A">
        <w:rPr>
          <w:rFonts w:ascii="Times New Roman" w:hAnsi="Times New Roman" w:cs="Times New Roman"/>
          <w:sz w:val="22"/>
          <w:szCs w:val="22"/>
          <w:lang w:eastAsia="en-GB"/>
        </w:rPr>
        <w:t xml:space="preserve">such as environmental degradation, health threats or economic harm etc. In trying </w:t>
      </w:r>
      <w:r w:rsidR="0022687D">
        <w:rPr>
          <w:rFonts w:ascii="Times New Roman" w:hAnsi="Times New Roman" w:cs="Times New Roman"/>
          <w:sz w:val="22"/>
          <w:szCs w:val="22"/>
          <w:lang w:eastAsia="en-GB"/>
        </w:rPr>
        <w:t xml:space="preserve">to </w:t>
      </w:r>
      <w:r w:rsidR="00AE0DE4" w:rsidRPr="007C271A">
        <w:rPr>
          <w:rFonts w:ascii="Times New Roman" w:hAnsi="Times New Roman" w:cs="Times New Roman"/>
          <w:sz w:val="22"/>
          <w:szCs w:val="22"/>
          <w:lang w:eastAsia="en-GB"/>
        </w:rPr>
        <w:t xml:space="preserve">achieve an absence </w:t>
      </w:r>
      <w:r w:rsidR="00AE0DE4" w:rsidRPr="007C271A">
        <w:rPr>
          <w:rFonts w:ascii="Times New Roman" w:hAnsi="Times New Roman" w:cs="Times New Roman"/>
          <w:sz w:val="22"/>
          <w:szCs w:val="22"/>
          <w:lang w:eastAsia="en-GB"/>
        </w:rPr>
        <w:lastRenderedPageBreak/>
        <w:t xml:space="preserve">of physical harm the UN has adopted a highly militarised </w:t>
      </w:r>
      <w:r w:rsidR="00B23377" w:rsidRPr="007C271A">
        <w:rPr>
          <w:rFonts w:ascii="Times New Roman" w:hAnsi="Times New Roman" w:cs="Times New Roman"/>
          <w:sz w:val="22"/>
          <w:szCs w:val="22"/>
          <w:lang w:eastAsia="en-GB"/>
        </w:rPr>
        <w:t xml:space="preserve">and robust </w:t>
      </w:r>
      <w:r w:rsidR="00AE0DE4" w:rsidRPr="007C271A">
        <w:rPr>
          <w:rFonts w:ascii="Times New Roman" w:hAnsi="Times New Roman" w:cs="Times New Roman"/>
          <w:sz w:val="22"/>
          <w:szCs w:val="22"/>
          <w:lang w:eastAsia="en-GB"/>
        </w:rPr>
        <w:t xml:space="preserve">stance. </w:t>
      </w:r>
      <w:r w:rsidR="00B23377" w:rsidRPr="007C271A">
        <w:rPr>
          <w:rFonts w:ascii="Times New Roman" w:hAnsi="Times New Roman" w:cs="Times New Roman"/>
          <w:sz w:val="22"/>
          <w:szCs w:val="22"/>
          <w:lang w:eastAsia="en-GB"/>
        </w:rPr>
        <w:t xml:space="preserve">Pugh has noted how a robust posture </w:t>
      </w:r>
      <w:r w:rsidR="00B23377" w:rsidRPr="007C271A">
        <w:rPr>
          <w:rFonts w:ascii="Times New Roman" w:hAnsi="Times New Roman" w:cs="Times New Roman"/>
          <w:bCs/>
          <w:sz w:val="22"/>
          <w:szCs w:val="22"/>
          <w:lang w:eastAsia="en-GB"/>
        </w:rPr>
        <w:t>can lead to a preoccupation with force protection and a fortress culture surrounding UN bases as has been seen in the UN Mission in South Sudan (UNMISS).</w:t>
      </w:r>
      <w:r w:rsidR="00B23377" w:rsidRPr="007C271A">
        <w:rPr>
          <w:rFonts w:ascii="Times New Roman" w:hAnsi="Times New Roman" w:cs="Times New Roman"/>
          <w:bCs/>
          <w:sz w:val="22"/>
          <w:szCs w:val="22"/>
          <w:vertAlign w:val="superscript"/>
          <w:lang w:eastAsia="en-GB"/>
        </w:rPr>
        <w:footnoteReference w:id="161"/>
      </w:r>
      <w:r w:rsidR="00B23377" w:rsidRPr="007C271A">
        <w:rPr>
          <w:rFonts w:ascii="Times New Roman" w:hAnsi="Times New Roman" w:cs="Times New Roman"/>
          <w:bCs/>
          <w:sz w:val="22"/>
          <w:szCs w:val="22"/>
          <w:lang w:eastAsia="en-GB"/>
        </w:rPr>
        <w:t xml:space="preserve"> </w:t>
      </w:r>
      <w:r w:rsidR="00723642">
        <w:rPr>
          <w:rFonts w:ascii="Times New Roman" w:hAnsi="Times New Roman" w:cs="Times New Roman"/>
          <w:bCs/>
          <w:sz w:val="22"/>
          <w:szCs w:val="22"/>
          <w:lang w:eastAsia="en-GB"/>
        </w:rPr>
        <w:t>MINUSCA</w:t>
      </w:r>
      <w:r w:rsidR="00B23377" w:rsidRPr="007C271A">
        <w:rPr>
          <w:rFonts w:ascii="Times New Roman" w:hAnsi="Times New Roman" w:cs="Times New Roman"/>
          <w:bCs/>
          <w:sz w:val="22"/>
          <w:szCs w:val="22"/>
          <w:lang w:eastAsia="en-GB"/>
        </w:rPr>
        <w:t xml:space="preserve"> though </w:t>
      </w:r>
      <w:r w:rsidR="00723642">
        <w:rPr>
          <w:rFonts w:ascii="Times New Roman" w:hAnsi="Times New Roman" w:cs="Times New Roman"/>
          <w:bCs/>
          <w:sz w:val="22"/>
          <w:szCs w:val="22"/>
          <w:lang w:eastAsia="en-GB"/>
        </w:rPr>
        <w:t>is</w:t>
      </w:r>
      <w:r w:rsidR="00B23377" w:rsidRPr="007C271A">
        <w:rPr>
          <w:rFonts w:ascii="Times New Roman" w:hAnsi="Times New Roman" w:cs="Times New Roman"/>
          <w:bCs/>
          <w:sz w:val="22"/>
          <w:szCs w:val="22"/>
          <w:lang w:eastAsia="en-GB"/>
        </w:rPr>
        <w:t xml:space="preserve"> different. When MINUSCA deployed the host state had little control beyond Bangui and a robust, highly militarised posture was needed to deflect armed groups as the host state, with the support of the mission, extended state authority beyond the capital. </w:t>
      </w:r>
    </w:p>
    <w:p w14:paraId="6E8D8EE8" w14:textId="7D0A477F" w:rsidR="005B7F31" w:rsidRPr="007C271A" w:rsidRDefault="005B7F31" w:rsidP="003271C1">
      <w:pPr>
        <w:spacing w:line="360" w:lineRule="auto"/>
        <w:jc w:val="both"/>
        <w:rPr>
          <w:rFonts w:ascii="Times New Roman" w:hAnsi="Times New Roman" w:cs="Times New Roman"/>
          <w:bCs/>
          <w:sz w:val="22"/>
          <w:szCs w:val="22"/>
          <w:lang w:eastAsia="en-GB"/>
        </w:rPr>
      </w:pPr>
      <w:r w:rsidRPr="007C271A">
        <w:rPr>
          <w:rFonts w:ascii="Times New Roman" w:hAnsi="Times New Roman" w:cs="Times New Roman"/>
          <w:bCs/>
          <w:sz w:val="22"/>
          <w:szCs w:val="22"/>
          <w:lang w:eastAsia="en-GB"/>
        </w:rPr>
        <w:tab/>
        <w:t>It is true that this drive toward greater militarisation is in part at the request of African states. Officials from African states have suggested militarisation is a precondition to being able to provide adequate protection during current conflicts.</w:t>
      </w:r>
      <w:r w:rsidRPr="007C271A">
        <w:rPr>
          <w:rStyle w:val="FootnoteReference"/>
          <w:rFonts w:cs="Times New Roman"/>
          <w:bCs/>
          <w:szCs w:val="22"/>
          <w:lang w:eastAsia="en-GB"/>
        </w:rPr>
        <w:footnoteReference w:id="162"/>
      </w:r>
      <w:r w:rsidRPr="007C271A">
        <w:rPr>
          <w:rFonts w:ascii="Times New Roman" w:hAnsi="Times New Roman" w:cs="Times New Roman"/>
          <w:bCs/>
          <w:sz w:val="22"/>
          <w:szCs w:val="22"/>
          <w:lang w:eastAsia="en-GB"/>
        </w:rPr>
        <w:t xml:space="preserve"> </w:t>
      </w:r>
      <w:r w:rsidRPr="007C271A">
        <w:rPr>
          <w:rFonts w:ascii="Times New Roman" w:hAnsi="Times New Roman" w:cs="Times New Roman"/>
          <w:sz w:val="22"/>
          <w:szCs w:val="22"/>
        </w:rPr>
        <w:t>To demonstrate the current African appetite for peacekeeping, at the beginning of the 2000s African countries provided 27% of peacekeeping troops but today that number stands at 49% globally and 58% of the UN troops operating in Africa.</w:t>
      </w:r>
      <w:r w:rsidRPr="007C271A">
        <w:rPr>
          <w:rStyle w:val="FootnoteReference"/>
          <w:rFonts w:cs="Times New Roman"/>
          <w:szCs w:val="22"/>
        </w:rPr>
        <w:footnoteReference w:id="163"/>
      </w:r>
      <w:r w:rsidRPr="007C271A">
        <w:rPr>
          <w:rFonts w:ascii="Times New Roman" w:hAnsi="Times New Roman" w:cs="Times New Roman"/>
          <w:sz w:val="22"/>
          <w:szCs w:val="22"/>
        </w:rPr>
        <w:t xml:space="preserve"> Bode and </w:t>
      </w:r>
      <w:proofErr w:type="spellStart"/>
      <w:r w:rsidRPr="007C271A">
        <w:rPr>
          <w:rFonts w:ascii="Times New Roman" w:hAnsi="Times New Roman" w:cs="Times New Roman"/>
          <w:sz w:val="22"/>
          <w:szCs w:val="22"/>
        </w:rPr>
        <w:t>Kalsrud</w:t>
      </w:r>
      <w:proofErr w:type="spellEnd"/>
      <w:r w:rsidRPr="007C271A">
        <w:rPr>
          <w:rFonts w:ascii="Times New Roman" w:hAnsi="Times New Roman" w:cs="Times New Roman"/>
          <w:sz w:val="22"/>
          <w:szCs w:val="22"/>
        </w:rPr>
        <w:t xml:space="preserve"> have argued that greater African participation has meant a greater willingness to use force.</w:t>
      </w:r>
      <w:bookmarkStart w:id="31" w:name="_Ref12540335"/>
      <w:r w:rsidRPr="007C271A">
        <w:rPr>
          <w:rStyle w:val="FootnoteReference"/>
          <w:rFonts w:cs="Times New Roman"/>
          <w:szCs w:val="22"/>
        </w:rPr>
        <w:footnoteReference w:id="164"/>
      </w:r>
      <w:bookmarkEnd w:id="31"/>
      <w:r w:rsidRPr="007C271A">
        <w:rPr>
          <w:rFonts w:ascii="Times New Roman" w:hAnsi="Times New Roman" w:cs="Times New Roman"/>
          <w:sz w:val="22"/>
          <w:szCs w:val="22"/>
        </w:rPr>
        <w:t xml:space="preserve"> Increasingly, major TCCs to missions are neighbouring states</w:t>
      </w:r>
      <w:r w:rsidR="00AF3D87" w:rsidRPr="007C271A">
        <w:rPr>
          <w:rFonts w:ascii="Times New Roman" w:hAnsi="Times New Roman" w:cs="Times New Roman"/>
          <w:sz w:val="22"/>
          <w:szCs w:val="22"/>
        </w:rPr>
        <w:t xml:space="preserve">, </w:t>
      </w:r>
      <w:r w:rsidRPr="007C271A">
        <w:rPr>
          <w:rFonts w:ascii="Times New Roman" w:hAnsi="Times New Roman" w:cs="Times New Roman"/>
          <w:sz w:val="22"/>
          <w:szCs w:val="22"/>
        </w:rPr>
        <w:t xml:space="preserve">regional partners </w:t>
      </w:r>
      <w:r w:rsidR="00AF3D87" w:rsidRPr="007C271A">
        <w:rPr>
          <w:rFonts w:ascii="Times New Roman" w:hAnsi="Times New Roman" w:cs="Times New Roman"/>
          <w:sz w:val="22"/>
          <w:szCs w:val="22"/>
        </w:rPr>
        <w:t xml:space="preserve">or African Union members </w:t>
      </w:r>
      <w:r w:rsidRPr="007C271A">
        <w:rPr>
          <w:rFonts w:ascii="Times New Roman" w:hAnsi="Times New Roman" w:cs="Times New Roman"/>
          <w:sz w:val="22"/>
          <w:szCs w:val="22"/>
        </w:rPr>
        <w:t xml:space="preserve">who will have a number of vested interests in quelling </w:t>
      </w:r>
      <w:r w:rsidR="00AF3D87" w:rsidRPr="007C271A">
        <w:rPr>
          <w:rFonts w:ascii="Times New Roman" w:hAnsi="Times New Roman" w:cs="Times New Roman"/>
          <w:sz w:val="22"/>
          <w:szCs w:val="22"/>
        </w:rPr>
        <w:t xml:space="preserve">a </w:t>
      </w:r>
      <w:r w:rsidRPr="007C271A">
        <w:rPr>
          <w:rFonts w:ascii="Times New Roman" w:hAnsi="Times New Roman" w:cs="Times New Roman"/>
          <w:sz w:val="22"/>
          <w:szCs w:val="22"/>
        </w:rPr>
        <w:t xml:space="preserve">conflict swiftly. Reasons such as curtailing refugees </w:t>
      </w:r>
      <w:r w:rsidR="00AF3D87" w:rsidRPr="007C271A">
        <w:rPr>
          <w:rFonts w:ascii="Times New Roman" w:hAnsi="Times New Roman" w:cs="Times New Roman"/>
          <w:sz w:val="22"/>
          <w:szCs w:val="22"/>
        </w:rPr>
        <w:t xml:space="preserve">in the region </w:t>
      </w:r>
      <w:r w:rsidRPr="007C271A">
        <w:rPr>
          <w:rFonts w:ascii="Times New Roman" w:hAnsi="Times New Roman" w:cs="Times New Roman"/>
          <w:sz w:val="22"/>
          <w:szCs w:val="22"/>
        </w:rPr>
        <w:t xml:space="preserve">or preventing the disruption to trade give </w:t>
      </w:r>
      <w:r w:rsidR="00984260" w:rsidRPr="007C271A">
        <w:rPr>
          <w:rFonts w:ascii="Times New Roman" w:hAnsi="Times New Roman" w:cs="Times New Roman"/>
          <w:sz w:val="22"/>
          <w:szCs w:val="22"/>
        </w:rPr>
        <w:t>nearby states</w:t>
      </w:r>
      <w:r w:rsidRPr="007C271A">
        <w:rPr>
          <w:rFonts w:ascii="Times New Roman" w:hAnsi="Times New Roman" w:cs="Times New Roman"/>
          <w:sz w:val="22"/>
          <w:szCs w:val="22"/>
        </w:rPr>
        <w:t xml:space="preserve">, rightly or wrongly, reason to militarily involve themselves through </w:t>
      </w:r>
      <w:r w:rsidR="00A57FCF" w:rsidRPr="007C271A">
        <w:rPr>
          <w:rFonts w:ascii="Times New Roman" w:hAnsi="Times New Roman" w:cs="Times New Roman"/>
          <w:sz w:val="22"/>
          <w:szCs w:val="22"/>
        </w:rPr>
        <w:t>a</w:t>
      </w:r>
      <w:r w:rsidRPr="007C271A">
        <w:rPr>
          <w:rFonts w:ascii="Times New Roman" w:hAnsi="Times New Roman" w:cs="Times New Roman"/>
          <w:sz w:val="22"/>
          <w:szCs w:val="22"/>
        </w:rPr>
        <w:t xml:space="preserve"> UN</w:t>
      </w:r>
      <w:r w:rsidR="00A57FCF" w:rsidRPr="007C271A">
        <w:rPr>
          <w:rFonts w:ascii="Times New Roman" w:hAnsi="Times New Roman" w:cs="Times New Roman"/>
          <w:sz w:val="22"/>
          <w:szCs w:val="22"/>
        </w:rPr>
        <w:t xml:space="preserve"> mission</w:t>
      </w:r>
      <w:r w:rsidRPr="007C271A">
        <w:rPr>
          <w:rFonts w:ascii="Times New Roman" w:hAnsi="Times New Roman" w:cs="Times New Roman"/>
          <w:sz w:val="22"/>
          <w:szCs w:val="22"/>
        </w:rPr>
        <w:t>.</w:t>
      </w:r>
    </w:p>
    <w:p w14:paraId="6C2F40FA" w14:textId="6F4D487B" w:rsidR="00B23377" w:rsidRPr="007C271A" w:rsidRDefault="00B23377" w:rsidP="003271C1">
      <w:pPr>
        <w:spacing w:line="360" w:lineRule="auto"/>
        <w:jc w:val="both"/>
        <w:rPr>
          <w:rFonts w:ascii="Times New Roman" w:hAnsi="Times New Roman" w:cs="Times New Roman"/>
          <w:bCs/>
          <w:sz w:val="22"/>
          <w:szCs w:val="22"/>
          <w:lang w:eastAsia="en-GB"/>
        </w:rPr>
      </w:pPr>
      <w:r w:rsidRPr="007C271A">
        <w:rPr>
          <w:rFonts w:ascii="Times New Roman" w:hAnsi="Times New Roman" w:cs="Times New Roman"/>
          <w:bCs/>
          <w:sz w:val="22"/>
          <w:szCs w:val="22"/>
          <w:lang w:eastAsia="en-GB"/>
        </w:rPr>
        <w:tab/>
      </w:r>
      <w:r w:rsidR="00E60590" w:rsidRPr="007C271A">
        <w:rPr>
          <w:rFonts w:ascii="Times New Roman" w:hAnsi="Times New Roman" w:cs="Times New Roman"/>
          <w:bCs/>
          <w:sz w:val="22"/>
          <w:szCs w:val="22"/>
          <w:lang w:eastAsia="en-GB"/>
        </w:rPr>
        <w:t xml:space="preserve">A key risk of </w:t>
      </w:r>
      <w:r w:rsidR="005B7F31" w:rsidRPr="007C271A">
        <w:rPr>
          <w:rFonts w:ascii="Times New Roman" w:hAnsi="Times New Roman" w:cs="Times New Roman"/>
          <w:bCs/>
          <w:sz w:val="22"/>
          <w:szCs w:val="22"/>
          <w:lang w:eastAsia="en-GB"/>
        </w:rPr>
        <w:t xml:space="preserve">increased militarisation </w:t>
      </w:r>
      <w:r w:rsidR="00E60590" w:rsidRPr="007C271A">
        <w:rPr>
          <w:rFonts w:ascii="Times New Roman" w:hAnsi="Times New Roman" w:cs="Times New Roman"/>
          <w:bCs/>
          <w:sz w:val="22"/>
          <w:szCs w:val="22"/>
          <w:lang w:eastAsia="en-GB"/>
        </w:rPr>
        <w:t>is</w:t>
      </w:r>
      <w:r w:rsidRPr="007C271A">
        <w:rPr>
          <w:rFonts w:ascii="Times New Roman" w:hAnsi="Times New Roman" w:cs="Times New Roman"/>
          <w:bCs/>
          <w:sz w:val="22"/>
          <w:szCs w:val="22"/>
          <w:lang w:eastAsia="en-GB"/>
        </w:rPr>
        <w:t xml:space="preserve"> if missions such as MINUSCA proactively use force they risk intensifying violence and becoming a party to the conflict under international humanitarian law.</w:t>
      </w:r>
      <w:r w:rsidRPr="007C271A">
        <w:rPr>
          <w:rStyle w:val="FootnoteReference"/>
          <w:rFonts w:cs="Times New Roman"/>
          <w:bCs/>
          <w:szCs w:val="22"/>
          <w:lang w:eastAsia="en-GB"/>
        </w:rPr>
        <w:footnoteReference w:id="165"/>
      </w:r>
      <w:r w:rsidRPr="007C271A">
        <w:rPr>
          <w:rFonts w:ascii="Times New Roman" w:hAnsi="Times New Roman" w:cs="Times New Roman"/>
          <w:bCs/>
          <w:sz w:val="22"/>
          <w:szCs w:val="22"/>
          <w:lang w:eastAsia="en-GB"/>
        </w:rPr>
        <w:t xml:space="preserve"> The UN traditionally remains impartial and does not take sides in a conflict. However, with MINUSCA providing support to FACA and conducting joint operations there is the risk that the peacekeepers could lose their protections and be deemed combatants </w:t>
      </w:r>
      <w:r w:rsidR="00E60590" w:rsidRPr="007C271A">
        <w:rPr>
          <w:rFonts w:ascii="Times New Roman" w:hAnsi="Times New Roman" w:cs="Times New Roman"/>
          <w:bCs/>
          <w:sz w:val="22"/>
          <w:szCs w:val="22"/>
          <w:lang w:eastAsia="en-GB"/>
        </w:rPr>
        <w:t>where</w:t>
      </w:r>
      <w:r w:rsidRPr="007C271A">
        <w:rPr>
          <w:rFonts w:ascii="Times New Roman" w:hAnsi="Times New Roman" w:cs="Times New Roman"/>
          <w:bCs/>
          <w:sz w:val="22"/>
          <w:szCs w:val="22"/>
          <w:lang w:eastAsia="en-GB"/>
        </w:rPr>
        <w:t xml:space="preserve"> increasing levels of force are used against armed groups.</w:t>
      </w:r>
      <w:r w:rsidR="00594830" w:rsidRPr="007C271A">
        <w:rPr>
          <w:rStyle w:val="FootnoteReference"/>
          <w:rFonts w:cs="Times New Roman"/>
          <w:bCs/>
          <w:szCs w:val="22"/>
          <w:lang w:eastAsia="en-GB"/>
        </w:rPr>
        <w:footnoteReference w:id="166"/>
      </w:r>
      <w:r w:rsidRPr="007C271A">
        <w:rPr>
          <w:rFonts w:ascii="Times New Roman" w:hAnsi="Times New Roman" w:cs="Times New Roman"/>
          <w:bCs/>
          <w:sz w:val="22"/>
          <w:szCs w:val="22"/>
          <w:lang w:eastAsia="en-GB"/>
        </w:rPr>
        <w:t xml:space="preserve"> Another consequence of this is the potential for civilians to be harmed by an intensified conflict. If the UN engage armed groups on a more frequent basis there is the possibility of civilians being harmed as collateral </w:t>
      </w:r>
      <w:proofErr w:type="gramStart"/>
      <w:r w:rsidRPr="007C271A">
        <w:rPr>
          <w:rFonts w:ascii="Times New Roman" w:hAnsi="Times New Roman" w:cs="Times New Roman"/>
          <w:bCs/>
          <w:sz w:val="22"/>
          <w:szCs w:val="22"/>
          <w:lang w:eastAsia="en-GB"/>
        </w:rPr>
        <w:t>damage.</w:t>
      </w:r>
      <w:proofErr w:type="gramEnd"/>
      <w:r w:rsidRPr="007C271A">
        <w:rPr>
          <w:rFonts w:ascii="Times New Roman" w:hAnsi="Times New Roman" w:cs="Times New Roman"/>
          <w:bCs/>
          <w:sz w:val="22"/>
          <w:szCs w:val="22"/>
          <w:lang w:eastAsia="en-GB"/>
        </w:rPr>
        <w:t xml:space="preserve"> The use of robust force would then be counterproductive and undermine one of the core tenets of peacekeeping, the protection of civilians. The UN must balance the need to adopt a robust posture when countering well-armed, organised groups that pose a serious threat with the intensification of the conflict in mind.</w:t>
      </w:r>
    </w:p>
    <w:p w14:paraId="5DAEB25E" w14:textId="0EA6FC05" w:rsidR="00AE0DE4" w:rsidRPr="007C271A" w:rsidRDefault="00E60590" w:rsidP="003271C1">
      <w:pPr>
        <w:spacing w:line="360" w:lineRule="auto"/>
        <w:jc w:val="both"/>
        <w:rPr>
          <w:rFonts w:ascii="Times New Roman" w:hAnsi="Times New Roman" w:cs="Times New Roman"/>
          <w:bCs/>
          <w:sz w:val="22"/>
          <w:szCs w:val="22"/>
          <w:lang w:eastAsia="en-GB"/>
        </w:rPr>
      </w:pPr>
      <w:r w:rsidRPr="007C271A">
        <w:rPr>
          <w:rFonts w:ascii="Times New Roman" w:hAnsi="Times New Roman" w:cs="Times New Roman"/>
          <w:sz w:val="22"/>
          <w:szCs w:val="22"/>
          <w:lang w:eastAsia="en-GB"/>
        </w:rPr>
        <w:tab/>
        <w:t xml:space="preserve">On the point of impartiality, </w:t>
      </w:r>
      <w:r w:rsidRPr="007C271A">
        <w:rPr>
          <w:rFonts w:ascii="Times New Roman" w:hAnsi="Times New Roman" w:cs="Times New Roman"/>
          <w:bCs/>
          <w:sz w:val="22"/>
          <w:szCs w:val="22"/>
          <w:lang w:eastAsia="en-GB"/>
        </w:rPr>
        <w:t>Laurence states, “</w:t>
      </w:r>
      <w:r w:rsidRPr="007C271A">
        <w:rPr>
          <w:rFonts w:ascii="Times New Roman" w:hAnsi="Times New Roman" w:cs="Times New Roman"/>
          <w:bCs/>
          <w:sz w:val="22"/>
          <w:szCs w:val="22"/>
          <w:lang w:val="en-US" w:eastAsia="en-GB"/>
        </w:rPr>
        <w:t>UN peacekeepers can take forceful action and still be ‘impartial’ as long as they are advancing ostensibly universal goals, like promoting human rights.</w:t>
      </w:r>
      <w:r w:rsidRPr="007C271A">
        <w:rPr>
          <w:rFonts w:ascii="Times New Roman" w:hAnsi="Times New Roman" w:cs="Times New Roman"/>
          <w:bCs/>
          <w:sz w:val="22"/>
          <w:szCs w:val="22"/>
          <w:lang w:eastAsia="en-GB"/>
        </w:rPr>
        <w:t>”</w:t>
      </w:r>
      <w:r w:rsidRPr="007C271A">
        <w:rPr>
          <w:rFonts w:ascii="Times New Roman" w:hAnsi="Times New Roman" w:cs="Times New Roman"/>
          <w:bCs/>
          <w:sz w:val="22"/>
          <w:szCs w:val="22"/>
          <w:vertAlign w:val="superscript"/>
          <w:lang w:eastAsia="en-GB"/>
        </w:rPr>
        <w:footnoteReference w:id="167"/>
      </w:r>
      <w:r w:rsidRPr="007C271A">
        <w:rPr>
          <w:rFonts w:ascii="Times New Roman" w:hAnsi="Times New Roman" w:cs="Times New Roman"/>
          <w:bCs/>
          <w:sz w:val="22"/>
          <w:szCs w:val="22"/>
          <w:lang w:eastAsia="en-GB"/>
        </w:rPr>
        <w:t xml:space="preserve"> This may be the case where the UN is using force against spoilers in the protection of civilians. However, where the UN is seen to be training and operating alongside host state forces </w:t>
      </w:r>
      <w:r w:rsidRPr="007C271A">
        <w:rPr>
          <w:rFonts w:ascii="Times New Roman" w:hAnsi="Times New Roman" w:cs="Times New Roman"/>
          <w:bCs/>
          <w:sz w:val="22"/>
          <w:szCs w:val="22"/>
          <w:lang w:eastAsia="en-GB"/>
        </w:rPr>
        <w:lastRenderedPageBreak/>
        <w:t xml:space="preserve">impartiality becomes a thinly veiled perception. </w:t>
      </w:r>
      <w:proofErr w:type="spellStart"/>
      <w:r w:rsidRPr="007C271A">
        <w:rPr>
          <w:rFonts w:ascii="Times New Roman" w:hAnsi="Times New Roman" w:cs="Times New Roman"/>
          <w:bCs/>
          <w:sz w:val="22"/>
          <w:szCs w:val="22"/>
          <w:lang w:eastAsia="en-GB"/>
        </w:rPr>
        <w:t>Longobardo</w:t>
      </w:r>
      <w:proofErr w:type="spellEnd"/>
      <w:r w:rsidRPr="007C271A">
        <w:rPr>
          <w:rFonts w:ascii="Times New Roman" w:hAnsi="Times New Roman" w:cs="Times New Roman"/>
          <w:bCs/>
          <w:sz w:val="22"/>
          <w:szCs w:val="22"/>
          <w:lang w:eastAsia="en-GB"/>
        </w:rPr>
        <w:t xml:space="preserve"> has similarly argued robust missions are not impartial due to their active role in fighting armed groups.</w:t>
      </w:r>
      <w:r w:rsidRPr="007C271A">
        <w:rPr>
          <w:rFonts w:ascii="Times New Roman" w:hAnsi="Times New Roman" w:cs="Times New Roman"/>
          <w:bCs/>
          <w:sz w:val="22"/>
          <w:szCs w:val="22"/>
          <w:vertAlign w:val="superscript"/>
          <w:lang w:val="en-US" w:eastAsia="en-GB"/>
        </w:rPr>
        <w:footnoteReference w:id="168"/>
      </w:r>
      <w:r w:rsidRPr="007C271A">
        <w:rPr>
          <w:rFonts w:ascii="Times New Roman" w:hAnsi="Times New Roman" w:cs="Times New Roman"/>
          <w:bCs/>
          <w:sz w:val="22"/>
          <w:szCs w:val="22"/>
          <w:lang w:eastAsia="en-GB"/>
        </w:rPr>
        <w:t xml:space="preserve"> </w:t>
      </w:r>
      <w:r w:rsidR="00F27581">
        <w:rPr>
          <w:rFonts w:ascii="Times New Roman" w:hAnsi="Times New Roman" w:cs="Times New Roman"/>
          <w:bCs/>
          <w:sz w:val="22"/>
          <w:szCs w:val="22"/>
          <w:lang w:eastAsia="en-GB"/>
        </w:rPr>
        <w:t xml:space="preserve">There is a delicate balance to be struck between militarisation alongside the host state on the one hand and inclusive peacebuilding processes on the other. </w:t>
      </w:r>
      <w:r w:rsidRPr="007C271A">
        <w:rPr>
          <w:rFonts w:ascii="Times New Roman" w:hAnsi="Times New Roman" w:cs="Times New Roman"/>
          <w:bCs/>
          <w:sz w:val="22"/>
          <w:szCs w:val="22"/>
          <w:lang w:eastAsia="en-GB"/>
        </w:rPr>
        <w:t xml:space="preserve">The UN risks undermining its </w:t>
      </w:r>
      <w:r w:rsidR="00464EDE" w:rsidRPr="007C271A">
        <w:rPr>
          <w:rFonts w:ascii="Times New Roman" w:hAnsi="Times New Roman" w:cs="Times New Roman"/>
          <w:bCs/>
          <w:sz w:val="22"/>
          <w:szCs w:val="22"/>
          <w:lang w:eastAsia="en-GB"/>
        </w:rPr>
        <w:t xml:space="preserve">bottom-up </w:t>
      </w:r>
      <w:r w:rsidR="00221833" w:rsidRPr="007C271A">
        <w:rPr>
          <w:rFonts w:ascii="Times New Roman" w:hAnsi="Times New Roman" w:cs="Times New Roman"/>
          <w:bCs/>
          <w:sz w:val="22"/>
          <w:szCs w:val="22"/>
          <w:lang w:eastAsia="en-GB"/>
        </w:rPr>
        <w:t xml:space="preserve">empowerment work </w:t>
      </w:r>
      <w:r w:rsidR="00464EDE" w:rsidRPr="007C271A">
        <w:rPr>
          <w:rFonts w:ascii="Times New Roman" w:hAnsi="Times New Roman" w:cs="Times New Roman"/>
          <w:bCs/>
          <w:sz w:val="22"/>
          <w:szCs w:val="22"/>
          <w:lang w:eastAsia="en-GB"/>
        </w:rPr>
        <w:t>with</w:t>
      </w:r>
      <w:r w:rsidRPr="007C271A">
        <w:rPr>
          <w:rFonts w:ascii="Times New Roman" w:hAnsi="Times New Roman" w:cs="Times New Roman"/>
          <w:bCs/>
          <w:sz w:val="22"/>
          <w:szCs w:val="22"/>
          <w:lang w:eastAsia="en-GB"/>
        </w:rPr>
        <w:t xml:space="preserve"> communities </w:t>
      </w:r>
      <w:r w:rsidR="00464EDE" w:rsidRPr="007C271A">
        <w:rPr>
          <w:rFonts w:ascii="Times New Roman" w:hAnsi="Times New Roman" w:cs="Times New Roman"/>
          <w:bCs/>
          <w:sz w:val="22"/>
          <w:szCs w:val="22"/>
          <w:lang w:eastAsia="en-GB"/>
        </w:rPr>
        <w:t>to</w:t>
      </w:r>
      <w:r w:rsidRPr="007C271A">
        <w:rPr>
          <w:rFonts w:ascii="Times New Roman" w:hAnsi="Times New Roman" w:cs="Times New Roman"/>
          <w:bCs/>
          <w:sz w:val="22"/>
          <w:szCs w:val="22"/>
          <w:lang w:eastAsia="en-GB"/>
        </w:rPr>
        <w:t xml:space="preserve"> identify the vital core and </w:t>
      </w:r>
      <w:r w:rsidR="00464EDE" w:rsidRPr="007C271A">
        <w:rPr>
          <w:rFonts w:ascii="Times New Roman" w:hAnsi="Times New Roman" w:cs="Times New Roman"/>
          <w:bCs/>
          <w:sz w:val="22"/>
          <w:szCs w:val="22"/>
          <w:lang w:eastAsia="en-GB"/>
        </w:rPr>
        <w:t xml:space="preserve">security needs </w:t>
      </w:r>
      <w:r w:rsidRPr="007C271A">
        <w:rPr>
          <w:rFonts w:ascii="Times New Roman" w:hAnsi="Times New Roman" w:cs="Times New Roman"/>
          <w:bCs/>
          <w:sz w:val="22"/>
          <w:szCs w:val="22"/>
          <w:lang w:eastAsia="en-GB"/>
        </w:rPr>
        <w:t xml:space="preserve">where militarisation leads to robust force being used in a partial manner. </w:t>
      </w:r>
      <w:r w:rsidR="009B3E7B" w:rsidRPr="007C271A">
        <w:rPr>
          <w:rFonts w:ascii="Times New Roman" w:hAnsi="Times New Roman" w:cs="Times New Roman"/>
          <w:bCs/>
          <w:sz w:val="22"/>
          <w:szCs w:val="22"/>
          <w:lang w:eastAsia="en-GB"/>
        </w:rPr>
        <w:t xml:space="preserve">MINUSCA is mandated to support national reconciliation but where the mission is seen to be fighting an enemy alongside FACA there may be ethnic, religious, or </w:t>
      </w:r>
      <w:r w:rsidR="00ED3313" w:rsidRPr="007C271A">
        <w:rPr>
          <w:rFonts w:ascii="Times New Roman" w:hAnsi="Times New Roman" w:cs="Times New Roman"/>
          <w:bCs/>
          <w:sz w:val="22"/>
          <w:szCs w:val="22"/>
          <w:lang w:eastAsia="en-GB"/>
        </w:rPr>
        <w:t>other divisions, between communities that lead to the UN no longer being a trusted, impartial partner.</w:t>
      </w:r>
      <w:r w:rsidR="00F27581">
        <w:rPr>
          <w:rFonts w:ascii="Times New Roman" w:hAnsi="Times New Roman" w:cs="Times New Roman"/>
          <w:bCs/>
          <w:sz w:val="22"/>
          <w:szCs w:val="22"/>
          <w:lang w:eastAsia="en-GB"/>
        </w:rPr>
        <w:t xml:space="preserve"> Similarly, where conflict is intensified there is a risk that benefits of existing peacebuilding work may be lost.</w:t>
      </w:r>
    </w:p>
    <w:p w14:paraId="4A9B16AE" w14:textId="74D6613A" w:rsidR="007620B4" w:rsidRPr="007C271A" w:rsidRDefault="00AE0DE4" w:rsidP="003271C1">
      <w:pPr>
        <w:spacing w:line="360" w:lineRule="auto"/>
        <w:jc w:val="both"/>
        <w:rPr>
          <w:rFonts w:ascii="Times New Roman" w:hAnsi="Times New Roman" w:cs="Times New Roman"/>
          <w:sz w:val="22"/>
          <w:szCs w:val="22"/>
          <w:lang w:eastAsia="en-GB"/>
        </w:rPr>
      </w:pPr>
      <w:r w:rsidRPr="007C271A">
        <w:rPr>
          <w:rFonts w:ascii="Times New Roman" w:hAnsi="Times New Roman" w:cs="Times New Roman"/>
          <w:sz w:val="22"/>
          <w:szCs w:val="22"/>
          <w:lang w:eastAsia="en-GB"/>
        </w:rPr>
        <w:tab/>
      </w:r>
      <w:r w:rsidR="00464EDE" w:rsidRPr="007C271A">
        <w:rPr>
          <w:rFonts w:ascii="Times New Roman" w:hAnsi="Times New Roman" w:cs="Times New Roman"/>
          <w:sz w:val="22"/>
          <w:szCs w:val="22"/>
          <w:lang w:eastAsia="en-GB"/>
        </w:rPr>
        <w:t xml:space="preserve">To conclude this discussion on a </w:t>
      </w:r>
      <w:r w:rsidR="00ED3313" w:rsidRPr="007C271A">
        <w:rPr>
          <w:rFonts w:ascii="Times New Roman" w:hAnsi="Times New Roman" w:cs="Times New Roman"/>
          <w:sz w:val="22"/>
          <w:szCs w:val="22"/>
          <w:lang w:eastAsia="en-GB"/>
        </w:rPr>
        <w:t xml:space="preserve">slightly </w:t>
      </w:r>
      <w:r w:rsidR="00464EDE" w:rsidRPr="007C271A">
        <w:rPr>
          <w:rFonts w:ascii="Times New Roman" w:hAnsi="Times New Roman" w:cs="Times New Roman"/>
          <w:sz w:val="22"/>
          <w:szCs w:val="22"/>
          <w:lang w:eastAsia="en-GB"/>
        </w:rPr>
        <w:t>positive note</w:t>
      </w:r>
      <w:r w:rsidRPr="007C271A">
        <w:rPr>
          <w:rFonts w:ascii="Times New Roman" w:hAnsi="Times New Roman" w:cs="Times New Roman"/>
          <w:sz w:val="22"/>
          <w:szCs w:val="22"/>
          <w:lang w:eastAsia="en-GB"/>
        </w:rPr>
        <w:t xml:space="preserve">, the UN’s militarised protection strategy is framed </w:t>
      </w:r>
      <w:r w:rsidR="00ED3313" w:rsidRPr="007C271A">
        <w:rPr>
          <w:rFonts w:ascii="Times New Roman" w:hAnsi="Times New Roman" w:cs="Times New Roman"/>
          <w:sz w:val="22"/>
          <w:szCs w:val="22"/>
          <w:lang w:eastAsia="en-GB"/>
        </w:rPr>
        <w:t xml:space="preserve">by the organisation </w:t>
      </w:r>
      <w:r w:rsidRPr="007C271A">
        <w:rPr>
          <w:rFonts w:ascii="Times New Roman" w:hAnsi="Times New Roman" w:cs="Times New Roman"/>
          <w:sz w:val="22"/>
          <w:szCs w:val="22"/>
          <w:lang w:eastAsia="en-GB"/>
        </w:rPr>
        <w:t>as preventative and preventative protection is the emphasis of human security.</w:t>
      </w:r>
      <w:r w:rsidR="00ED3313" w:rsidRPr="007C271A">
        <w:rPr>
          <w:rFonts w:ascii="Times New Roman" w:hAnsi="Times New Roman" w:cs="Times New Roman"/>
          <w:sz w:val="22"/>
          <w:szCs w:val="22"/>
          <w:lang w:eastAsia="en-GB"/>
        </w:rPr>
        <w:t xml:space="preserve"> </w:t>
      </w:r>
      <w:r w:rsidR="00BB57D5" w:rsidRPr="007C271A">
        <w:rPr>
          <w:rFonts w:ascii="Times New Roman" w:hAnsi="Times New Roman" w:cs="Times New Roman"/>
          <w:sz w:val="22"/>
          <w:szCs w:val="22"/>
          <w:lang w:eastAsia="en-GB"/>
        </w:rPr>
        <w:t>For instance,</w:t>
      </w:r>
      <w:r w:rsidR="00ED3313" w:rsidRPr="007C271A">
        <w:rPr>
          <w:rFonts w:ascii="Times New Roman" w:hAnsi="Times New Roman" w:cs="Times New Roman"/>
          <w:sz w:val="22"/>
          <w:szCs w:val="22"/>
          <w:lang w:eastAsia="en-GB"/>
        </w:rPr>
        <w:t xml:space="preserve"> proactive patrolling</w:t>
      </w:r>
      <w:r w:rsidR="00BB57D5" w:rsidRPr="007C271A">
        <w:rPr>
          <w:rFonts w:ascii="Times New Roman" w:hAnsi="Times New Roman" w:cs="Times New Roman"/>
          <w:sz w:val="22"/>
          <w:szCs w:val="22"/>
          <w:lang w:eastAsia="en-GB"/>
        </w:rPr>
        <w:t xml:space="preserve"> conducted by MINUSCA</w:t>
      </w:r>
      <w:r w:rsidR="00ED3313" w:rsidRPr="007C271A">
        <w:rPr>
          <w:rFonts w:ascii="Times New Roman" w:hAnsi="Times New Roman" w:cs="Times New Roman"/>
          <w:sz w:val="22"/>
          <w:szCs w:val="22"/>
          <w:lang w:eastAsia="en-GB"/>
        </w:rPr>
        <w:t xml:space="preserve"> </w:t>
      </w:r>
      <w:r w:rsidR="00BB57D5" w:rsidRPr="007C271A">
        <w:rPr>
          <w:rFonts w:ascii="Times New Roman" w:hAnsi="Times New Roman" w:cs="Times New Roman"/>
          <w:sz w:val="22"/>
          <w:szCs w:val="22"/>
          <w:lang w:eastAsia="en-GB"/>
        </w:rPr>
        <w:t>is seen to be</w:t>
      </w:r>
      <w:r w:rsidR="00ED3313" w:rsidRPr="007C271A">
        <w:rPr>
          <w:rFonts w:ascii="Times New Roman" w:hAnsi="Times New Roman" w:cs="Times New Roman"/>
          <w:sz w:val="22"/>
          <w:szCs w:val="22"/>
          <w:lang w:eastAsia="en-GB"/>
        </w:rPr>
        <w:t xml:space="preserve"> preventative to demonstrate to armed groups that the peacekeepers can and will deter violence. </w:t>
      </w:r>
      <w:r w:rsidR="00BB57D5" w:rsidRPr="007C271A">
        <w:rPr>
          <w:rFonts w:ascii="Times New Roman" w:hAnsi="Times New Roman" w:cs="Times New Roman"/>
          <w:sz w:val="22"/>
          <w:szCs w:val="22"/>
          <w:lang w:eastAsia="en-GB"/>
        </w:rPr>
        <w:t>On a deeper level, w</w:t>
      </w:r>
      <w:r w:rsidR="00ED3313" w:rsidRPr="007C271A">
        <w:rPr>
          <w:rFonts w:ascii="Times New Roman" w:hAnsi="Times New Roman" w:cs="Times New Roman"/>
          <w:sz w:val="22"/>
          <w:szCs w:val="22"/>
          <w:lang w:eastAsia="en-GB"/>
        </w:rPr>
        <w:t xml:space="preserve">ith regards to sexual violence the UN has trained both its own </w:t>
      </w:r>
      <w:r w:rsidR="00BB57D5" w:rsidRPr="007C271A">
        <w:rPr>
          <w:rFonts w:ascii="Times New Roman" w:hAnsi="Times New Roman" w:cs="Times New Roman"/>
          <w:sz w:val="22"/>
          <w:szCs w:val="22"/>
          <w:lang w:eastAsia="en-GB"/>
        </w:rPr>
        <w:t>and host state</w:t>
      </w:r>
      <w:r w:rsidR="00ED3313" w:rsidRPr="007C271A">
        <w:rPr>
          <w:rFonts w:ascii="Times New Roman" w:hAnsi="Times New Roman" w:cs="Times New Roman"/>
          <w:sz w:val="22"/>
          <w:szCs w:val="22"/>
          <w:lang w:eastAsia="en-GB"/>
        </w:rPr>
        <w:t xml:space="preserve"> personnel in how to prevent sexual violence, and developed national policies with the government on preventative measures. </w:t>
      </w:r>
      <w:r w:rsidR="00221833" w:rsidRPr="007C271A">
        <w:rPr>
          <w:rFonts w:ascii="Times New Roman" w:hAnsi="Times New Roman" w:cs="Times New Roman"/>
          <w:sz w:val="22"/>
          <w:szCs w:val="22"/>
          <w:lang w:eastAsia="en-GB"/>
        </w:rPr>
        <w:t xml:space="preserve">However, a robust protection strategy is flawed in the sense that it addresses a narrow, militaristic notion of security. </w:t>
      </w:r>
      <w:r w:rsidR="00ED3313" w:rsidRPr="007C271A">
        <w:rPr>
          <w:rFonts w:ascii="Times New Roman" w:hAnsi="Times New Roman" w:cs="Times New Roman"/>
          <w:sz w:val="22"/>
          <w:szCs w:val="22"/>
          <w:lang w:eastAsia="en-GB"/>
        </w:rPr>
        <w:t xml:space="preserve">Robust patrols of heavily armed forces working in concert with </w:t>
      </w:r>
      <w:r w:rsidR="00221833" w:rsidRPr="007C271A">
        <w:rPr>
          <w:rFonts w:ascii="Times New Roman" w:hAnsi="Times New Roman" w:cs="Times New Roman"/>
          <w:sz w:val="22"/>
          <w:szCs w:val="22"/>
          <w:lang w:eastAsia="en-GB"/>
        </w:rPr>
        <w:t>newly-trained host state</w:t>
      </w:r>
      <w:r w:rsidR="00ED3313" w:rsidRPr="007C271A">
        <w:rPr>
          <w:rFonts w:ascii="Times New Roman" w:hAnsi="Times New Roman" w:cs="Times New Roman"/>
          <w:sz w:val="22"/>
          <w:szCs w:val="22"/>
          <w:lang w:eastAsia="en-GB"/>
        </w:rPr>
        <w:t xml:space="preserve"> forces </w:t>
      </w:r>
      <w:r w:rsidR="00221833" w:rsidRPr="007C271A">
        <w:rPr>
          <w:rFonts w:ascii="Times New Roman" w:hAnsi="Times New Roman" w:cs="Times New Roman"/>
          <w:sz w:val="22"/>
          <w:szCs w:val="22"/>
          <w:lang w:eastAsia="en-GB"/>
        </w:rPr>
        <w:t>will be able to</w:t>
      </w:r>
      <w:r w:rsidR="00ED3313" w:rsidRPr="007C271A">
        <w:rPr>
          <w:rFonts w:ascii="Times New Roman" w:hAnsi="Times New Roman" w:cs="Times New Roman"/>
          <w:sz w:val="22"/>
          <w:szCs w:val="22"/>
          <w:lang w:eastAsia="en-GB"/>
        </w:rPr>
        <w:t xml:space="preserve"> prevent some instances of sexual violence and deter armed groups but they cannot, on their own, take preventative action on </w:t>
      </w:r>
      <w:r w:rsidR="00221833" w:rsidRPr="007C271A">
        <w:rPr>
          <w:rFonts w:ascii="Times New Roman" w:hAnsi="Times New Roman" w:cs="Times New Roman"/>
          <w:sz w:val="22"/>
          <w:szCs w:val="22"/>
          <w:lang w:eastAsia="en-GB"/>
        </w:rPr>
        <w:t>other security concerns beyond physical protection</w:t>
      </w:r>
      <w:r w:rsidR="00ED3313" w:rsidRPr="007C271A">
        <w:rPr>
          <w:rFonts w:ascii="Times New Roman" w:hAnsi="Times New Roman" w:cs="Times New Roman"/>
          <w:sz w:val="22"/>
          <w:szCs w:val="22"/>
          <w:lang w:eastAsia="en-GB"/>
        </w:rPr>
        <w:t>.</w:t>
      </w:r>
    </w:p>
    <w:p w14:paraId="0D7539F7" w14:textId="77777777" w:rsidR="003271C1" w:rsidRPr="007C271A" w:rsidRDefault="003271C1" w:rsidP="003271C1">
      <w:pPr>
        <w:spacing w:line="360" w:lineRule="auto"/>
        <w:jc w:val="both"/>
        <w:rPr>
          <w:rFonts w:ascii="Times New Roman" w:hAnsi="Times New Roman" w:cs="Times New Roman"/>
          <w:sz w:val="22"/>
          <w:szCs w:val="22"/>
        </w:rPr>
      </w:pPr>
    </w:p>
    <w:p w14:paraId="68141444" w14:textId="61D3BE62" w:rsidR="00D13A1E" w:rsidRPr="007C271A" w:rsidRDefault="00D13A1E" w:rsidP="00D13A1E">
      <w:pPr>
        <w:pStyle w:val="ListParagraph"/>
        <w:numPr>
          <w:ilvl w:val="0"/>
          <w:numId w:val="1"/>
        </w:numPr>
        <w:spacing w:line="360" w:lineRule="auto"/>
        <w:jc w:val="both"/>
        <w:rPr>
          <w:rFonts w:ascii="Times New Roman" w:hAnsi="Times New Roman" w:cs="Times New Roman"/>
          <w:b/>
          <w:sz w:val="22"/>
          <w:szCs w:val="22"/>
        </w:rPr>
      </w:pPr>
      <w:r w:rsidRPr="007C271A">
        <w:rPr>
          <w:rFonts w:ascii="Times New Roman" w:hAnsi="Times New Roman" w:cs="Times New Roman"/>
          <w:b/>
          <w:sz w:val="22"/>
          <w:szCs w:val="22"/>
        </w:rPr>
        <w:t>Conclusion</w:t>
      </w:r>
    </w:p>
    <w:p w14:paraId="3319AD6C" w14:textId="77777777" w:rsidR="00221833" w:rsidRPr="007C271A" w:rsidRDefault="00221833" w:rsidP="00D13A1E">
      <w:pPr>
        <w:spacing w:line="360" w:lineRule="auto"/>
        <w:jc w:val="both"/>
        <w:rPr>
          <w:rFonts w:ascii="Times New Roman" w:hAnsi="Times New Roman" w:cs="Times New Roman"/>
          <w:b/>
          <w:sz w:val="22"/>
          <w:szCs w:val="22"/>
        </w:rPr>
      </w:pPr>
    </w:p>
    <w:p w14:paraId="2CE6A91D" w14:textId="07E723CD" w:rsidR="00BF1CAB" w:rsidRDefault="007A2341" w:rsidP="00E93E25">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lang w:eastAsia="en-GB"/>
        </w:rPr>
        <w:t xml:space="preserve">By applying an analytical framework </w:t>
      </w:r>
      <w:r w:rsidR="00B47DFE">
        <w:rPr>
          <w:rFonts w:ascii="Times New Roman" w:hAnsi="Times New Roman" w:cs="Times New Roman"/>
          <w:sz w:val="22"/>
          <w:szCs w:val="22"/>
          <w:lang w:eastAsia="en-GB"/>
        </w:rPr>
        <w:t>of</w:t>
      </w:r>
      <w:r w:rsidRPr="007C271A">
        <w:rPr>
          <w:rFonts w:ascii="Times New Roman" w:hAnsi="Times New Roman" w:cs="Times New Roman"/>
          <w:sz w:val="22"/>
          <w:szCs w:val="22"/>
          <w:lang w:eastAsia="en-GB"/>
        </w:rPr>
        <w:t xml:space="preserve"> human security this study has shown that MINUSCA has a clear focus on extending the authority of the state beyond Bangui, in particular with regard to the extension of the rule of law and rebuilding the justice system. MINUSCA has also supported a number of community-based initiatives both for consultation purposes and for empowering local communities to resolve their own security issues. </w:t>
      </w:r>
      <w:r w:rsidRPr="007C271A">
        <w:rPr>
          <w:rFonts w:ascii="Times New Roman" w:hAnsi="Times New Roman" w:cs="Times New Roman"/>
          <w:sz w:val="22"/>
          <w:szCs w:val="22"/>
        </w:rPr>
        <w:t>The UN, on some occasions, facilitates dialogue with civil society and local communities, but it is unclear to what extent the dialogue influences mission choices when approving projects and, at a higher level, the mission priorities as defined by the Security Council</w:t>
      </w:r>
      <w:r w:rsidRPr="007C271A">
        <w:rPr>
          <w:rFonts w:ascii="Times New Roman" w:hAnsi="Times New Roman" w:cs="Times New Roman"/>
          <w:sz w:val="22"/>
          <w:szCs w:val="22"/>
          <w:lang w:eastAsia="en-GB"/>
        </w:rPr>
        <w:t xml:space="preserve">. MINUSCA has become known for its use of robust force and has recently begun cooperating with </w:t>
      </w:r>
      <w:r w:rsidRPr="007C271A">
        <w:rPr>
          <w:rFonts w:ascii="Times New Roman" w:hAnsi="Times New Roman" w:cs="Times New Roman"/>
          <w:sz w:val="22"/>
          <w:szCs w:val="22"/>
        </w:rPr>
        <w:t xml:space="preserve">the CAR armed forces </w:t>
      </w:r>
      <w:r w:rsidRPr="007C271A">
        <w:rPr>
          <w:rFonts w:ascii="Times New Roman" w:hAnsi="Times New Roman" w:cs="Times New Roman"/>
          <w:sz w:val="22"/>
          <w:szCs w:val="22"/>
          <w:lang w:eastAsia="en-GB"/>
        </w:rPr>
        <w:t>which could have serious consequences.</w:t>
      </w:r>
      <w:r w:rsidRPr="007C271A">
        <w:rPr>
          <w:rFonts w:ascii="Times New Roman" w:hAnsi="Times New Roman" w:cs="Times New Roman"/>
          <w:sz w:val="22"/>
          <w:szCs w:val="22"/>
        </w:rPr>
        <w:t xml:space="preserve"> </w:t>
      </w:r>
      <w:r w:rsidR="00B04DB3">
        <w:rPr>
          <w:rFonts w:ascii="Times New Roman" w:hAnsi="Times New Roman" w:cs="Times New Roman"/>
          <w:sz w:val="22"/>
          <w:szCs w:val="22"/>
        </w:rPr>
        <w:t xml:space="preserve">The fact this study has relied solely upon UN documentation, mainly Secretary-General </w:t>
      </w:r>
      <w:proofErr w:type="gramStart"/>
      <w:r w:rsidR="00B04DB3">
        <w:rPr>
          <w:rFonts w:ascii="Times New Roman" w:hAnsi="Times New Roman" w:cs="Times New Roman"/>
          <w:sz w:val="22"/>
          <w:szCs w:val="22"/>
        </w:rPr>
        <w:t>reports</w:t>
      </w:r>
      <w:proofErr w:type="gramEnd"/>
      <w:r w:rsidR="00B04DB3">
        <w:rPr>
          <w:rFonts w:ascii="Times New Roman" w:hAnsi="Times New Roman" w:cs="Times New Roman"/>
          <w:sz w:val="22"/>
          <w:szCs w:val="22"/>
        </w:rPr>
        <w:t xml:space="preserve"> and Security Council meeting records, leaves open questions about whether there is any disparity between what is reported and what is occurring in the field. Particularly in relation to how field activities are fed up into the reports and framed by UN </w:t>
      </w:r>
      <w:r w:rsidR="00B04DB3">
        <w:rPr>
          <w:rFonts w:ascii="Times New Roman" w:hAnsi="Times New Roman" w:cs="Times New Roman"/>
          <w:sz w:val="22"/>
          <w:szCs w:val="22"/>
        </w:rPr>
        <w:lastRenderedPageBreak/>
        <w:t xml:space="preserve">officials. Future research could delve into this further and seek to uncover whether the way mission activities are framed </w:t>
      </w:r>
      <w:r w:rsidR="00595E8A">
        <w:rPr>
          <w:rFonts w:ascii="Times New Roman" w:hAnsi="Times New Roman" w:cs="Times New Roman"/>
          <w:sz w:val="22"/>
          <w:szCs w:val="22"/>
        </w:rPr>
        <w:t>is</w:t>
      </w:r>
      <w:r w:rsidR="00B04DB3">
        <w:rPr>
          <w:rFonts w:ascii="Times New Roman" w:hAnsi="Times New Roman" w:cs="Times New Roman"/>
          <w:sz w:val="22"/>
          <w:szCs w:val="22"/>
        </w:rPr>
        <w:t xml:space="preserve"> in fact </w:t>
      </w:r>
      <w:r w:rsidR="00595E8A">
        <w:rPr>
          <w:rFonts w:ascii="Times New Roman" w:hAnsi="Times New Roman" w:cs="Times New Roman"/>
          <w:sz w:val="22"/>
          <w:szCs w:val="22"/>
        </w:rPr>
        <w:t>a true representation</w:t>
      </w:r>
      <w:r w:rsidR="00B04DB3">
        <w:rPr>
          <w:rFonts w:ascii="Times New Roman" w:hAnsi="Times New Roman" w:cs="Times New Roman"/>
          <w:sz w:val="22"/>
          <w:szCs w:val="22"/>
        </w:rPr>
        <w:t xml:space="preserve"> of </w:t>
      </w:r>
      <w:r w:rsidR="008A07A4">
        <w:rPr>
          <w:rFonts w:ascii="Times New Roman" w:hAnsi="Times New Roman" w:cs="Times New Roman"/>
          <w:sz w:val="22"/>
          <w:szCs w:val="22"/>
        </w:rPr>
        <w:t xml:space="preserve">the </w:t>
      </w:r>
      <w:r w:rsidR="00595E8A">
        <w:rPr>
          <w:rFonts w:ascii="Times New Roman" w:hAnsi="Times New Roman" w:cs="Times New Roman"/>
          <w:sz w:val="22"/>
          <w:szCs w:val="22"/>
        </w:rPr>
        <w:t>work at mission-level.</w:t>
      </w:r>
    </w:p>
    <w:p w14:paraId="57519852" w14:textId="5342124A" w:rsidR="00347C78" w:rsidRPr="007C271A" w:rsidRDefault="00E93E25" w:rsidP="00E93E25">
      <w:pPr>
        <w:spacing w:line="360" w:lineRule="auto"/>
        <w:jc w:val="both"/>
        <w:rPr>
          <w:rFonts w:ascii="Times New Roman" w:hAnsi="Times New Roman" w:cs="Times New Roman"/>
          <w:sz w:val="22"/>
          <w:szCs w:val="22"/>
        </w:rPr>
      </w:pPr>
      <w:r w:rsidRPr="007C271A">
        <w:rPr>
          <w:rFonts w:ascii="Times New Roman" w:hAnsi="Times New Roman" w:cs="Times New Roman"/>
          <w:sz w:val="22"/>
          <w:szCs w:val="22"/>
        </w:rPr>
        <w:tab/>
      </w:r>
      <w:r w:rsidR="00595E8A">
        <w:rPr>
          <w:rFonts w:ascii="Times New Roman" w:hAnsi="Times New Roman" w:cs="Times New Roman"/>
          <w:sz w:val="22"/>
          <w:szCs w:val="22"/>
        </w:rPr>
        <w:t>Nevertheless, the reporting shows that</w:t>
      </w:r>
      <w:r w:rsidRPr="007C271A">
        <w:rPr>
          <w:rFonts w:ascii="Times New Roman" w:hAnsi="Times New Roman" w:cs="Times New Roman"/>
          <w:sz w:val="22"/>
          <w:szCs w:val="22"/>
        </w:rPr>
        <w:t xml:space="preserve"> competing interests in the mission mandate risk undermining each other</w:t>
      </w:r>
      <w:r w:rsidR="003271C1" w:rsidRPr="007C271A">
        <w:rPr>
          <w:rFonts w:ascii="Times New Roman" w:hAnsi="Times New Roman" w:cs="Times New Roman"/>
          <w:sz w:val="22"/>
          <w:szCs w:val="22"/>
        </w:rPr>
        <w:t xml:space="preserve"> where militarisation and cooperating with the host state forces have adverse effects on the UN’s ability to build peace at the local level, empower communities, and support national reconciliation.</w:t>
      </w:r>
      <w:r w:rsidRPr="007C271A">
        <w:rPr>
          <w:rFonts w:ascii="Times New Roman" w:hAnsi="Times New Roman" w:cs="Times New Roman"/>
          <w:sz w:val="22"/>
          <w:szCs w:val="22"/>
        </w:rPr>
        <w:t xml:space="preserve"> The UN will need to carefully consider how it wishes to proceed in future stabilization mandates to avoid a situation where </w:t>
      </w:r>
      <w:r w:rsidR="003364A9" w:rsidRPr="007C271A">
        <w:rPr>
          <w:rFonts w:ascii="Times New Roman" w:hAnsi="Times New Roman" w:cs="Times New Roman"/>
          <w:sz w:val="22"/>
          <w:szCs w:val="22"/>
        </w:rPr>
        <w:t>engaging in war-fighting against</w:t>
      </w:r>
      <w:r w:rsidRPr="007C271A">
        <w:rPr>
          <w:rFonts w:ascii="Times New Roman" w:hAnsi="Times New Roman" w:cs="Times New Roman"/>
          <w:sz w:val="22"/>
          <w:szCs w:val="22"/>
        </w:rPr>
        <w:t xml:space="preserve"> </w:t>
      </w:r>
      <w:r w:rsidR="003364A9" w:rsidRPr="007C271A">
        <w:rPr>
          <w:rFonts w:ascii="Times New Roman" w:hAnsi="Times New Roman" w:cs="Times New Roman"/>
          <w:sz w:val="22"/>
          <w:szCs w:val="22"/>
        </w:rPr>
        <w:t>spoilers</w:t>
      </w:r>
      <w:r w:rsidRPr="007C271A">
        <w:rPr>
          <w:rFonts w:ascii="Times New Roman" w:hAnsi="Times New Roman" w:cs="Times New Roman"/>
          <w:sz w:val="22"/>
          <w:szCs w:val="22"/>
        </w:rPr>
        <w:t xml:space="preserve"> or working closely alongside the state frustrates efforts to build an inclusive peace</w:t>
      </w:r>
      <w:r w:rsidR="003364A9" w:rsidRPr="007C271A">
        <w:rPr>
          <w:rFonts w:ascii="Times New Roman" w:hAnsi="Times New Roman" w:cs="Times New Roman"/>
          <w:sz w:val="22"/>
          <w:szCs w:val="22"/>
        </w:rPr>
        <w:t xml:space="preserve"> and build </w:t>
      </w:r>
      <w:r w:rsidR="00AE2C1D" w:rsidRPr="007C271A">
        <w:rPr>
          <w:rFonts w:ascii="Times New Roman" w:hAnsi="Times New Roman" w:cs="Times New Roman"/>
          <w:sz w:val="22"/>
          <w:szCs w:val="22"/>
        </w:rPr>
        <w:t>the capacity of</w:t>
      </w:r>
      <w:r w:rsidR="003364A9" w:rsidRPr="007C271A">
        <w:rPr>
          <w:rFonts w:ascii="Times New Roman" w:hAnsi="Times New Roman" w:cs="Times New Roman"/>
          <w:sz w:val="22"/>
          <w:szCs w:val="22"/>
        </w:rPr>
        <w:t xml:space="preserve"> communities</w:t>
      </w:r>
      <w:r w:rsidRPr="007C271A">
        <w:rPr>
          <w:rFonts w:ascii="Times New Roman" w:hAnsi="Times New Roman" w:cs="Times New Roman"/>
          <w:sz w:val="22"/>
          <w:szCs w:val="22"/>
        </w:rPr>
        <w:t xml:space="preserve">. </w:t>
      </w:r>
    </w:p>
    <w:p w14:paraId="3495AD9E" w14:textId="4D79B74F" w:rsidR="00B04DB3" w:rsidRDefault="00AD6843" w:rsidP="00B04DB3">
      <w:pPr>
        <w:spacing w:line="360" w:lineRule="auto"/>
        <w:jc w:val="both"/>
        <w:rPr>
          <w:rFonts w:ascii="Times New Roman" w:hAnsi="Times New Roman" w:cs="Times New Roman"/>
          <w:sz w:val="22"/>
          <w:szCs w:val="22"/>
        </w:rPr>
      </w:pPr>
      <w:r>
        <w:rPr>
          <w:rFonts w:ascii="Times New Roman" w:hAnsi="Times New Roman" w:cs="Times New Roman"/>
          <w:sz w:val="22"/>
          <w:szCs w:val="22"/>
        </w:rPr>
        <w:t>More work is needed</w:t>
      </w:r>
      <w:r w:rsidR="00595E8A" w:rsidRPr="007C271A">
        <w:rPr>
          <w:rFonts w:ascii="Times New Roman" w:hAnsi="Times New Roman" w:cs="Times New Roman"/>
          <w:sz w:val="22"/>
          <w:szCs w:val="22"/>
        </w:rPr>
        <w:t xml:space="preserve"> to investigate the effects of each aspect of stabilization mandates. </w:t>
      </w:r>
      <w:r>
        <w:rPr>
          <w:rFonts w:ascii="Times New Roman" w:hAnsi="Times New Roman" w:cs="Times New Roman"/>
          <w:sz w:val="22"/>
          <w:szCs w:val="22"/>
        </w:rPr>
        <w:t>To name just one example</w:t>
      </w:r>
      <w:r w:rsidR="00595E8A" w:rsidRPr="007C271A">
        <w:rPr>
          <w:rFonts w:ascii="Times New Roman" w:hAnsi="Times New Roman" w:cs="Times New Roman"/>
          <w:sz w:val="22"/>
          <w:szCs w:val="22"/>
        </w:rPr>
        <w:t>, where force is used to displace armed groups there may be a risk of marginalisation in communities because of cooperation with host state forces which in turn undermines other peacebuilding activities.</w:t>
      </w:r>
      <w:r w:rsidR="00595E8A">
        <w:rPr>
          <w:rFonts w:ascii="Times New Roman" w:hAnsi="Times New Roman" w:cs="Times New Roman"/>
          <w:sz w:val="22"/>
          <w:szCs w:val="22"/>
        </w:rPr>
        <w:t xml:space="preserve"> </w:t>
      </w:r>
      <w:r w:rsidR="00BE5984">
        <w:rPr>
          <w:rFonts w:ascii="Times New Roman" w:hAnsi="Times New Roman" w:cs="Times New Roman"/>
          <w:sz w:val="22"/>
          <w:szCs w:val="22"/>
        </w:rPr>
        <w:t>Lastly, the</w:t>
      </w:r>
      <w:r w:rsidR="00B04DB3">
        <w:rPr>
          <w:rFonts w:ascii="Times New Roman" w:hAnsi="Times New Roman" w:cs="Times New Roman"/>
          <w:sz w:val="22"/>
          <w:szCs w:val="22"/>
        </w:rPr>
        <w:t xml:space="preserve"> application of a human security lens is useful as a cognitive exercise to draw out aspects of the UN’s approach which are not conducive to the input of individuals affected by a peace operation. The analytical framework could be used in </w:t>
      </w:r>
      <w:r>
        <w:rPr>
          <w:rFonts w:ascii="Times New Roman" w:hAnsi="Times New Roman" w:cs="Times New Roman"/>
          <w:sz w:val="22"/>
          <w:szCs w:val="22"/>
        </w:rPr>
        <w:t>other areas of</w:t>
      </w:r>
      <w:r w:rsidR="00B04DB3">
        <w:rPr>
          <w:rFonts w:ascii="Times New Roman" w:hAnsi="Times New Roman" w:cs="Times New Roman"/>
          <w:sz w:val="22"/>
          <w:szCs w:val="22"/>
        </w:rPr>
        <w:t xml:space="preserve"> research to assess whether </w:t>
      </w:r>
      <w:r>
        <w:rPr>
          <w:rFonts w:ascii="Times New Roman" w:hAnsi="Times New Roman" w:cs="Times New Roman"/>
          <w:sz w:val="22"/>
          <w:szCs w:val="22"/>
        </w:rPr>
        <w:t>the</w:t>
      </w:r>
      <w:r w:rsidR="00B04DB3">
        <w:rPr>
          <w:rFonts w:ascii="Times New Roman" w:hAnsi="Times New Roman" w:cs="Times New Roman"/>
          <w:sz w:val="22"/>
          <w:szCs w:val="22"/>
        </w:rPr>
        <w:t xml:space="preserve"> UN system </w:t>
      </w:r>
      <w:r>
        <w:rPr>
          <w:rFonts w:ascii="Times New Roman" w:hAnsi="Times New Roman" w:cs="Times New Roman"/>
          <w:sz w:val="22"/>
          <w:szCs w:val="22"/>
        </w:rPr>
        <w:t>has</w:t>
      </w:r>
      <w:r w:rsidR="00B04DB3">
        <w:rPr>
          <w:rFonts w:ascii="Times New Roman" w:hAnsi="Times New Roman" w:cs="Times New Roman"/>
          <w:sz w:val="22"/>
          <w:szCs w:val="22"/>
        </w:rPr>
        <w:t xml:space="preserve"> meaningful engagement with individuals.</w:t>
      </w:r>
    </w:p>
    <w:p w14:paraId="3921C5B0" w14:textId="77777777" w:rsidR="00867688" w:rsidRDefault="00867688" w:rsidP="00867688">
      <w:pPr>
        <w:pStyle w:val="Heading2"/>
        <w:rPr>
          <w:rFonts w:ascii="Times New Roman" w:hAnsi="Times New Roman" w:cs="Times New Roman"/>
          <w:sz w:val="22"/>
          <w:szCs w:val="22"/>
        </w:rPr>
      </w:pPr>
    </w:p>
    <w:p w14:paraId="44523087" w14:textId="77777777" w:rsidR="00867688" w:rsidRPr="00F67107" w:rsidRDefault="00867688" w:rsidP="00867688">
      <w:pPr>
        <w:pStyle w:val="Heading2"/>
        <w:rPr>
          <w:rFonts w:ascii="Times New Roman" w:hAnsi="Times New Roman" w:cs="Times New Roman"/>
          <w:sz w:val="22"/>
          <w:szCs w:val="22"/>
        </w:rPr>
      </w:pPr>
      <w:r w:rsidRPr="00BF7BDA">
        <w:rPr>
          <w:rFonts w:ascii="Times New Roman" w:hAnsi="Times New Roman" w:cs="Times New Roman"/>
          <w:sz w:val="22"/>
          <w:szCs w:val="22"/>
        </w:rPr>
        <w:t>Acknowledgements</w:t>
      </w:r>
    </w:p>
    <w:p w14:paraId="201C7380" w14:textId="77777777" w:rsidR="00867688" w:rsidRPr="004112B0" w:rsidRDefault="00867688" w:rsidP="00867688">
      <w:pPr>
        <w:rPr>
          <w:rFonts w:ascii="Times New Roman" w:hAnsi="Times New Roman" w:cs="Times New Roman"/>
          <w:sz w:val="22"/>
          <w:szCs w:val="22"/>
        </w:rPr>
      </w:pPr>
    </w:p>
    <w:p w14:paraId="7E87C1C6" w14:textId="77777777" w:rsidR="00867688" w:rsidRPr="00A17640" w:rsidRDefault="00867688" w:rsidP="00867688">
      <w:pPr>
        <w:spacing w:line="360" w:lineRule="auto"/>
        <w:jc w:val="both"/>
        <w:rPr>
          <w:rFonts w:ascii="Times New Roman" w:hAnsi="Times New Roman" w:cs="Times New Roman"/>
          <w:sz w:val="22"/>
          <w:szCs w:val="22"/>
        </w:rPr>
      </w:pPr>
      <w:r w:rsidRPr="004112B0">
        <w:rPr>
          <w:rFonts w:ascii="Times New Roman" w:hAnsi="Times New Roman" w:cs="Times New Roman"/>
          <w:sz w:val="22"/>
          <w:szCs w:val="22"/>
        </w:rPr>
        <w:t xml:space="preserve">I am grateful for feedback from both my </w:t>
      </w:r>
      <w:r>
        <w:rPr>
          <w:rFonts w:ascii="Times New Roman" w:hAnsi="Times New Roman" w:cs="Times New Roman"/>
          <w:sz w:val="22"/>
          <w:szCs w:val="22"/>
        </w:rPr>
        <w:t xml:space="preserve">PhD </w:t>
      </w:r>
      <w:r w:rsidRPr="004112B0">
        <w:rPr>
          <w:rFonts w:ascii="Times New Roman" w:hAnsi="Times New Roman" w:cs="Times New Roman"/>
          <w:sz w:val="22"/>
          <w:szCs w:val="22"/>
        </w:rPr>
        <w:t xml:space="preserve">supervisors, Dr Ioannis Kalpouzos and Dr Mauro Barelli, on earlier versions of this work. </w:t>
      </w:r>
      <w:r>
        <w:rPr>
          <w:rFonts w:ascii="Times New Roman" w:hAnsi="Times New Roman" w:cs="Times New Roman"/>
          <w:sz w:val="22"/>
          <w:szCs w:val="22"/>
        </w:rPr>
        <w:t xml:space="preserve">I also received helpful comments from participants at both the </w:t>
      </w:r>
      <w:r w:rsidRPr="00B01CAA">
        <w:rPr>
          <w:rFonts w:ascii="Times New Roman" w:hAnsi="Times New Roman" w:cs="Times New Roman"/>
          <w:sz w:val="22"/>
          <w:szCs w:val="22"/>
        </w:rPr>
        <w:t>8th Annual Ista</w:t>
      </w:r>
      <w:r>
        <w:rPr>
          <w:rFonts w:ascii="Times New Roman" w:hAnsi="Times New Roman" w:cs="Times New Roman"/>
          <w:sz w:val="22"/>
          <w:szCs w:val="22"/>
        </w:rPr>
        <w:t xml:space="preserve">nbul Human Security Conference (17-19 October 2018, </w:t>
      </w:r>
      <w:proofErr w:type="spellStart"/>
      <w:r w:rsidRPr="00B01CAA">
        <w:rPr>
          <w:rFonts w:ascii="Times New Roman" w:hAnsi="Times New Roman" w:cs="Times New Roman"/>
          <w:sz w:val="22"/>
          <w:szCs w:val="22"/>
        </w:rPr>
        <w:t>Kadir</w:t>
      </w:r>
      <w:proofErr w:type="spellEnd"/>
      <w:r w:rsidRPr="00B01CAA">
        <w:rPr>
          <w:rFonts w:ascii="Times New Roman" w:hAnsi="Times New Roman" w:cs="Times New Roman"/>
          <w:sz w:val="22"/>
          <w:szCs w:val="22"/>
        </w:rPr>
        <w:t xml:space="preserve"> Has </w:t>
      </w:r>
      <w:proofErr w:type="spellStart"/>
      <w:r w:rsidRPr="00B01CAA">
        <w:rPr>
          <w:rFonts w:ascii="Times New Roman" w:hAnsi="Times New Roman" w:cs="Times New Roman"/>
          <w:sz w:val="22"/>
          <w:szCs w:val="22"/>
        </w:rPr>
        <w:t>Üniversitesi</w:t>
      </w:r>
      <w:proofErr w:type="spellEnd"/>
      <w:r>
        <w:rPr>
          <w:rFonts w:ascii="Times New Roman" w:hAnsi="Times New Roman" w:cs="Times New Roman"/>
          <w:sz w:val="22"/>
          <w:szCs w:val="22"/>
        </w:rPr>
        <w:t xml:space="preserve">) and the </w:t>
      </w:r>
      <w:r w:rsidRPr="00B01CAA">
        <w:rPr>
          <w:rFonts w:ascii="Times New Roman" w:hAnsi="Times New Roman" w:cs="Times New Roman"/>
          <w:sz w:val="22"/>
          <w:szCs w:val="22"/>
        </w:rPr>
        <w:t>44</w:t>
      </w:r>
      <w:r>
        <w:rPr>
          <w:rFonts w:ascii="Times New Roman" w:hAnsi="Times New Roman" w:cs="Times New Roman"/>
          <w:sz w:val="22"/>
          <w:szCs w:val="22"/>
        </w:rPr>
        <w:t>th BISA Annual Conference 2019 (</w:t>
      </w:r>
      <w:r w:rsidRPr="00B01CAA">
        <w:rPr>
          <w:rFonts w:ascii="Times New Roman" w:hAnsi="Times New Roman" w:cs="Times New Roman"/>
          <w:sz w:val="22"/>
          <w:szCs w:val="22"/>
        </w:rPr>
        <w:t>12-14 June 2019</w:t>
      </w:r>
      <w:r>
        <w:rPr>
          <w:rFonts w:ascii="Times New Roman" w:hAnsi="Times New Roman" w:cs="Times New Roman"/>
          <w:sz w:val="22"/>
          <w:szCs w:val="22"/>
        </w:rPr>
        <w:t xml:space="preserve">). </w:t>
      </w:r>
      <w:r w:rsidRPr="004112B0">
        <w:rPr>
          <w:rFonts w:ascii="Times New Roman" w:hAnsi="Times New Roman" w:cs="Times New Roman"/>
          <w:sz w:val="22"/>
          <w:szCs w:val="22"/>
        </w:rPr>
        <w:t>I am indebted to the two anonymous reviewers for their detailed and thoughtful reviews.</w:t>
      </w:r>
      <w:r>
        <w:rPr>
          <w:rFonts w:ascii="Times New Roman" w:hAnsi="Times New Roman" w:cs="Times New Roman"/>
          <w:sz w:val="22"/>
          <w:szCs w:val="22"/>
        </w:rPr>
        <w:t xml:space="preserve"> All errors are my own.</w:t>
      </w:r>
    </w:p>
    <w:p w14:paraId="66E7A09E" w14:textId="77777777" w:rsidR="00BF66E4" w:rsidRDefault="00BF66E4" w:rsidP="00E93E25">
      <w:pPr>
        <w:spacing w:line="360" w:lineRule="auto"/>
        <w:jc w:val="both"/>
        <w:rPr>
          <w:rFonts w:ascii="Times New Roman" w:hAnsi="Times New Roman" w:cs="Times New Roman"/>
          <w:sz w:val="22"/>
          <w:szCs w:val="22"/>
        </w:rPr>
      </w:pPr>
    </w:p>
    <w:p w14:paraId="5C7A742F" w14:textId="22C5B575" w:rsidR="00BF29C6" w:rsidRPr="004112B0" w:rsidRDefault="00867688" w:rsidP="00BF29C6">
      <w:pPr>
        <w:pStyle w:val="Heading2"/>
        <w:rPr>
          <w:rFonts w:ascii="Times New Roman" w:hAnsi="Times New Roman" w:cs="Times New Roman"/>
          <w:sz w:val="22"/>
          <w:szCs w:val="22"/>
        </w:rPr>
      </w:pPr>
      <w:r>
        <w:rPr>
          <w:rFonts w:ascii="Times New Roman" w:hAnsi="Times New Roman" w:cs="Times New Roman"/>
          <w:sz w:val="22"/>
          <w:szCs w:val="22"/>
        </w:rPr>
        <w:t>Notes on contributor</w:t>
      </w:r>
    </w:p>
    <w:p w14:paraId="60C81E1E" w14:textId="77777777" w:rsidR="00BF29C6" w:rsidRPr="004112B0" w:rsidRDefault="00BF29C6" w:rsidP="00BF29C6">
      <w:pPr>
        <w:rPr>
          <w:rFonts w:ascii="Times New Roman" w:hAnsi="Times New Roman" w:cs="Times New Roman"/>
          <w:sz w:val="22"/>
          <w:szCs w:val="22"/>
        </w:rPr>
      </w:pPr>
    </w:p>
    <w:p w14:paraId="78384614" w14:textId="77777777" w:rsidR="00BF29C6" w:rsidRPr="004112B0" w:rsidRDefault="00BF29C6" w:rsidP="00BF29C6">
      <w:pPr>
        <w:spacing w:line="360" w:lineRule="auto"/>
        <w:jc w:val="both"/>
        <w:rPr>
          <w:rFonts w:ascii="Times New Roman" w:hAnsi="Times New Roman" w:cs="Times New Roman"/>
          <w:sz w:val="22"/>
          <w:szCs w:val="22"/>
        </w:rPr>
      </w:pPr>
      <w:r w:rsidRPr="004112B0">
        <w:rPr>
          <w:rFonts w:ascii="Times New Roman" w:hAnsi="Times New Roman" w:cs="Times New Roman"/>
          <w:sz w:val="22"/>
          <w:szCs w:val="22"/>
        </w:rPr>
        <w:t>Alexander Gilder is a Lecturer in Law at Royal Holloway, University of London. His research currently follows two strands. First, Alex investigates themes related to stabilization in UN peacekeeping including robust force, counter-terrorism, and the effect of militarisation on other mandated tasks, such as entrenching the rule of law. Second, he is interested in the theory and history of international law. Alex has worked on the relationships between the concept of human security, the individual, and international law.</w:t>
      </w:r>
    </w:p>
    <w:p w14:paraId="21E55DA9" w14:textId="77777777" w:rsidR="00BF29C6" w:rsidRPr="004112B0" w:rsidRDefault="00BF29C6" w:rsidP="00BF29C6">
      <w:pPr>
        <w:spacing w:line="360" w:lineRule="auto"/>
        <w:jc w:val="both"/>
        <w:rPr>
          <w:rFonts w:ascii="Times New Roman" w:hAnsi="Times New Roman" w:cs="Times New Roman"/>
          <w:sz w:val="22"/>
          <w:szCs w:val="22"/>
        </w:rPr>
      </w:pPr>
    </w:p>
    <w:p w14:paraId="7746E18D" w14:textId="77777777" w:rsidR="00BF29C6" w:rsidRPr="004112B0" w:rsidRDefault="00BF29C6" w:rsidP="00BF29C6">
      <w:pPr>
        <w:pStyle w:val="Heading2"/>
        <w:rPr>
          <w:rFonts w:ascii="Times New Roman" w:hAnsi="Times New Roman" w:cs="Times New Roman"/>
          <w:sz w:val="22"/>
          <w:szCs w:val="22"/>
        </w:rPr>
      </w:pPr>
      <w:r w:rsidRPr="004112B0">
        <w:rPr>
          <w:rFonts w:ascii="Times New Roman" w:hAnsi="Times New Roman" w:cs="Times New Roman"/>
          <w:sz w:val="22"/>
          <w:szCs w:val="22"/>
        </w:rPr>
        <w:t>ORCID</w:t>
      </w:r>
    </w:p>
    <w:p w14:paraId="7547D129" w14:textId="77777777" w:rsidR="00BF29C6" w:rsidRPr="004112B0" w:rsidRDefault="00BF29C6" w:rsidP="00BF29C6">
      <w:pPr>
        <w:jc w:val="both"/>
        <w:rPr>
          <w:rFonts w:ascii="Times New Roman" w:hAnsi="Times New Roman" w:cs="Times New Roman"/>
          <w:sz w:val="22"/>
          <w:szCs w:val="22"/>
        </w:rPr>
      </w:pPr>
    </w:p>
    <w:p w14:paraId="5F30044F" w14:textId="77777777" w:rsidR="00BF29C6" w:rsidRPr="00BF7BDA" w:rsidRDefault="00BF29C6" w:rsidP="00BF29C6">
      <w:pPr>
        <w:spacing w:line="360" w:lineRule="auto"/>
        <w:jc w:val="both"/>
        <w:rPr>
          <w:rStyle w:val="Hyperlink"/>
          <w:rFonts w:ascii="Times New Roman" w:hAnsi="Times New Roman" w:cs="Times New Roman"/>
          <w:sz w:val="22"/>
          <w:szCs w:val="22"/>
        </w:rPr>
      </w:pPr>
      <w:r w:rsidRPr="00867688">
        <w:rPr>
          <w:rFonts w:ascii="Times New Roman" w:hAnsi="Times New Roman" w:cs="Times New Roman"/>
          <w:i/>
          <w:sz w:val="22"/>
          <w:szCs w:val="22"/>
        </w:rPr>
        <w:t>Alexander Gilder</w:t>
      </w:r>
      <w:r w:rsidRPr="00BF7BDA">
        <w:rPr>
          <w:rFonts w:ascii="Times New Roman" w:hAnsi="Times New Roman" w:cs="Times New Roman"/>
          <w:sz w:val="22"/>
          <w:szCs w:val="22"/>
        </w:rPr>
        <w:t xml:space="preserve"> </w:t>
      </w:r>
      <w:r w:rsidRPr="00BF7BDA">
        <w:rPr>
          <w:rStyle w:val="Hyperlink"/>
          <w:rFonts w:ascii="Times New Roman" w:hAnsi="Times New Roman" w:cs="Times New Roman"/>
          <w:sz w:val="22"/>
          <w:szCs w:val="22"/>
        </w:rPr>
        <w:t>https://orcid.org/0000-0002-8861-1433</w:t>
      </w:r>
    </w:p>
    <w:p w14:paraId="43B39C28" w14:textId="77777777" w:rsidR="00BF29C6" w:rsidRPr="007C271A" w:rsidRDefault="00BF29C6" w:rsidP="00E93E25">
      <w:pPr>
        <w:spacing w:line="360" w:lineRule="auto"/>
        <w:jc w:val="both"/>
        <w:rPr>
          <w:rFonts w:ascii="Times New Roman" w:hAnsi="Times New Roman" w:cs="Times New Roman"/>
          <w:sz w:val="22"/>
          <w:szCs w:val="22"/>
        </w:rPr>
      </w:pPr>
    </w:p>
    <w:p w14:paraId="0CC97C0F" w14:textId="4EA8295D" w:rsidR="0035769F" w:rsidRPr="007C271A" w:rsidRDefault="0035769F" w:rsidP="0035769F">
      <w:pPr>
        <w:pStyle w:val="Heading2"/>
        <w:rPr>
          <w:rFonts w:ascii="Times New Roman" w:hAnsi="Times New Roman" w:cs="Times New Roman"/>
          <w:sz w:val="22"/>
          <w:szCs w:val="22"/>
        </w:rPr>
      </w:pPr>
      <w:r w:rsidRPr="007C271A">
        <w:rPr>
          <w:rFonts w:ascii="Times New Roman" w:hAnsi="Times New Roman" w:cs="Times New Roman"/>
          <w:sz w:val="22"/>
          <w:szCs w:val="22"/>
        </w:rPr>
        <w:t>Bibliography</w:t>
      </w:r>
    </w:p>
    <w:p w14:paraId="3EE60632" w14:textId="25471481" w:rsidR="0089674E" w:rsidRPr="007C271A" w:rsidRDefault="0089674E" w:rsidP="00233CA0">
      <w:pPr>
        <w:pStyle w:val="FootnoteText"/>
      </w:pPr>
    </w:p>
    <w:p w14:paraId="19888FD2" w14:textId="77777777" w:rsidR="0089674E" w:rsidRPr="007C271A" w:rsidRDefault="0089674E" w:rsidP="00233CA0">
      <w:pPr>
        <w:pStyle w:val="FootnoteText"/>
      </w:pPr>
      <w:r w:rsidRPr="007C271A">
        <w:lastRenderedPageBreak/>
        <w:t xml:space="preserve">Acharya, </w:t>
      </w:r>
      <w:proofErr w:type="spellStart"/>
      <w:r w:rsidRPr="007C271A">
        <w:t>Amitav</w:t>
      </w:r>
      <w:proofErr w:type="spellEnd"/>
      <w:r w:rsidRPr="007C271A">
        <w:t xml:space="preserve">. “Human Security” In </w:t>
      </w:r>
      <w:proofErr w:type="gramStart"/>
      <w:r w:rsidRPr="007C271A">
        <w:rPr>
          <w:i/>
        </w:rPr>
        <w:t>The</w:t>
      </w:r>
      <w:proofErr w:type="gramEnd"/>
      <w:r w:rsidRPr="007C271A">
        <w:rPr>
          <w:i/>
        </w:rPr>
        <w:t xml:space="preserve"> </w:t>
      </w:r>
      <w:proofErr w:type="spellStart"/>
      <w:r w:rsidRPr="007C271A">
        <w:rPr>
          <w:i/>
        </w:rPr>
        <w:t>Globalisation</w:t>
      </w:r>
      <w:proofErr w:type="spellEnd"/>
      <w:r w:rsidRPr="007C271A">
        <w:rPr>
          <w:i/>
        </w:rPr>
        <w:t xml:space="preserve"> of World Politics</w:t>
      </w:r>
      <w:r w:rsidRPr="007C271A">
        <w:t xml:space="preserve">, </w:t>
      </w:r>
      <w:proofErr w:type="spellStart"/>
      <w:r w:rsidRPr="007C271A">
        <w:t>eds</w:t>
      </w:r>
      <w:proofErr w:type="spellEnd"/>
      <w:r w:rsidRPr="007C271A">
        <w:t xml:space="preserve"> John </w:t>
      </w:r>
      <w:proofErr w:type="spellStart"/>
      <w:r w:rsidRPr="007C271A">
        <w:t>Baylis</w:t>
      </w:r>
      <w:proofErr w:type="spellEnd"/>
      <w:r w:rsidRPr="007C271A">
        <w:t>, Steve Smith and Patricia Owens. Oxford: Oxford University Press, 6</w:t>
      </w:r>
      <w:r w:rsidRPr="007C271A">
        <w:rPr>
          <w:vertAlign w:val="superscript"/>
        </w:rPr>
        <w:t>th</w:t>
      </w:r>
      <w:r w:rsidRPr="007C271A">
        <w:t xml:space="preserve"> </w:t>
      </w:r>
      <w:proofErr w:type="spellStart"/>
      <w:proofErr w:type="gramStart"/>
      <w:r w:rsidRPr="007C271A">
        <w:t>ed</w:t>
      </w:r>
      <w:proofErr w:type="spellEnd"/>
      <w:proofErr w:type="gramEnd"/>
      <w:r w:rsidRPr="007C271A">
        <w:t>, 2014.</w:t>
      </w:r>
    </w:p>
    <w:p w14:paraId="27023518" w14:textId="0BC741AF" w:rsidR="0089674E" w:rsidRPr="007C271A" w:rsidRDefault="0089674E" w:rsidP="00233CA0">
      <w:pPr>
        <w:pStyle w:val="FootnoteText"/>
      </w:pPr>
      <w:proofErr w:type="spellStart"/>
      <w:r w:rsidRPr="007C271A">
        <w:t>Alkire</w:t>
      </w:r>
      <w:proofErr w:type="spellEnd"/>
      <w:r w:rsidRPr="007C271A">
        <w:t xml:space="preserve">, Sabina. “A Conceptual Framework for Human Security.” </w:t>
      </w:r>
      <w:r w:rsidRPr="007C271A">
        <w:rPr>
          <w:iCs/>
        </w:rPr>
        <w:t xml:space="preserve">CRISE, Working Paper #2, 2003. </w:t>
      </w:r>
      <w:hyperlink r:id="rId8" w:history="1">
        <w:r w:rsidRPr="007C271A">
          <w:rPr>
            <w:rStyle w:val="Hyperlink"/>
            <w:lang w:val="en-GB"/>
          </w:rPr>
          <w:t>http://www3.qeh.ox.ac.uk/pdf/crisewps/workingpaper2.pdf</w:t>
        </w:r>
      </w:hyperlink>
      <w:r w:rsidR="005F378B">
        <w:rPr>
          <w:rStyle w:val="Hyperlink"/>
          <w:lang w:val="en-GB"/>
        </w:rPr>
        <w:t>.</w:t>
      </w:r>
    </w:p>
    <w:p w14:paraId="1ABBB057" w14:textId="037A3B47" w:rsidR="0089674E" w:rsidRDefault="0089674E" w:rsidP="00233CA0">
      <w:pPr>
        <w:pStyle w:val="FootnoteText"/>
      </w:pPr>
      <w:proofErr w:type="spellStart"/>
      <w:r w:rsidRPr="007C271A">
        <w:t>Alkire</w:t>
      </w:r>
      <w:proofErr w:type="spellEnd"/>
      <w:r w:rsidRPr="007C271A">
        <w:t>, Sabina. “A Vital Core that Must Be Treated with the Same Gravitas as Traditional Security Threats</w:t>
      </w:r>
      <w:r w:rsidR="00034301">
        <w:t>.</w:t>
      </w:r>
      <w:r w:rsidRPr="007C271A">
        <w:t xml:space="preserve">” </w:t>
      </w:r>
      <w:r w:rsidRPr="007C271A">
        <w:rPr>
          <w:i/>
        </w:rPr>
        <w:t>Security Dialogue</w:t>
      </w:r>
      <w:r w:rsidRPr="007C271A">
        <w:t xml:space="preserve"> 35(3) (2004): 359-60.</w:t>
      </w:r>
    </w:p>
    <w:p w14:paraId="4937F75B" w14:textId="0340BF3B" w:rsidR="00034301" w:rsidRPr="007C271A" w:rsidRDefault="00034301" w:rsidP="00233CA0">
      <w:pPr>
        <w:pStyle w:val="FootnoteText"/>
      </w:pPr>
      <w:proofErr w:type="spellStart"/>
      <w:r w:rsidRPr="007C271A">
        <w:t>Autesserre</w:t>
      </w:r>
      <w:proofErr w:type="spellEnd"/>
      <w:r w:rsidRPr="007C271A">
        <w:t xml:space="preserve">, </w:t>
      </w:r>
      <w:proofErr w:type="spellStart"/>
      <w:r w:rsidRPr="007C271A">
        <w:t>Séverine</w:t>
      </w:r>
      <w:proofErr w:type="spellEnd"/>
      <w:r>
        <w:t>. “</w:t>
      </w:r>
      <w:r w:rsidRPr="00034301">
        <w:t>International Peacebuilding and Local Success</w:t>
      </w:r>
      <w:r>
        <w:t xml:space="preserve">: Assumptions and Effectiveness.” </w:t>
      </w:r>
      <w:r w:rsidRPr="00034301">
        <w:rPr>
          <w:i/>
        </w:rPr>
        <w:t>International Studies Review</w:t>
      </w:r>
      <w:r w:rsidRPr="00034301">
        <w:t xml:space="preserve"> 19 </w:t>
      </w:r>
      <w:r>
        <w:t>(2017): 114-132</w:t>
      </w:r>
      <w:r w:rsidRPr="00034301">
        <w:t>.</w:t>
      </w:r>
    </w:p>
    <w:p w14:paraId="65FD105B" w14:textId="4727A118" w:rsidR="00F80F7A" w:rsidRPr="007C271A" w:rsidRDefault="00F80F7A" w:rsidP="00233CA0">
      <w:pPr>
        <w:pStyle w:val="FootnoteText"/>
      </w:pPr>
      <w:proofErr w:type="spellStart"/>
      <w:r w:rsidRPr="007C271A">
        <w:t>Autesserre</w:t>
      </w:r>
      <w:proofErr w:type="spellEnd"/>
      <w:r w:rsidRPr="007C271A">
        <w:t xml:space="preserve">, </w:t>
      </w:r>
      <w:proofErr w:type="spellStart"/>
      <w:r w:rsidRPr="007C271A">
        <w:t>Séverine</w:t>
      </w:r>
      <w:proofErr w:type="spellEnd"/>
      <w:r w:rsidRPr="007C271A">
        <w:t xml:space="preserve">. </w:t>
      </w:r>
      <w:r w:rsidRPr="005F378B">
        <w:rPr>
          <w:i/>
        </w:rPr>
        <w:t>The Trouble with the Congo: Local Violence and the Failure of International Peacebuilding</w:t>
      </w:r>
      <w:r w:rsidRPr="007C271A">
        <w:t>. Cambridge: Cambridge University Press, 2010.</w:t>
      </w:r>
    </w:p>
    <w:p w14:paraId="565BDED9" w14:textId="7A09D03B" w:rsidR="00F8664F" w:rsidRPr="007C271A" w:rsidRDefault="00F8664F" w:rsidP="00233CA0">
      <w:pPr>
        <w:pStyle w:val="FootnoteText"/>
      </w:pPr>
      <w:r w:rsidRPr="007C271A">
        <w:t xml:space="preserve">Bode, </w:t>
      </w:r>
      <w:proofErr w:type="spellStart"/>
      <w:r w:rsidRPr="007C271A">
        <w:t>Ingvild</w:t>
      </w:r>
      <w:proofErr w:type="spellEnd"/>
      <w:r w:rsidRPr="007C271A">
        <w:t xml:space="preserve">, </w:t>
      </w:r>
      <w:proofErr w:type="spellStart"/>
      <w:r w:rsidRPr="007C271A">
        <w:t>Karlsrud</w:t>
      </w:r>
      <w:proofErr w:type="spellEnd"/>
      <w:r w:rsidRPr="007C271A">
        <w:t xml:space="preserve">, John. “Implementation in practice: The use of force to protect civilians in United Nations peacekeeping.” </w:t>
      </w:r>
      <w:r w:rsidRPr="007C271A">
        <w:rPr>
          <w:i/>
          <w:iCs/>
        </w:rPr>
        <w:t>European Journal of International Relations</w:t>
      </w:r>
      <w:r w:rsidRPr="007C271A">
        <w:t xml:space="preserve"> 25(2) (2019): 458-485.</w:t>
      </w:r>
    </w:p>
    <w:p w14:paraId="47DADA8A" w14:textId="2BA10583" w:rsidR="001809C6" w:rsidRPr="007C271A" w:rsidRDefault="001809C6" w:rsidP="00233CA0">
      <w:pPr>
        <w:pStyle w:val="FootnoteText"/>
        <w:rPr>
          <w:lang w:val="en-GB"/>
        </w:rPr>
      </w:pPr>
      <w:proofErr w:type="spellStart"/>
      <w:r w:rsidRPr="007C271A">
        <w:t>Chappuis</w:t>
      </w:r>
      <w:proofErr w:type="spellEnd"/>
      <w:r w:rsidRPr="007C271A">
        <w:t xml:space="preserve">, </w:t>
      </w:r>
      <w:proofErr w:type="spellStart"/>
      <w:r w:rsidRPr="007C271A">
        <w:t>Fairlie</w:t>
      </w:r>
      <w:proofErr w:type="spellEnd"/>
      <w:r w:rsidRPr="007C271A">
        <w:t>. “Human Security and Security Sector Reform”</w:t>
      </w:r>
      <w:r w:rsidRPr="007C271A">
        <w:rPr>
          <w:b/>
        </w:rPr>
        <w:t xml:space="preserve"> </w:t>
      </w:r>
      <w:r w:rsidRPr="007C271A">
        <w:t xml:space="preserve">In </w:t>
      </w:r>
      <w:r w:rsidRPr="007C271A">
        <w:rPr>
          <w:i/>
          <w:iCs/>
        </w:rPr>
        <w:t>Mainstreaming Human Security in Peace Operations and Crisis Management</w:t>
      </w:r>
      <w:r w:rsidRPr="007C271A">
        <w:t xml:space="preserve">, </w:t>
      </w:r>
      <w:proofErr w:type="spellStart"/>
      <w:proofErr w:type="gramStart"/>
      <w:r w:rsidRPr="007C271A">
        <w:t>eds</w:t>
      </w:r>
      <w:proofErr w:type="spellEnd"/>
      <w:proofErr w:type="gramEnd"/>
      <w:r w:rsidRPr="007C271A">
        <w:t xml:space="preserve"> </w:t>
      </w:r>
      <w:proofErr w:type="spellStart"/>
      <w:r w:rsidRPr="007C271A">
        <w:t>Benedek</w:t>
      </w:r>
      <w:proofErr w:type="spellEnd"/>
      <w:r w:rsidRPr="007C271A">
        <w:t xml:space="preserve">, Wolfgang, </w:t>
      </w:r>
      <w:proofErr w:type="spellStart"/>
      <w:r w:rsidRPr="007C271A">
        <w:t>Kettemann</w:t>
      </w:r>
      <w:proofErr w:type="spellEnd"/>
      <w:r w:rsidRPr="007C271A">
        <w:t xml:space="preserve">, Matthias, </w:t>
      </w:r>
      <w:proofErr w:type="spellStart"/>
      <w:r w:rsidRPr="007C271A">
        <w:t>Möstl</w:t>
      </w:r>
      <w:proofErr w:type="spellEnd"/>
      <w:r w:rsidRPr="007C271A">
        <w:t xml:space="preserve">, Markus. </w:t>
      </w:r>
      <w:r w:rsidRPr="007C271A">
        <w:rPr>
          <w:rFonts w:eastAsia="Calibri"/>
        </w:rPr>
        <w:t>London: Routledge, 2011.</w:t>
      </w:r>
    </w:p>
    <w:p w14:paraId="252AFCAD" w14:textId="77777777" w:rsidR="0089674E" w:rsidRPr="007C271A" w:rsidRDefault="0089674E" w:rsidP="00233CA0">
      <w:pPr>
        <w:pStyle w:val="FootnoteText"/>
      </w:pPr>
      <w:proofErr w:type="spellStart"/>
      <w:r w:rsidRPr="007C271A">
        <w:t>Chinkin</w:t>
      </w:r>
      <w:proofErr w:type="spellEnd"/>
      <w:r w:rsidRPr="007C271A">
        <w:t xml:space="preserve">, Christine and Mary </w:t>
      </w:r>
      <w:proofErr w:type="spellStart"/>
      <w:r w:rsidRPr="007C271A">
        <w:t>Kaldor</w:t>
      </w:r>
      <w:proofErr w:type="spellEnd"/>
      <w:r w:rsidRPr="007C271A">
        <w:t xml:space="preserve">. </w:t>
      </w:r>
      <w:r w:rsidRPr="007C271A">
        <w:rPr>
          <w:i/>
        </w:rPr>
        <w:t>International Law and New Wars</w:t>
      </w:r>
      <w:r w:rsidRPr="007C271A">
        <w:t>. Oxford: Oxford University Press, 2017.</w:t>
      </w:r>
    </w:p>
    <w:p w14:paraId="7D2C4293" w14:textId="77777777" w:rsidR="0089674E" w:rsidRDefault="0089674E" w:rsidP="00233CA0">
      <w:pPr>
        <w:pStyle w:val="FootnoteText"/>
      </w:pPr>
      <w:r w:rsidRPr="007C271A">
        <w:t xml:space="preserve">Commission on Human Security, </w:t>
      </w:r>
      <w:r w:rsidRPr="007C271A">
        <w:rPr>
          <w:i/>
        </w:rPr>
        <w:t>Human Security Now</w:t>
      </w:r>
      <w:r w:rsidRPr="007C271A">
        <w:t>. New York, 2003.</w:t>
      </w:r>
    </w:p>
    <w:p w14:paraId="7230A6E3" w14:textId="40A70B9E" w:rsidR="00034301" w:rsidRPr="007C271A" w:rsidRDefault="00034301" w:rsidP="00233CA0">
      <w:pPr>
        <w:pStyle w:val="FootnoteText"/>
      </w:pPr>
      <w:r>
        <w:t>Curran, David and Hunt, Charles T. “</w:t>
      </w:r>
      <w:r w:rsidRPr="00034301">
        <w:t>Stabilization at the Expense of Peacebuilding in UN Peacekeeping Operations</w:t>
      </w:r>
      <w:r>
        <w:t>:</w:t>
      </w:r>
      <w:r w:rsidRPr="00034301">
        <w:t xml:space="preserve"> More </w:t>
      </w:r>
      <w:proofErr w:type="gramStart"/>
      <w:r w:rsidRPr="00034301">
        <w:t>Than</w:t>
      </w:r>
      <w:proofErr w:type="gramEnd"/>
      <w:r w:rsidRPr="00034301">
        <w:t xml:space="preserve"> Just a Phase?</w:t>
      </w:r>
      <w:r>
        <w:t xml:space="preserve">” </w:t>
      </w:r>
      <w:r w:rsidRPr="00034301">
        <w:rPr>
          <w:i/>
        </w:rPr>
        <w:t>Global Governance</w:t>
      </w:r>
      <w:r>
        <w:t xml:space="preserve"> (2020): 1-23.</w:t>
      </w:r>
    </w:p>
    <w:p w14:paraId="2602F76B" w14:textId="77777777" w:rsidR="0089674E" w:rsidRPr="007C271A" w:rsidRDefault="0089674E" w:rsidP="00233CA0">
      <w:pPr>
        <w:pStyle w:val="FootnoteText"/>
      </w:pPr>
      <w:r w:rsidRPr="007C271A">
        <w:t xml:space="preserve">Daft, Shireen. </w:t>
      </w:r>
      <w:r w:rsidRPr="005F378B">
        <w:rPr>
          <w:i/>
        </w:rPr>
        <w:t xml:space="preserve">The Relationship </w:t>
      </w:r>
      <w:proofErr w:type="gramStart"/>
      <w:r w:rsidRPr="005F378B">
        <w:rPr>
          <w:i/>
        </w:rPr>
        <w:t>Between</w:t>
      </w:r>
      <w:proofErr w:type="gramEnd"/>
      <w:r w:rsidRPr="005F378B">
        <w:rPr>
          <w:i/>
        </w:rPr>
        <w:t xml:space="preserve"> Human Security Discourse and International Law: A Principled Approach</w:t>
      </w:r>
      <w:r w:rsidRPr="007C271A">
        <w:t>. London: Routledge, 2017.</w:t>
      </w:r>
    </w:p>
    <w:p w14:paraId="5ADA7AA4" w14:textId="77777777" w:rsidR="0089674E" w:rsidRPr="007C271A" w:rsidRDefault="0089674E" w:rsidP="00233CA0">
      <w:pPr>
        <w:pStyle w:val="FootnoteText"/>
      </w:pPr>
      <w:proofErr w:type="gramStart"/>
      <w:r w:rsidRPr="007C271A">
        <w:t>de</w:t>
      </w:r>
      <w:proofErr w:type="gramEnd"/>
      <w:r w:rsidRPr="007C271A">
        <w:t xml:space="preserve"> Coning, Cedric, Chiyuki </w:t>
      </w:r>
      <w:proofErr w:type="spellStart"/>
      <w:r w:rsidRPr="007C271A">
        <w:t>Aoi</w:t>
      </w:r>
      <w:proofErr w:type="spellEnd"/>
      <w:r w:rsidRPr="007C271A">
        <w:t xml:space="preserve"> and John </w:t>
      </w:r>
      <w:proofErr w:type="spellStart"/>
      <w:r w:rsidRPr="007C271A">
        <w:t>Karlsrud</w:t>
      </w:r>
      <w:proofErr w:type="spellEnd"/>
      <w:r w:rsidRPr="007C271A">
        <w:t xml:space="preserve">. “Towards a United Nations stabilization doctrine – stabilization as an emerging UN practice” In </w:t>
      </w:r>
      <w:r w:rsidRPr="007C271A">
        <w:rPr>
          <w:i/>
        </w:rPr>
        <w:t>UN Peacekeeping Doctrine in a New Era</w:t>
      </w:r>
      <w:r w:rsidRPr="007C271A">
        <w:t xml:space="preserve">, </w:t>
      </w:r>
      <w:proofErr w:type="spellStart"/>
      <w:proofErr w:type="gramStart"/>
      <w:r w:rsidRPr="007C271A">
        <w:t>eds</w:t>
      </w:r>
      <w:proofErr w:type="spellEnd"/>
      <w:proofErr w:type="gramEnd"/>
      <w:r w:rsidRPr="007C271A">
        <w:t xml:space="preserve"> Cedric de Coning, Chiyuki </w:t>
      </w:r>
      <w:proofErr w:type="spellStart"/>
      <w:r w:rsidRPr="007C271A">
        <w:t>Aoi</w:t>
      </w:r>
      <w:proofErr w:type="spellEnd"/>
      <w:r w:rsidRPr="007C271A">
        <w:t xml:space="preserve"> and John </w:t>
      </w:r>
      <w:proofErr w:type="spellStart"/>
      <w:r w:rsidRPr="007C271A">
        <w:t>Karlsrud</w:t>
      </w:r>
      <w:proofErr w:type="spellEnd"/>
      <w:r w:rsidRPr="007C271A">
        <w:t>. London: Routledge, 2017.</w:t>
      </w:r>
    </w:p>
    <w:p w14:paraId="0A9FDD51" w14:textId="77777777" w:rsidR="0089674E" w:rsidRPr="00034301" w:rsidRDefault="0089674E" w:rsidP="00C8173B">
      <w:pPr>
        <w:ind w:left="284" w:hanging="284"/>
        <w:jc w:val="both"/>
        <w:rPr>
          <w:rFonts w:ascii="Times New Roman" w:eastAsia="Calibri" w:hAnsi="Times New Roman" w:cs="Times New Roman"/>
          <w:sz w:val="20"/>
          <w:szCs w:val="20"/>
        </w:rPr>
      </w:pPr>
      <w:proofErr w:type="gramStart"/>
      <w:r w:rsidRPr="00034301">
        <w:rPr>
          <w:rFonts w:ascii="Times New Roman" w:eastAsia="Calibri" w:hAnsi="Times New Roman" w:cs="Times New Roman"/>
          <w:sz w:val="20"/>
          <w:szCs w:val="20"/>
        </w:rPr>
        <w:t>de</w:t>
      </w:r>
      <w:proofErr w:type="gramEnd"/>
      <w:r w:rsidRPr="00034301">
        <w:rPr>
          <w:rFonts w:ascii="Times New Roman" w:eastAsia="Calibri" w:hAnsi="Times New Roman" w:cs="Times New Roman"/>
          <w:sz w:val="20"/>
          <w:szCs w:val="20"/>
        </w:rPr>
        <w:t xml:space="preserve"> Coning, Cedric. “Is stabilization the new normal? </w:t>
      </w:r>
      <w:r w:rsidRPr="00034301">
        <w:rPr>
          <w:rFonts w:ascii="Times New Roman" w:eastAsia="Calibri" w:hAnsi="Times New Roman" w:cs="Times New Roman"/>
          <w:bCs/>
          <w:sz w:val="20"/>
          <w:szCs w:val="20"/>
        </w:rPr>
        <w:t xml:space="preserve">Implications of stabilization mandates for the use of force in UN peacekeeping operations” In </w:t>
      </w:r>
      <w:proofErr w:type="gramStart"/>
      <w:r w:rsidRPr="00034301">
        <w:rPr>
          <w:rFonts w:ascii="Times New Roman" w:eastAsia="Calibri" w:hAnsi="Times New Roman" w:cs="Times New Roman"/>
          <w:i/>
          <w:sz w:val="20"/>
          <w:szCs w:val="20"/>
        </w:rPr>
        <w:t>The</w:t>
      </w:r>
      <w:proofErr w:type="gramEnd"/>
      <w:r w:rsidRPr="00034301">
        <w:rPr>
          <w:rFonts w:ascii="Times New Roman" w:eastAsia="Calibri" w:hAnsi="Times New Roman" w:cs="Times New Roman"/>
          <w:i/>
          <w:sz w:val="20"/>
          <w:szCs w:val="20"/>
        </w:rPr>
        <w:t xml:space="preserve"> Use of Force in UN Peacekeeping</w:t>
      </w:r>
      <w:r w:rsidRPr="00034301">
        <w:rPr>
          <w:rFonts w:ascii="Times New Roman" w:eastAsia="Calibri" w:hAnsi="Times New Roman" w:cs="Times New Roman"/>
          <w:sz w:val="20"/>
          <w:szCs w:val="20"/>
        </w:rPr>
        <w:t xml:space="preserve">, </w:t>
      </w:r>
      <w:proofErr w:type="spellStart"/>
      <w:r w:rsidRPr="00034301">
        <w:rPr>
          <w:rFonts w:ascii="Times New Roman" w:eastAsia="Calibri" w:hAnsi="Times New Roman" w:cs="Times New Roman"/>
          <w:sz w:val="20"/>
          <w:szCs w:val="20"/>
        </w:rPr>
        <w:t>ed</w:t>
      </w:r>
      <w:proofErr w:type="spellEnd"/>
      <w:r w:rsidRPr="00034301">
        <w:rPr>
          <w:rFonts w:ascii="Times New Roman" w:eastAsia="Calibri" w:hAnsi="Times New Roman" w:cs="Times New Roman"/>
          <w:sz w:val="20"/>
          <w:szCs w:val="20"/>
        </w:rPr>
        <w:t xml:space="preserve"> Peter </w:t>
      </w:r>
      <w:proofErr w:type="spellStart"/>
      <w:r w:rsidRPr="00034301">
        <w:rPr>
          <w:rFonts w:ascii="Times New Roman" w:eastAsia="Calibri" w:hAnsi="Times New Roman" w:cs="Times New Roman"/>
          <w:sz w:val="20"/>
          <w:szCs w:val="20"/>
        </w:rPr>
        <w:t>Nadin</w:t>
      </w:r>
      <w:proofErr w:type="spellEnd"/>
      <w:r w:rsidRPr="00034301">
        <w:rPr>
          <w:rFonts w:ascii="Times New Roman" w:eastAsia="Calibri" w:hAnsi="Times New Roman" w:cs="Times New Roman"/>
          <w:sz w:val="20"/>
          <w:szCs w:val="20"/>
        </w:rPr>
        <w:t>. London: Routledge, 2018.</w:t>
      </w:r>
    </w:p>
    <w:p w14:paraId="31FA29F1" w14:textId="77777777" w:rsidR="0089674E" w:rsidRPr="007C271A" w:rsidRDefault="0089674E" w:rsidP="00233CA0">
      <w:pPr>
        <w:pStyle w:val="FootnoteText"/>
      </w:pPr>
      <w:r w:rsidRPr="007C271A">
        <w:t>EUTM. “</w:t>
      </w:r>
      <w:r w:rsidRPr="007C271A">
        <w:rPr>
          <w:bCs/>
        </w:rPr>
        <w:t>European Union Training Mission in Central African Republic (EUTM- RCA).” 13 August 2018.</w:t>
      </w:r>
      <w:r w:rsidRPr="007C271A">
        <w:rPr>
          <w:b/>
          <w:bCs/>
        </w:rPr>
        <w:t xml:space="preserve"> </w:t>
      </w:r>
      <w:hyperlink r:id="rId9" w:history="1">
        <w:r w:rsidRPr="007C271A">
          <w:rPr>
            <w:rStyle w:val="Hyperlink"/>
            <w:lang w:val="en-GB"/>
          </w:rPr>
          <w:t>https://eeas.europa.eu/sites/eeas/files/180823_mission_factsheet_eutm_rca_jul18_v1.pdf</w:t>
        </w:r>
      </w:hyperlink>
    </w:p>
    <w:p w14:paraId="6527E142" w14:textId="17C1DF57" w:rsidR="0089674E" w:rsidRPr="007C271A" w:rsidRDefault="0089674E" w:rsidP="00233CA0">
      <w:pPr>
        <w:pStyle w:val="FootnoteText"/>
      </w:pPr>
      <w:r w:rsidRPr="007C271A">
        <w:t>Farer, Tom. “Human Security: Defining the Elephant and Imagining Its Tasks</w:t>
      </w:r>
      <w:r w:rsidR="000767EF" w:rsidRPr="007C271A">
        <w:t>.</w:t>
      </w:r>
      <w:r w:rsidRPr="007C271A">
        <w:t xml:space="preserve">” </w:t>
      </w:r>
      <w:r w:rsidRPr="007C271A">
        <w:rPr>
          <w:i/>
        </w:rPr>
        <w:t>Asian Journal of International Law</w:t>
      </w:r>
      <w:r w:rsidRPr="007C271A">
        <w:t xml:space="preserve"> 1(1) (2011): 43-55.</w:t>
      </w:r>
    </w:p>
    <w:p w14:paraId="45F99198" w14:textId="564AA7C1" w:rsidR="0089674E" w:rsidRPr="007C271A" w:rsidRDefault="0089674E" w:rsidP="00233CA0">
      <w:pPr>
        <w:pStyle w:val="FootnoteText"/>
      </w:pPr>
      <w:proofErr w:type="spellStart"/>
      <w:r w:rsidRPr="007C271A">
        <w:t>Fineman</w:t>
      </w:r>
      <w:proofErr w:type="spellEnd"/>
      <w:r w:rsidRPr="007C271A">
        <w:t xml:space="preserve">, Martha. “Vulnerability, Resilience, and LGBT Youth” </w:t>
      </w:r>
      <w:r w:rsidRPr="007C271A">
        <w:rPr>
          <w:bCs/>
          <w:i/>
          <w:color w:val="222222"/>
        </w:rPr>
        <w:t>Temple Political &amp; Civil Rights Law Review</w:t>
      </w:r>
      <w:r w:rsidRPr="007C271A">
        <w:t xml:space="preserve"> 23(2) (2014): 307-330.</w:t>
      </w:r>
    </w:p>
    <w:p w14:paraId="1FBB4C31" w14:textId="779E9C86" w:rsidR="005806ED" w:rsidRPr="007C271A" w:rsidRDefault="005806ED" w:rsidP="00233CA0">
      <w:pPr>
        <w:pStyle w:val="FootnoteText"/>
      </w:pPr>
      <w:r w:rsidRPr="007C271A">
        <w:t xml:space="preserve">Fortier, Patricia. “The Evolution of Peacekeeping” In </w:t>
      </w:r>
      <w:r w:rsidRPr="007C271A">
        <w:rPr>
          <w:i/>
          <w:iCs/>
        </w:rPr>
        <w:t>Human Security and the New Diplomacy</w:t>
      </w:r>
      <w:r w:rsidRPr="007C271A">
        <w:t xml:space="preserve">, </w:t>
      </w:r>
      <w:proofErr w:type="spellStart"/>
      <w:proofErr w:type="gramStart"/>
      <w:r w:rsidRPr="007C271A">
        <w:t>ed</w:t>
      </w:r>
      <w:r w:rsidR="00926DA9" w:rsidRPr="007C271A">
        <w:t>s</w:t>
      </w:r>
      <w:proofErr w:type="spellEnd"/>
      <w:proofErr w:type="gramEnd"/>
      <w:r w:rsidRPr="007C271A">
        <w:t xml:space="preserve"> Rob McRae, Don Hubert. Montreal: McGill-Queen’s University Press, 2001.</w:t>
      </w:r>
    </w:p>
    <w:p w14:paraId="1AE7AA8E" w14:textId="32C2737B" w:rsidR="00F8664F" w:rsidRPr="007C271A" w:rsidRDefault="00F8664F" w:rsidP="00233CA0">
      <w:pPr>
        <w:pStyle w:val="FootnoteText"/>
      </w:pPr>
      <w:proofErr w:type="spellStart"/>
      <w:r w:rsidRPr="007C271A">
        <w:t>Gelot</w:t>
      </w:r>
      <w:proofErr w:type="spellEnd"/>
      <w:r w:rsidRPr="007C271A">
        <w:t xml:space="preserve">, </w:t>
      </w:r>
      <w:proofErr w:type="spellStart"/>
      <w:r w:rsidRPr="007C271A">
        <w:t>Linnéa</w:t>
      </w:r>
      <w:proofErr w:type="spellEnd"/>
      <w:r w:rsidRPr="007C271A">
        <w:t xml:space="preserve">. “Civilian protection in Africa: How the protection of civilians is being militarized by African policymakers and diplomats.” </w:t>
      </w:r>
      <w:r w:rsidRPr="007C271A">
        <w:rPr>
          <w:i/>
          <w:iCs/>
        </w:rPr>
        <w:t>Contemporary Security Policy</w:t>
      </w:r>
      <w:r w:rsidRPr="007C271A">
        <w:t xml:space="preserve"> 38(1) (2017): 161-173.</w:t>
      </w:r>
    </w:p>
    <w:p w14:paraId="09126C4F" w14:textId="50EB85DF" w:rsidR="00DA3B69" w:rsidRPr="007C271A" w:rsidRDefault="00DA3B69" w:rsidP="00233CA0">
      <w:pPr>
        <w:pStyle w:val="FootnoteText"/>
      </w:pPr>
      <w:r w:rsidRPr="007C271A">
        <w:t>Gilder, Alexander. “The Effect of ‘Stabilization’ in the Mandates and Practice of UN Peace Operations</w:t>
      </w:r>
      <w:r w:rsidR="000767EF" w:rsidRPr="007C271A">
        <w:t>.</w:t>
      </w:r>
      <w:r w:rsidRPr="007C271A">
        <w:t xml:space="preserve">” </w:t>
      </w:r>
      <w:r w:rsidRPr="007C271A">
        <w:rPr>
          <w:i/>
          <w:iCs/>
        </w:rPr>
        <w:t>Netherlands International Law Review</w:t>
      </w:r>
      <w:r w:rsidRPr="007C271A">
        <w:t xml:space="preserve"> 66(1) (2019): 1-27.</w:t>
      </w:r>
    </w:p>
    <w:p w14:paraId="667C67B2" w14:textId="2EF16A38" w:rsidR="005806ED" w:rsidRPr="007C271A" w:rsidRDefault="005806ED" w:rsidP="00233CA0">
      <w:pPr>
        <w:pStyle w:val="FootnoteText"/>
      </w:pPr>
      <w:proofErr w:type="spellStart"/>
      <w:r w:rsidRPr="007C271A">
        <w:t>Golberg</w:t>
      </w:r>
      <w:proofErr w:type="spellEnd"/>
      <w:r w:rsidRPr="007C271A">
        <w:t xml:space="preserve">, Elissa, Hubert, Don. “The Security Council and the Protection of Civilians” In </w:t>
      </w:r>
      <w:r w:rsidRPr="007C271A">
        <w:rPr>
          <w:i/>
          <w:iCs/>
        </w:rPr>
        <w:t>Human Security and the New Diplomacy</w:t>
      </w:r>
      <w:r w:rsidRPr="007C271A">
        <w:t xml:space="preserve">, </w:t>
      </w:r>
      <w:proofErr w:type="spellStart"/>
      <w:proofErr w:type="gramStart"/>
      <w:r w:rsidRPr="007C271A">
        <w:t>ed</w:t>
      </w:r>
      <w:r w:rsidR="00926DA9" w:rsidRPr="007C271A">
        <w:t>s</w:t>
      </w:r>
      <w:proofErr w:type="spellEnd"/>
      <w:proofErr w:type="gramEnd"/>
      <w:r w:rsidRPr="007C271A">
        <w:t xml:space="preserve"> Rob McRae, Don Hubert. Montreal: McGill-Queen’s University Press, 2001.</w:t>
      </w:r>
    </w:p>
    <w:p w14:paraId="12534E49" w14:textId="631C563E" w:rsidR="0089674E" w:rsidRDefault="0089674E" w:rsidP="00233CA0">
      <w:pPr>
        <w:pStyle w:val="FootnoteText"/>
      </w:pPr>
      <w:proofErr w:type="spellStart"/>
      <w:r w:rsidRPr="007C271A">
        <w:t>Gorur</w:t>
      </w:r>
      <w:proofErr w:type="spellEnd"/>
      <w:r w:rsidRPr="007C271A">
        <w:t>, Aditi. “Defining the Boundaries of UN Stabilization Missions.” Stimson, December 2016.</w:t>
      </w:r>
    </w:p>
    <w:p w14:paraId="4506F1DD" w14:textId="3A1DF676" w:rsidR="00A54FC0" w:rsidRPr="007C271A" w:rsidRDefault="00A54FC0" w:rsidP="00233CA0">
      <w:pPr>
        <w:pStyle w:val="FootnoteText"/>
      </w:pPr>
      <w:r w:rsidRPr="00A54FC0">
        <w:t xml:space="preserve">Hanlon R and Christie K, </w:t>
      </w:r>
      <w:r w:rsidRPr="00A54FC0">
        <w:rPr>
          <w:i/>
        </w:rPr>
        <w:t>Freedom from Fear, Freedom from Want: An Introduction to Human Security</w:t>
      </w:r>
      <w:r>
        <w:t xml:space="preserve">. Toronto: </w:t>
      </w:r>
      <w:r w:rsidRPr="00A54FC0">
        <w:t>U</w:t>
      </w:r>
      <w:r>
        <w:t>niversity of Toronto Press, 2016</w:t>
      </w:r>
      <w:r w:rsidRPr="00A54FC0">
        <w:t>.</w:t>
      </w:r>
    </w:p>
    <w:p w14:paraId="51256309" w14:textId="1DDA8338" w:rsidR="000767EF" w:rsidRPr="007C271A" w:rsidRDefault="000767EF" w:rsidP="00233CA0">
      <w:pPr>
        <w:pStyle w:val="FootnoteText"/>
        <w:rPr>
          <w:b/>
        </w:rPr>
      </w:pPr>
      <w:r w:rsidRPr="007C271A">
        <w:t xml:space="preserve">Heathcote, Gina. “Women and children and elephants as justification for force.” </w:t>
      </w:r>
      <w:r w:rsidRPr="007C271A">
        <w:rPr>
          <w:i/>
          <w:iCs/>
        </w:rPr>
        <w:t>Journal on the Use of Force and International Law</w:t>
      </w:r>
      <w:r w:rsidRPr="007C271A">
        <w:t xml:space="preserve"> 4(1) (2017): 66-85.</w:t>
      </w:r>
    </w:p>
    <w:p w14:paraId="20EF06BC" w14:textId="77777777" w:rsidR="0089674E" w:rsidRPr="007C271A" w:rsidRDefault="0089674E" w:rsidP="00233CA0">
      <w:pPr>
        <w:pStyle w:val="FootnoteText"/>
      </w:pPr>
      <w:r w:rsidRPr="007C271A">
        <w:t xml:space="preserve">High-Level Independent Panel on UN Peace Operations. </w:t>
      </w:r>
      <w:r w:rsidRPr="007C271A">
        <w:rPr>
          <w:i/>
        </w:rPr>
        <w:t>Uniting Our Strengths for Peace: Politics, Partnership and People</w:t>
      </w:r>
      <w:r w:rsidRPr="007C271A">
        <w:t>. New York: United Nations, 2015.</w:t>
      </w:r>
    </w:p>
    <w:p w14:paraId="5B0B6A80" w14:textId="77777777" w:rsidR="0089674E" w:rsidRPr="00034301" w:rsidRDefault="0089674E" w:rsidP="00233CA0">
      <w:pPr>
        <w:pStyle w:val="FootnoteText"/>
      </w:pPr>
      <w:r w:rsidRPr="00034301">
        <w:t xml:space="preserve">Human Rights Watch, “Central African Republic: Parliament Adopts Special Criminal Court Rule.” 4 June 2018. </w:t>
      </w:r>
      <w:hyperlink r:id="rId10" w:history="1">
        <w:r w:rsidRPr="00034301">
          <w:rPr>
            <w:rStyle w:val="Hyperlink"/>
            <w:lang w:val="en-GB"/>
          </w:rPr>
          <w:t>https://www.hrw.org/news/2018/06/04/central-african-republic-parliament-adopts-special-criminal-court-rules</w:t>
        </w:r>
      </w:hyperlink>
    </w:p>
    <w:p w14:paraId="6001980D" w14:textId="36EBB666" w:rsidR="0089674E" w:rsidRPr="00034301" w:rsidRDefault="0089674E" w:rsidP="00C8173B">
      <w:pPr>
        <w:ind w:left="284" w:hanging="284"/>
        <w:jc w:val="both"/>
        <w:rPr>
          <w:rFonts w:ascii="Times New Roman" w:eastAsia="Calibri" w:hAnsi="Times New Roman" w:cs="Times New Roman"/>
          <w:sz w:val="20"/>
          <w:szCs w:val="20"/>
        </w:rPr>
      </w:pPr>
      <w:proofErr w:type="spellStart"/>
      <w:r w:rsidRPr="00034301">
        <w:rPr>
          <w:rFonts w:ascii="Times New Roman" w:eastAsia="Calibri" w:hAnsi="Times New Roman" w:cs="Times New Roman"/>
          <w:sz w:val="20"/>
          <w:szCs w:val="20"/>
        </w:rPr>
        <w:t>Karlsrud</w:t>
      </w:r>
      <w:proofErr w:type="spellEnd"/>
      <w:r w:rsidRPr="00034301">
        <w:rPr>
          <w:rFonts w:ascii="Times New Roman" w:eastAsia="Calibri" w:hAnsi="Times New Roman" w:cs="Times New Roman"/>
          <w:sz w:val="20"/>
          <w:szCs w:val="20"/>
        </w:rPr>
        <w:t>, John. “</w:t>
      </w:r>
      <w:r w:rsidRPr="00034301">
        <w:rPr>
          <w:rFonts w:ascii="Times New Roman" w:eastAsia="Calibri" w:hAnsi="Times New Roman" w:cs="Times New Roman"/>
          <w:bCs/>
          <w:sz w:val="20"/>
          <w:szCs w:val="20"/>
        </w:rPr>
        <w:t>From Liberal Peacebuilding to Stabilization and Counterterrorism</w:t>
      </w:r>
      <w:r w:rsidRPr="00034301">
        <w:rPr>
          <w:rFonts w:ascii="Times New Roman" w:eastAsia="Calibri" w:hAnsi="Times New Roman" w:cs="Times New Roman"/>
          <w:sz w:val="20"/>
          <w:szCs w:val="20"/>
        </w:rPr>
        <w:t xml:space="preserve">.” </w:t>
      </w:r>
      <w:r w:rsidRPr="00034301">
        <w:rPr>
          <w:rFonts w:ascii="Times New Roman" w:eastAsia="Calibri" w:hAnsi="Times New Roman" w:cs="Times New Roman"/>
          <w:i/>
          <w:sz w:val="20"/>
          <w:szCs w:val="20"/>
        </w:rPr>
        <w:t>International Peacekeeping</w:t>
      </w:r>
      <w:r w:rsidRPr="00034301">
        <w:rPr>
          <w:rFonts w:ascii="Times New Roman" w:eastAsia="Calibri" w:hAnsi="Times New Roman" w:cs="Times New Roman"/>
          <w:sz w:val="20"/>
          <w:szCs w:val="20"/>
        </w:rPr>
        <w:t xml:space="preserve"> </w:t>
      </w:r>
      <w:r w:rsidR="00E73DEE" w:rsidRPr="00034301">
        <w:rPr>
          <w:rFonts w:ascii="Times New Roman" w:eastAsia="Calibri" w:hAnsi="Times New Roman" w:cs="Times New Roman"/>
          <w:sz w:val="20"/>
          <w:szCs w:val="20"/>
        </w:rPr>
        <w:t xml:space="preserve">26(1) </w:t>
      </w:r>
      <w:r w:rsidRPr="00034301">
        <w:rPr>
          <w:rFonts w:ascii="Times New Roman" w:eastAsia="Calibri" w:hAnsi="Times New Roman" w:cs="Times New Roman"/>
          <w:sz w:val="20"/>
          <w:szCs w:val="20"/>
        </w:rPr>
        <w:t>(201</w:t>
      </w:r>
      <w:r w:rsidR="00E73DEE" w:rsidRPr="00034301">
        <w:rPr>
          <w:rFonts w:ascii="Times New Roman" w:eastAsia="Calibri" w:hAnsi="Times New Roman" w:cs="Times New Roman"/>
          <w:sz w:val="20"/>
          <w:szCs w:val="20"/>
        </w:rPr>
        <w:t>9</w:t>
      </w:r>
      <w:r w:rsidRPr="00034301">
        <w:rPr>
          <w:rFonts w:ascii="Times New Roman" w:eastAsia="Calibri" w:hAnsi="Times New Roman" w:cs="Times New Roman"/>
          <w:sz w:val="20"/>
          <w:szCs w:val="20"/>
        </w:rPr>
        <w:t>)</w:t>
      </w:r>
      <w:r w:rsidR="00E73DEE" w:rsidRPr="00034301">
        <w:rPr>
          <w:rFonts w:ascii="Times New Roman" w:eastAsia="Calibri" w:hAnsi="Times New Roman" w:cs="Times New Roman"/>
          <w:sz w:val="20"/>
          <w:szCs w:val="20"/>
        </w:rPr>
        <w:t xml:space="preserve">: </w:t>
      </w:r>
      <w:r w:rsidRPr="00034301">
        <w:rPr>
          <w:rFonts w:ascii="Times New Roman" w:eastAsia="Calibri" w:hAnsi="Times New Roman" w:cs="Times New Roman"/>
          <w:sz w:val="20"/>
          <w:szCs w:val="20"/>
        </w:rPr>
        <w:t>1-21,</w:t>
      </w:r>
    </w:p>
    <w:p w14:paraId="3833059D" w14:textId="77777777" w:rsidR="0089674E" w:rsidRPr="00034301" w:rsidRDefault="0089674E" w:rsidP="00C8173B">
      <w:pPr>
        <w:ind w:left="284" w:hanging="284"/>
        <w:jc w:val="both"/>
        <w:rPr>
          <w:rFonts w:ascii="Times New Roman" w:eastAsia="Calibri" w:hAnsi="Times New Roman" w:cs="Times New Roman"/>
          <w:sz w:val="20"/>
          <w:szCs w:val="20"/>
        </w:rPr>
      </w:pPr>
      <w:proofErr w:type="spellStart"/>
      <w:r w:rsidRPr="00034301">
        <w:rPr>
          <w:rFonts w:ascii="Times New Roman" w:eastAsia="Calibri" w:hAnsi="Times New Roman" w:cs="Times New Roman"/>
          <w:sz w:val="20"/>
          <w:szCs w:val="20"/>
        </w:rPr>
        <w:t>Karlsrud</w:t>
      </w:r>
      <w:proofErr w:type="spellEnd"/>
      <w:r w:rsidRPr="00034301">
        <w:rPr>
          <w:rFonts w:ascii="Times New Roman" w:eastAsia="Calibri" w:hAnsi="Times New Roman" w:cs="Times New Roman"/>
          <w:sz w:val="20"/>
          <w:szCs w:val="20"/>
        </w:rPr>
        <w:t xml:space="preserve">, John. </w:t>
      </w:r>
      <w:r w:rsidRPr="00034301">
        <w:rPr>
          <w:rFonts w:ascii="Times New Roman" w:eastAsia="Calibri" w:hAnsi="Times New Roman" w:cs="Times New Roman"/>
          <w:i/>
          <w:sz w:val="20"/>
          <w:szCs w:val="20"/>
        </w:rPr>
        <w:t>The UN at War: Peace Operations in a New Era</w:t>
      </w:r>
      <w:r w:rsidRPr="00034301">
        <w:rPr>
          <w:rFonts w:ascii="Times New Roman" w:eastAsia="Calibri" w:hAnsi="Times New Roman" w:cs="Times New Roman"/>
          <w:sz w:val="20"/>
          <w:szCs w:val="20"/>
        </w:rPr>
        <w:t>. London: Palgrave Macmillan, 2018.</w:t>
      </w:r>
    </w:p>
    <w:p w14:paraId="186B182D" w14:textId="77777777" w:rsidR="0089674E" w:rsidRPr="00034301" w:rsidRDefault="0089674E" w:rsidP="00C8173B">
      <w:pPr>
        <w:ind w:left="284" w:hanging="284"/>
        <w:jc w:val="both"/>
        <w:rPr>
          <w:rFonts w:ascii="Times New Roman" w:hAnsi="Times New Roman" w:cs="Times New Roman"/>
          <w:sz w:val="20"/>
          <w:szCs w:val="20"/>
        </w:rPr>
      </w:pPr>
      <w:proofErr w:type="spellStart"/>
      <w:r w:rsidRPr="00034301">
        <w:rPr>
          <w:rFonts w:ascii="Times New Roman" w:eastAsia="Calibri" w:hAnsi="Times New Roman" w:cs="Times New Roman"/>
          <w:sz w:val="20"/>
          <w:szCs w:val="20"/>
        </w:rPr>
        <w:t>Kjeksrud</w:t>
      </w:r>
      <w:proofErr w:type="spellEnd"/>
      <w:r w:rsidRPr="00034301">
        <w:rPr>
          <w:rFonts w:ascii="Times New Roman" w:eastAsia="Calibri" w:hAnsi="Times New Roman" w:cs="Times New Roman"/>
          <w:sz w:val="20"/>
          <w:szCs w:val="20"/>
        </w:rPr>
        <w:t xml:space="preserve">, </w:t>
      </w:r>
      <w:proofErr w:type="spellStart"/>
      <w:r w:rsidRPr="00034301">
        <w:rPr>
          <w:rFonts w:ascii="Times New Roman" w:eastAsia="Calibri" w:hAnsi="Times New Roman" w:cs="Times New Roman"/>
          <w:sz w:val="20"/>
          <w:szCs w:val="20"/>
        </w:rPr>
        <w:t>Stian</w:t>
      </w:r>
      <w:proofErr w:type="spellEnd"/>
      <w:r w:rsidRPr="00034301">
        <w:rPr>
          <w:rFonts w:ascii="Times New Roman" w:eastAsia="Calibri" w:hAnsi="Times New Roman" w:cs="Times New Roman"/>
          <w:sz w:val="20"/>
          <w:szCs w:val="20"/>
        </w:rPr>
        <w:t xml:space="preserve">, and </w:t>
      </w:r>
      <w:proofErr w:type="spellStart"/>
      <w:r w:rsidRPr="00034301">
        <w:rPr>
          <w:rFonts w:ascii="Times New Roman" w:eastAsia="Calibri" w:hAnsi="Times New Roman" w:cs="Times New Roman"/>
          <w:sz w:val="20"/>
          <w:szCs w:val="20"/>
        </w:rPr>
        <w:t>Lotte</w:t>
      </w:r>
      <w:proofErr w:type="spellEnd"/>
      <w:r w:rsidRPr="00034301">
        <w:rPr>
          <w:rFonts w:ascii="Times New Roman" w:eastAsia="Calibri" w:hAnsi="Times New Roman" w:cs="Times New Roman"/>
          <w:sz w:val="20"/>
          <w:szCs w:val="20"/>
        </w:rPr>
        <w:t xml:space="preserve"> </w:t>
      </w:r>
      <w:proofErr w:type="spellStart"/>
      <w:r w:rsidRPr="00034301">
        <w:rPr>
          <w:rFonts w:ascii="Times New Roman" w:eastAsia="Calibri" w:hAnsi="Times New Roman" w:cs="Times New Roman"/>
          <w:sz w:val="20"/>
          <w:szCs w:val="20"/>
        </w:rPr>
        <w:t>Vermeij</w:t>
      </w:r>
      <w:proofErr w:type="spellEnd"/>
      <w:r w:rsidRPr="00034301">
        <w:rPr>
          <w:rFonts w:ascii="Times New Roman" w:eastAsia="Calibri" w:hAnsi="Times New Roman" w:cs="Times New Roman"/>
          <w:sz w:val="20"/>
          <w:szCs w:val="20"/>
        </w:rPr>
        <w:t xml:space="preserve">. “Protecting governments from insurgencies: The Democratic Republic of the Congo and Mali” </w:t>
      </w:r>
      <w:r w:rsidRPr="00034301">
        <w:rPr>
          <w:rFonts w:ascii="Times New Roman" w:hAnsi="Times New Roman" w:cs="Times New Roman"/>
          <w:sz w:val="20"/>
          <w:szCs w:val="20"/>
        </w:rPr>
        <w:t xml:space="preserve">In </w:t>
      </w:r>
      <w:r w:rsidRPr="00034301">
        <w:rPr>
          <w:rFonts w:ascii="Times New Roman" w:hAnsi="Times New Roman" w:cs="Times New Roman"/>
          <w:i/>
          <w:sz w:val="20"/>
          <w:szCs w:val="20"/>
        </w:rPr>
        <w:t>UN Peacekeeping Doctrine in a New Era</w:t>
      </w:r>
      <w:r w:rsidRPr="00034301">
        <w:rPr>
          <w:rFonts w:ascii="Times New Roman" w:hAnsi="Times New Roman" w:cs="Times New Roman"/>
          <w:sz w:val="20"/>
          <w:szCs w:val="20"/>
        </w:rPr>
        <w:t xml:space="preserve">, </w:t>
      </w:r>
      <w:proofErr w:type="spellStart"/>
      <w:proofErr w:type="gramStart"/>
      <w:r w:rsidRPr="00034301">
        <w:rPr>
          <w:rFonts w:ascii="Times New Roman" w:hAnsi="Times New Roman" w:cs="Times New Roman"/>
          <w:sz w:val="20"/>
          <w:szCs w:val="20"/>
        </w:rPr>
        <w:t>eds</w:t>
      </w:r>
      <w:proofErr w:type="spellEnd"/>
      <w:proofErr w:type="gramEnd"/>
      <w:r w:rsidRPr="00034301">
        <w:rPr>
          <w:rFonts w:ascii="Times New Roman" w:hAnsi="Times New Roman" w:cs="Times New Roman"/>
          <w:sz w:val="20"/>
          <w:szCs w:val="20"/>
        </w:rPr>
        <w:t xml:space="preserve"> Cedric de Coning, Chiyuki </w:t>
      </w:r>
      <w:proofErr w:type="spellStart"/>
      <w:r w:rsidRPr="00034301">
        <w:rPr>
          <w:rFonts w:ascii="Times New Roman" w:hAnsi="Times New Roman" w:cs="Times New Roman"/>
          <w:sz w:val="20"/>
          <w:szCs w:val="20"/>
        </w:rPr>
        <w:t>Aoi</w:t>
      </w:r>
      <w:proofErr w:type="spellEnd"/>
      <w:r w:rsidRPr="00034301">
        <w:rPr>
          <w:rFonts w:ascii="Times New Roman" w:hAnsi="Times New Roman" w:cs="Times New Roman"/>
          <w:sz w:val="20"/>
          <w:szCs w:val="20"/>
        </w:rPr>
        <w:t xml:space="preserve"> and John </w:t>
      </w:r>
      <w:proofErr w:type="spellStart"/>
      <w:r w:rsidRPr="00034301">
        <w:rPr>
          <w:rFonts w:ascii="Times New Roman" w:hAnsi="Times New Roman" w:cs="Times New Roman"/>
          <w:sz w:val="20"/>
          <w:szCs w:val="20"/>
        </w:rPr>
        <w:t>Karlsrud</w:t>
      </w:r>
      <w:proofErr w:type="spellEnd"/>
      <w:r w:rsidRPr="00034301">
        <w:rPr>
          <w:rFonts w:ascii="Times New Roman" w:hAnsi="Times New Roman" w:cs="Times New Roman"/>
          <w:sz w:val="20"/>
          <w:szCs w:val="20"/>
        </w:rPr>
        <w:t>. London: Routledge, 2017.</w:t>
      </w:r>
    </w:p>
    <w:p w14:paraId="54365103" w14:textId="7B870EA2" w:rsidR="00B11A36" w:rsidRPr="00034301" w:rsidRDefault="00B11A36" w:rsidP="00C8173B">
      <w:pPr>
        <w:ind w:left="284" w:hanging="284"/>
        <w:jc w:val="both"/>
        <w:rPr>
          <w:rFonts w:ascii="Times New Roman" w:hAnsi="Times New Roman" w:cs="Times New Roman"/>
          <w:sz w:val="20"/>
          <w:szCs w:val="20"/>
        </w:rPr>
      </w:pPr>
      <w:r w:rsidRPr="00034301">
        <w:rPr>
          <w:rFonts w:ascii="Times New Roman" w:hAnsi="Times New Roman" w:cs="Times New Roman"/>
          <w:sz w:val="20"/>
          <w:szCs w:val="20"/>
        </w:rPr>
        <w:t xml:space="preserve">Laurence, Marion. “An ‘Impartial’ Force? Normative Ambiguity and Practice Change in UN Peace Operations.” </w:t>
      </w:r>
      <w:r w:rsidRPr="00034301">
        <w:rPr>
          <w:rFonts w:ascii="Times New Roman" w:hAnsi="Times New Roman" w:cs="Times New Roman"/>
          <w:i/>
          <w:sz w:val="20"/>
          <w:szCs w:val="20"/>
        </w:rPr>
        <w:t>International Peacekeeping</w:t>
      </w:r>
      <w:r w:rsidRPr="00034301">
        <w:rPr>
          <w:rFonts w:ascii="Times New Roman" w:hAnsi="Times New Roman" w:cs="Times New Roman"/>
          <w:sz w:val="20"/>
          <w:szCs w:val="20"/>
        </w:rPr>
        <w:t xml:space="preserve"> 26(3) (2019)</w:t>
      </w:r>
      <w:r w:rsidR="00F8664F" w:rsidRPr="00034301">
        <w:rPr>
          <w:rFonts w:ascii="Times New Roman" w:hAnsi="Times New Roman" w:cs="Times New Roman"/>
          <w:sz w:val="20"/>
          <w:szCs w:val="20"/>
        </w:rPr>
        <w:t>:</w:t>
      </w:r>
      <w:r w:rsidRPr="00034301">
        <w:rPr>
          <w:rFonts w:ascii="Times New Roman" w:hAnsi="Times New Roman" w:cs="Times New Roman"/>
          <w:sz w:val="20"/>
          <w:szCs w:val="20"/>
        </w:rPr>
        <w:t xml:space="preserve"> 256-280</w:t>
      </w:r>
    </w:p>
    <w:p w14:paraId="3888AF84" w14:textId="2E4C6006" w:rsidR="008225EA" w:rsidRPr="00034301" w:rsidRDefault="008225EA" w:rsidP="00C8173B">
      <w:pPr>
        <w:ind w:left="284" w:hanging="284"/>
        <w:jc w:val="both"/>
        <w:rPr>
          <w:rFonts w:ascii="Times New Roman" w:hAnsi="Times New Roman" w:cs="Times New Roman"/>
          <w:sz w:val="20"/>
          <w:szCs w:val="20"/>
        </w:rPr>
      </w:pPr>
      <w:r w:rsidRPr="00034301">
        <w:rPr>
          <w:rFonts w:ascii="Times New Roman" w:hAnsi="Times New Roman" w:cs="Times New Roman"/>
          <w:sz w:val="20"/>
          <w:szCs w:val="20"/>
        </w:rPr>
        <w:lastRenderedPageBreak/>
        <w:t xml:space="preserve">Lombard, Louisa, and </w:t>
      </w:r>
      <w:proofErr w:type="spellStart"/>
      <w:r w:rsidRPr="00034301">
        <w:rPr>
          <w:rFonts w:ascii="Times New Roman" w:hAnsi="Times New Roman" w:cs="Times New Roman"/>
          <w:sz w:val="20"/>
          <w:szCs w:val="20"/>
        </w:rPr>
        <w:t>Picco</w:t>
      </w:r>
      <w:proofErr w:type="spellEnd"/>
      <w:r w:rsidRPr="00034301">
        <w:rPr>
          <w:rFonts w:ascii="Times New Roman" w:hAnsi="Times New Roman" w:cs="Times New Roman"/>
          <w:sz w:val="20"/>
          <w:szCs w:val="20"/>
        </w:rPr>
        <w:t xml:space="preserve">, </w:t>
      </w:r>
      <w:proofErr w:type="spellStart"/>
      <w:r w:rsidRPr="00034301">
        <w:rPr>
          <w:rFonts w:ascii="Times New Roman" w:hAnsi="Times New Roman" w:cs="Times New Roman"/>
          <w:sz w:val="20"/>
          <w:szCs w:val="20"/>
        </w:rPr>
        <w:t>Enrica</w:t>
      </w:r>
      <w:proofErr w:type="spellEnd"/>
      <w:r w:rsidRPr="00034301">
        <w:rPr>
          <w:rFonts w:ascii="Times New Roman" w:hAnsi="Times New Roman" w:cs="Times New Roman"/>
          <w:sz w:val="20"/>
          <w:szCs w:val="20"/>
        </w:rPr>
        <w:t>. “Distributive Justice at War: Displacement and Its Afterlives in the Central African Republic</w:t>
      </w:r>
      <w:r w:rsidR="001B5444" w:rsidRPr="00034301">
        <w:rPr>
          <w:rFonts w:ascii="Times New Roman" w:hAnsi="Times New Roman" w:cs="Times New Roman"/>
          <w:sz w:val="20"/>
          <w:szCs w:val="20"/>
        </w:rPr>
        <w:t xml:space="preserve">.” </w:t>
      </w:r>
      <w:r w:rsidR="001B5444" w:rsidRPr="00034301">
        <w:rPr>
          <w:rFonts w:ascii="Times New Roman" w:hAnsi="Times New Roman" w:cs="Times New Roman"/>
          <w:i/>
          <w:iCs/>
          <w:sz w:val="20"/>
          <w:szCs w:val="20"/>
        </w:rPr>
        <w:t>Journal of Refugee Studies</w:t>
      </w:r>
      <w:r w:rsidR="001B5444" w:rsidRPr="00034301">
        <w:rPr>
          <w:rFonts w:ascii="Times New Roman" w:hAnsi="Times New Roman" w:cs="Times New Roman"/>
          <w:sz w:val="20"/>
          <w:szCs w:val="20"/>
        </w:rPr>
        <w:t xml:space="preserve"> (2019)</w:t>
      </w:r>
      <w:r w:rsidR="00F8664F" w:rsidRPr="00034301">
        <w:rPr>
          <w:rFonts w:ascii="Times New Roman" w:hAnsi="Times New Roman" w:cs="Times New Roman"/>
          <w:sz w:val="20"/>
          <w:szCs w:val="20"/>
        </w:rPr>
        <w:t xml:space="preserve">: </w:t>
      </w:r>
      <w:r w:rsidR="001B5444" w:rsidRPr="00034301">
        <w:rPr>
          <w:rFonts w:ascii="Times New Roman" w:hAnsi="Times New Roman" w:cs="Times New Roman"/>
          <w:sz w:val="20"/>
          <w:szCs w:val="20"/>
        </w:rPr>
        <w:t>1-24.</w:t>
      </w:r>
    </w:p>
    <w:p w14:paraId="432A68B4" w14:textId="430C8CC3" w:rsidR="00B11A36" w:rsidRPr="00034301" w:rsidRDefault="00B11A36" w:rsidP="00C8173B">
      <w:pPr>
        <w:ind w:left="284" w:hanging="284"/>
        <w:jc w:val="both"/>
        <w:rPr>
          <w:rFonts w:ascii="Times New Roman" w:eastAsia="Calibri" w:hAnsi="Times New Roman" w:cs="Times New Roman"/>
          <w:sz w:val="20"/>
          <w:szCs w:val="20"/>
        </w:rPr>
      </w:pPr>
      <w:proofErr w:type="spellStart"/>
      <w:r w:rsidRPr="00034301">
        <w:rPr>
          <w:rFonts w:ascii="Times New Roman" w:hAnsi="Times New Roman" w:cs="Times New Roman"/>
          <w:sz w:val="20"/>
          <w:szCs w:val="20"/>
          <w:lang w:val="en-US"/>
        </w:rPr>
        <w:t>Longobardo</w:t>
      </w:r>
      <w:proofErr w:type="spellEnd"/>
      <w:r w:rsidRPr="00034301">
        <w:rPr>
          <w:rFonts w:ascii="Times New Roman" w:hAnsi="Times New Roman" w:cs="Times New Roman"/>
          <w:sz w:val="20"/>
          <w:szCs w:val="20"/>
          <w:lang w:val="en-US"/>
        </w:rPr>
        <w:t xml:space="preserve">, Marco. “Robust Peacekeeping Mandates: An Assessment in Light of </w:t>
      </w:r>
      <w:r w:rsidRPr="00034301">
        <w:rPr>
          <w:rFonts w:ascii="Times New Roman" w:hAnsi="Times New Roman" w:cs="Times New Roman"/>
          <w:i/>
          <w:iCs/>
          <w:sz w:val="20"/>
          <w:szCs w:val="20"/>
          <w:lang w:val="en-US"/>
        </w:rPr>
        <w:t>Jus Post Bellum</w:t>
      </w:r>
      <w:r w:rsidRPr="00034301">
        <w:rPr>
          <w:rFonts w:ascii="Times New Roman" w:hAnsi="Times New Roman" w:cs="Times New Roman"/>
          <w:sz w:val="20"/>
          <w:szCs w:val="20"/>
          <w:lang w:val="en-US"/>
        </w:rPr>
        <w:t>.” In</w:t>
      </w:r>
      <w:r w:rsidR="001A234E" w:rsidRPr="00034301">
        <w:rPr>
          <w:rFonts w:ascii="Times New Roman" w:hAnsi="Times New Roman" w:cs="Times New Roman"/>
          <w:sz w:val="20"/>
          <w:szCs w:val="20"/>
          <w:lang w:val="en-US"/>
        </w:rPr>
        <w:t xml:space="preserve"> </w:t>
      </w:r>
      <w:r w:rsidRPr="00034301">
        <w:rPr>
          <w:rFonts w:ascii="Times New Roman" w:eastAsia="Calibri" w:hAnsi="Times New Roman" w:cs="Times New Roman"/>
          <w:i/>
          <w:iCs/>
          <w:sz w:val="20"/>
          <w:szCs w:val="20"/>
        </w:rPr>
        <w:t>The Justice of Peace and Jus Post Bellum</w:t>
      </w:r>
      <w:r w:rsidRPr="00034301">
        <w:rPr>
          <w:rFonts w:ascii="Times New Roman" w:eastAsia="Calibri" w:hAnsi="Times New Roman" w:cs="Times New Roman"/>
          <w:sz w:val="20"/>
          <w:szCs w:val="20"/>
        </w:rPr>
        <w:t xml:space="preserve">, </w:t>
      </w:r>
      <w:proofErr w:type="spellStart"/>
      <w:proofErr w:type="gramStart"/>
      <w:r w:rsidRPr="00034301">
        <w:rPr>
          <w:rFonts w:ascii="Times New Roman" w:hAnsi="Times New Roman" w:cs="Times New Roman"/>
          <w:sz w:val="20"/>
          <w:szCs w:val="20"/>
          <w:lang w:val="en-US"/>
        </w:rPr>
        <w:t>eds</w:t>
      </w:r>
      <w:proofErr w:type="spellEnd"/>
      <w:proofErr w:type="gramEnd"/>
      <w:r w:rsidRPr="00034301">
        <w:rPr>
          <w:rFonts w:ascii="Times New Roman" w:hAnsi="Times New Roman" w:cs="Times New Roman"/>
          <w:sz w:val="20"/>
          <w:szCs w:val="20"/>
          <w:lang w:val="en-US"/>
        </w:rPr>
        <w:t xml:space="preserve"> </w:t>
      </w:r>
      <w:proofErr w:type="spellStart"/>
      <w:r w:rsidRPr="00034301">
        <w:rPr>
          <w:rFonts w:ascii="Times New Roman" w:eastAsia="Calibri" w:hAnsi="Times New Roman" w:cs="Times New Roman"/>
          <w:sz w:val="20"/>
          <w:szCs w:val="20"/>
        </w:rPr>
        <w:t>Stahn</w:t>
      </w:r>
      <w:proofErr w:type="spellEnd"/>
      <w:r w:rsidRPr="00034301">
        <w:rPr>
          <w:rFonts w:ascii="Times New Roman" w:eastAsia="Calibri" w:hAnsi="Times New Roman" w:cs="Times New Roman"/>
          <w:sz w:val="20"/>
          <w:szCs w:val="20"/>
        </w:rPr>
        <w:t xml:space="preserve">, Carsten, Iverson, Jens, </w:t>
      </w:r>
      <w:proofErr w:type="spellStart"/>
      <w:r w:rsidRPr="00034301">
        <w:rPr>
          <w:rFonts w:ascii="Times New Roman" w:eastAsia="Calibri" w:hAnsi="Times New Roman" w:cs="Times New Roman"/>
          <w:sz w:val="20"/>
          <w:szCs w:val="20"/>
        </w:rPr>
        <w:t>Easterday</w:t>
      </w:r>
      <w:proofErr w:type="spellEnd"/>
      <w:r w:rsidRPr="00034301">
        <w:rPr>
          <w:rFonts w:ascii="Times New Roman" w:eastAsia="Calibri" w:hAnsi="Times New Roman" w:cs="Times New Roman"/>
          <w:sz w:val="20"/>
          <w:szCs w:val="20"/>
        </w:rPr>
        <w:t>, Jennifer</w:t>
      </w:r>
      <w:r w:rsidR="002502EF" w:rsidRPr="00034301">
        <w:rPr>
          <w:rFonts w:ascii="Times New Roman" w:eastAsia="Calibri" w:hAnsi="Times New Roman" w:cs="Times New Roman"/>
          <w:sz w:val="20"/>
          <w:szCs w:val="20"/>
        </w:rPr>
        <w:t>. Oxford: Oxford University Press, 2021.</w:t>
      </w:r>
      <w:r w:rsidRPr="00034301">
        <w:rPr>
          <w:rFonts w:ascii="Times New Roman" w:eastAsia="Calibri" w:hAnsi="Times New Roman" w:cs="Times New Roman"/>
          <w:sz w:val="20"/>
          <w:szCs w:val="20"/>
        </w:rPr>
        <w:t xml:space="preserve"> (</w:t>
      </w:r>
      <w:proofErr w:type="gramStart"/>
      <w:r w:rsidRPr="00034301">
        <w:rPr>
          <w:rFonts w:ascii="Times New Roman" w:eastAsia="Calibri" w:hAnsi="Times New Roman" w:cs="Times New Roman"/>
          <w:sz w:val="20"/>
          <w:szCs w:val="20"/>
        </w:rPr>
        <w:t>forthcoming</w:t>
      </w:r>
      <w:proofErr w:type="gramEnd"/>
      <w:r w:rsidRPr="00034301">
        <w:rPr>
          <w:rFonts w:ascii="Times New Roman" w:eastAsia="Calibri" w:hAnsi="Times New Roman" w:cs="Times New Roman"/>
          <w:sz w:val="20"/>
          <w:szCs w:val="20"/>
        </w:rPr>
        <w:t xml:space="preserve"> – author preprint used).</w:t>
      </w:r>
    </w:p>
    <w:p w14:paraId="5F8B3C67" w14:textId="77777777" w:rsidR="0089674E" w:rsidRPr="007C271A" w:rsidRDefault="0089674E" w:rsidP="00233CA0">
      <w:pPr>
        <w:pStyle w:val="FootnoteText"/>
      </w:pPr>
      <w:r w:rsidRPr="007C271A">
        <w:t xml:space="preserve">Mac </w:t>
      </w:r>
      <w:proofErr w:type="spellStart"/>
      <w:r w:rsidRPr="007C271A">
        <w:t>Ginty</w:t>
      </w:r>
      <w:proofErr w:type="spellEnd"/>
      <w:r w:rsidRPr="007C271A">
        <w:t xml:space="preserve">, Roger. “Against Stabilization.” </w:t>
      </w:r>
      <w:r w:rsidRPr="007C271A">
        <w:rPr>
          <w:i/>
        </w:rPr>
        <w:t>Stability: International Journal of Security &amp; Development</w:t>
      </w:r>
      <w:r w:rsidRPr="007C271A">
        <w:t xml:space="preserve"> 1(1) (2012): 20-30.</w:t>
      </w:r>
    </w:p>
    <w:p w14:paraId="43C5A089" w14:textId="130FF0C2" w:rsidR="00260F1D" w:rsidRPr="007C271A" w:rsidRDefault="00260F1D" w:rsidP="00233CA0">
      <w:pPr>
        <w:pStyle w:val="FootnoteText"/>
        <w:rPr>
          <w:rFonts w:eastAsia="Calibri"/>
        </w:rPr>
      </w:pPr>
      <w:r w:rsidRPr="007C271A">
        <w:t>Mahmoud, Youssef. “People-</w:t>
      </w:r>
      <w:proofErr w:type="spellStart"/>
      <w:r w:rsidRPr="007C271A">
        <w:t>Centred</w:t>
      </w:r>
      <w:proofErr w:type="spellEnd"/>
      <w:r w:rsidRPr="007C271A">
        <w:t xml:space="preserve"> Approaches to Peace: At Cross Roads </w:t>
      </w:r>
      <w:proofErr w:type="gramStart"/>
      <w:r w:rsidRPr="007C271A">
        <w:t>Between</w:t>
      </w:r>
      <w:proofErr w:type="gramEnd"/>
      <w:r w:rsidRPr="007C271A">
        <w:t xml:space="preserve"> Geopolitics, Norms, and Practice.” In </w:t>
      </w:r>
      <w:r w:rsidRPr="007C271A">
        <w:rPr>
          <w:i/>
          <w:iCs/>
        </w:rPr>
        <w:t>United Nations Peace Operations in a Changing Global Order</w:t>
      </w:r>
      <w:r w:rsidRPr="007C271A">
        <w:t xml:space="preserve">, </w:t>
      </w:r>
      <w:proofErr w:type="spellStart"/>
      <w:proofErr w:type="gramStart"/>
      <w:r w:rsidRPr="007C271A">
        <w:t>eds</w:t>
      </w:r>
      <w:proofErr w:type="spellEnd"/>
      <w:proofErr w:type="gramEnd"/>
      <w:r w:rsidRPr="007C271A">
        <w:t xml:space="preserve"> Cedric de Coning, Mateja Peter. London: </w:t>
      </w:r>
      <w:r w:rsidRPr="007C271A">
        <w:rPr>
          <w:rFonts w:eastAsia="Calibri"/>
        </w:rPr>
        <w:t>Palgrave Macmillan,</w:t>
      </w:r>
      <w:r w:rsidR="000118AE" w:rsidRPr="007C271A">
        <w:rPr>
          <w:rFonts w:eastAsia="Calibri"/>
        </w:rPr>
        <w:t xml:space="preserve"> 2019.</w:t>
      </w:r>
    </w:p>
    <w:p w14:paraId="6593EF82" w14:textId="45DDB004" w:rsidR="00594830" w:rsidRPr="007C271A" w:rsidRDefault="00594830" w:rsidP="00233CA0">
      <w:pPr>
        <w:pStyle w:val="FootnoteText"/>
      </w:pPr>
      <w:r w:rsidRPr="007C271A">
        <w:t xml:space="preserve">Mathias, Stephen. “UN Peacekeeping Today: Legal Challenges and Uncertainties.” </w:t>
      </w:r>
      <w:r w:rsidRPr="007C271A">
        <w:rPr>
          <w:i/>
          <w:iCs/>
        </w:rPr>
        <w:t>Melbourne Journal of International Law</w:t>
      </w:r>
      <w:r w:rsidRPr="007C271A">
        <w:t xml:space="preserve"> 18(2) (2017): 138-153.</w:t>
      </w:r>
    </w:p>
    <w:p w14:paraId="7B993540" w14:textId="5380F2B9" w:rsidR="0089674E" w:rsidRPr="007C271A" w:rsidRDefault="0089674E" w:rsidP="00233CA0">
      <w:pPr>
        <w:pStyle w:val="FootnoteText"/>
      </w:pPr>
      <w:r w:rsidRPr="007C271A">
        <w:t xml:space="preserve">Ogata, </w:t>
      </w:r>
      <w:proofErr w:type="spellStart"/>
      <w:r w:rsidRPr="007C271A">
        <w:t>Sadako</w:t>
      </w:r>
      <w:proofErr w:type="spellEnd"/>
      <w:r w:rsidRPr="007C271A">
        <w:t>. “From State Security to Human Security.” Ogden Lecture, Brown University, 26 May 2002</w:t>
      </w:r>
      <w:r w:rsidR="0046164F" w:rsidRPr="007C271A">
        <w:t xml:space="preserve"> (on file with the author).</w:t>
      </w:r>
    </w:p>
    <w:p w14:paraId="3F9CBF6D" w14:textId="77777777" w:rsidR="0089674E" w:rsidRPr="007C271A" w:rsidRDefault="0089674E" w:rsidP="00233CA0">
      <w:pPr>
        <w:pStyle w:val="FootnoteText"/>
      </w:pPr>
      <w:r w:rsidRPr="007C271A">
        <w:t xml:space="preserve">Ogata, </w:t>
      </w:r>
      <w:proofErr w:type="spellStart"/>
      <w:r w:rsidRPr="007C271A">
        <w:t>Sadako</w:t>
      </w:r>
      <w:proofErr w:type="spellEnd"/>
      <w:r w:rsidRPr="007C271A">
        <w:t xml:space="preserve">. “The Human Security Commission’s strategy.” </w:t>
      </w:r>
      <w:r w:rsidRPr="007C271A">
        <w:rPr>
          <w:i/>
        </w:rPr>
        <w:t>Peace Review</w:t>
      </w:r>
      <w:r w:rsidRPr="007C271A">
        <w:t xml:space="preserve"> 16(1) (2004): 25-28.</w:t>
      </w:r>
    </w:p>
    <w:p w14:paraId="3CEAEBF0" w14:textId="14EC93E7" w:rsidR="001809C6" w:rsidRPr="007C271A" w:rsidRDefault="001809C6" w:rsidP="00233CA0">
      <w:pPr>
        <w:pStyle w:val="FootnoteText"/>
      </w:pPr>
      <w:r w:rsidRPr="007C271A">
        <w:t xml:space="preserve">Paris, Roland. “Human Security: Paradigm Shift or Hot Air?” </w:t>
      </w:r>
      <w:r w:rsidRPr="007C271A">
        <w:rPr>
          <w:i/>
        </w:rPr>
        <w:t>International Security</w:t>
      </w:r>
      <w:r w:rsidRPr="007C271A">
        <w:t xml:space="preserve"> 26(2) (2001)</w:t>
      </w:r>
      <w:r w:rsidR="00F8664F" w:rsidRPr="007C271A">
        <w:t xml:space="preserve">: </w:t>
      </w:r>
      <w:r w:rsidRPr="007C271A">
        <w:t>87-102.</w:t>
      </w:r>
    </w:p>
    <w:p w14:paraId="781A620E" w14:textId="3D279734" w:rsidR="00F80F7A" w:rsidRPr="007C271A" w:rsidRDefault="00F80F7A" w:rsidP="00233CA0">
      <w:pPr>
        <w:pStyle w:val="FootnoteText"/>
      </w:pPr>
      <w:proofErr w:type="spellStart"/>
      <w:r w:rsidRPr="007C271A">
        <w:t>Picco</w:t>
      </w:r>
      <w:proofErr w:type="spellEnd"/>
      <w:r w:rsidRPr="007C271A">
        <w:t xml:space="preserve">, </w:t>
      </w:r>
      <w:proofErr w:type="spellStart"/>
      <w:r w:rsidRPr="007C271A">
        <w:t>Enrica</w:t>
      </w:r>
      <w:proofErr w:type="spellEnd"/>
      <w:r w:rsidRPr="007C271A">
        <w:t xml:space="preserve">. ““I Am 100% Central African” Identity and Inclusion in the Experience of Central African Muslim Refugees in Chad and Cameroon.” International Center for Transitional Justice. 14 March 2018. </w:t>
      </w:r>
      <w:hyperlink r:id="rId11" w:history="1">
        <w:r w:rsidRPr="007C271A">
          <w:rPr>
            <w:rStyle w:val="Hyperlink"/>
          </w:rPr>
          <w:t>https://www.ictj.org/sites/default/files/ICTJ_CAR_report_100_percent_Central_African.pdf</w:t>
        </w:r>
      </w:hyperlink>
    </w:p>
    <w:p w14:paraId="2B128D93" w14:textId="52F2BF96" w:rsidR="00B11A36" w:rsidRPr="007C271A" w:rsidRDefault="00B11A36" w:rsidP="00233CA0">
      <w:pPr>
        <w:pStyle w:val="FootnoteText"/>
      </w:pPr>
      <w:r w:rsidRPr="007C271A">
        <w:t xml:space="preserve">Pugh, Michael. “Reflections on Aggressive Peace” </w:t>
      </w:r>
      <w:r w:rsidRPr="007C271A">
        <w:rPr>
          <w:i/>
        </w:rPr>
        <w:t>International Peacekeeping</w:t>
      </w:r>
      <w:r w:rsidRPr="007C271A">
        <w:t xml:space="preserve"> 19(4) (2012)</w:t>
      </w:r>
      <w:r w:rsidR="00F8664F" w:rsidRPr="007C271A">
        <w:t xml:space="preserve">: </w:t>
      </w:r>
      <w:r w:rsidRPr="007C271A">
        <w:t>410-425.</w:t>
      </w:r>
    </w:p>
    <w:p w14:paraId="5628DBCD" w14:textId="213ABC77" w:rsidR="00F80F7A" w:rsidRPr="007C271A" w:rsidRDefault="00F80F7A" w:rsidP="00233CA0">
      <w:pPr>
        <w:pStyle w:val="FootnoteText"/>
      </w:pPr>
      <w:proofErr w:type="spellStart"/>
      <w:r w:rsidRPr="007C271A">
        <w:t>Randazzo</w:t>
      </w:r>
      <w:proofErr w:type="spellEnd"/>
      <w:r w:rsidRPr="007C271A">
        <w:t xml:space="preserve">, Elisa. “The paradoxes of the ‘everyday’: </w:t>
      </w:r>
      <w:proofErr w:type="spellStart"/>
      <w:r w:rsidRPr="007C271A">
        <w:t>scrutinising</w:t>
      </w:r>
      <w:proofErr w:type="spellEnd"/>
      <w:r w:rsidRPr="007C271A">
        <w:t xml:space="preserve"> the local turn in peace building.” </w:t>
      </w:r>
      <w:r w:rsidRPr="007C271A">
        <w:rPr>
          <w:i/>
        </w:rPr>
        <w:t>Third World Quarterly</w:t>
      </w:r>
      <w:r w:rsidRPr="007C271A">
        <w:t xml:space="preserve"> 37(8) (2016)</w:t>
      </w:r>
      <w:r w:rsidR="00F8664F" w:rsidRPr="007C271A">
        <w:t>:</w:t>
      </w:r>
      <w:r w:rsidRPr="007C271A">
        <w:t xml:space="preserve"> 1351-1370.</w:t>
      </w:r>
    </w:p>
    <w:p w14:paraId="655CEA35" w14:textId="12243C5F" w:rsidR="00F8664F" w:rsidRPr="007C271A" w:rsidRDefault="00F8664F" w:rsidP="00233CA0">
      <w:pPr>
        <w:pStyle w:val="FootnoteText"/>
      </w:pPr>
      <w:r w:rsidRPr="007C271A">
        <w:t xml:space="preserve">Riis Andersen, Louise. “The HIPPO in the room: the pragmatic push-back from the UN peace bureaucracy against the militarization of UN peacekeeping.” </w:t>
      </w:r>
      <w:proofErr w:type="spellStart"/>
      <w:r w:rsidRPr="007C271A">
        <w:rPr>
          <w:i/>
          <w:iCs/>
        </w:rPr>
        <w:t>Internatioanal</w:t>
      </w:r>
      <w:proofErr w:type="spellEnd"/>
      <w:r w:rsidRPr="007C271A">
        <w:rPr>
          <w:i/>
          <w:iCs/>
        </w:rPr>
        <w:t xml:space="preserve"> Affairs</w:t>
      </w:r>
      <w:r w:rsidRPr="007C271A">
        <w:t xml:space="preserve"> 94(2) (2018): 343-361.</w:t>
      </w:r>
    </w:p>
    <w:p w14:paraId="141CFBEE" w14:textId="262CD6D7" w:rsidR="00BC3F2B" w:rsidRPr="007C271A" w:rsidRDefault="00BC3F2B" w:rsidP="00233CA0">
      <w:pPr>
        <w:pStyle w:val="FootnoteText"/>
      </w:pPr>
      <w:proofErr w:type="spellStart"/>
      <w:r w:rsidRPr="007C271A">
        <w:t>Sannerholm</w:t>
      </w:r>
      <w:proofErr w:type="spellEnd"/>
      <w:r w:rsidRPr="007C271A">
        <w:t xml:space="preserve">, Richard, “Legal, Judicial and Administrative Reforms in Post-Conflict Societies: Beyond the Rule of Law Template.” </w:t>
      </w:r>
      <w:r w:rsidRPr="007C271A">
        <w:rPr>
          <w:i/>
        </w:rPr>
        <w:t>Journal of Conflict &amp; Security Law</w:t>
      </w:r>
      <w:r w:rsidRPr="007C271A">
        <w:t xml:space="preserve"> 12(1) (2007)</w:t>
      </w:r>
      <w:r w:rsidR="00F8664F" w:rsidRPr="007C271A">
        <w:t>:</w:t>
      </w:r>
      <w:r w:rsidRPr="007C271A">
        <w:t xml:space="preserve"> 65-94.</w:t>
      </w:r>
    </w:p>
    <w:p w14:paraId="7B689714" w14:textId="77777777" w:rsidR="0089674E" w:rsidRPr="007C271A" w:rsidRDefault="0089674E" w:rsidP="00233CA0">
      <w:pPr>
        <w:pStyle w:val="FootnoteText"/>
      </w:pPr>
      <w:r w:rsidRPr="007C271A">
        <w:t>Sloan, James. “UN peacekeeping and international law.”</w:t>
      </w:r>
      <w:r w:rsidRPr="007C271A">
        <w:rPr>
          <w:bCs/>
        </w:rPr>
        <w:t xml:space="preserve"> In </w:t>
      </w:r>
      <w:r w:rsidRPr="007C271A">
        <w:rPr>
          <w:i/>
        </w:rPr>
        <w:t>The Use of Force in UN Peacekeeping</w:t>
      </w:r>
      <w:r w:rsidRPr="007C271A">
        <w:t xml:space="preserve">, </w:t>
      </w:r>
      <w:proofErr w:type="spellStart"/>
      <w:proofErr w:type="gramStart"/>
      <w:r w:rsidRPr="007C271A">
        <w:t>ed</w:t>
      </w:r>
      <w:proofErr w:type="spellEnd"/>
      <w:proofErr w:type="gramEnd"/>
      <w:r w:rsidRPr="007C271A">
        <w:t xml:space="preserve"> Peter </w:t>
      </w:r>
      <w:proofErr w:type="spellStart"/>
      <w:r w:rsidRPr="007C271A">
        <w:t>Nadin</w:t>
      </w:r>
      <w:proofErr w:type="spellEnd"/>
      <w:r w:rsidRPr="007C271A">
        <w:t>. London: Routledge, 2018.</w:t>
      </w:r>
    </w:p>
    <w:p w14:paraId="15A9DC09" w14:textId="77777777" w:rsidR="0089674E" w:rsidRPr="007C271A" w:rsidRDefault="0089674E" w:rsidP="00233CA0">
      <w:pPr>
        <w:pStyle w:val="FootnoteText"/>
      </w:pPr>
      <w:proofErr w:type="spellStart"/>
      <w:r w:rsidRPr="007C271A">
        <w:t>Thérien</w:t>
      </w:r>
      <w:proofErr w:type="spellEnd"/>
      <w:r w:rsidRPr="007C271A">
        <w:t xml:space="preserve">, Jean-Philippe. “Human Security: The Making of a UN Ideology” </w:t>
      </w:r>
      <w:r w:rsidRPr="007C271A">
        <w:rPr>
          <w:i/>
        </w:rPr>
        <w:t>Global Society</w:t>
      </w:r>
      <w:r w:rsidRPr="007C271A">
        <w:t xml:space="preserve"> 26(2) (2012): 191-213.</w:t>
      </w:r>
    </w:p>
    <w:p w14:paraId="306B046F" w14:textId="77777777" w:rsidR="0089674E" w:rsidRPr="007C271A" w:rsidRDefault="0089674E" w:rsidP="00233CA0">
      <w:pPr>
        <w:pStyle w:val="FootnoteText"/>
      </w:pPr>
      <w:r w:rsidRPr="007C271A">
        <w:t xml:space="preserve">Tobin, John. “Understanding Children’s Rights: A Vision beyond Vulnerability.” </w:t>
      </w:r>
      <w:r w:rsidRPr="007C271A">
        <w:rPr>
          <w:i/>
        </w:rPr>
        <w:t>Nordic Journal of International Law</w:t>
      </w:r>
      <w:r w:rsidRPr="007C271A">
        <w:t xml:space="preserve"> 84(2) (2015): 155-182.</w:t>
      </w:r>
    </w:p>
    <w:p w14:paraId="4CCDAB32" w14:textId="6249040A" w:rsidR="00BC3F2B" w:rsidRPr="007C271A" w:rsidRDefault="00BC3F2B" w:rsidP="00233CA0">
      <w:pPr>
        <w:pStyle w:val="FootnoteText"/>
      </w:pPr>
      <w:r w:rsidRPr="007C271A">
        <w:t xml:space="preserve">Tolbert, David, Solomon, Andrew. “United Nations Reform and Supporting the Rule of Law in Post-Conflict Societies.” </w:t>
      </w:r>
      <w:r w:rsidRPr="007C271A">
        <w:rPr>
          <w:i/>
          <w:iCs/>
        </w:rPr>
        <w:t>Harvard Human Rights Journal</w:t>
      </w:r>
      <w:r w:rsidRPr="007C271A">
        <w:t xml:space="preserve"> 19 (2006)</w:t>
      </w:r>
      <w:r w:rsidR="00F8664F" w:rsidRPr="007C271A">
        <w:t>:</w:t>
      </w:r>
      <w:r w:rsidRPr="007C271A">
        <w:t xml:space="preserve"> 29-62.</w:t>
      </w:r>
    </w:p>
    <w:p w14:paraId="1495F4E3" w14:textId="3C6A3A6D" w:rsidR="0089674E" w:rsidRPr="007C271A" w:rsidRDefault="0089674E" w:rsidP="00233CA0">
      <w:pPr>
        <w:pStyle w:val="FootnoteText"/>
      </w:pPr>
      <w:proofErr w:type="spellStart"/>
      <w:r w:rsidRPr="007C271A">
        <w:t>Tull</w:t>
      </w:r>
      <w:proofErr w:type="spellEnd"/>
      <w:r w:rsidRPr="007C271A">
        <w:t xml:space="preserve">, Dennis. “The Limits and Unintended Consequences of UN Peace Enforcement: The Force Intervention Brigade in the DR Congo.” </w:t>
      </w:r>
      <w:r w:rsidRPr="007C271A">
        <w:rPr>
          <w:i/>
        </w:rPr>
        <w:t>International Peacekeeping</w:t>
      </w:r>
      <w:r w:rsidRPr="007C271A">
        <w:t xml:space="preserve"> 25(2) (2018): 167-190</w:t>
      </w:r>
    </w:p>
    <w:p w14:paraId="52503898" w14:textId="14A53D46" w:rsidR="000767EF" w:rsidRPr="007C271A" w:rsidRDefault="000767EF" w:rsidP="00233CA0">
      <w:pPr>
        <w:pStyle w:val="FootnoteText"/>
      </w:pPr>
      <w:r w:rsidRPr="007C271A">
        <w:t xml:space="preserve">UN. “(5a) Fatalities by Year, Mission and Incident Type.” UN Peacekeeping, 5 November 2018. </w:t>
      </w:r>
      <w:hyperlink r:id="rId12" w:history="1">
        <w:r w:rsidRPr="007C271A">
          <w:rPr>
            <w:rStyle w:val="Hyperlink"/>
            <w:lang w:val="en-GB"/>
          </w:rPr>
          <w:t>https://peacekeeping.un.org/sites/default/files/statsbyyearmissionincidenttype_5a_15.pdf</w:t>
        </w:r>
      </w:hyperlink>
    </w:p>
    <w:p w14:paraId="57E064C8" w14:textId="77777777" w:rsidR="0089674E" w:rsidRPr="007C271A" w:rsidRDefault="0089674E" w:rsidP="00233CA0">
      <w:pPr>
        <w:pStyle w:val="FootnoteText"/>
      </w:pPr>
      <w:r w:rsidRPr="007C271A">
        <w:t xml:space="preserve">UN. “Central African Forces and MINUSCA launch a disarmament and arrest operation against armed criminals in Bangui’s PK5 neighborhood.” MINUSCA, 8 April 2018. </w:t>
      </w:r>
      <w:hyperlink r:id="rId13" w:history="1">
        <w:r w:rsidRPr="007C271A">
          <w:rPr>
            <w:rStyle w:val="Hyperlink"/>
            <w:lang w:val="en-GB"/>
          </w:rPr>
          <w:t>https://minusca.unmissions.org/en/central-african-forces-and-minusca-launch-disarmament-and-arrest-operation-against-armed-criminals</w:t>
        </w:r>
      </w:hyperlink>
    </w:p>
    <w:p w14:paraId="56872EF6" w14:textId="77777777" w:rsidR="0089674E" w:rsidRPr="007C271A" w:rsidRDefault="0089674E" w:rsidP="00233CA0">
      <w:pPr>
        <w:pStyle w:val="FootnoteText"/>
      </w:pPr>
      <w:r w:rsidRPr="007C271A">
        <w:t xml:space="preserve">UN. “MINUSCA condemns fresh attack against peacekeepers in Bangui.” MINUSCA, 10 April 2018. </w:t>
      </w:r>
      <w:hyperlink r:id="rId14" w:history="1">
        <w:r w:rsidRPr="007C271A">
          <w:rPr>
            <w:rStyle w:val="Hyperlink"/>
            <w:bCs/>
            <w:lang w:val="en-GB"/>
          </w:rPr>
          <w:t>https://minusca.unmissions.org/en/minusca-condemns-fresh-attack-against-peacekeepers-bangui</w:t>
        </w:r>
      </w:hyperlink>
    </w:p>
    <w:p w14:paraId="1B217933" w14:textId="77777777" w:rsidR="0089674E" w:rsidRPr="007C271A" w:rsidRDefault="0089674E" w:rsidP="00233CA0">
      <w:pPr>
        <w:pStyle w:val="FootnoteText"/>
      </w:pPr>
      <w:r w:rsidRPr="007C271A">
        <w:t xml:space="preserve">UN. “UN expert calls for calm, protection of civilians in Central African Republic.” MINUSCA, 3 May 2018. </w:t>
      </w:r>
      <w:hyperlink r:id="rId15" w:history="1">
        <w:r w:rsidRPr="007C271A">
          <w:rPr>
            <w:rStyle w:val="Hyperlink"/>
            <w:lang w:val="en-GB"/>
          </w:rPr>
          <w:t>https://minusca.unmissions.org/en/un-expert-calls-calm-protection-civilians-central-african-republic</w:t>
        </w:r>
      </w:hyperlink>
    </w:p>
    <w:p w14:paraId="6E33473B" w14:textId="77777777" w:rsidR="0089674E" w:rsidRPr="007C271A" w:rsidRDefault="0089674E" w:rsidP="00233CA0">
      <w:pPr>
        <w:pStyle w:val="FootnoteText"/>
      </w:pPr>
      <w:r w:rsidRPr="007C271A">
        <w:t>UN. A/3943. Summary of the experiences derived from the establishment and operation of the force. New York: United Nations, 9 October 1958.</w:t>
      </w:r>
    </w:p>
    <w:p w14:paraId="40409AFE" w14:textId="77777777" w:rsidR="0089674E" w:rsidRPr="007C271A" w:rsidRDefault="0089674E" w:rsidP="00233CA0">
      <w:pPr>
        <w:pStyle w:val="FootnoteText"/>
      </w:pPr>
      <w:r w:rsidRPr="007C271A">
        <w:t>UN. A/46/185. Model agreement between the United Nations and Member States contributing personnel and equipment to United Nations peacekeeping operations. New York: United Nations, 13 May 1991.</w:t>
      </w:r>
    </w:p>
    <w:p w14:paraId="3CCE5D6E" w14:textId="16BB4A78" w:rsidR="00BC3F2B" w:rsidRPr="007C271A" w:rsidRDefault="00BC3F2B" w:rsidP="00233CA0">
      <w:pPr>
        <w:pStyle w:val="FootnoteText"/>
      </w:pPr>
      <w:r w:rsidRPr="007C271A">
        <w:t>UN. A/59/565. High Level Panel on Threats, Challenges and Change. New York: United Nations, 2 December 2004.</w:t>
      </w:r>
    </w:p>
    <w:p w14:paraId="0986E628" w14:textId="45ACBFF3" w:rsidR="0089674E" w:rsidRDefault="0089674E" w:rsidP="00233CA0">
      <w:pPr>
        <w:pStyle w:val="FootnoteText"/>
      </w:pPr>
      <w:r w:rsidRPr="007C271A">
        <w:t>UN. A/68/19. Report of the Special Committee on Peacekeeping Operations. New York: United Nations, 24 February - 21 March 2014.</w:t>
      </w:r>
    </w:p>
    <w:p w14:paraId="089D344F" w14:textId="5FC29529" w:rsidR="008178D3" w:rsidRPr="007C271A" w:rsidRDefault="008178D3" w:rsidP="00233CA0">
      <w:pPr>
        <w:pStyle w:val="FootnoteText"/>
      </w:pPr>
      <w:r>
        <w:t xml:space="preserve">UN. A/HRC/42/61. </w:t>
      </w:r>
      <w:r w:rsidRPr="008178D3">
        <w:t xml:space="preserve">Human rights situation </w:t>
      </w:r>
      <w:r>
        <w:t>in the Central African Republic. New York: United Nations, 9 August 2019.</w:t>
      </w:r>
    </w:p>
    <w:p w14:paraId="173844E1" w14:textId="77777777" w:rsidR="0089674E" w:rsidRPr="007C271A" w:rsidRDefault="0089674E" w:rsidP="00233CA0">
      <w:pPr>
        <w:pStyle w:val="FootnoteText"/>
      </w:pPr>
      <w:r w:rsidRPr="007C271A">
        <w:t>UN. A/RES/66/290. Follow-up to paragraph 143 on human security of the 2005 World Summit Outcome. New York: United Nations, 25 October 2012.</w:t>
      </w:r>
    </w:p>
    <w:p w14:paraId="64B735FE" w14:textId="77777777" w:rsidR="0089674E" w:rsidRPr="007C271A" w:rsidRDefault="0089674E" w:rsidP="00233CA0">
      <w:pPr>
        <w:pStyle w:val="FootnoteText"/>
      </w:pPr>
      <w:r w:rsidRPr="007C271A">
        <w:t xml:space="preserve">UN. </w:t>
      </w:r>
      <w:r w:rsidRPr="007C271A">
        <w:rPr>
          <w:i/>
        </w:rPr>
        <w:t>A/RES/71/278</w:t>
      </w:r>
      <w:r w:rsidRPr="007C271A">
        <w:t xml:space="preserve">. </w:t>
      </w:r>
      <w:r w:rsidRPr="007C271A">
        <w:rPr>
          <w:i/>
        </w:rPr>
        <w:t>Resolution 71/278</w:t>
      </w:r>
      <w:r w:rsidRPr="007C271A">
        <w:t>. New York: United Nations, 20 March 2017.</w:t>
      </w:r>
    </w:p>
    <w:p w14:paraId="3857290F" w14:textId="02DA54C7" w:rsidR="00BC3F2B" w:rsidRPr="007C271A" w:rsidRDefault="00BC3F2B" w:rsidP="00233CA0">
      <w:pPr>
        <w:pStyle w:val="FootnoteText"/>
      </w:pPr>
      <w:r w:rsidRPr="007C271A">
        <w:lastRenderedPageBreak/>
        <w:t>UN. S/2004/616. The Rule of Law and Transitional Justice in Conflict and Post-Conflict Societies. New York: United Nations, 23 August 2004.</w:t>
      </w:r>
    </w:p>
    <w:p w14:paraId="639F2B56" w14:textId="77777777" w:rsidR="0089674E" w:rsidRPr="007C271A" w:rsidRDefault="0089674E" w:rsidP="00233CA0">
      <w:pPr>
        <w:pStyle w:val="FootnoteText"/>
      </w:pPr>
      <w:r w:rsidRPr="007C271A">
        <w:t>UN. S/2013/677. Report of the Secretary-General on the Central African Republic submitted pursuant to paragraph 22 of Security Council resolution 2121 (2013). New York: United Nations, 15 November 2013.</w:t>
      </w:r>
    </w:p>
    <w:p w14:paraId="6C4E68D1" w14:textId="77777777" w:rsidR="0089674E" w:rsidRPr="007C271A" w:rsidRDefault="0089674E" w:rsidP="00233CA0">
      <w:pPr>
        <w:pStyle w:val="FootnoteText"/>
        <w:rPr>
          <w:lang w:eastAsia="en-GB"/>
        </w:rPr>
      </w:pPr>
      <w:r w:rsidRPr="007C271A">
        <w:t xml:space="preserve">UN. </w:t>
      </w:r>
      <w:r w:rsidRPr="007C271A">
        <w:rPr>
          <w:lang w:eastAsia="en-GB"/>
        </w:rPr>
        <w:t xml:space="preserve">S/2014/142. </w:t>
      </w:r>
      <w:r w:rsidRPr="007C271A">
        <w:t>Report of the Secretary-General on the Central African Republic submitted pursuant to paragraph 48 of Security Council resolution 2127 (2013). New York: United Nations</w:t>
      </w:r>
      <w:r w:rsidRPr="007C271A">
        <w:rPr>
          <w:lang w:eastAsia="en-GB"/>
        </w:rPr>
        <w:t>, 3 March 2014.</w:t>
      </w:r>
    </w:p>
    <w:p w14:paraId="17180D51" w14:textId="77777777" w:rsidR="0089674E" w:rsidRPr="007C271A" w:rsidRDefault="0089674E" w:rsidP="00233CA0">
      <w:pPr>
        <w:pStyle w:val="FootnoteText"/>
      </w:pPr>
      <w:r w:rsidRPr="007C271A">
        <w:t>UN. S/2014/562. Report of the Secretary-General on the situation in the Central African Republic. New York: United Nations, 1 August 2014.</w:t>
      </w:r>
    </w:p>
    <w:p w14:paraId="10C3ABC7" w14:textId="77777777" w:rsidR="0089674E" w:rsidRPr="007C271A" w:rsidRDefault="0089674E" w:rsidP="00233CA0">
      <w:pPr>
        <w:pStyle w:val="FootnoteText"/>
        <w:rPr>
          <w:color w:val="000000"/>
        </w:rPr>
      </w:pPr>
      <w:r w:rsidRPr="007C271A">
        <w:t>UN. S/2014/857. Report of the Secretary-General on the situation in the Central African Republic. New York: United Nations, 28 November 2014.</w:t>
      </w:r>
    </w:p>
    <w:p w14:paraId="3DA1B27B" w14:textId="77777777" w:rsidR="0089674E" w:rsidRPr="007C271A" w:rsidRDefault="0089674E" w:rsidP="00233CA0">
      <w:pPr>
        <w:pStyle w:val="FootnoteText"/>
      </w:pPr>
      <w:r w:rsidRPr="007C271A">
        <w:t>UN. S/2014/928. Letter dated 19 December 2014 from the Secretary-General addressed to the President of the Security Council. New York: United Nations, 22 December 2014.</w:t>
      </w:r>
    </w:p>
    <w:p w14:paraId="7F48F391" w14:textId="77777777" w:rsidR="0089674E" w:rsidRPr="007C271A" w:rsidRDefault="0089674E" w:rsidP="00233CA0">
      <w:pPr>
        <w:pStyle w:val="FootnoteText"/>
      </w:pPr>
      <w:r w:rsidRPr="007C271A">
        <w:t>UN. S/2015/227. Report of the Secretary-General on the situation in the Central African Republic. New York: United Nations, 1 April 2015.</w:t>
      </w:r>
    </w:p>
    <w:p w14:paraId="2CB50E8B" w14:textId="03AF44BC" w:rsidR="0089674E" w:rsidRPr="007C271A" w:rsidRDefault="0089674E" w:rsidP="00233CA0">
      <w:pPr>
        <w:pStyle w:val="FootnoteText"/>
      </w:pPr>
      <w:r w:rsidRPr="007C271A">
        <w:t>UN. S/2015/576. Report of the Secretary-General on the situation in the Central African Republic. New York: United Nations, 29 July 2015.</w:t>
      </w:r>
    </w:p>
    <w:p w14:paraId="75EC9BF0" w14:textId="426FBA75" w:rsidR="00641EA4" w:rsidRPr="007C271A" w:rsidRDefault="00641EA4" w:rsidP="00233CA0">
      <w:pPr>
        <w:pStyle w:val="FootnoteText"/>
      </w:pPr>
      <w:r w:rsidRPr="007C271A">
        <w:t xml:space="preserve">UN. </w:t>
      </w:r>
      <w:r w:rsidRPr="007C271A">
        <w:rPr>
          <w:color w:val="000000"/>
        </w:rPr>
        <w:t xml:space="preserve">S/2015/732. </w:t>
      </w:r>
      <w:r w:rsidRPr="007C271A">
        <w:t xml:space="preserve">Report of the Secretary-General on the situation in Mali. New York: United Nations, </w:t>
      </w:r>
      <w:r w:rsidRPr="007C271A">
        <w:rPr>
          <w:color w:val="000000"/>
        </w:rPr>
        <w:t>22 September 2015.</w:t>
      </w:r>
    </w:p>
    <w:p w14:paraId="38FBB08E" w14:textId="77777777" w:rsidR="0089674E" w:rsidRPr="007C271A" w:rsidRDefault="0089674E" w:rsidP="00233CA0">
      <w:pPr>
        <w:pStyle w:val="FootnoteText"/>
        <w:rPr>
          <w:color w:val="000000"/>
        </w:rPr>
      </w:pPr>
      <w:r w:rsidRPr="007C271A">
        <w:t>UN. S/2015/85. Letter dated 29 January 2015 from the Secretary-General addressed to the President of the Security Council. New York: United Nations, 29 January 2015.</w:t>
      </w:r>
    </w:p>
    <w:p w14:paraId="2AB10B0F" w14:textId="77777777" w:rsidR="0089674E" w:rsidRPr="007C271A" w:rsidRDefault="0089674E" w:rsidP="00233CA0">
      <w:pPr>
        <w:pStyle w:val="FootnoteText"/>
        <w:rPr>
          <w:color w:val="000000"/>
        </w:rPr>
      </w:pPr>
      <w:r w:rsidRPr="007C271A">
        <w:t>UN. S/2015/918. Report of the Secretary-General on the situation in the Central African Republic. New York: United Nations, 30 November 2015.</w:t>
      </w:r>
    </w:p>
    <w:p w14:paraId="6501FF43" w14:textId="77777777" w:rsidR="0089674E" w:rsidRPr="007C271A" w:rsidRDefault="0089674E" w:rsidP="00233CA0">
      <w:pPr>
        <w:pStyle w:val="FootnoteText"/>
      </w:pPr>
      <w:r w:rsidRPr="007C271A">
        <w:t>UN. S/2016/305. Report of the Secretary-General on the situation in the Central African Republic. New York: United Nations, 1 April 2016.</w:t>
      </w:r>
    </w:p>
    <w:p w14:paraId="18AA8BC1" w14:textId="77777777" w:rsidR="0089674E" w:rsidRPr="007C271A" w:rsidRDefault="0089674E" w:rsidP="00233CA0">
      <w:pPr>
        <w:pStyle w:val="FootnoteText"/>
      </w:pPr>
      <w:r w:rsidRPr="007C271A">
        <w:t>UN. S/2016/565. Special Report of the Secretary-General on the strategic review of the United Nations Multidimensional Integrated Stabilization Mission in the Central African Republic. New York: United Nations, 22 June 2016.</w:t>
      </w:r>
    </w:p>
    <w:p w14:paraId="61C0197E" w14:textId="535EF25E" w:rsidR="0089674E" w:rsidRPr="007C271A" w:rsidRDefault="0089674E" w:rsidP="00233CA0">
      <w:pPr>
        <w:pStyle w:val="FootnoteText"/>
      </w:pPr>
      <w:r w:rsidRPr="007C271A">
        <w:t>UN. S/2016/672. Letter dated 29 July 2016 from the Permanent Representatives of Spain and the United Kingdom of Great Britain and Northern Ireland to the United Nations addressed to the Secretary-General. New York: United Nations, 2 August 2016.</w:t>
      </w:r>
    </w:p>
    <w:p w14:paraId="7C84CFA5" w14:textId="1FEAF854" w:rsidR="001624C1" w:rsidRPr="007C271A" w:rsidRDefault="001624C1" w:rsidP="00233CA0">
      <w:pPr>
        <w:pStyle w:val="FootnoteText"/>
      </w:pPr>
      <w:r w:rsidRPr="007C271A">
        <w:t>UN. S/2016/819. Report of the Secretary-General on the situation in Mali. New York: United Nations, 29 September 2016.</w:t>
      </w:r>
    </w:p>
    <w:p w14:paraId="62A6648F" w14:textId="53C992B5" w:rsidR="00F80F7A" w:rsidRPr="007C271A" w:rsidRDefault="00F80F7A" w:rsidP="00233CA0">
      <w:pPr>
        <w:pStyle w:val="FootnoteText"/>
      </w:pPr>
      <w:r w:rsidRPr="007C271A">
        <w:t>UN. S/2016/1137. Report of the Secretary-General on the situation in Mali. New York: United Nations, 30 December 2016.</w:t>
      </w:r>
    </w:p>
    <w:p w14:paraId="219EE153" w14:textId="77777777" w:rsidR="0089674E" w:rsidRPr="007C271A" w:rsidRDefault="0089674E" w:rsidP="00233CA0">
      <w:pPr>
        <w:pStyle w:val="FootnoteText"/>
      </w:pPr>
      <w:r w:rsidRPr="007C271A">
        <w:t>UN. S/2017/473. Report of the Secretary-General on the Central African Republic. New York: United Nations, 2 June 2017.</w:t>
      </w:r>
    </w:p>
    <w:p w14:paraId="6736EBDE" w14:textId="77777777" w:rsidR="0089674E" w:rsidRPr="007C271A" w:rsidRDefault="0089674E" w:rsidP="00233CA0">
      <w:pPr>
        <w:pStyle w:val="FootnoteText"/>
      </w:pPr>
      <w:r w:rsidRPr="007C271A">
        <w:t>UN. S/2017/865. Report of the Secretary-General on the situation in the Central African Republic. New York: United Nations, 18 October 2017.</w:t>
      </w:r>
    </w:p>
    <w:p w14:paraId="41037EC3" w14:textId="77777777" w:rsidR="0089674E" w:rsidRPr="007C271A" w:rsidRDefault="0089674E" w:rsidP="00233CA0">
      <w:pPr>
        <w:pStyle w:val="FootnoteText"/>
      </w:pPr>
      <w:r w:rsidRPr="007C271A">
        <w:t>UN. S/2017/94. Report of the Secretary-General on the situation in the Central African Republic. New York: United Nations, 1 February 2017.</w:t>
      </w:r>
    </w:p>
    <w:p w14:paraId="3E22D3E2" w14:textId="77777777" w:rsidR="0089674E" w:rsidRPr="007C271A" w:rsidRDefault="0089674E" w:rsidP="00233CA0">
      <w:pPr>
        <w:pStyle w:val="FootnoteText"/>
        <w:rPr>
          <w:bCs/>
        </w:rPr>
      </w:pPr>
      <w:r w:rsidRPr="007C271A">
        <w:t>UN. S/2018/125. Report of the Secretary-General on the situation in the Central African Republic. New York: United Nations, 15 February 2018.</w:t>
      </w:r>
    </w:p>
    <w:p w14:paraId="59276529" w14:textId="77777777" w:rsidR="0089674E" w:rsidRPr="007C271A" w:rsidRDefault="0089674E" w:rsidP="00233CA0">
      <w:pPr>
        <w:pStyle w:val="FootnoteText"/>
        <w:rPr>
          <w:color w:val="000000"/>
          <w:lang w:eastAsia="en-GB"/>
        </w:rPr>
      </w:pPr>
      <w:r w:rsidRPr="007C271A">
        <w:t>UN. S/2018/463. Letter dated 15 May 2018 from the Secretary-General addressed to the President of the Security Council. New York: United Nations, 16 May 2018.</w:t>
      </w:r>
    </w:p>
    <w:p w14:paraId="5760AA7D" w14:textId="77777777" w:rsidR="0089674E" w:rsidRDefault="0089674E" w:rsidP="00233CA0">
      <w:pPr>
        <w:pStyle w:val="FootnoteText"/>
      </w:pPr>
      <w:r w:rsidRPr="007C271A">
        <w:t>UN. S/2018/611. Situation in the Central African Republic Report of the Secretary-General. New York: United Nations, 18 June 2018.</w:t>
      </w:r>
    </w:p>
    <w:p w14:paraId="46E121C2" w14:textId="4325044F" w:rsidR="008178D3" w:rsidRDefault="008178D3" w:rsidP="00233CA0">
      <w:pPr>
        <w:pStyle w:val="FootnoteText"/>
        <w:rPr>
          <w:bCs/>
        </w:rPr>
      </w:pPr>
      <w:r>
        <w:t xml:space="preserve">UN. S/2018/922. </w:t>
      </w:r>
      <w:r w:rsidRPr="003B57E5">
        <w:rPr>
          <w:bCs/>
        </w:rPr>
        <w:t>Report of the Secretary-General on the Central African Republic, 15 June–15 October 2018</w:t>
      </w:r>
      <w:r>
        <w:rPr>
          <w:bCs/>
        </w:rPr>
        <w:t>. New York: United Nations, 15 October 2018.</w:t>
      </w:r>
    </w:p>
    <w:p w14:paraId="528E9633" w14:textId="2579F117" w:rsidR="008178D3" w:rsidRDefault="008178D3" w:rsidP="00233CA0">
      <w:pPr>
        <w:pStyle w:val="FootnoteText"/>
      </w:pPr>
      <w:r>
        <w:t>UN. S/2019/147. Central African Republic. New York: United Nations, 15 February 2019.</w:t>
      </w:r>
    </w:p>
    <w:p w14:paraId="7E23261C" w14:textId="5AC83504" w:rsidR="008178D3" w:rsidRDefault="008178D3" w:rsidP="00233CA0">
      <w:pPr>
        <w:pStyle w:val="FootnoteText"/>
      </w:pPr>
      <w:r>
        <w:t>UN. S/2019/498. Central African Republic. New York: United Nations, 17 June 2019.</w:t>
      </w:r>
    </w:p>
    <w:p w14:paraId="1DF85456" w14:textId="4DA6C91F" w:rsidR="008178D3" w:rsidRPr="007C271A" w:rsidRDefault="008178D3" w:rsidP="00233CA0">
      <w:pPr>
        <w:pStyle w:val="FootnoteText"/>
      </w:pPr>
      <w:r>
        <w:t>UN. S/2019/822. Central African Republic. New York: United Nations, 15 October 2019.</w:t>
      </w:r>
    </w:p>
    <w:p w14:paraId="32795A06" w14:textId="77777777" w:rsidR="0089674E" w:rsidRPr="007C271A" w:rsidRDefault="0089674E" w:rsidP="00233CA0">
      <w:pPr>
        <w:pStyle w:val="FootnoteText"/>
        <w:rPr>
          <w:lang w:eastAsia="en-GB"/>
        </w:rPr>
      </w:pPr>
      <w:r w:rsidRPr="007C271A">
        <w:rPr>
          <w:lang w:eastAsia="en-GB"/>
        </w:rPr>
        <w:t xml:space="preserve">UN. S/PRST/2014/28. Statement by the President of the Security Council. </w:t>
      </w:r>
      <w:r w:rsidRPr="007C271A">
        <w:t>New York: United Nations</w:t>
      </w:r>
      <w:r w:rsidRPr="007C271A">
        <w:rPr>
          <w:lang w:eastAsia="en-GB"/>
        </w:rPr>
        <w:t>, 18 December 2014.</w:t>
      </w:r>
    </w:p>
    <w:p w14:paraId="747F5F22" w14:textId="77777777" w:rsidR="0089674E" w:rsidRPr="007C271A" w:rsidRDefault="0089674E" w:rsidP="00233CA0">
      <w:pPr>
        <w:pStyle w:val="FootnoteText"/>
      </w:pPr>
      <w:r w:rsidRPr="007C271A">
        <w:t xml:space="preserve">UN. S/PRST/2018/14. Statement by the President of the Security Council. New York: United Nations, 13 July 2018. </w:t>
      </w:r>
    </w:p>
    <w:p w14:paraId="55719C14" w14:textId="77777777" w:rsidR="0089674E" w:rsidRPr="007C271A" w:rsidRDefault="0089674E" w:rsidP="00233CA0">
      <w:pPr>
        <w:pStyle w:val="FootnoteText"/>
      </w:pPr>
      <w:r w:rsidRPr="007C271A">
        <w:t xml:space="preserve">UN. </w:t>
      </w:r>
      <w:r w:rsidRPr="007C271A">
        <w:rPr>
          <w:i/>
        </w:rPr>
        <w:t>S/PV.7069</w:t>
      </w:r>
      <w:r w:rsidRPr="007C271A">
        <w:t xml:space="preserve">. </w:t>
      </w:r>
      <w:r w:rsidRPr="007C271A">
        <w:rPr>
          <w:i/>
        </w:rPr>
        <w:t>7069</w:t>
      </w:r>
      <w:r w:rsidRPr="007C271A">
        <w:rPr>
          <w:i/>
          <w:vertAlign w:val="superscript"/>
        </w:rPr>
        <w:t>th</w:t>
      </w:r>
      <w:r w:rsidRPr="007C271A">
        <w:rPr>
          <w:i/>
        </w:rPr>
        <w:t xml:space="preserve"> Meeting</w:t>
      </w:r>
      <w:r w:rsidRPr="007C271A">
        <w:t>. New York: United Nations, 25 November 2013.</w:t>
      </w:r>
    </w:p>
    <w:p w14:paraId="027D8782" w14:textId="77777777" w:rsidR="0089674E" w:rsidRPr="007C271A" w:rsidRDefault="0089674E" w:rsidP="00233CA0">
      <w:pPr>
        <w:pStyle w:val="FootnoteText"/>
      </w:pPr>
      <w:r w:rsidRPr="007C271A">
        <w:t xml:space="preserve">UN. </w:t>
      </w:r>
      <w:r w:rsidRPr="007C271A">
        <w:rPr>
          <w:i/>
        </w:rPr>
        <w:t>S/PV.7153</w:t>
      </w:r>
      <w:r w:rsidRPr="007C271A">
        <w:t xml:space="preserve">. </w:t>
      </w:r>
      <w:r w:rsidRPr="007C271A">
        <w:rPr>
          <w:i/>
        </w:rPr>
        <w:t>7153</w:t>
      </w:r>
      <w:r w:rsidRPr="007C271A">
        <w:rPr>
          <w:i/>
          <w:vertAlign w:val="superscript"/>
        </w:rPr>
        <w:t>rd</w:t>
      </w:r>
      <w:r w:rsidRPr="007C271A">
        <w:rPr>
          <w:i/>
        </w:rPr>
        <w:t xml:space="preserve"> Meeting</w:t>
      </w:r>
      <w:r w:rsidRPr="007C271A">
        <w:t>. New York: United Nations, 10 April 2014.</w:t>
      </w:r>
    </w:p>
    <w:p w14:paraId="24C42A58" w14:textId="77777777" w:rsidR="0089674E" w:rsidRPr="007C271A" w:rsidRDefault="0089674E" w:rsidP="00233CA0">
      <w:pPr>
        <w:pStyle w:val="FootnoteText"/>
        <w:rPr>
          <w:lang w:eastAsia="en-GB"/>
        </w:rPr>
      </w:pPr>
      <w:r w:rsidRPr="007C271A">
        <w:t xml:space="preserve">UN. </w:t>
      </w:r>
      <w:r w:rsidRPr="007C271A">
        <w:rPr>
          <w:i/>
          <w:lang w:eastAsia="en-GB"/>
        </w:rPr>
        <w:t>S/PV.7206</w:t>
      </w:r>
      <w:r w:rsidRPr="007C271A">
        <w:rPr>
          <w:lang w:eastAsia="en-GB"/>
        </w:rPr>
        <w:t xml:space="preserve">. </w:t>
      </w:r>
      <w:r w:rsidRPr="007C271A">
        <w:rPr>
          <w:i/>
          <w:lang w:eastAsia="en-GB"/>
        </w:rPr>
        <w:t>7206</w:t>
      </w:r>
      <w:r w:rsidRPr="007C271A">
        <w:rPr>
          <w:i/>
          <w:vertAlign w:val="superscript"/>
          <w:lang w:eastAsia="en-GB"/>
        </w:rPr>
        <w:t>th</w:t>
      </w:r>
      <w:r w:rsidRPr="007C271A">
        <w:rPr>
          <w:i/>
          <w:lang w:eastAsia="en-GB"/>
        </w:rPr>
        <w:t xml:space="preserve"> Meeting</w:t>
      </w:r>
      <w:r w:rsidRPr="007C271A">
        <w:rPr>
          <w:lang w:eastAsia="en-GB"/>
        </w:rPr>
        <w:t>. New York: United Nations, 24 June 2014.</w:t>
      </w:r>
    </w:p>
    <w:p w14:paraId="14993A94" w14:textId="77777777" w:rsidR="0089674E" w:rsidRPr="007C271A" w:rsidRDefault="0089674E" w:rsidP="00233CA0">
      <w:pPr>
        <w:pStyle w:val="FootnoteText"/>
      </w:pPr>
      <w:r w:rsidRPr="007C271A">
        <w:t xml:space="preserve">UN. </w:t>
      </w:r>
      <w:r w:rsidRPr="007C271A">
        <w:rPr>
          <w:i/>
          <w:lang w:eastAsia="en-GB"/>
        </w:rPr>
        <w:t>S/PV.7246</w:t>
      </w:r>
      <w:r w:rsidRPr="007C271A">
        <w:rPr>
          <w:lang w:eastAsia="en-GB"/>
        </w:rPr>
        <w:t xml:space="preserve">. </w:t>
      </w:r>
      <w:r w:rsidRPr="007C271A">
        <w:rPr>
          <w:i/>
          <w:lang w:eastAsia="en-GB"/>
        </w:rPr>
        <w:t>7246</w:t>
      </w:r>
      <w:r w:rsidRPr="007C271A">
        <w:rPr>
          <w:i/>
          <w:vertAlign w:val="superscript"/>
          <w:lang w:eastAsia="en-GB"/>
        </w:rPr>
        <w:t>th</w:t>
      </w:r>
      <w:r w:rsidRPr="007C271A">
        <w:rPr>
          <w:i/>
          <w:lang w:eastAsia="en-GB"/>
        </w:rPr>
        <w:t xml:space="preserve"> Meeting</w:t>
      </w:r>
      <w:r w:rsidRPr="007C271A">
        <w:rPr>
          <w:lang w:eastAsia="en-GB"/>
        </w:rPr>
        <w:t xml:space="preserve">. </w:t>
      </w:r>
      <w:r w:rsidRPr="007C271A">
        <w:t>New York: United Nations, 19 August 2014.</w:t>
      </w:r>
    </w:p>
    <w:p w14:paraId="55690A9E" w14:textId="77777777" w:rsidR="0089674E" w:rsidRPr="007C271A" w:rsidRDefault="0089674E" w:rsidP="00233CA0">
      <w:pPr>
        <w:pStyle w:val="FootnoteText"/>
      </w:pPr>
      <w:r w:rsidRPr="007C271A">
        <w:t xml:space="preserve">UN. </w:t>
      </w:r>
      <w:r w:rsidRPr="007C271A">
        <w:rPr>
          <w:i/>
        </w:rPr>
        <w:t>S/PV.7329</w:t>
      </w:r>
      <w:r w:rsidRPr="007C271A">
        <w:t xml:space="preserve">. </w:t>
      </w:r>
      <w:r w:rsidRPr="007C271A">
        <w:rPr>
          <w:i/>
        </w:rPr>
        <w:t>7329</w:t>
      </w:r>
      <w:r w:rsidRPr="007C271A">
        <w:rPr>
          <w:i/>
          <w:vertAlign w:val="superscript"/>
        </w:rPr>
        <w:t>th</w:t>
      </w:r>
      <w:r w:rsidRPr="007C271A">
        <w:rPr>
          <w:i/>
        </w:rPr>
        <w:t xml:space="preserve"> Meeting</w:t>
      </w:r>
      <w:r w:rsidRPr="007C271A">
        <w:t>. New York: United Nations, 9 December 2014.</w:t>
      </w:r>
    </w:p>
    <w:p w14:paraId="39C93AD9" w14:textId="77777777" w:rsidR="0089674E" w:rsidRPr="007C271A" w:rsidRDefault="0089674E" w:rsidP="00233CA0">
      <w:pPr>
        <w:pStyle w:val="FootnoteText"/>
        <w:rPr>
          <w:color w:val="000000"/>
        </w:rPr>
      </w:pPr>
      <w:r w:rsidRPr="007C271A">
        <w:lastRenderedPageBreak/>
        <w:t xml:space="preserve">UN. </w:t>
      </w:r>
      <w:r w:rsidRPr="007C271A">
        <w:rPr>
          <w:i/>
        </w:rPr>
        <w:t>S/PV.7407</w:t>
      </w:r>
      <w:r w:rsidRPr="007C271A">
        <w:t xml:space="preserve">. </w:t>
      </w:r>
      <w:r w:rsidRPr="007C271A">
        <w:rPr>
          <w:i/>
        </w:rPr>
        <w:t>7407</w:t>
      </w:r>
      <w:r w:rsidRPr="007C271A">
        <w:rPr>
          <w:i/>
          <w:vertAlign w:val="superscript"/>
        </w:rPr>
        <w:t>th</w:t>
      </w:r>
      <w:r w:rsidRPr="007C271A">
        <w:rPr>
          <w:i/>
        </w:rPr>
        <w:t xml:space="preserve"> Meeting</w:t>
      </w:r>
      <w:r w:rsidRPr="007C271A">
        <w:t>. New York: United Nations, 18 March 2015.</w:t>
      </w:r>
    </w:p>
    <w:p w14:paraId="77E35C70" w14:textId="77777777" w:rsidR="0089674E" w:rsidRPr="007C271A" w:rsidRDefault="0089674E" w:rsidP="00233CA0">
      <w:pPr>
        <w:pStyle w:val="FootnoteText"/>
      </w:pPr>
      <w:r w:rsidRPr="007C271A">
        <w:t xml:space="preserve">UN. </w:t>
      </w:r>
      <w:r w:rsidRPr="007C271A">
        <w:rPr>
          <w:i/>
        </w:rPr>
        <w:t>S/PV.7578</w:t>
      </w:r>
      <w:r w:rsidRPr="007C271A">
        <w:t xml:space="preserve">. </w:t>
      </w:r>
      <w:r w:rsidRPr="007C271A">
        <w:rPr>
          <w:i/>
        </w:rPr>
        <w:t>7578</w:t>
      </w:r>
      <w:r w:rsidRPr="007C271A">
        <w:rPr>
          <w:i/>
          <w:vertAlign w:val="superscript"/>
        </w:rPr>
        <w:t>th</w:t>
      </w:r>
      <w:r w:rsidRPr="007C271A">
        <w:rPr>
          <w:i/>
        </w:rPr>
        <w:t xml:space="preserve"> Meeting</w:t>
      </w:r>
      <w:r w:rsidRPr="007C271A">
        <w:t>. New York: United Nations, 14 December 2015.</w:t>
      </w:r>
    </w:p>
    <w:p w14:paraId="722570C0" w14:textId="6FFD32B7" w:rsidR="008225EA" w:rsidRPr="007C271A" w:rsidRDefault="008225EA" w:rsidP="00233CA0">
      <w:pPr>
        <w:pStyle w:val="FootnoteText"/>
        <w:rPr>
          <w:color w:val="000000"/>
        </w:rPr>
      </w:pPr>
      <w:r w:rsidRPr="007C271A">
        <w:t xml:space="preserve">UN. </w:t>
      </w:r>
      <w:r w:rsidRPr="007C271A">
        <w:rPr>
          <w:i/>
        </w:rPr>
        <w:t>S/PV.7711. 7711</w:t>
      </w:r>
      <w:r w:rsidRPr="007C271A">
        <w:rPr>
          <w:i/>
          <w:vertAlign w:val="superscript"/>
        </w:rPr>
        <w:t>st</w:t>
      </w:r>
      <w:r w:rsidRPr="007C271A">
        <w:rPr>
          <w:i/>
        </w:rPr>
        <w:t xml:space="preserve"> Meeting</w:t>
      </w:r>
      <w:r w:rsidRPr="007C271A">
        <w:t>. New York: United Nations, 10 June 2016.</w:t>
      </w:r>
    </w:p>
    <w:p w14:paraId="685E2B12" w14:textId="77777777" w:rsidR="0089674E" w:rsidRPr="007C271A" w:rsidRDefault="0089674E" w:rsidP="00233CA0">
      <w:pPr>
        <w:pStyle w:val="FootnoteText"/>
      </w:pPr>
      <w:r w:rsidRPr="007C271A">
        <w:t xml:space="preserve">UN. </w:t>
      </w:r>
      <w:r w:rsidRPr="007C271A">
        <w:rPr>
          <w:i/>
        </w:rPr>
        <w:t>S/PV.7734</w:t>
      </w:r>
      <w:r w:rsidRPr="007C271A">
        <w:t xml:space="preserve">. </w:t>
      </w:r>
      <w:r w:rsidRPr="007C271A">
        <w:rPr>
          <w:i/>
        </w:rPr>
        <w:t>7734</w:t>
      </w:r>
      <w:r w:rsidRPr="007C271A">
        <w:rPr>
          <w:i/>
          <w:vertAlign w:val="superscript"/>
        </w:rPr>
        <w:t>th</w:t>
      </w:r>
      <w:r w:rsidRPr="007C271A">
        <w:rPr>
          <w:i/>
        </w:rPr>
        <w:t xml:space="preserve"> Meeting</w:t>
      </w:r>
      <w:r w:rsidRPr="007C271A">
        <w:t>. New York: United Nations, 8 July 2016.</w:t>
      </w:r>
    </w:p>
    <w:p w14:paraId="7FA75170" w14:textId="77777777" w:rsidR="0089674E" w:rsidRPr="007C271A" w:rsidRDefault="0089674E" w:rsidP="00233CA0">
      <w:pPr>
        <w:pStyle w:val="FootnoteText"/>
      </w:pPr>
      <w:r w:rsidRPr="007C271A">
        <w:t xml:space="preserve">UN. </w:t>
      </w:r>
      <w:r w:rsidRPr="007C271A">
        <w:rPr>
          <w:i/>
        </w:rPr>
        <w:t>S/PV.7787</w:t>
      </w:r>
      <w:r w:rsidRPr="007C271A">
        <w:t xml:space="preserve">. </w:t>
      </w:r>
      <w:r w:rsidRPr="007C271A">
        <w:rPr>
          <w:i/>
        </w:rPr>
        <w:t>7787</w:t>
      </w:r>
      <w:r w:rsidRPr="007C271A">
        <w:rPr>
          <w:i/>
          <w:vertAlign w:val="superscript"/>
        </w:rPr>
        <w:t>th</w:t>
      </w:r>
      <w:r w:rsidRPr="007C271A">
        <w:rPr>
          <w:i/>
        </w:rPr>
        <w:t xml:space="preserve"> Meeting</w:t>
      </w:r>
      <w:r w:rsidRPr="007C271A">
        <w:t>. New York: United Nations, 10 October 2016.</w:t>
      </w:r>
    </w:p>
    <w:p w14:paraId="50EC3836" w14:textId="77777777" w:rsidR="0089674E" w:rsidRPr="007C271A" w:rsidRDefault="0089674E" w:rsidP="00233CA0">
      <w:pPr>
        <w:pStyle w:val="FootnoteText"/>
      </w:pPr>
      <w:r w:rsidRPr="007C271A">
        <w:t xml:space="preserve">UN. </w:t>
      </w:r>
      <w:r w:rsidRPr="007C271A">
        <w:rPr>
          <w:i/>
        </w:rPr>
        <w:t>S/PV.7901. 7901</w:t>
      </w:r>
      <w:r w:rsidRPr="007C271A">
        <w:rPr>
          <w:i/>
          <w:vertAlign w:val="superscript"/>
        </w:rPr>
        <w:t>st</w:t>
      </w:r>
      <w:r w:rsidRPr="007C271A">
        <w:rPr>
          <w:i/>
        </w:rPr>
        <w:t xml:space="preserve"> Meeting</w:t>
      </w:r>
      <w:r w:rsidRPr="007C271A">
        <w:t>. New York: United Nations, 16 March 2017.</w:t>
      </w:r>
    </w:p>
    <w:p w14:paraId="113559A5" w14:textId="77777777" w:rsidR="0089674E" w:rsidRPr="007C271A" w:rsidRDefault="0089674E" w:rsidP="00233CA0">
      <w:pPr>
        <w:pStyle w:val="FootnoteText"/>
        <w:rPr>
          <w:color w:val="000000"/>
        </w:rPr>
      </w:pPr>
      <w:r w:rsidRPr="007C271A">
        <w:t xml:space="preserve">UN. </w:t>
      </w:r>
      <w:r w:rsidRPr="007C271A">
        <w:rPr>
          <w:i/>
        </w:rPr>
        <w:t>S/PV.7947</w:t>
      </w:r>
      <w:r w:rsidRPr="007C271A">
        <w:t xml:space="preserve">. </w:t>
      </w:r>
      <w:r w:rsidRPr="007C271A">
        <w:rPr>
          <w:i/>
        </w:rPr>
        <w:t>7947</w:t>
      </w:r>
      <w:r w:rsidRPr="007C271A">
        <w:rPr>
          <w:i/>
          <w:vertAlign w:val="superscript"/>
        </w:rPr>
        <w:t>th</w:t>
      </w:r>
      <w:r w:rsidRPr="007C271A">
        <w:rPr>
          <w:i/>
        </w:rPr>
        <w:t xml:space="preserve"> Meeting</w:t>
      </w:r>
      <w:r w:rsidRPr="007C271A">
        <w:t>. New York: United Nations, 23 May 2017.</w:t>
      </w:r>
    </w:p>
    <w:p w14:paraId="46BCC33E" w14:textId="77777777" w:rsidR="0089674E" w:rsidRPr="007C271A" w:rsidRDefault="0089674E" w:rsidP="00233CA0">
      <w:pPr>
        <w:pStyle w:val="FootnoteText"/>
      </w:pPr>
      <w:r w:rsidRPr="007C271A">
        <w:t xml:space="preserve">UN. </w:t>
      </w:r>
      <w:r w:rsidRPr="007C271A">
        <w:rPr>
          <w:i/>
        </w:rPr>
        <w:t>S/PV.8084</w:t>
      </w:r>
      <w:r w:rsidRPr="007C271A">
        <w:t xml:space="preserve">. </w:t>
      </w:r>
      <w:r w:rsidRPr="007C271A">
        <w:rPr>
          <w:i/>
        </w:rPr>
        <w:t>8084</w:t>
      </w:r>
      <w:r w:rsidRPr="007C271A">
        <w:rPr>
          <w:i/>
          <w:vertAlign w:val="superscript"/>
        </w:rPr>
        <w:t>th</w:t>
      </w:r>
      <w:r w:rsidRPr="007C271A">
        <w:rPr>
          <w:i/>
        </w:rPr>
        <w:t xml:space="preserve"> Meeting</w:t>
      </w:r>
      <w:r w:rsidRPr="007C271A">
        <w:t>. New York: United Nations, 6 November 2017.</w:t>
      </w:r>
    </w:p>
    <w:p w14:paraId="529AF31F" w14:textId="77777777" w:rsidR="0089674E" w:rsidRPr="007C271A" w:rsidRDefault="0089674E" w:rsidP="00233CA0">
      <w:pPr>
        <w:pStyle w:val="FootnoteText"/>
      </w:pPr>
      <w:r w:rsidRPr="007C271A">
        <w:t xml:space="preserve">UN. </w:t>
      </w:r>
      <w:r w:rsidRPr="007C271A">
        <w:rPr>
          <w:i/>
        </w:rPr>
        <w:t>S/PV.8102</w:t>
      </w:r>
      <w:r w:rsidRPr="007C271A">
        <w:t xml:space="preserve">. </w:t>
      </w:r>
      <w:r w:rsidRPr="007C271A">
        <w:rPr>
          <w:i/>
        </w:rPr>
        <w:t>8102</w:t>
      </w:r>
      <w:r w:rsidRPr="007C271A">
        <w:rPr>
          <w:i/>
          <w:vertAlign w:val="superscript"/>
        </w:rPr>
        <w:t>nd</w:t>
      </w:r>
      <w:r w:rsidRPr="007C271A">
        <w:rPr>
          <w:i/>
        </w:rPr>
        <w:t xml:space="preserve"> Meeting</w:t>
      </w:r>
      <w:r w:rsidRPr="007C271A">
        <w:t>. New York: United Nations, 15 November 2017.</w:t>
      </w:r>
    </w:p>
    <w:p w14:paraId="1D6DBEAF" w14:textId="77777777" w:rsidR="0089674E" w:rsidRPr="007C271A" w:rsidRDefault="0089674E" w:rsidP="00233CA0">
      <w:pPr>
        <w:pStyle w:val="FootnoteText"/>
        <w:rPr>
          <w:color w:val="000000"/>
        </w:rPr>
      </w:pPr>
      <w:r w:rsidRPr="007C271A">
        <w:t xml:space="preserve">UN. </w:t>
      </w:r>
      <w:r w:rsidRPr="007C271A">
        <w:rPr>
          <w:i/>
        </w:rPr>
        <w:t>S/PV.8187</w:t>
      </w:r>
      <w:r w:rsidRPr="007C271A">
        <w:t xml:space="preserve">. </w:t>
      </w:r>
      <w:r w:rsidRPr="007C271A">
        <w:rPr>
          <w:i/>
        </w:rPr>
        <w:t>8187</w:t>
      </w:r>
      <w:r w:rsidRPr="007C271A">
        <w:rPr>
          <w:i/>
          <w:vertAlign w:val="superscript"/>
        </w:rPr>
        <w:t>th</w:t>
      </w:r>
      <w:r w:rsidRPr="007C271A">
        <w:rPr>
          <w:i/>
        </w:rPr>
        <w:t xml:space="preserve"> Meeting</w:t>
      </w:r>
      <w:r w:rsidRPr="007C271A">
        <w:t>. New York: United Nations, 22 February 2018.</w:t>
      </w:r>
    </w:p>
    <w:p w14:paraId="163911EC" w14:textId="77777777" w:rsidR="0089674E" w:rsidRDefault="0089674E" w:rsidP="00233CA0">
      <w:pPr>
        <w:pStyle w:val="FootnoteText"/>
      </w:pPr>
      <w:r w:rsidRPr="007C271A">
        <w:t xml:space="preserve">UN. </w:t>
      </w:r>
      <w:r w:rsidRPr="007C271A">
        <w:rPr>
          <w:i/>
        </w:rPr>
        <w:t>S/PV.8291</w:t>
      </w:r>
      <w:r w:rsidRPr="007C271A">
        <w:t xml:space="preserve">. </w:t>
      </w:r>
      <w:r w:rsidRPr="007C271A">
        <w:rPr>
          <w:i/>
        </w:rPr>
        <w:t>8291</w:t>
      </w:r>
      <w:r w:rsidRPr="007C271A">
        <w:rPr>
          <w:i/>
          <w:vertAlign w:val="superscript"/>
        </w:rPr>
        <w:t>st</w:t>
      </w:r>
      <w:r w:rsidRPr="007C271A">
        <w:rPr>
          <w:i/>
        </w:rPr>
        <w:t xml:space="preserve"> Meeting</w:t>
      </w:r>
      <w:r w:rsidRPr="007C271A">
        <w:t>. New York: United Nations, 21 June 2018.</w:t>
      </w:r>
    </w:p>
    <w:p w14:paraId="72BBFBA6" w14:textId="3B152AF3" w:rsidR="008178D3" w:rsidRDefault="008178D3" w:rsidP="00233CA0">
      <w:pPr>
        <w:pStyle w:val="FootnoteText"/>
      </w:pPr>
      <w:r>
        <w:t xml:space="preserve">UN. </w:t>
      </w:r>
      <w:r w:rsidRPr="008178D3">
        <w:rPr>
          <w:i/>
        </w:rPr>
        <w:t>S/PV.8378</w:t>
      </w:r>
      <w:r>
        <w:t>. 8378</w:t>
      </w:r>
      <w:r w:rsidRPr="008178D3">
        <w:rPr>
          <w:vertAlign w:val="superscript"/>
        </w:rPr>
        <w:t>th</w:t>
      </w:r>
      <w:r>
        <w:t xml:space="preserve"> Meeting. New York. United Nations, 23 October 2018.</w:t>
      </w:r>
    </w:p>
    <w:p w14:paraId="361D83F2" w14:textId="476F0199" w:rsidR="008178D3" w:rsidRPr="007C271A" w:rsidRDefault="008178D3" w:rsidP="00233CA0">
      <w:pPr>
        <w:pStyle w:val="FootnoteText"/>
        <w:rPr>
          <w:color w:val="000000"/>
        </w:rPr>
      </w:pPr>
      <w:r>
        <w:t xml:space="preserve">UN. </w:t>
      </w:r>
      <w:r w:rsidRPr="008178D3">
        <w:rPr>
          <w:i/>
        </w:rPr>
        <w:t>S/PV.8558</w:t>
      </w:r>
      <w:r>
        <w:t>. 8558</w:t>
      </w:r>
      <w:r w:rsidRPr="008178D3">
        <w:rPr>
          <w:vertAlign w:val="superscript"/>
        </w:rPr>
        <w:t>th</w:t>
      </w:r>
      <w:r>
        <w:t xml:space="preserve"> Meeting. New York. United Nations, 20 June 2019.</w:t>
      </w:r>
    </w:p>
    <w:p w14:paraId="2671561D" w14:textId="77777777" w:rsidR="0089674E" w:rsidRPr="007C271A" w:rsidRDefault="0089674E" w:rsidP="00233CA0">
      <w:pPr>
        <w:pStyle w:val="FootnoteText"/>
      </w:pPr>
      <w:r w:rsidRPr="007C271A">
        <w:t xml:space="preserve">UN. </w:t>
      </w:r>
      <w:r w:rsidRPr="007C271A">
        <w:rPr>
          <w:i/>
        </w:rPr>
        <w:t>S/RES/1612</w:t>
      </w:r>
      <w:r w:rsidRPr="007C271A">
        <w:t xml:space="preserve">. </w:t>
      </w:r>
      <w:r w:rsidRPr="007C271A">
        <w:rPr>
          <w:i/>
        </w:rPr>
        <w:t>Resolution 1612</w:t>
      </w:r>
      <w:r w:rsidRPr="007C271A">
        <w:t>. New York: United Nations, 16 July 2005.</w:t>
      </w:r>
    </w:p>
    <w:p w14:paraId="65016608" w14:textId="77777777" w:rsidR="0089674E" w:rsidRPr="007C271A" w:rsidRDefault="0089674E" w:rsidP="00233CA0">
      <w:pPr>
        <w:pStyle w:val="FootnoteText"/>
      </w:pPr>
      <w:r w:rsidRPr="007C271A">
        <w:t xml:space="preserve">UN. </w:t>
      </w:r>
      <w:r w:rsidRPr="007C271A">
        <w:rPr>
          <w:i/>
        </w:rPr>
        <w:t>S/RES/2149</w:t>
      </w:r>
      <w:r w:rsidRPr="007C271A">
        <w:t xml:space="preserve">. </w:t>
      </w:r>
      <w:r w:rsidRPr="007C271A">
        <w:rPr>
          <w:i/>
        </w:rPr>
        <w:t>Resolution 2149</w:t>
      </w:r>
      <w:r w:rsidRPr="007C271A">
        <w:t>. New York: United Nations, 10 April 2014.</w:t>
      </w:r>
    </w:p>
    <w:p w14:paraId="01B43666" w14:textId="77777777" w:rsidR="0089674E" w:rsidRPr="007C271A" w:rsidRDefault="0089674E" w:rsidP="00233CA0">
      <w:pPr>
        <w:pStyle w:val="FootnoteText"/>
        <w:rPr>
          <w:color w:val="000000"/>
        </w:rPr>
      </w:pPr>
      <w:r w:rsidRPr="007C271A">
        <w:t xml:space="preserve">UN. </w:t>
      </w:r>
      <w:r w:rsidRPr="007C271A">
        <w:rPr>
          <w:i/>
        </w:rPr>
        <w:t>S/RES/2212</w:t>
      </w:r>
      <w:r w:rsidRPr="007C271A">
        <w:t xml:space="preserve">. </w:t>
      </w:r>
      <w:r w:rsidRPr="007C271A">
        <w:rPr>
          <w:i/>
        </w:rPr>
        <w:t>Resolution 2212</w:t>
      </w:r>
      <w:r w:rsidRPr="007C271A">
        <w:t>. New York: United Nations, 26 March 2015.</w:t>
      </w:r>
    </w:p>
    <w:p w14:paraId="79979356" w14:textId="77777777" w:rsidR="0089674E" w:rsidRPr="007C271A" w:rsidRDefault="0089674E" w:rsidP="00233CA0">
      <w:pPr>
        <w:pStyle w:val="FootnoteText"/>
      </w:pPr>
      <w:r w:rsidRPr="007C271A">
        <w:t xml:space="preserve">UN. </w:t>
      </w:r>
      <w:r w:rsidRPr="007C271A">
        <w:rPr>
          <w:i/>
        </w:rPr>
        <w:t>S/RES/2217</w:t>
      </w:r>
      <w:r w:rsidRPr="007C271A">
        <w:t xml:space="preserve">. </w:t>
      </w:r>
      <w:r w:rsidRPr="007C271A">
        <w:rPr>
          <w:i/>
        </w:rPr>
        <w:t>Resolution 2217</w:t>
      </w:r>
      <w:r w:rsidRPr="007C271A">
        <w:t>. New York: United Nations, 28 April 2015.</w:t>
      </w:r>
    </w:p>
    <w:p w14:paraId="46FC317F" w14:textId="77777777" w:rsidR="0089674E" w:rsidRPr="007C271A" w:rsidRDefault="0089674E" w:rsidP="00233CA0">
      <w:pPr>
        <w:pStyle w:val="FootnoteText"/>
      </w:pPr>
      <w:r w:rsidRPr="007C271A">
        <w:t xml:space="preserve">UN. </w:t>
      </w:r>
      <w:r w:rsidRPr="007C271A">
        <w:rPr>
          <w:i/>
        </w:rPr>
        <w:t>S/RES/2242</w:t>
      </w:r>
      <w:r w:rsidRPr="007C271A">
        <w:t xml:space="preserve">. </w:t>
      </w:r>
      <w:r w:rsidRPr="007C271A">
        <w:rPr>
          <w:i/>
        </w:rPr>
        <w:t>Resolution 2242</w:t>
      </w:r>
      <w:r w:rsidRPr="007C271A">
        <w:t>. New York: United Nations, 13 October 2015.</w:t>
      </w:r>
    </w:p>
    <w:p w14:paraId="5403AB3A" w14:textId="77777777" w:rsidR="0089674E" w:rsidRPr="007C271A" w:rsidRDefault="0089674E" w:rsidP="00233CA0">
      <w:pPr>
        <w:pStyle w:val="FootnoteText"/>
        <w:rPr>
          <w:color w:val="000000"/>
        </w:rPr>
      </w:pPr>
      <w:r w:rsidRPr="007C271A">
        <w:t xml:space="preserve">UN. </w:t>
      </w:r>
      <w:r w:rsidRPr="007C271A">
        <w:rPr>
          <w:i/>
        </w:rPr>
        <w:t>S/RES/2301</w:t>
      </w:r>
      <w:r w:rsidRPr="007C271A">
        <w:t xml:space="preserve">. </w:t>
      </w:r>
      <w:r w:rsidRPr="007C271A">
        <w:rPr>
          <w:i/>
        </w:rPr>
        <w:t>Resolution 2301</w:t>
      </w:r>
      <w:r w:rsidRPr="007C271A">
        <w:t>. New York: United Nations, 26 July 2016.</w:t>
      </w:r>
    </w:p>
    <w:p w14:paraId="2BCCC4F6" w14:textId="77777777" w:rsidR="0089674E" w:rsidRDefault="0089674E" w:rsidP="00233CA0">
      <w:pPr>
        <w:pStyle w:val="FootnoteText"/>
      </w:pPr>
      <w:r w:rsidRPr="007C271A">
        <w:t xml:space="preserve">UN. </w:t>
      </w:r>
      <w:r w:rsidRPr="007C271A">
        <w:rPr>
          <w:i/>
        </w:rPr>
        <w:t>S/RES/2387</w:t>
      </w:r>
      <w:r w:rsidRPr="007C271A">
        <w:t xml:space="preserve">. </w:t>
      </w:r>
      <w:r w:rsidRPr="007C271A">
        <w:rPr>
          <w:i/>
        </w:rPr>
        <w:t>Resolution 2387</w:t>
      </w:r>
      <w:r w:rsidRPr="007C271A">
        <w:t>. New York: United Nations, 15 November 2017.</w:t>
      </w:r>
    </w:p>
    <w:p w14:paraId="2E2BE285" w14:textId="649DCF62" w:rsidR="008178D3" w:rsidRDefault="008178D3" w:rsidP="00233CA0">
      <w:pPr>
        <w:pStyle w:val="FootnoteText"/>
      </w:pPr>
      <w:r>
        <w:t xml:space="preserve">UN. </w:t>
      </w:r>
      <w:r w:rsidRPr="008178D3">
        <w:rPr>
          <w:i/>
        </w:rPr>
        <w:t>S/RES/2448</w:t>
      </w:r>
      <w:r>
        <w:t>. Resolution 2448. New York. United Nations, 13 December 2018.</w:t>
      </w:r>
    </w:p>
    <w:p w14:paraId="1529DA9A" w14:textId="01B408A3" w:rsidR="008178D3" w:rsidRPr="007C271A" w:rsidRDefault="008178D3" w:rsidP="00233CA0">
      <w:pPr>
        <w:pStyle w:val="FootnoteText"/>
      </w:pPr>
      <w:r>
        <w:t xml:space="preserve">UN. </w:t>
      </w:r>
      <w:r w:rsidRPr="008178D3">
        <w:rPr>
          <w:i/>
        </w:rPr>
        <w:t>S/RES/2499</w:t>
      </w:r>
      <w:r>
        <w:t>. Resolution 2499. New York. United Nations, 15 November 2019.</w:t>
      </w:r>
    </w:p>
    <w:p w14:paraId="69ACD2A1" w14:textId="77777777" w:rsidR="0089674E" w:rsidRPr="007C271A" w:rsidRDefault="0089674E" w:rsidP="00233CA0">
      <w:pPr>
        <w:pStyle w:val="FootnoteText"/>
      </w:pPr>
      <w:r w:rsidRPr="007C271A">
        <w:t>UN. SC/12010-AFR/3198-PKO/514. Security Council Press Statement on Sexual Exploitation, Abuse in Central African Republic. New York: United Nations, 18 August 2015.</w:t>
      </w:r>
    </w:p>
    <w:p w14:paraId="26194C59" w14:textId="77777777" w:rsidR="0089674E" w:rsidRPr="007C271A" w:rsidRDefault="0089674E" w:rsidP="00233CA0">
      <w:pPr>
        <w:pStyle w:val="FootnoteText"/>
      </w:pPr>
      <w:r w:rsidRPr="007C271A">
        <w:t>UN. ST/SGB/1999/13. Secretary-General’s Bulletin: Observance by United Nations forces of international humanitarian law. New York: United Nations, 6 August 1999.</w:t>
      </w:r>
    </w:p>
    <w:p w14:paraId="2E6CF1B8" w14:textId="1DA4B921" w:rsidR="00641EA4" w:rsidRDefault="0089674E" w:rsidP="00233CA0">
      <w:pPr>
        <w:pStyle w:val="FootnoteText"/>
      </w:pPr>
      <w:r w:rsidRPr="007C271A">
        <w:t xml:space="preserve">UNDP, </w:t>
      </w:r>
      <w:r w:rsidRPr="007C271A">
        <w:rPr>
          <w:i/>
        </w:rPr>
        <w:t>Human Development Report 1994</w:t>
      </w:r>
      <w:r w:rsidRPr="007C271A">
        <w:t>. Oxford: Oxford University Press, 1994.</w:t>
      </w:r>
    </w:p>
    <w:p w14:paraId="49DCE671" w14:textId="1EE16DA4" w:rsidR="00034301" w:rsidRPr="007C271A" w:rsidRDefault="00034301" w:rsidP="00233CA0">
      <w:pPr>
        <w:pStyle w:val="FootnoteText"/>
      </w:pPr>
      <w:proofErr w:type="gramStart"/>
      <w:r>
        <w:t>von</w:t>
      </w:r>
      <w:proofErr w:type="gramEnd"/>
      <w:r>
        <w:t xml:space="preserve"> </w:t>
      </w:r>
      <w:proofErr w:type="spellStart"/>
      <w:r>
        <w:t>Billerbeck</w:t>
      </w:r>
      <w:proofErr w:type="spellEnd"/>
      <w:r>
        <w:t xml:space="preserve">, Sarah. </w:t>
      </w:r>
      <w:r w:rsidRPr="00034301">
        <w:rPr>
          <w:i/>
        </w:rPr>
        <w:t>Whose peace? Local ownership and UN peacekeeping</w:t>
      </w:r>
      <w:r w:rsidRPr="00034301">
        <w:t xml:space="preserve">. </w:t>
      </w:r>
      <w:r>
        <w:t xml:space="preserve">Oxford: </w:t>
      </w:r>
      <w:r w:rsidRPr="00034301">
        <w:t xml:space="preserve">Oxford University Press, </w:t>
      </w:r>
      <w:r>
        <w:t>2016.</w:t>
      </w:r>
    </w:p>
    <w:p w14:paraId="5E65A796" w14:textId="0CF2A63D" w:rsidR="005B7F31" w:rsidRDefault="00F80F7A" w:rsidP="00233CA0">
      <w:pPr>
        <w:pStyle w:val="FootnoteText"/>
        <w:rPr>
          <w:rStyle w:val="Hyperlink"/>
        </w:rPr>
      </w:pPr>
      <w:proofErr w:type="spellStart"/>
      <w:r w:rsidRPr="007C271A">
        <w:t>Zahar</w:t>
      </w:r>
      <w:proofErr w:type="spellEnd"/>
      <w:r w:rsidRPr="007C271A">
        <w:t xml:space="preserve">, Marie-Joelle, </w:t>
      </w:r>
      <w:proofErr w:type="spellStart"/>
      <w:r w:rsidRPr="007C271A">
        <w:t>Mechoulan</w:t>
      </w:r>
      <w:proofErr w:type="spellEnd"/>
      <w:r w:rsidRPr="007C271A">
        <w:t>, Delphine. “Peace by Pieces? Local Mediation and Sustainable Peace in the Central African Republic</w:t>
      </w:r>
      <w:r w:rsidR="00B11A36" w:rsidRPr="007C271A">
        <w:t>.</w:t>
      </w:r>
      <w:r w:rsidR="00127464">
        <w:t xml:space="preserve">” International Peace Institute. </w:t>
      </w:r>
      <w:r w:rsidR="00B11A36" w:rsidRPr="007C271A">
        <w:t xml:space="preserve">November 2017. </w:t>
      </w:r>
      <w:hyperlink r:id="rId16" w:history="1">
        <w:r w:rsidR="00B11A36" w:rsidRPr="007C271A">
          <w:rPr>
            <w:rStyle w:val="Hyperlink"/>
          </w:rPr>
          <w:t>https://www.ipinst.org/wp-content/uploads/2017/11/1701_Peace-by-Pieces.pdf</w:t>
        </w:r>
      </w:hyperlink>
    </w:p>
    <w:p w14:paraId="4C8DE844" w14:textId="77777777" w:rsidR="00034301" w:rsidRPr="007C271A" w:rsidRDefault="00034301" w:rsidP="00233CA0">
      <w:pPr>
        <w:pStyle w:val="FootnoteText"/>
      </w:pPr>
    </w:p>
    <w:sectPr w:rsidR="00034301" w:rsidRPr="007C271A" w:rsidSect="00747ED6">
      <w:headerReference w:type="default" r:id="rId17"/>
      <w:footnotePr>
        <w:numRestart w:val="eachSect"/>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8DE9" w14:textId="77777777" w:rsidR="0051717C" w:rsidRDefault="0051717C" w:rsidP="0052710D">
      <w:r>
        <w:separator/>
      </w:r>
    </w:p>
  </w:endnote>
  <w:endnote w:type="continuationSeparator" w:id="0">
    <w:p w14:paraId="28C4FBDC" w14:textId="77777777" w:rsidR="0051717C" w:rsidRDefault="0051717C" w:rsidP="005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0A53" w14:textId="77777777" w:rsidR="0051717C" w:rsidRDefault="0051717C" w:rsidP="0052710D">
      <w:r>
        <w:separator/>
      </w:r>
    </w:p>
  </w:footnote>
  <w:footnote w:type="continuationSeparator" w:id="0">
    <w:p w14:paraId="4B1D060C" w14:textId="77777777" w:rsidR="0051717C" w:rsidRDefault="0051717C" w:rsidP="0052710D">
      <w:r>
        <w:continuationSeparator/>
      </w:r>
    </w:p>
  </w:footnote>
  <w:footnote w:id="1">
    <w:p w14:paraId="3979B5D9" w14:textId="00C4A7BC" w:rsidR="004C49C0" w:rsidRPr="007C271A" w:rsidRDefault="004C49C0" w:rsidP="00233CA0">
      <w:pPr>
        <w:pStyle w:val="FootnoteText"/>
      </w:pPr>
      <w:r w:rsidRPr="007C271A">
        <w:rPr>
          <w:rStyle w:val="FootnoteReference"/>
          <w:sz w:val="20"/>
        </w:rPr>
        <w:footnoteRef/>
      </w:r>
      <w:r w:rsidRPr="007C271A">
        <w:t xml:space="preserve"> For instance, the UN Human Security Unit was created in 2004 with the purpose of mainstreaming human security in all UN activities. Also, the UN General Assembly has held thematic debates on the topic and adopted a definition of human security in 2012. See UN, </w:t>
      </w:r>
      <w:r w:rsidRPr="007C271A">
        <w:rPr>
          <w:bCs/>
          <w:i/>
        </w:rPr>
        <w:t>A/RES/66/290</w:t>
      </w:r>
      <w:r w:rsidRPr="007C271A">
        <w:rPr>
          <w:bCs/>
        </w:rPr>
        <w:t xml:space="preserve"> (2012); </w:t>
      </w:r>
      <w:proofErr w:type="spellStart"/>
      <w:r w:rsidRPr="007C271A">
        <w:rPr>
          <w:bCs/>
        </w:rPr>
        <w:t>Th</w:t>
      </w:r>
      <w:r w:rsidRPr="007C271A">
        <w:rPr>
          <w:rFonts w:hint="eastAsia"/>
          <w:bCs/>
        </w:rPr>
        <w:t>é</w:t>
      </w:r>
      <w:r w:rsidRPr="007C271A">
        <w:rPr>
          <w:bCs/>
        </w:rPr>
        <w:t>rien</w:t>
      </w:r>
      <w:proofErr w:type="spellEnd"/>
      <w:r w:rsidRPr="007C271A">
        <w:rPr>
          <w:bCs/>
        </w:rPr>
        <w:t>, “Human Security: The Making of a UN Ideology.”</w:t>
      </w:r>
    </w:p>
  </w:footnote>
  <w:footnote w:id="2">
    <w:p w14:paraId="0C8A6F59" w14:textId="7E8B8C5D" w:rsidR="004C49C0" w:rsidRPr="007C271A" w:rsidRDefault="004C49C0" w:rsidP="00233CA0">
      <w:pPr>
        <w:pStyle w:val="FootnoteText"/>
      </w:pPr>
      <w:r w:rsidRPr="007C271A">
        <w:rPr>
          <w:rStyle w:val="FootnoteReference"/>
          <w:sz w:val="20"/>
        </w:rPr>
        <w:footnoteRef/>
      </w:r>
      <w:r w:rsidRPr="007C271A">
        <w:t xml:space="preserve"> High-Level Independent Panel on UN Peace Operations, </w:t>
      </w:r>
      <w:r w:rsidRPr="007C271A">
        <w:rPr>
          <w:i/>
        </w:rPr>
        <w:t>Uniting Our Strengths for Peace</w:t>
      </w:r>
      <w:r w:rsidRPr="007C271A">
        <w:t xml:space="preserve">; </w:t>
      </w:r>
      <w:r w:rsidRPr="007C271A">
        <w:rPr>
          <w:bCs/>
        </w:rPr>
        <w:t xml:space="preserve">Aditi </w:t>
      </w:r>
      <w:proofErr w:type="spellStart"/>
      <w:r w:rsidRPr="007C271A">
        <w:rPr>
          <w:bCs/>
        </w:rPr>
        <w:t>Gorur</w:t>
      </w:r>
      <w:proofErr w:type="spellEnd"/>
      <w:r w:rsidRPr="007C271A">
        <w:rPr>
          <w:bCs/>
        </w:rPr>
        <w:t>, “Defining the Boundaries of UN Stabilization Missions.”</w:t>
      </w:r>
    </w:p>
  </w:footnote>
  <w:footnote w:id="3">
    <w:p w14:paraId="05063E4A" w14:textId="4BE84316" w:rsidR="004C49C0" w:rsidRPr="007C271A" w:rsidRDefault="004C49C0" w:rsidP="00233CA0">
      <w:pPr>
        <w:pStyle w:val="FootnoteText"/>
      </w:pPr>
      <w:r w:rsidRPr="007C271A">
        <w:rPr>
          <w:rStyle w:val="FootnoteReference"/>
          <w:sz w:val="20"/>
        </w:rPr>
        <w:footnoteRef/>
      </w:r>
      <w:r w:rsidRPr="007C271A">
        <w:t xml:space="preserve"> High-Level Independent Panel on UN Peace Operations, </w:t>
      </w:r>
      <w:r w:rsidRPr="007C271A">
        <w:rPr>
          <w:i/>
        </w:rPr>
        <w:t>Uniting Our Strengths for Peace</w:t>
      </w:r>
      <w:r w:rsidRPr="007C271A">
        <w:t>, para 114.</w:t>
      </w:r>
    </w:p>
  </w:footnote>
  <w:footnote w:id="4">
    <w:p w14:paraId="1B990891" w14:textId="025BF635" w:rsidR="004C49C0" w:rsidRPr="007C271A" w:rsidRDefault="004C49C0" w:rsidP="00233CA0">
      <w:pPr>
        <w:pStyle w:val="FootnoteText"/>
      </w:pPr>
      <w:r w:rsidRPr="007C271A">
        <w:rPr>
          <w:rStyle w:val="FootnoteReference"/>
          <w:sz w:val="20"/>
        </w:rPr>
        <w:footnoteRef/>
      </w:r>
      <w:r w:rsidRPr="007C271A">
        <w:t xml:space="preserve"> Mac </w:t>
      </w:r>
      <w:proofErr w:type="spellStart"/>
      <w:r w:rsidRPr="007C271A">
        <w:t>Ginty</w:t>
      </w:r>
      <w:proofErr w:type="spellEnd"/>
      <w:r w:rsidRPr="007C271A">
        <w:t>, “Against Stabilization,” 24.</w:t>
      </w:r>
    </w:p>
  </w:footnote>
  <w:footnote w:id="5">
    <w:p w14:paraId="31434F99" w14:textId="5D392089" w:rsidR="004C49C0" w:rsidRPr="007C271A" w:rsidRDefault="004C49C0" w:rsidP="00233CA0">
      <w:pPr>
        <w:pStyle w:val="FootnoteText"/>
      </w:pPr>
      <w:r w:rsidRPr="007C271A">
        <w:rPr>
          <w:rStyle w:val="FootnoteReference"/>
          <w:sz w:val="20"/>
        </w:rPr>
        <w:footnoteRef/>
      </w:r>
      <w:r w:rsidRPr="007C271A">
        <w:t xml:space="preserve"> See e.g. Gilder, “</w:t>
      </w:r>
      <w:r w:rsidRPr="007C271A">
        <w:rPr>
          <w:bCs/>
        </w:rPr>
        <w:t xml:space="preserve">The Effect of ‘Stabilization’ in the Mandates and Practice of UN Peace Operations”; </w:t>
      </w:r>
      <w:proofErr w:type="spellStart"/>
      <w:r w:rsidRPr="007C271A">
        <w:t>Tull</w:t>
      </w:r>
      <w:proofErr w:type="spellEnd"/>
      <w:r w:rsidRPr="007C271A">
        <w:t>, “The Limits and Unintended Consequences of UN Peace Enforcement”; de Coning et al., “Towards a United Nations stabilization doctrine - stabilization as an emerging UN practice”.</w:t>
      </w:r>
    </w:p>
  </w:footnote>
  <w:footnote w:id="6">
    <w:p w14:paraId="2E729DD3" w14:textId="29722BDB" w:rsidR="004C49C0" w:rsidRPr="007C271A" w:rsidRDefault="004C49C0" w:rsidP="00233CA0">
      <w:pPr>
        <w:pStyle w:val="FootnoteText"/>
      </w:pPr>
      <w:r w:rsidRPr="007C271A">
        <w:rPr>
          <w:rStyle w:val="FootnoteReference"/>
          <w:sz w:val="20"/>
        </w:rPr>
        <w:footnoteRef/>
      </w:r>
      <w:r w:rsidRPr="007C271A">
        <w:t xml:space="preserve"> There are a number of recent discussions surrounding the increased use of force by UN peacekeepers to combat terrorism and what robustness means in practice. See e.g. </w:t>
      </w:r>
      <w:proofErr w:type="spellStart"/>
      <w:r w:rsidRPr="007C271A">
        <w:t>Karlsrud</w:t>
      </w:r>
      <w:proofErr w:type="spellEnd"/>
      <w:r w:rsidRPr="007C271A">
        <w:t xml:space="preserve">, </w:t>
      </w:r>
      <w:r w:rsidRPr="007C271A">
        <w:rPr>
          <w:i/>
        </w:rPr>
        <w:t>The UN at War</w:t>
      </w:r>
      <w:r w:rsidRPr="007C271A">
        <w:t>; de Coning, “Is stabilization the new normal?</w:t>
      </w:r>
      <w:proofErr w:type="gramStart"/>
      <w:r w:rsidRPr="007C271A">
        <w:t>”;</w:t>
      </w:r>
      <w:proofErr w:type="gramEnd"/>
      <w:r w:rsidRPr="007C271A">
        <w:t xml:space="preserve"> </w:t>
      </w:r>
      <w:proofErr w:type="spellStart"/>
      <w:r w:rsidRPr="007C271A">
        <w:t>Karlsrud</w:t>
      </w:r>
      <w:proofErr w:type="spellEnd"/>
      <w:r w:rsidRPr="007C271A">
        <w:t>, “</w:t>
      </w:r>
      <w:r w:rsidRPr="007C271A">
        <w:rPr>
          <w:bCs/>
        </w:rPr>
        <w:t xml:space="preserve">From Liberal Peacebuilding to Stabilization and Counterterrorism”; </w:t>
      </w:r>
      <w:proofErr w:type="spellStart"/>
      <w:r w:rsidRPr="007C271A">
        <w:rPr>
          <w:bCs/>
        </w:rPr>
        <w:t>Kjeksrud</w:t>
      </w:r>
      <w:proofErr w:type="spellEnd"/>
      <w:r w:rsidRPr="007C271A">
        <w:rPr>
          <w:bCs/>
        </w:rPr>
        <w:t xml:space="preserve"> et al., “</w:t>
      </w:r>
      <w:r w:rsidRPr="007C271A">
        <w:t>Protecting governments from insurgencies”.</w:t>
      </w:r>
    </w:p>
  </w:footnote>
  <w:footnote w:id="7">
    <w:p w14:paraId="034EC9C1" w14:textId="18FB0BBB" w:rsidR="00AA4F7A" w:rsidRPr="00AA4F7A" w:rsidRDefault="00AA4F7A">
      <w:pPr>
        <w:pStyle w:val="FootnoteText"/>
        <w:rPr>
          <w:lang w:val="en-GB"/>
        </w:rPr>
      </w:pPr>
      <w:r>
        <w:rPr>
          <w:rStyle w:val="FootnoteReference"/>
        </w:rPr>
        <w:footnoteRef/>
      </w:r>
      <w:r>
        <w:t xml:space="preserve"> For a discussion of the important of context see Hanlon and Christie, </w:t>
      </w:r>
      <w:r w:rsidRPr="00AA4F7A">
        <w:t>Freedom from Fear, Freedom from Want</w:t>
      </w:r>
      <w:r>
        <w:t>, 32-3.</w:t>
      </w:r>
    </w:p>
  </w:footnote>
  <w:footnote w:id="8">
    <w:p w14:paraId="18B53AE3" w14:textId="1A42ABD4" w:rsidR="004C49C0" w:rsidRPr="007C271A" w:rsidRDefault="004C49C0" w:rsidP="00233CA0">
      <w:pPr>
        <w:pStyle w:val="FootnoteText"/>
        <w:rPr>
          <w:lang w:val="en-GB"/>
        </w:rPr>
      </w:pPr>
      <w:r w:rsidRPr="007C271A">
        <w:rPr>
          <w:rStyle w:val="FootnoteReference"/>
          <w:sz w:val="20"/>
        </w:rPr>
        <w:footnoteRef/>
      </w:r>
      <w:r w:rsidRPr="007C271A">
        <w:t xml:space="preserve"> Fortier, “The Evolution of Peacekeeping”; </w:t>
      </w:r>
      <w:proofErr w:type="spellStart"/>
      <w:r w:rsidRPr="007C271A">
        <w:t>Golberg</w:t>
      </w:r>
      <w:proofErr w:type="spellEnd"/>
      <w:r w:rsidRPr="007C271A">
        <w:t xml:space="preserve"> and Hubert, “The Security Council and the Protection of Civilians”.</w:t>
      </w:r>
    </w:p>
  </w:footnote>
  <w:footnote w:id="9">
    <w:p w14:paraId="0565F6D1" w14:textId="1E7D4679" w:rsidR="004C49C0" w:rsidRPr="007C271A" w:rsidRDefault="004C49C0" w:rsidP="00233CA0">
      <w:pPr>
        <w:pStyle w:val="FootnoteText"/>
      </w:pPr>
      <w:r w:rsidRPr="007C271A">
        <w:rPr>
          <w:rStyle w:val="FootnoteReference"/>
          <w:sz w:val="20"/>
        </w:rPr>
        <w:footnoteRef/>
      </w:r>
      <w:r w:rsidRPr="007C271A">
        <w:t xml:space="preserve"> UNDP, </w:t>
      </w:r>
      <w:r w:rsidRPr="008F5CCD">
        <w:rPr>
          <w:i/>
        </w:rPr>
        <w:t>Human Development Report 1994</w:t>
      </w:r>
      <w:r w:rsidRPr="007C271A">
        <w:t>, 24.</w:t>
      </w:r>
    </w:p>
  </w:footnote>
  <w:footnote w:id="10">
    <w:p w14:paraId="66623261" w14:textId="29B7332F" w:rsidR="004C49C0" w:rsidRPr="007C271A" w:rsidRDefault="004C49C0" w:rsidP="00233CA0">
      <w:pPr>
        <w:pStyle w:val="FootnoteText"/>
      </w:pPr>
      <w:r w:rsidRPr="007C271A">
        <w:rPr>
          <w:rStyle w:val="FootnoteReference"/>
          <w:sz w:val="20"/>
        </w:rPr>
        <w:footnoteRef/>
      </w:r>
      <w:r w:rsidRPr="007C271A">
        <w:t xml:space="preserve"> Acharya, “Human Security,” 449.</w:t>
      </w:r>
    </w:p>
  </w:footnote>
  <w:footnote w:id="11">
    <w:p w14:paraId="54C914D8" w14:textId="0274DDE9" w:rsidR="004C49C0" w:rsidRPr="007C271A" w:rsidRDefault="004C49C0" w:rsidP="00233CA0">
      <w:pPr>
        <w:pStyle w:val="FootnoteText"/>
      </w:pPr>
      <w:r w:rsidRPr="007C271A">
        <w:rPr>
          <w:rStyle w:val="FootnoteReference"/>
          <w:sz w:val="20"/>
        </w:rPr>
        <w:footnoteRef/>
      </w:r>
      <w:r w:rsidRPr="007C271A">
        <w:t xml:space="preserve"> Farer, “Defining the Elephant and Imagining Its Tasks,” 46.</w:t>
      </w:r>
    </w:p>
  </w:footnote>
  <w:footnote w:id="12">
    <w:p w14:paraId="3A3FE896" w14:textId="1C605608"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w:t>
      </w:r>
    </w:p>
  </w:footnote>
  <w:footnote w:id="13">
    <w:p w14:paraId="39016D5C" w14:textId="1923E9FB"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4.</w:t>
      </w:r>
    </w:p>
  </w:footnote>
  <w:footnote w:id="14">
    <w:p w14:paraId="06CD3D77" w14:textId="4B613BFA"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Alkire</w:t>
      </w:r>
      <w:proofErr w:type="spellEnd"/>
      <w:r w:rsidRPr="007C271A">
        <w:t>, “A Vital Core that Must Be Treated with the Same Gravitas as Traditional Security Threats,” 360.</w:t>
      </w:r>
    </w:p>
  </w:footnote>
  <w:footnote w:id="15">
    <w:p w14:paraId="7C786B2F" w14:textId="2CEF4FC3" w:rsidR="004C49C0" w:rsidRPr="007C271A" w:rsidRDefault="004C49C0" w:rsidP="00233CA0">
      <w:pPr>
        <w:pStyle w:val="FootnoteText"/>
        <w:rPr>
          <w:lang w:val="en-GB"/>
        </w:rPr>
      </w:pPr>
      <w:r w:rsidRPr="007C271A">
        <w:rPr>
          <w:rStyle w:val="FootnoteReference"/>
          <w:sz w:val="20"/>
        </w:rPr>
        <w:footnoteRef/>
      </w:r>
      <w:r w:rsidRPr="007C271A">
        <w:t xml:space="preserve"> Paris, “Human Security: Paradigm Shift or Hot Air?” 88; </w:t>
      </w:r>
      <w:proofErr w:type="spellStart"/>
      <w:r w:rsidRPr="007C271A">
        <w:t>Chappuis</w:t>
      </w:r>
      <w:proofErr w:type="spellEnd"/>
      <w:r w:rsidRPr="007C271A">
        <w:t>, “Human Security and Security Sector Reform,” 99.</w:t>
      </w:r>
    </w:p>
  </w:footnote>
  <w:footnote w:id="16">
    <w:p w14:paraId="5DFE906C" w14:textId="68A10CE0" w:rsidR="004C49C0" w:rsidRPr="007C271A" w:rsidRDefault="004C49C0" w:rsidP="00233CA0">
      <w:pPr>
        <w:pStyle w:val="FootnoteText"/>
        <w:rPr>
          <w:lang w:val="en-GB"/>
        </w:rPr>
      </w:pPr>
      <w:r w:rsidRPr="007C271A">
        <w:rPr>
          <w:rStyle w:val="FootnoteReference"/>
          <w:sz w:val="20"/>
        </w:rPr>
        <w:footnoteRef/>
      </w:r>
      <w:r w:rsidRPr="007C271A">
        <w:t xml:space="preserve"> Commission on Human Security, </w:t>
      </w:r>
      <w:r w:rsidRPr="007C271A">
        <w:rPr>
          <w:i/>
        </w:rPr>
        <w:t>Human Security Now</w:t>
      </w:r>
      <w:r w:rsidRPr="007C271A">
        <w:t>, 27.</w:t>
      </w:r>
    </w:p>
  </w:footnote>
  <w:footnote w:id="17">
    <w:p w14:paraId="51350C9A" w14:textId="4477E6D6" w:rsidR="004C49C0" w:rsidRPr="007C271A" w:rsidRDefault="004C49C0" w:rsidP="00233CA0">
      <w:pPr>
        <w:pStyle w:val="FootnoteText"/>
      </w:pPr>
      <w:r w:rsidRPr="007C271A">
        <w:rPr>
          <w:rStyle w:val="FootnoteReference"/>
          <w:sz w:val="20"/>
        </w:rPr>
        <w:footnoteRef/>
      </w:r>
      <w:r w:rsidRPr="007C271A">
        <w:t xml:space="preserve"> Daft, </w:t>
      </w:r>
      <w:proofErr w:type="gramStart"/>
      <w:r w:rsidRPr="008F5CCD">
        <w:rPr>
          <w:i/>
        </w:rPr>
        <w:t>The</w:t>
      </w:r>
      <w:proofErr w:type="gramEnd"/>
      <w:r w:rsidRPr="008F5CCD">
        <w:rPr>
          <w:i/>
        </w:rPr>
        <w:t xml:space="preserve"> Relationship Between Human Security Discourse and International Law</w:t>
      </w:r>
      <w:r w:rsidRPr="007C271A">
        <w:t>, 5.</w:t>
      </w:r>
    </w:p>
  </w:footnote>
  <w:footnote w:id="18">
    <w:p w14:paraId="7B315AF1" w14:textId="63DA92CC"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28.</w:t>
      </w:r>
    </w:p>
  </w:footnote>
  <w:footnote w:id="19">
    <w:p w14:paraId="6FBA52D4" w14:textId="1733A76F"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Chinkin</w:t>
      </w:r>
      <w:proofErr w:type="spellEnd"/>
      <w:r w:rsidRPr="007C271A">
        <w:t xml:space="preserve"> et al., </w:t>
      </w:r>
      <w:r w:rsidRPr="008F5CCD">
        <w:rPr>
          <w:i/>
        </w:rPr>
        <w:t>International Law and New Wars</w:t>
      </w:r>
      <w:r w:rsidRPr="007C271A">
        <w:t>, 565.</w:t>
      </w:r>
    </w:p>
  </w:footnote>
  <w:footnote w:id="20">
    <w:p w14:paraId="17BA07DE" w14:textId="4D870355" w:rsidR="00AA4F7A" w:rsidRPr="00AA4F7A" w:rsidRDefault="00AA4F7A">
      <w:pPr>
        <w:pStyle w:val="FootnoteText"/>
        <w:rPr>
          <w:lang w:val="en-GB"/>
        </w:rPr>
      </w:pPr>
      <w:r>
        <w:rPr>
          <w:rStyle w:val="FootnoteReference"/>
        </w:rPr>
        <w:footnoteRef/>
      </w:r>
      <w:r>
        <w:t xml:space="preserve"> </w:t>
      </w:r>
      <w:r w:rsidRPr="00AA4F7A">
        <w:t>Hanlon and Christie</w:t>
      </w:r>
      <w:r>
        <w:t xml:space="preserve">, </w:t>
      </w:r>
      <w:r w:rsidRPr="008F5CCD">
        <w:rPr>
          <w:i/>
        </w:rPr>
        <w:t>Freedom from Fear, Freedom from Want</w:t>
      </w:r>
      <w:r>
        <w:t>, 55.</w:t>
      </w:r>
    </w:p>
  </w:footnote>
  <w:footnote w:id="21">
    <w:p w14:paraId="1FEF36F9" w14:textId="4DCBBB04"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28.</w:t>
      </w:r>
    </w:p>
  </w:footnote>
  <w:footnote w:id="22">
    <w:p w14:paraId="6B2E0AFE" w14:textId="00729FB5" w:rsidR="004C49C0" w:rsidRPr="007C271A" w:rsidRDefault="004C49C0" w:rsidP="00233CA0">
      <w:pPr>
        <w:pStyle w:val="FootnoteText"/>
      </w:pPr>
      <w:r w:rsidRPr="007C271A">
        <w:rPr>
          <w:rStyle w:val="FootnoteReference"/>
          <w:sz w:val="20"/>
        </w:rPr>
        <w:footnoteRef/>
      </w:r>
      <w:r w:rsidRPr="007C271A">
        <w:t xml:space="preserve"> ibid. 10.</w:t>
      </w:r>
    </w:p>
  </w:footnote>
  <w:footnote w:id="23">
    <w:p w14:paraId="06E9F190" w14:textId="7B18B8DE"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134.</w:t>
      </w:r>
    </w:p>
  </w:footnote>
  <w:footnote w:id="24">
    <w:p w14:paraId="57E4DCBB" w14:textId="2D1A64C4" w:rsidR="004C49C0" w:rsidRPr="007C271A" w:rsidRDefault="004C49C0" w:rsidP="00233CA0">
      <w:pPr>
        <w:pStyle w:val="FootnoteText"/>
      </w:pPr>
      <w:r w:rsidRPr="007C271A">
        <w:rPr>
          <w:rStyle w:val="FootnoteReference"/>
          <w:sz w:val="20"/>
        </w:rPr>
        <w:footnoteRef/>
      </w:r>
      <w:r w:rsidRPr="007C271A">
        <w:t xml:space="preserve"> ibid. 134.</w:t>
      </w:r>
    </w:p>
  </w:footnote>
  <w:footnote w:id="25">
    <w:p w14:paraId="01F4CD5A" w14:textId="5682E856" w:rsidR="004C49C0" w:rsidRPr="007C271A" w:rsidRDefault="004C49C0" w:rsidP="00233CA0">
      <w:pPr>
        <w:pStyle w:val="FootnoteText"/>
      </w:pPr>
      <w:r w:rsidRPr="007C271A">
        <w:rPr>
          <w:rStyle w:val="FootnoteReference"/>
          <w:sz w:val="20"/>
        </w:rPr>
        <w:footnoteRef/>
      </w:r>
      <w:r w:rsidRPr="007C271A">
        <w:t xml:space="preserve"> See e.g. UN, </w:t>
      </w:r>
      <w:r w:rsidRPr="007C271A">
        <w:rPr>
          <w:i/>
        </w:rPr>
        <w:t xml:space="preserve">ST/SGB/1999/13 </w:t>
      </w:r>
      <w:r w:rsidRPr="007C271A">
        <w:t xml:space="preserve">(1999); UN, </w:t>
      </w:r>
      <w:r w:rsidRPr="007C271A">
        <w:rPr>
          <w:i/>
        </w:rPr>
        <w:t xml:space="preserve">A/68/19 </w:t>
      </w:r>
      <w:r w:rsidRPr="007C271A">
        <w:t xml:space="preserve">(2014), para. 212; UN, </w:t>
      </w:r>
      <w:r w:rsidRPr="007C271A">
        <w:rPr>
          <w:i/>
        </w:rPr>
        <w:t xml:space="preserve">A/46/185 </w:t>
      </w:r>
      <w:r w:rsidRPr="007C271A">
        <w:t>(1991), para 28.</w:t>
      </w:r>
    </w:p>
  </w:footnote>
  <w:footnote w:id="26">
    <w:p w14:paraId="6B30C866" w14:textId="33BE912C" w:rsidR="004C49C0" w:rsidRPr="007C271A" w:rsidRDefault="004C49C0" w:rsidP="00233CA0">
      <w:pPr>
        <w:pStyle w:val="FootnoteText"/>
      </w:pPr>
      <w:r w:rsidRPr="007C271A">
        <w:rPr>
          <w:rStyle w:val="FootnoteReference"/>
          <w:sz w:val="20"/>
        </w:rPr>
        <w:footnoteRef/>
      </w:r>
      <w:r w:rsidRPr="007C271A">
        <w:t xml:space="preserve"> Ogata, “From State Security to Human Security,” 4.</w:t>
      </w:r>
    </w:p>
  </w:footnote>
  <w:footnote w:id="27">
    <w:p w14:paraId="4984E977" w14:textId="4BDC5A14"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4.</w:t>
      </w:r>
    </w:p>
  </w:footnote>
  <w:footnote w:id="28">
    <w:p w14:paraId="6C9FB234" w14:textId="2E702876" w:rsidR="004C49C0" w:rsidRPr="007C271A" w:rsidRDefault="004C49C0" w:rsidP="00233CA0">
      <w:pPr>
        <w:pStyle w:val="FootnoteText"/>
      </w:pPr>
      <w:r w:rsidRPr="007C271A">
        <w:rPr>
          <w:rStyle w:val="FootnoteReference"/>
          <w:sz w:val="20"/>
        </w:rPr>
        <w:footnoteRef/>
      </w:r>
      <w:r w:rsidRPr="007C271A">
        <w:t xml:space="preserve"> ibid. 4</w:t>
      </w:r>
    </w:p>
  </w:footnote>
  <w:footnote w:id="29">
    <w:p w14:paraId="516918DB" w14:textId="1C09277C"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Alkire</w:t>
      </w:r>
      <w:proofErr w:type="spellEnd"/>
      <w:r w:rsidRPr="007C271A">
        <w:t>, “A Conceptual Framework for Human Security,” 9.</w:t>
      </w:r>
    </w:p>
  </w:footnote>
  <w:footnote w:id="30">
    <w:p w14:paraId="6466144F" w14:textId="6C2D8769" w:rsidR="003A0347" w:rsidRPr="003A0347" w:rsidRDefault="003A0347">
      <w:pPr>
        <w:pStyle w:val="FootnoteText"/>
        <w:rPr>
          <w:lang w:val="en-GB"/>
        </w:rPr>
      </w:pPr>
      <w:r>
        <w:rPr>
          <w:rStyle w:val="FootnoteReference"/>
        </w:rPr>
        <w:footnoteRef/>
      </w:r>
      <w:r>
        <w:t xml:space="preserve"> </w:t>
      </w:r>
      <w:r>
        <w:rPr>
          <w:lang w:val="en-GB"/>
        </w:rPr>
        <w:t xml:space="preserve">Hanlon and Christie, </w:t>
      </w:r>
      <w:r w:rsidRPr="008F5CCD">
        <w:rPr>
          <w:i/>
          <w:lang w:val="en-GB"/>
        </w:rPr>
        <w:t>Freedom from Fear, Freedom from Want</w:t>
      </w:r>
      <w:r>
        <w:rPr>
          <w:lang w:val="en-GB"/>
        </w:rPr>
        <w:t>, 107.</w:t>
      </w:r>
    </w:p>
  </w:footnote>
  <w:footnote w:id="31">
    <w:p w14:paraId="2BA024AC" w14:textId="5617D9DD" w:rsidR="004C49C0" w:rsidRPr="007C271A" w:rsidRDefault="004C49C0" w:rsidP="00233CA0">
      <w:pPr>
        <w:pStyle w:val="FootnoteText"/>
      </w:pPr>
      <w:r w:rsidRPr="007C271A">
        <w:rPr>
          <w:rStyle w:val="FootnoteReference"/>
          <w:sz w:val="20"/>
        </w:rPr>
        <w:footnoteRef/>
      </w:r>
      <w:r w:rsidRPr="007C271A">
        <w:t xml:space="preserve"> UN, </w:t>
      </w:r>
      <w:r w:rsidRPr="007C271A">
        <w:rPr>
          <w:i/>
        </w:rPr>
        <w:t xml:space="preserve">A/RES/66/290 </w:t>
      </w:r>
      <w:r w:rsidRPr="007C271A">
        <w:t>(2012), para. 3(a) (emphasis added).</w:t>
      </w:r>
    </w:p>
  </w:footnote>
  <w:footnote w:id="32">
    <w:p w14:paraId="01014230" w14:textId="43609922"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Fineman</w:t>
      </w:r>
      <w:proofErr w:type="spellEnd"/>
      <w:r w:rsidRPr="007C271A">
        <w:t>, “Vulnerability, Resilience, and LGBT Youth,” 315</w:t>
      </w:r>
    </w:p>
  </w:footnote>
  <w:footnote w:id="33">
    <w:p w14:paraId="352C81AB" w14:textId="0645B81B" w:rsidR="004C49C0" w:rsidRPr="007C271A" w:rsidRDefault="004C49C0" w:rsidP="00233CA0">
      <w:pPr>
        <w:pStyle w:val="FootnoteText"/>
      </w:pPr>
      <w:r w:rsidRPr="007C271A">
        <w:rPr>
          <w:rStyle w:val="FootnoteReference"/>
          <w:sz w:val="20"/>
        </w:rPr>
        <w:footnoteRef/>
      </w:r>
      <w:r w:rsidRPr="007C271A">
        <w:t xml:space="preserve"> Tobin, “Understanding Children’s Rights,” 164.</w:t>
      </w:r>
    </w:p>
  </w:footnote>
  <w:footnote w:id="34">
    <w:p w14:paraId="07774A00" w14:textId="3F359873"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Fineman</w:t>
      </w:r>
      <w:proofErr w:type="spellEnd"/>
      <w:r w:rsidRPr="007C271A">
        <w:t>, “Vulnerability, Resilience, and LGBT Youth,” 320.</w:t>
      </w:r>
    </w:p>
  </w:footnote>
  <w:footnote w:id="35">
    <w:p w14:paraId="065EA36B" w14:textId="382CF86B"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11.</w:t>
      </w:r>
    </w:p>
  </w:footnote>
  <w:footnote w:id="36">
    <w:p w14:paraId="10F3A5CA" w14:textId="77777777" w:rsidR="004C49C0" w:rsidRPr="007C271A" w:rsidRDefault="004C49C0" w:rsidP="00233CA0">
      <w:pPr>
        <w:pStyle w:val="FootnoteText"/>
      </w:pPr>
      <w:r w:rsidRPr="007C271A">
        <w:rPr>
          <w:rStyle w:val="FootnoteReference"/>
          <w:sz w:val="20"/>
        </w:rPr>
        <w:footnoteRef/>
      </w:r>
      <w:r w:rsidRPr="007C271A">
        <w:t xml:space="preserve"> Ogata, “The Human Security Commission’s strategy,” 25-6.</w:t>
      </w:r>
    </w:p>
  </w:footnote>
  <w:footnote w:id="37">
    <w:p w14:paraId="77AFE2EF" w14:textId="263C78FF"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xml:space="preserve">, 11. </w:t>
      </w:r>
    </w:p>
  </w:footnote>
  <w:footnote w:id="38">
    <w:p w14:paraId="2BCDBCC6" w14:textId="00CD79F5" w:rsidR="004C49C0" w:rsidRPr="007C271A" w:rsidRDefault="004C49C0" w:rsidP="00233CA0">
      <w:pPr>
        <w:pStyle w:val="FootnoteText"/>
      </w:pPr>
      <w:r w:rsidRPr="007C271A">
        <w:rPr>
          <w:rStyle w:val="FootnoteReference"/>
          <w:sz w:val="20"/>
        </w:rPr>
        <w:footnoteRef/>
      </w:r>
      <w:r w:rsidRPr="007C271A">
        <w:t xml:space="preserve"> Ogata, “From State Security to Human Security,” 5.</w:t>
      </w:r>
    </w:p>
  </w:footnote>
  <w:footnote w:id="39">
    <w:p w14:paraId="0ECFC7CE" w14:textId="680EDC09"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11.</w:t>
      </w:r>
    </w:p>
  </w:footnote>
  <w:footnote w:id="40">
    <w:p w14:paraId="5430F570" w14:textId="60D542AD" w:rsidR="004C49C0" w:rsidRPr="007C271A" w:rsidRDefault="004C49C0" w:rsidP="00233CA0">
      <w:pPr>
        <w:pStyle w:val="FootnoteText"/>
      </w:pPr>
      <w:r w:rsidRPr="007C271A">
        <w:rPr>
          <w:rStyle w:val="FootnoteReference"/>
          <w:sz w:val="20"/>
        </w:rPr>
        <w:footnoteRef/>
      </w:r>
      <w:r w:rsidRPr="007C271A">
        <w:t xml:space="preserve"> ibid. 6.</w:t>
      </w:r>
    </w:p>
  </w:footnote>
  <w:footnote w:id="41">
    <w:p w14:paraId="7544AE17" w14:textId="43352D97" w:rsidR="004C49C0" w:rsidRPr="007C271A" w:rsidRDefault="004C49C0" w:rsidP="00233CA0">
      <w:pPr>
        <w:pStyle w:val="FootnoteText"/>
      </w:pPr>
      <w:r w:rsidRPr="007C271A">
        <w:rPr>
          <w:rStyle w:val="FootnoteReference"/>
          <w:sz w:val="20"/>
        </w:rPr>
        <w:footnoteRef/>
      </w:r>
      <w:r w:rsidRPr="007C271A">
        <w:t xml:space="preserve"> ibid. 11.</w:t>
      </w:r>
    </w:p>
  </w:footnote>
  <w:footnote w:id="42">
    <w:p w14:paraId="66D7917A" w14:textId="6D792E51" w:rsidR="004C49C0" w:rsidRPr="007C271A" w:rsidRDefault="004C49C0" w:rsidP="00233CA0">
      <w:pPr>
        <w:pStyle w:val="FootnoteText"/>
      </w:pPr>
      <w:r w:rsidRPr="007C271A">
        <w:rPr>
          <w:rStyle w:val="FootnoteReference"/>
          <w:sz w:val="20"/>
        </w:rPr>
        <w:footnoteRef/>
      </w:r>
      <w:r w:rsidRPr="007C271A">
        <w:t xml:space="preserve"> Ogata, “The Human Security Commission’s strategy,” 26.</w:t>
      </w:r>
    </w:p>
  </w:footnote>
  <w:footnote w:id="43">
    <w:p w14:paraId="76F4EF86" w14:textId="6F5CB95E"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12.</w:t>
      </w:r>
    </w:p>
  </w:footnote>
  <w:footnote w:id="44">
    <w:p w14:paraId="6487C433" w14:textId="0A886B28" w:rsidR="00AA4F7A" w:rsidRPr="00AA4F7A" w:rsidRDefault="00AA4F7A">
      <w:pPr>
        <w:pStyle w:val="FootnoteText"/>
        <w:rPr>
          <w:lang w:val="en-GB"/>
        </w:rPr>
      </w:pPr>
      <w:r>
        <w:rPr>
          <w:rStyle w:val="FootnoteReference"/>
        </w:rPr>
        <w:footnoteRef/>
      </w:r>
      <w:r>
        <w:t xml:space="preserve"> </w:t>
      </w:r>
      <w:r>
        <w:rPr>
          <w:lang w:val="en-GB"/>
        </w:rPr>
        <w:t xml:space="preserve">Hanlon and Christie, </w:t>
      </w:r>
      <w:r w:rsidRPr="005F378B">
        <w:rPr>
          <w:i/>
          <w:lang w:val="en-GB"/>
        </w:rPr>
        <w:t>Freedom from Fear, Freedom from Want</w:t>
      </w:r>
      <w:r>
        <w:rPr>
          <w:lang w:val="en-GB"/>
        </w:rPr>
        <w:t>, 62</w:t>
      </w:r>
    </w:p>
  </w:footnote>
  <w:footnote w:id="45">
    <w:p w14:paraId="5522BE7B" w14:textId="58C781D1" w:rsidR="004C49C0" w:rsidRPr="007C271A" w:rsidRDefault="004C49C0" w:rsidP="00233CA0">
      <w:pPr>
        <w:pStyle w:val="FootnoteText"/>
      </w:pPr>
      <w:r w:rsidRPr="007C271A">
        <w:rPr>
          <w:rStyle w:val="FootnoteReference"/>
          <w:sz w:val="20"/>
        </w:rPr>
        <w:footnoteRef/>
      </w:r>
      <w:r w:rsidRPr="007C271A">
        <w:t xml:space="preserve"> UN, </w:t>
      </w:r>
      <w:r w:rsidRPr="007C271A">
        <w:rPr>
          <w:i/>
        </w:rPr>
        <w:t xml:space="preserve">S/RES/2149 </w:t>
      </w:r>
      <w:r w:rsidRPr="007C271A">
        <w:t>(2014), 2, para 12.</w:t>
      </w:r>
    </w:p>
  </w:footnote>
  <w:footnote w:id="46">
    <w:p w14:paraId="30F2568B" w14:textId="39D5BBF3" w:rsidR="004C49C0" w:rsidRPr="007C271A" w:rsidRDefault="004C49C0" w:rsidP="005273F9">
      <w:pPr>
        <w:textAlignment w:val="center"/>
        <w:rPr>
          <w:rFonts w:ascii="Times New Roman" w:hAnsi="Times New Roman" w:cs="Times New Roman"/>
          <w:color w:val="000000"/>
          <w:sz w:val="20"/>
          <w:szCs w:val="20"/>
          <w:lang w:val="en-US"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eastAsia="en-GB"/>
        </w:rPr>
        <w:t>ibid. para 30(e)(</w:t>
      </w:r>
      <w:proofErr w:type="spellStart"/>
      <w:r w:rsidRPr="007C271A">
        <w:rPr>
          <w:rFonts w:ascii="Times New Roman" w:hAnsi="Times New Roman" w:cs="Times New Roman"/>
          <w:color w:val="000000"/>
          <w:sz w:val="20"/>
          <w:szCs w:val="20"/>
          <w:lang w:val="en-US" w:eastAsia="en-GB"/>
        </w:rPr>
        <w:t>i</w:t>
      </w:r>
      <w:proofErr w:type="spellEnd"/>
      <w:r w:rsidRPr="007C271A">
        <w:rPr>
          <w:rFonts w:ascii="Times New Roman" w:hAnsi="Times New Roman" w:cs="Times New Roman"/>
          <w:color w:val="000000"/>
          <w:sz w:val="20"/>
          <w:szCs w:val="20"/>
          <w:lang w:val="en-US" w:eastAsia="en-GB"/>
        </w:rPr>
        <w:t>)</w:t>
      </w:r>
    </w:p>
  </w:footnote>
  <w:footnote w:id="47">
    <w:p w14:paraId="5BEECE83" w14:textId="77777777" w:rsidR="004C49C0" w:rsidRPr="007C271A" w:rsidRDefault="004C49C0" w:rsidP="00233CA0">
      <w:pPr>
        <w:pStyle w:val="FootnoteText"/>
      </w:pPr>
      <w:r w:rsidRPr="007C271A">
        <w:rPr>
          <w:rStyle w:val="FootnoteReference"/>
          <w:sz w:val="20"/>
        </w:rPr>
        <w:footnoteRef/>
      </w:r>
      <w:r w:rsidRPr="007C271A">
        <w:t xml:space="preserve"> ibid. para 30(f</w:t>
      </w:r>
      <w:proofErr w:type="gramStart"/>
      <w:r w:rsidRPr="007C271A">
        <w:t>)(</w:t>
      </w:r>
      <w:proofErr w:type="gramEnd"/>
      <w:r w:rsidRPr="007C271A">
        <w:t>ii), 30(f)(iii).</w:t>
      </w:r>
    </w:p>
  </w:footnote>
  <w:footnote w:id="48">
    <w:p w14:paraId="73756462" w14:textId="545C8602" w:rsidR="004C49C0" w:rsidRPr="007C271A" w:rsidRDefault="004C49C0" w:rsidP="00233CA0">
      <w:pPr>
        <w:pStyle w:val="FootnoteText"/>
      </w:pPr>
      <w:r w:rsidRPr="007C271A">
        <w:rPr>
          <w:rStyle w:val="FootnoteReference"/>
          <w:sz w:val="20"/>
        </w:rPr>
        <w:footnoteRef/>
      </w:r>
      <w:r w:rsidRPr="007C271A">
        <w:t xml:space="preserve"> UN, </w:t>
      </w:r>
      <w:r w:rsidRPr="007C271A">
        <w:rPr>
          <w:i/>
        </w:rPr>
        <w:t>S/PV.7734</w:t>
      </w:r>
      <w:r w:rsidRPr="007C271A">
        <w:t xml:space="preserve"> (2016), 3 as per Mr. </w:t>
      </w:r>
      <w:proofErr w:type="spellStart"/>
      <w:r w:rsidRPr="007C271A">
        <w:t>Ladsous</w:t>
      </w:r>
      <w:proofErr w:type="spellEnd"/>
      <w:r w:rsidRPr="007C271A">
        <w:t xml:space="preserve">; UN, </w:t>
      </w:r>
      <w:r w:rsidRPr="007C271A">
        <w:rPr>
          <w:i/>
        </w:rPr>
        <w:t>S/RES/2387</w:t>
      </w:r>
      <w:r w:rsidRPr="007C271A">
        <w:t> (2017), para 43(d</w:t>
      </w:r>
      <w:proofErr w:type="gramStart"/>
      <w:r w:rsidRPr="007C271A">
        <w:t>)(</w:t>
      </w:r>
      <w:proofErr w:type="gramEnd"/>
      <w:r w:rsidRPr="007C271A">
        <w:t>ii).</w:t>
      </w:r>
    </w:p>
  </w:footnote>
  <w:footnote w:id="49">
    <w:p w14:paraId="7CB858A6" w14:textId="7E452770" w:rsidR="004C49C0" w:rsidRPr="007C271A" w:rsidRDefault="004C49C0" w:rsidP="005273F9">
      <w:pPr>
        <w:textAlignment w:val="center"/>
        <w:rPr>
          <w:rFonts w:ascii="Times New Roman" w:hAnsi="Times New Roman" w:cs="Times New Roman"/>
          <w:color w:val="000000"/>
          <w:sz w:val="20"/>
          <w:szCs w:val="20"/>
          <w:lang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eastAsia="en-GB"/>
        </w:rPr>
        <w:t>S/2014/142</w:t>
      </w:r>
      <w:r w:rsidRPr="007C271A">
        <w:rPr>
          <w:rFonts w:ascii="Times New Roman" w:hAnsi="Times New Roman" w:cs="Times New Roman"/>
          <w:color w:val="000000"/>
          <w:sz w:val="20"/>
          <w:szCs w:val="20"/>
          <w:lang w:val="en-US" w:eastAsia="en-GB"/>
        </w:rPr>
        <w:t xml:space="preserve"> (2014), para 76.</w:t>
      </w:r>
    </w:p>
  </w:footnote>
  <w:footnote w:id="50">
    <w:p w14:paraId="472DE5FE" w14:textId="54C2DF5E" w:rsidR="004C49C0" w:rsidRPr="007C271A" w:rsidRDefault="004C49C0" w:rsidP="005273F9">
      <w:pPr>
        <w:textAlignment w:val="center"/>
        <w:rPr>
          <w:rFonts w:ascii="Times New Roman" w:hAnsi="Times New Roman" w:cs="Times New Roman"/>
          <w:color w:val="000000"/>
          <w:sz w:val="20"/>
          <w:szCs w:val="20"/>
          <w:lang w:val="en-US"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iCs/>
          <w:color w:val="000000"/>
          <w:sz w:val="20"/>
          <w:szCs w:val="20"/>
          <w:lang w:val="en-US" w:eastAsia="en-GB"/>
        </w:rPr>
        <w:t>ibid</w:t>
      </w:r>
      <w:r w:rsidRPr="007C271A">
        <w:rPr>
          <w:rFonts w:ascii="Times New Roman" w:hAnsi="Times New Roman" w:cs="Times New Roman"/>
          <w:color w:val="000000"/>
          <w:sz w:val="20"/>
          <w:szCs w:val="20"/>
          <w:lang w:val="en-US" w:eastAsia="en-GB"/>
        </w:rPr>
        <w:t xml:space="preserve">. para 81; UN, </w:t>
      </w:r>
      <w:r w:rsidRPr="007C271A">
        <w:rPr>
          <w:rFonts w:ascii="Times New Roman" w:hAnsi="Times New Roman" w:cs="Times New Roman"/>
          <w:i/>
          <w:color w:val="000000"/>
          <w:sz w:val="20"/>
          <w:szCs w:val="20"/>
          <w:lang w:val="en-US"/>
        </w:rPr>
        <w:t>S/RES/2387</w:t>
      </w:r>
      <w:r w:rsidRPr="007C271A">
        <w:rPr>
          <w:rFonts w:ascii="Times New Roman" w:hAnsi="Times New Roman" w:cs="Times New Roman"/>
          <w:color w:val="000000"/>
          <w:sz w:val="20"/>
          <w:szCs w:val="20"/>
        </w:rPr>
        <w:t> (2017), para 43(e</w:t>
      </w:r>
      <w:proofErr w:type="gramStart"/>
      <w:r w:rsidRPr="007C271A">
        <w:rPr>
          <w:rFonts w:ascii="Times New Roman" w:hAnsi="Times New Roman" w:cs="Times New Roman"/>
          <w:color w:val="000000"/>
          <w:sz w:val="20"/>
          <w:szCs w:val="20"/>
        </w:rPr>
        <w:t>)(</w:t>
      </w:r>
      <w:proofErr w:type="gramEnd"/>
      <w:r w:rsidRPr="007C271A">
        <w:rPr>
          <w:rFonts w:ascii="Times New Roman" w:hAnsi="Times New Roman" w:cs="Times New Roman"/>
          <w:color w:val="000000"/>
          <w:sz w:val="20"/>
          <w:szCs w:val="20"/>
        </w:rPr>
        <w:t>vi).</w:t>
      </w:r>
    </w:p>
  </w:footnote>
  <w:footnote w:id="51">
    <w:p w14:paraId="46DD2DB2" w14:textId="171DA7D8"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S/2016/565</w:t>
      </w:r>
      <w:r w:rsidRPr="007C271A">
        <w:t xml:space="preserve"> (2016), paras 46-9; UN, </w:t>
      </w:r>
      <w:r w:rsidRPr="007C271A">
        <w:rPr>
          <w:i/>
          <w:lang w:eastAsia="en-GB"/>
        </w:rPr>
        <w:t>S/PV.7206</w:t>
      </w:r>
      <w:r w:rsidRPr="007C271A">
        <w:rPr>
          <w:lang w:eastAsia="en-GB"/>
        </w:rPr>
        <w:t xml:space="preserve"> (2014), 3 as per Mr. Gaye</w:t>
      </w:r>
      <w:r w:rsidRPr="007C271A">
        <w:t xml:space="preserve">; UN, </w:t>
      </w:r>
      <w:r w:rsidRPr="007C271A">
        <w:rPr>
          <w:i/>
          <w:lang w:eastAsia="en-GB"/>
        </w:rPr>
        <w:t>S/2014/142</w:t>
      </w:r>
      <w:r w:rsidRPr="007C271A">
        <w:rPr>
          <w:lang w:eastAsia="en-GB"/>
        </w:rPr>
        <w:t xml:space="preserve"> (2014), para 10.</w:t>
      </w:r>
    </w:p>
  </w:footnote>
  <w:footnote w:id="52">
    <w:p w14:paraId="2E2ED923" w14:textId="22930193"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S/2014/928</w:t>
      </w:r>
      <w:r w:rsidRPr="007C271A">
        <w:t xml:space="preserve"> (2014), para 56.</w:t>
      </w:r>
    </w:p>
  </w:footnote>
  <w:footnote w:id="53">
    <w:p w14:paraId="564CD487" w14:textId="37458B59"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S/RES/2149</w:t>
      </w:r>
      <w:r w:rsidRPr="007C271A">
        <w:t xml:space="preserve"> (2014), para 40; UN, </w:t>
      </w:r>
      <w:r w:rsidRPr="007C271A">
        <w:rPr>
          <w:i/>
          <w:color w:val="000000"/>
        </w:rPr>
        <w:t>S/RES/2301</w:t>
      </w:r>
      <w:r w:rsidRPr="007C271A">
        <w:rPr>
          <w:color w:val="000000"/>
        </w:rPr>
        <w:t xml:space="preserve"> (2016), para 34(d</w:t>
      </w:r>
      <w:proofErr w:type="gramStart"/>
      <w:r w:rsidRPr="007C271A">
        <w:rPr>
          <w:color w:val="000000"/>
        </w:rPr>
        <w:t>)(</w:t>
      </w:r>
      <w:proofErr w:type="spellStart"/>
      <w:proofErr w:type="gramEnd"/>
      <w:r w:rsidRPr="007C271A">
        <w:rPr>
          <w:color w:val="000000"/>
        </w:rPr>
        <w:t>i</w:t>
      </w:r>
      <w:proofErr w:type="spellEnd"/>
      <w:r w:rsidRPr="007C271A">
        <w:rPr>
          <w:color w:val="000000"/>
        </w:rPr>
        <w:t>).</w:t>
      </w:r>
    </w:p>
  </w:footnote>
  <w:footnote w:id="54">
    <w:p w14:paraId="5C821D74" w14:textId="77777777" w:rsidR="004C49C0" w:rsidRPr="007C271A" w:rsidRDefault="004C49C0" w:rsidP="00233CA0">
      <w:pPr>
        <w:pStyle w:val="FootnoteText"/>
      </w:pPr>
      <w:r w:rsidRPr="007C271A">
        <w:rPr>
          <w:rStyle w:val="FootnoteReference"/>
          <w:sz w:val="20"/>
        </w:rPr>
        <w:footnoteRef/>
      </w:r>
      <w:r w:rsidRPr="007C271A">
        <w:t xml:space="preserve"> ibid.</w:t>
      </w:r>
    </w:p>
  </w:footnote>
  <w:footnote w:id="55">
    <w:p w14:paraId="51101572" w14:textId="0503A03F" w:rsidR="004C49C0" w:rsidRPr="00233CA0" w:rsidRDefault="004C49C0" w:rsidP="00233CA0">
      <w:pPr>
        <w:pStyle w:val="FootnoteText"/>
      </w:pPr>
      <w:r w:rsidRPr="00233CA0">
        <w:rPr>
          <w:rStyle w:val="FootnoteReference"/>
          <w:sz w:val="20"/>
        </w:rPr>
        <w:footnoteRef/>
      </w:r>
      <w:r w:rsidRPr="00233CA0">
        <w:t xml:space="preserve"> UN</w:t>
      </w:r>
      <w:r>
        <w:t>,</w:t>
      </w:r>
      <w:r w:rsidRPr="00233CA0">
        <w:t xml:space="preserve"> </w:t>
      </w:r>
      <w:r w:rsidRPr="00233CA0">
        <w:rPr>
          <w:i/>
        </w:rPr>
        <w:t>S/2019/147</w:t>
      </w:r>
      <w:r w:rsidRPr="00233CA0">
        <w:t xml:space="preserve"> (2019), para 46.</w:t>
      </w:r>
    </w:p>
  </w:footnote>
  <w:footnote w:id="56">
    <w:p w14:paraId="06B0BFE3" w14:textId="0F6A156D"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S/2014/562</w:t>
      </w:r>
      <w:r w:rsidRPr="007C271A">
        <w:t xml:space="preserve"> (2014), para 53.</w:t>
      </w:r>
    </w:p>
  </w:footnote>
  <w:footnote w:id="57">
    <w:p w14:paraId="45BE2BA6" w14:textId="77777777" w:rsidR="004C49C0" w:rsidRPr="007C271A" w:rsidRDefault="004C49C0" w:rsidP="005273F9">
      <w:pPr>
        <w:textAlignment w:val="center"/>
        <w:rPr>
          <w:rFonts w:ascii="Times New Roman" w:hAnsi="Times New Roman" w:cs="Times New Roman"/>
          <w:color w:val="000000"/>
          <w:sz w:val="20"/>
          <w:szCs w:val="20"/>
          <w:lang w:val="en-US"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eastAsia="en-GB"/>
        </w:rPr>
        <w:t>ibid. para 54.</w:t>
      </w:r>
    </w:p>
  </w:footnote>
  <w:footnote w:id="58">
    <w:p w14:paraId="2B9D6462" w14:textId="0DDBB599" w:rsidR="004C49C0" w:rsidRPr="007C271A" w:rsidRDefault="004C49C0" w:rsidP="005273F9">
      <w:pPr>
        <w:textAlignment w:val="center"/>
        <w:rPr>
          <w:rFonts w:ascii="Times New Roman" w:hAnsi="Times New Roman" w:cs="Times New Roman"/>
          <w:color w:val="000000"/>
          <w:sz w:val="20"/>
          <w:szCs w:val="20"/>
          <w:lang w:val="en-US"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eastAsia="en-GB"/>
        </w:rPr>
        <w:t xml:space="preserve">UN, </w:t>
      </w:r>
      <w:r w:rsidRPr="007C271A">
        <w:rPr>
          <w:rFonts w:ascii="Times New Roman" w:hAnsi="Times New Roman" w:cs="Times New Roman"/>
          <w:i/>
          <w:sz w:val="20"/>
          <w:szCs w:val="20"/>
          <w:lang w:val="en-US" w:eastAsia="en-GB"/>
        </w:rPr>
        <w:t>S/PRST/2014/28</w:t>
      </w:r>
      <w:r w:rsidRPr="007C271A">
        <w:rPr>
          <w:rFonts w:ascii="Times New Roman" w:hAnsi="Times New Roman" w:cs="Times New Roman"/>
          <w:sz w:val="20"/>
          <w:szCs w:val="20"/>
          <w:lang w:val="en-US" w:eastAsia="en-GB"/>
        </w:rPr>
        <w:t xml:space="preserve"> (2014), p.4</w:t>
      </w:r>
      <w:r w:rsidRPr="007C271A">
        <w:rPr>
          <w:rFonts w:ascii="Times New Roman" w:hAnsi="Times New Roman" w:cs="Times New Roman"/>
          <w:sz w:val="20"/>
          <w:szCs w:val="20"/>
          <w:lang w:val="en-US"/>
        </w:rPr>
        <w:t xml:space="preserve">; UN, </w:t>
      </w:r>
      <w:r w:rsidRPr="007C271A">
        <w:rPr>
          <w:rFonts w:ascii="Times New Roman" w:hAnsi="Times New Roman" w:cs="Times New Roman"/>
          <w:i/>
          <w:color w:val="000000"/>
          <w:sz w:val="20"/>
          <w:szCs w:val="20"/>
          <w:lang w:val="en-US" w:eastAsia="en-GB"/>
        </w:rPr>
        <w:t>S/PV.7246</w:t>
      </w:r>
      <w:r w:rsidRPr="007C271A">
        <w:rPr>
          <w:rFonts w:ascii="Times New Roman" w:hAnsi="Times New Roman" w:cs="Times New Roman"/>
          <w:color w:val="000000"/>
          <w:sz w:val="20"/>
          <w:szCs w:val="20"/>
          <w:lang w:val="en-US" w:eastAsia="en-GB"/>
        </w:rPr>
        <w:t xml:space="preserve"> (2014), p.3 as per Mr. Gaye; UN, </w:t>
      </w:r>
      <w:r w:rsidRPr="007C271A">
        <w:rPr>
          <w:rFonts w:ascii="Times New Roman" w:hAnsi="Times New Roman" w:cs="Times New Roman"/>
          <w:i/>
          <w:color w:val="000000"/>
          <w:sz w:val="20"/>
          <w:szCs w:val="20"/>
          <w:lang w:val="en-US" w:eastAsia="en-GB"/>
        </w:rPr>
        <w:t>S/2014/928</w:t>
      </w:r>
      <w:r w:rsidRPr="007C271A">
        <w:rPr>
          <w:rFonts w:ascii="Times New Roman" w:hAnsi="Times New Roman" w:cs="Times New Roman"/>
          <w:color w:val="000000"/>
          <w:sz w:val="20"/>
          <w:szCs w:val="20"/>
          <w:lang w:val="en-US" w:eastAsia="en-GB"/>
        </w:rPr>
        <w:t xml:space="preserve"> (2014), para 63.</w:t>
      </w:r>
    </w:p>
  </w:footnote>
  <w:footnote w:id="59">
    <w:p w14:paraId="5020DEB7" w14:textId="33609F6E" w:rsidR="004C49C0" w:rsidRPr="007C271A" w:rsidRDefault="004C49C0" w:rsidP="00233CA0">
      <w:pPr>
        <w:pStyle w:val="FootnoteText"/>
      </w:pPr>
      <w:r w:rsidRPr="007C271A">
        <w:rPr>
          <w:rStyle w:val="FootnoteReference"/>
          <w:sz w:val="20"/>
        </w:rPr>
        <w:footnoteRef/>
      </w:r>
      <w:r w:rsidRPr="007C271A">
        <w:t xml:space="preserve"> UN, </w:t>
      </w:r>
      <w:r w:rsidRPr="007C271A">
        <w:rPr>
          <w:i/>
        </w:rPr>
        <w:t>S/PV.7901</w:t>
      </w:r>
      <w:r w:rsidRPr="007C271A">
        <w:t xml:space="preserve"> (2017), 11 as per Mr. </w:t>
      </w:r>
      <w:proofErr w:type="spellStart"/>
      <w:r w:rsidRPr="007C271A">
        <w:t>Iliichev</w:t>
      </w:r>
      <w:proofErr w:type="spellEnd"/>
      <w:r w:rsidRPr="007C271A">
        <w:t xml:space="preserve">. </w:t>
      </w:r>
    </w:p>
  </w:footnote>
  <w:footnote w:id="60">
    <w:p w14:paraId="180CE787" w14:textId="790D3993" w:rsidR="004C49C0" w:rsidRPr="007C271A" w:rsidRDefault="004C49C0" w:rsidP="00233CA0">
      <w:pPr>
        <w:pStyle w:val="FootnoteText"/>
      </w:pPr>
      <w:r w:rsidRPr="007C271A">
        <w:rPr>
          <w:rStyle w:val="FootnoteReference"/>
          <w:sz w:val="20"/>
        </w:rPr>
        <w:footnoteRef/>
      </w:r>
      <w:r w:rsidRPr="007C271A">
        <w:t xml:space="preserve"> Human Rights Watch, “Central African Republic: Parliament Adopts Special Criminal Court Rule.”</w:t>
      </w:r>
    </w:p>
  </w:footnote>
  <w:footnote w:id="61">
    <w:p w14:paraId="5D32FA93" w14:textId="26B472DE" w:rsidR="004C49C0" w:rsidRDefault="004C49C0" w:rsidP="00233CA0">
      <w:pPr>
        <w:pStyle w:val="FootnoteText"/>
      </w:pPr>
      <w:r>
        <w:rPr>
          <w:rStyle w:val="FootnoteReference"/>
        </w:rPr>
        <w:footnoteRef/>
      </w:r>
      <w:r>
        <w:t xml:space="preserve"> UN, </w:t>
      </w:r>
      <w:r w:rsidRPr="00233CA0">
        <w:rPr>
          <w:i/>
        </w:rPr>
        <w:t>S/2019/498</w:t>
      </w:r>
      <w:r>
        <w:t xml:space="preserve"> (2019), para 59.</w:t>
      </w:r>
    </w:p>
  </w:footnote>
  <w:footnote w:id="62">
    <w:p w14:paraId="07C3B186" w14:textId="13660160" w:rsidR="004C49C0" w:rsidRDefault="004C49C0" w:rsidP="00233CA0">
      <w:pPr>
        <w:pStyle w:val="FootnoteText"/>
      </w:pPr>
      <w:r>
        <w:rPr>
          <w:rStyle w:val="FootnoteReference"/>
        </w:rPr>
        <w:footnoteRef/>
      </w:r>
      <w:r>
        <w:t xml:space="preserve"> UN, </w:t>
      </w:r>
      <w:r w:rsidRPr="00233CA0">
        <w:rPr>
          <w:i/>
        </w:rPr>
        <w:t>S/2019/822</w:t>
      </w:r>
      <w:r>
        <w:t xml:space="preserve"> (2019), para 57.</w:t>
      </w:r>
    </w:p>
  </w:footnote>
  <w:footnote w:id="63">
    <w:p w14:paraId="4AD5296D" w14:textId="2A3BFD09" w:rsidR="00DE7383" w:rsidRPr="00DE7383" w:rsidRDefault="00DE7383">
      <w:pPr>
        <w:pStyle w:val="FootnoteText"/>
        <w:rPr>
          <w:lang w:val="en-GB"/>
        </w:rPr>
      </w:pPr>
      <w:r>
        <w:rPr>
          <w:rStyle w:val="FootnoteReference"/>
        </w:rPr>
        <w:footnoteRef/>
      </w:r>
      <w:r>
        <w:t xml:space="preserve"> </w:t>
      </w:r>
      <w:r w:rsidR="00AE0776">
        <w:t xml:space="preserve">Contrast UN, </w:t>
      </w:r>
      <w:r w:rsidR="00AE0776" w:rsidRPr="00233CA0">
        <w:rPr>
          <w:i/>
        </w:rPr>
        <w:t>S/RES/2448</w:t>
      </w:r>
      <w:r w:rsidR="00AE0776">
        <w:t xml:space="preserve"> (2018), paras 39(e</w:t>
      </w:r>
      <w:proofErr w:type="gramStart"/>
      <w:r w:rsidR="00AE0776">
        <w:t>)(</w:t>
      </w:r>
      <w:proofErr w:type="gramEnd"/>
      <w:r w:rsidR="00AE0776">
        <w:t xml:space="preserve">v)-(xi) with UN, </w:t>
      </w:r>
      <w:r w:rsidR="00AE0776" w:rsidRPr="00233CA0">
        <w:rPr>
          <w:i/>
        </w:rPr>
        <w:t>S/RES/2499</w:t>
      </w:r>
      <w:r w:rsidR="00AE0776">
        <w:t xml:space="preserve"> (2019), paras 32(e)(iv)-(v).</w:t>
      </w:r>
    </w:p>
  </w:footnote>
  <w:footnote w:id="64">
    <w:p w14:paraId="421ADFBD" w14:textId="264A5CE0"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S/2015/227</w:t>
      </w:r>
      <w:r w:rsidRPr="007C271A">
        <w:t xml:space="preserve"> (2015), para 47.</w:t>
      </w:r>
    </w:p>
  </w:footnote>
  <w:footnote w:id="65">
    <w:p w14:paraId="1C062A42" w14:textId="238042A3" w:rsidR="004C49C0" w:rsidRPr="007C271A" w:rsidRDefault="004C49C0" w:rsidP="005273F9">
      <w:pPr>
        <w:rPr>
          <w:rFonts w:ascii="Times New Roman" w:hAnsi="Times New Roman" w:cs="Times New Roman"/>
          <w:color w:val="000000"/>
          <w:sz w:val="20"/>
          <w:szCs w:val="20"/>
          <w:lang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lang w:val="en-US"/>
        </w:rPr>
        <w:t>S/2017/94</w:t>
      </w:r>
      <w:r w:rsidRPr="007C271A">
        <w:rPr>
          <w:rFonts w:ascii="Times New Roman" w:hAnsi="Times New Roman" w:cs="Times New Roman"/>
          <w:color w:val="000000"/>
          <w:sz w:val="20"/>
          <w:szCs w:val="20"/>
          <w:lang w:val="en-US" w:eastAsia="en-GB"/>
        </w:rPr>
        <w:t xml:space="preserve"> (2017), para 48.</w:t>
      </w:r>
    </w:p>
  </w:footnote>
  <w:footnote w:id="66">
    <w:p w14:paraId="338FDC3A" w14:textId="05A9F6AA"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S/RES/2212</w:t>
      </w:r>
      <w:r w:rsidRPr="007C271A">
        <w:t xml:space="preserve"> (2015).</w:t>
      </w:r>
    </w:p>
  </w:footnote>
  <w:footnote w:id="67">
    <w:p w14:paraId="31006407" w14:textId="6468932D"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S/2018/125</w:t>
      </w:r>
      <w:r w:rsidRPr="007C271A">
        <w:rPr>
          <w:b/>
          <w:i/>
        </w:rPr>
        <w:t xml:space="preserve"> </w:t>
      </w:r>
      <w:r w:rsidRPr="007C271A">
        <w:t>(2018),</w:t>
      </w:r>
      <w:r w:rsidRPr="007C271A">
        <w:rPr>
          <w:b/>
          <w:i/>
        </w:rPr>
        <w:t xml:space="preserve"> </w:t>
      </w:r>
      <w:r w:rsidRPr="007C271A">
        <w:t>para 51.</w:t>
      </w:r>
    </w:p>
  </w:footnote>
  <w:footnote w:id="68">
    <w:p w14:paraId="770A3AE7" w14:textId="77777777" w:rsidR="004C49C0" w:rsidRPr="007C271A" w:rsidRDefault="004C49C0" w:rsidP="00233CA0">
      <w:pPr>
        <w:pStyle w:val="FootnoteText"/>
      </w:pPr>
      <w:r w:rsidRPr="007C271A">
        <w:rPr>
          <w:rStyle w:val="FootnoteReference"/>
          <w:sz w:val="20"/>
        </w:rPr>
        <w:footnoteRef/>
      </w:r>
      <w:r w:rsidRPr="007C271A">
        <w:t xml:space="preserve"> ibid.</w:t>
      </w:r>
    </w:p>
  </w:footnote>
  <w:footnote w:id="69">
    <w:p w14:paraId="5E82B25E" w14:textId="65829BFC"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S/RES/2149</w:t>
      </w:r>
      <w:r w:rsidRPr="007C271A">
        <w:t xml:space="preserve"> (2014), para 40; UN, </w:t>
      </w:r>
      <w:r w:rsidRPr="007C271A">
        <w:rPr>
          <w:i/>
          <w:color w:val="000000"/>
        </w:rPr>
        <w:t>S/RES/2301</w:t>
      </w:r>
      <w:r w:rsidRPr="007C271A">
        <w:rPr>
          <w:color w:val="000000"/>
        </w:rPr>
        <w:t xml:space="preserve"> (2016), para 34(d</w:t>
      </w:r>
      <w:proofErr w:type="gramStart"/>
      <w:r w:rsidRPr="007C271A">
        <w:rPr>
          <w:color w:val="000000"/>
        </w:rPr>
        <w:t>)(</w:t>
      </w:r>
      <w:proofErr w:type="spellStart"/>
      <w:proofErr w:type="gramEnd"/>
      <w:r w:rsidRPr="007C271A">
        <w:rPr>
          <w:color w:val="000000"/>
        </w:rPr>
        <w:t>i</w:t>
      </w:r>
      <w:proofErr w:type="spellEnd"/>
      <w:r w:rsidRPr="007C271A">
        <w:rPr>
          <w:color w:val="000000"/>
        </w:rPr>
        <w:t>)</w:t>
      </w:r>
      <w:r w:rsidRPr="007C271A">
        <w:t>.</w:t>
      </w:r>
    </w:p>
  </w:footnote>
  <w:footnote w:id="70">
    <w:p w14:paraId="5701A321" w14:textId="6A86702F"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S/2014/142</w:t>
      </w:r>
      <w:r w:rsidRPr="007C271A">
        <w:rPr>
          <w:color w:val="000000"/>
          <w:sz w:val="20"/>
          <w:szCs w:val="20"/>
          <w:lang w:val="en-US"/>
        </w:rPr>
        <w:t xml:space="preserve"> (2014), para 56.</w:t>
      </w:r>
    </w:p>
  </w:footnote>
  <w:footnote w:id="71">
    <w:p w14:paraId="74DC00CD" w14:textId="77777777" w:rsidR="004C49C0" w:rsidRPr="007C271A" w:rsidRDefault="004C49C0" w:rsidP="00233CA0">
      <w:pPr>
        <w:pStyle w:val="FootnoteText"/>
      </w:pPr>
      <w:r w:rsidRPr="007C271A">
        <w:rPr>
          <w:rStyle w:val="FootnoteReference"/>
          <w:sz w:val="20"/>
        </w:rPr>
        <w:footnoteRef/>
      </w:r>
      <w:r w:rsidRPr="007C271A">
        <w:t xml:space="preserve"> ibid. para 58.</w:t>
      </w:r>
    </w:p>
  </w:footnote>
  <w:footnote w:id="72">
    <w:p w14:paraId="3717B42E" w14:textId="6CBAD78A"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S/2016/565</w:t>
      </w:r>
      <w:r w:rsidRPr="007C271A">
        <w:rPr>
          <w:rFonts w:ascii="Times New Roman" w:hAnsi="Times New Roman" w:cs="Times New Roman"/>
          <w:color w:val="000000"/>
          <w:sz w:val="20"/>
          <w:szCs w:val="20"/>
          <w:lang w:val="en-US"/>
        </w:rPr>
        <w:t xml:space="preserve"> (2016), para 4.</w:t>
      </w:r>
    </w:p>
  </w:footnote>
  <w:footnote w:id="73">
    <w:p w14:paraId="23681E5B" w14:textId="11F40955"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S/PV.7407</w:t>
      </w:r>
      <w:r w:rsidRPr="007C271A">
        <w:rPr>
          <w:rFonts w:ascii="Times New Roman" w:hAnsi="Times New Roman" w:cs="Times New Roman"/>
          <w:color w:val="000000"/>
          <w:sz w:val="20"/>
          <w:szCs w:val="20"/>
          <w:lang w:val="en-US"/>
        </w:rPr>
        <w:t xml:space="preserve"> (2015), 2 as per Mr. </w:t>
      </w:r>
      <w:proofErr w:type="spellStart"/>
      <w:r w:rsidRPr="007C271A">
        <w:rPr>
          <w:rFonts w:ascii="Times New Roman" w:hAnsi="Times New Roman" w:cs="Times New Roman"/>
          <w:color w:val="000000"/>
          <w:sz w:val="20"/>
          <w:szCs w:val="20"/>
          <w:lang w:val="en-US"/>
        </w:rPr>
        <w:t>Delattre</w:t>
      </w:r>
      <w:proofErr w:type="spellEnd"/>
      <w:r w:rsidRPr="007C271A">
        <w:rPr>
          <w:rFonts w:ascii="Times New Roman" w:hAnsi="Times New Roman" w:cs="Times New Roman"/>
          <w:color w:val="000000"/>
          <w:sz w:val="20"/>
          <w:szCs w:val="20"/>
          <w:lang w:val="en-US"/>
        </w:rPr>
        <w:t>.</w:t>
      </w:r>
    </w:p>
  </w:footnote>
  <w:footnote w:id="74">
    <w:p w14:paraId="6C615422" w14:textId="3370EA83"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Topics discussed were DDR, security sector reform, the reconstitution of FACA, the rule of law, and political and economic governance. UN, </w:t>
      </w:r>
      <w:r w:rsidRPr="007C271A">
        <w:rPr>
          <w:rFonts w:ascii="Times New Roman" w:hAnsi="Times New Roman" w:cs="Times New Roman"/>
          <w:i/>
          <w:color w:val="000000"/>
          <w:sz w:val="20"/>
          <w:szCs w:val="20"/>
          <w:lang w:val="en-US"/>
        </w:rPr>
        <w:t>S/2014/857</w:t>
      </w:r>
      <w:r w:rsidRPr="007C271A">
        <w:rPr>
          <w:rFonts w:ascii="Times New Roman" w:hAnsi="Times New Roman" w:cs="Times New Roman"/>
          <w:color w:val="000000"/>
          <w:sz w:val="20"/>
          <w:szCs w:val="20"/>
          <w:lang w:val="en-US"/>
        </w:rPr>
        <w:t xml:space="preserve"> (2014), para 19.</w:t>
      </w:r>
    </w:p>
  </w:footnote>
  <w:footnote w:id="75">
    <w:p w14:paraId="6CE59CB4" w14:textId="4BE5AC89" w:rsidR="004C49C0" w:rsidRPr="007C271A" w:rsidRDefault="004C49C0" w:rsidP="005273F9">
      <w:pP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rPr>
        <w:t>ibid. para 34; UN</w:t>
      </w:r>
      <w:r w:rsidRPr="007C271A">
        <w:rPr>
          <w:rFonts w:ascii="Times New Roman" w:hAnsi="Times New Roman" w:cs="Times New Roman"/>
          <w:i/>
          <w:color w:val="000000"/>
          <w:sz w:val="20"/>
          <w:szCs w:val="20"/>
          <w:lang w:val="en-US"/>
        </w:rPr>
        <w:t>, S/PV.7329</w:t>
      </w:r>
      <w:r w:rsidRPr="007C271A">
        <w:rPr>
          <w:rFonts w:ascii="Times New Roman" w:hAnsi="Times New Roman" w:cs="Times New Roman"/>
          <w:color w:val="000000"/>
          <w:sz w:val="20"/>
          <w:szCs w:val="20"/>
          <w:lang w:val="en-US"/>
        </w:rPr>
        <w:t xml:space="preserve"> (2014), 2 as per Mr. </w:t>
      </w:r>
      <w:proofErr w:type="spellStart"/>
      <w:r w:rsidRPr="007C271A">
        <w:rPr>
          <w:rFonts w:ascii="Times New Roman" w:hAnsi="Times New Roman" w:cs="Times New Roman"/>
          <w:color w:val="000000"/>
          <w:sz w:val="20"/>
          <w:szCs w:val="20"/>
          <w:lang w:val="en-US"/>
        </w:rPr>
        <w:t>Ladsous</w:t>
      </w:r>
      <w:proofErr w:type="spellEnd"/>
      <w:r w:rsidRPr="007C271A">
        <w:rPr>
          <w:rFonts w:ascii="Times New Roman" w:hAnsi="Times New Roman" w:cs="Times New Roman"/>
          <w:color w:val="000000"/>
          <w:sz w:val="20"/>
          <w:szCs w:val="20"/>
          <w:lang w:val="en-US"/>
        </w:rPr>
        <w:t xml:space="preserve">; UN, </w:t>
      </w:r>
      <w:r w:rsidRPr="007C271A">
        <w:rPr>
          <w:rFonts w:ascii="Times New Roman" w:hAnsi="Times New Roman" w:cs="Times New Roman"/>
          <w:i/>
          <w:color w:val="000000"/>
          <w:sz w:val="20"/>
          <w:szCs w:val="20"/>
          <w:lang w:val="en-US"/>
        </w:rPr>
        <w:t>S/PRST/2014/28</w:t>
      </w:r>
      <w:r w:rsidRPr="007C271A">
        <w:rPr>
          <w:rFonts w:ascii="Times New Roman" w:hAnsi="Times New Roman" w:cs="Times New Roman"/>
          <w:color w:val="000000"/>
          <w:sz w:val="20"/>
          <w:szCs w:val="20"/>
          <w:lang w:val="en-US"/>
        </w:rPr>
        <w:t xml:space="preserve"> (2014), 1; UN, </w:t>
      </w:r>
      <w:r w:rsidRPr="007C271A">
        <w:rPr>
          <w:rFonts w:ascii="Times New Roman" w:hAnsi="Times New Roman" w:cs="Times New Roman"/>
          <w:i/>
          <w:color w:val="000000"/>
          <w:sz w:val="20"/>
          <w:szCs w:val="20"/>
          <w:lang w:val="en-US"/>
        </w:rPr>
        <w:t>S/2015/227</w:t>
      </w:r>
      <w:r w:rsidRPr="007C271A">
        <w:rPr>
          <w:rFonts w:ascii="Times New Roman" w:hAnsi="Times New Roman" w:cs="Times New Roman"/>
          <w:color w:val="000000"/>
          <w:sz w:val="20"/>
          <w:szCs w:val="20"/>
          <w:lang w:val="en-US"/>
        </w:rPr>
        <w:t xml:space="preserve"> (2015), para 30; UN, </w:t>
      </w:r>
      <w:r w:rsidRPr="007C271A">
        <w:rPr>
          <w:rFonts w:ascii="Times New Roman" w:hAnsi="Times New Roman" w:cs="Times New Roman"/>
          <w:i/>
          <w:color w:val="000000"/>
          <w:sz w:val="20"/>
          <w:szCs w:val="20"/>
          <w:lang w:val="en-US"/>
        </w:rPr>
        <w:t>S/RES/2217</w:t>
      </w:r>
      <w:r w:rsidRPr="007C271A">
        <w:rPr>
          <w:rFonts w:ascii="Times New Roman" w:hAnsi="Times New Roman" w:cs="Times New Roman"/>
          <w:color w:val="000000"/>
          <w:sz w:val="20"/>
          <w:szCs w:val="20"/>
          <w:lang w:val="en-US"/>
        </w:rPr>
        <w:t xml:space="preserve"> (2015), para 6.</w:t>
      </w:r>
    </w:p>
  </w:footnote>
  <w:footnote w:id="76">
    <w:p w14:paraId="1DF985AD" w14:textId="19306F2B" w:rsidR="004C49C0" w:rsidRPr="007C271A" w:rsidRDefault="004C49C0" w:rsidP="00233CA0">
      <w:pPr>
        <w:pStyle w:val="FootnoteText"/>
        <w:rPr>
          <w:lang w:val="en-GB"/>
        </w:rPr>
      </w:pPr>
      <w:r w:rsidRPr="007C271A">
        <w:rPr>
          <w:rStyle w:val="FootnoteReference"/>
          <w:sz w:val="20"/>
        </w:rPr>
        <w:footnoteRef/>
      </w:r>
      <w:r w:rsidRPr="007C271A">
        <w:t xml:space="preserve"> UN, S/PV.7711 (2016), p.2 as per President </w:t>
      </w:r>
      <w:proofErr w:type="spellStart"/>
      <w:r w:rsidRPr="007C271A">
        <w:t>Touadera</w:t>
      </w:r>
      <w:proofErr w:type="spellEnd"/>
      <w:r w:rsidRPr="007C271A">
        <w:t>.</w:t>
      </w:r>
    </w:p>
  </w:footnote>
  <w:footnote w:id="77">
    <w:p w14:paraId="6D30CA83" w14:textId="43D75FF2" w:rsidR="004C49C0" w:rsidRPr="007C271A" w:rsidRDefault="004C49C0" w:rsidP="00233CA0">
      <w:pPr>
        <w:pStyle w:val="FootnoteText"/>
        <w:rPr>
          <w:lang w:val="en-GB"/>
        </w:rPr>
      </w:pPr>
      <w:r w:rsidRPr="007C271A">
        <w:rPr>
          <w:rStyle w:val="FootnoteReference"/>
          <w:sz w:val="20"/>
        </w:rPr>
        <w:footnoteRef/>
      </w:r>
      <w:r w:rsidRPr="007C271A">
        <w:t xml:space="preserve"> Lombard and </w:t>
      </w:r>
      <w:proofErr w:type="spellStart"/>
      <w:r w:rsidRPr="007C271A">
        <w:t>Picco</w:t>
      </w:r>
      <w:proofErr w:type="spellEnd"/>
      <w:r w:rsidRPr="007C271A">
        <w:t xml:space="preserve">, “Distributive Justice at War,” </w:t>
      </w:r>
      <w:r w:rsidRPr="007C271A">
        <w:rPr>
          <w:lang w:val="en-GB"/>
        </w:rPr>
        <w:t>15-16.</w:t>
      </w:r>
    </w:p>
  </w:footnote>
  <w:footnote w:id="78">
    <w:p w14:paraId="34376714" w14:textId="00AD90CD" w:rsidR="004C49C0" w:rsidRDefault="004C49C0" w:rsidP="00233CA0">
      <w:pPr>
        <w:pStyle w:val="FootnoteText"/>
      </w:pPr>
      <w:r>
        <w:rPr>
          <w:rStyle w:val="FootnoteReference"/>
        </w:rPr>
        <w:footnoteRef/>
      </w:r>
      <w:r>
        <w:t xml:space="preserve"> UN, </w:t>
      </w:r>
      <w:r w:rsidRPr="00233CA0">
        <w:rPr>
          <w:i/>
        </w:rPr>
        <w:t>S/2018/922</w:t>
      </w:r>
      <w:r>
        <w:t xml:space="preserve"> (2018), para 56; UN, </w:t>
      </w:r>
      <w:r w:rsidRPr="00233CA0">
        <w:rPr>
          <w:i/>
        </w:rPr>
        <w:t>S/PV.8378</w:t>
      </w:r>
      <w:r>
        <w:t xml:space="preserve"> (2018), p.17 as per Mr. Allen.</w:t>
      </w:r>
    </w:p>
  </w:footnote>
  <w:footnote w:id="79">
    <w:p w14:paraId="3FB98513" w14:textId="34C1F155"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S/2018/611</w:t>
      </w:r>
      <w:r w:rsidRPr="007C271A">
        <w:t xml:space="preserve"> (2018), para 16.</w:t>
      </w:r>
    </w:p>
  </w:footnote>
  <w:footnote w:id="80">
    <w:p w14:paraId="4B330218" w14:textId="77777777"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rPr>
        <w:t>ibid. para 17.</w:t>
      </w:r>
    </w:p>
  </w:footnote>
  <w:footnote w:id="81">
    <w:p w14:paraId="5B9B17BB" w14:textId="1DA0F052" w:rsidR="004C49C0" w:rsidRPr="007C271A" w:rsidRDefault="004C49C0" w:rsidP="00641EA4">
      <w:pPr>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S/2015/732</w:t>
      </w:r>
      <w:r w:rsidRPr="007C271A">
        <w:rPr>
          <w:color w:val="000000"/>
          <w:sz w:val="20"/>
          <w:szCs w:val="20"/>
          <w:lang w:val="en-US"/>
        </w:rPr>
        <w:t xml:space="preserve"> (2015), </w:t>
      </w:r>
      <w:r w:rsidRPr="007C271A">
        <w:rPr>
          <w:sz w:val="20"/>
          <w:szCs w:val="20"/>
          <w:lang w:val="en-US"/>
        </w:rPr>
        <w:t xml:space="preserve">para 33; </w:t>
      </w:r>
      <w:r w:rsidRPr="007C271A">
        <w:rPr>
          <w:sz w:val="20"/>
          <w:szCs w:val="20"/>
        </w:rPr>
        <w:t xml:space="preserve">UN, </w:t>
      </w:r>
      <w:r w:rsidRPr="007C271A">
        <w:rPr>
          <w:i/>
          <w:sz w:val="20"/>
          <w:szCs w:val="20"/>
          <w:lang w:val="en-US"/>
        </w:rPr>
        <w:t>S/2018/611</w:t>
      </w:r>
      <w:r w:rsidRPr="007C271A">
        <w:rPr>
          <w:sz w:val="20"/>
          <w:szCs w:val="20"/>
          <w:lang w:val="en-US"/>
        </w:rPr>
        <w:t xml:space="preserve"> (2018), </w:t>
      </w:r>
      <w:r w:rsidRPr="007C271A">
        <w:rPr>
          <w:color w:val="000000"/>
          <w:sz w:val="20"/>
          <w:szCs w:val="20"/>
          <w:lang w:val="en-US"/>
        </w:rPr>
        <w:t>para 40.</w:t>
      </w:r>
    </w:p>
  </w:footnote>
  <w:footnote w:id="82">
    <w:p w14:paraId="49651F6B" w14:textId="451C7EA8" w:rsidR="004C49C0" w:rsidRPr="007C271A" w:rsidRDefault="004C49C0" w:rsidP="00233CA0">
      <w:pPr>
        <w:pStyle w:val="FootnoteText"/>
        <w:rPr>
          <w:lang w:val="en-GB"/>
        </w:rPr>
      </w:pPr>
      <w:r w:rsidRPr="007C271A">
        <w:rPr>
          <w:rStyle w:val="FootnoteReference"/>
          <w:sz w:val="20"/>
        </w:rPr>
        <w:footnoteRef/>
      </w:r>
      <w:r w:rsidRPr="007C271A">
        <w:t xml:space="preserve"> Mahmoud, “People-</w:t>
      </w:r>
      <w:proofErr w:type="spellStart"/>
      <w:r w:rsidRPr="007C271A">
        <w:t>Centred</w:t>
      </w:r>
      <w:proofErr w:type="spellEnd"/>
      <w:r w:rsidRPr="007C271A">
        <w:t xml:space="preserve"> Approaches to Peace” 98.</w:t>
      </w:r>
    </w:p>
  </w:footnote>
  <w:footnote w:id="83">
    <w:p w14:paraId="67EA4EC7" w14:textId="4E0BC638" w:rsidR="004C49C0" w:rsidRPr="007C271A" w:rsidRDefault="004C49C0" w:rsidP="00641EA4">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S/2016/305</w:t>
      </w:r>
      <w:r w:rsidRPr="007C271A">
        <w:rPr>
          <w:color w:val="000000"/>
          <w:sz w:val="20"/>
          <w:szCs w:val="20"/>
          <w:lang w:val="en-US"/>
        </w:rPr>
        <w:t xml:space="preserve"> (2016), para 26.</w:t>
      </w:r>
    </w:p>
  </w:footnote>
  <w:footnote w:id="84">
    <w:p w14:paraId="010E957D" w14:textId="3E079400" w:rsidR="004C49C0" w:rsidRPr="007C271A" w:rsidRDefault="004C49C0" w:rsidP="00233CA0">
      <w:pPr>
        <w:pStyle w:val="FootnoteText"/>
        <w:rPr>
          <w:lang w:val="en-GB"/>
        </w:rPr>
      </w:pPr>
      <w:r w:rsidRPr="007C271A">
        <w:rPr>
          <w:rStyle w:val="FootnoteReference"/>
          <w:sz w:val="20"/>
        </w:rPr>
        <w:footnoteRef/>
      </w:r>
      <w:r w:rsidRPr="007C271A">
        <w:t xml:space="preserve"> Mahmoud, “People-</w:t>
      </w:r>
      <w:proofErr w:type="spellStart"/>
      <w:r w:rsidRPr="007C271A">
        <w:t>Centred</w:t>
      </w:r>
      <w:proofErr w:type="spellEnd"/>
      <w:r w:rsidRPr="007C271A">
        <w:t xml:space="preserve"> Approaches to Peace” </w:t>
      </w:r>
      <w:r w:rsidRPr="007C271A">
        <w:rPr>
          <w:lang w:val="en-GB"/>
        </w:rPr>
        <w:t>96-7.</w:t>
      </w:r>
    </w:p>
  </w:footnote>
  <w:footnote w:id="85">
    <w:p w14:paraId="7EE42489" w14:textId="6720D083"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S/PV.8187</w:t>
      </w:r>
      <w:r w:rsidRPr="007C271A">
        <w:rPr>
          <w:color w:val="000000"/>
          <w:sz w:val="20"/>
          <w:szCs w:val="20"/>
          <w:lang w:val="en-US"/>
        </w:rPr>
        <w:t xml:space="preserve"> (2018), 11 Mr. </w:t>
      </w:r>
      <w:proofErr w:type="spellStart"/>
      <w:r w:rsidRPr="007C271A">
        <w:rPr>
          <w:color w:val="000000"/>
          <w:sz w:val="20"/>
          <w:szCs w:val="20"/>
          <w:lang w:val="en-US"/>
        </w:rPr>
        <w:t>Ndong</w:t>
      </w:r>
      <w:proofErr w:type="spellEnd"/>
      <w:r w:rsidRPr="007C271A">
        <w:rPr>
          <w:color w:val="000000"/>
          <w:sz w:val="20"/>
          <w:szCs w:val="20"/>
          <w:lang w:val="en-US"/>
        </w:rPr>
        <w:t xml:space="preserve"> </w:t>
      </w:r>
      <w:proofErr w:type="spellStart"/>
      <w:r w:rsidRPr="007C271A">
        <w:rPr>
          <w:color w:val="000000"/>
          <w:sz w:val="20"/>
          <w:szCs w:val="20"/>
          <w:lang w:val="en-US"/>
        </w:rPr>
        <w:t>Mba</w:t>
      </w:r>
      <w:proofErr w:type="spellEnd"/>
      <w:r w:rsidRPr="007C271A">
        <w:rPr>
          <w:color w:val="000000"/>
          <w:sz w:val="20"/>
          <w:szCs w:val="20"/>
          <w:lang w:val="en-US"/>
        </w:rPr>
        <w:t xml:space="preserve">; UN, </w:t>
      </w:r>
      <w:r w:rsidRPr="007C271A">
        <w:rPr>
          <w:i/>
          <w:color w:val="000000"/>
          <w:sz w:val="20"/>
          <w:szCs w:val="20"/>
          <w:lang w:val="en-US"/>
        </w:rPr>
        <w:t>S/PV.8102</w:t>
      </w:r>
      <w:r w:rsidRPr="007C271A">
        <w:rPr>
          <w:color w:val="000000"/>
          <w:sz w:val="20"/>
          <w:szCs w:val="20"/>
          <w:lang w:val="en-US"/>
        </w:rPr>
        <w:t xml:space="preserve"> (2017), 2 as per Mr. </w:t>
      </w:r>
      <w:proofErr w:type="spellStart"/>
      <w:r w:rsidRPr="007C271A">
        <w:rPr>
          <w:color w:val="000000"/>
          <w:sz w:val="20"/>
          <w:szCs w:val="20"/>
          <w:lang w:val="en-US"/>
        </w:rPr>
        <w:t>Delattre</w:t>
      </w:r>
      <w:proofErr w:type="spellEnd"/>
      <w:r w:rsidRPr="007C271A">
        <w:rPr>
          <w:color w:val="000000"/>
          <w:sz w:val="20"/>
          <w:szCs w:val="20"/>
          <w:lang w:val="en-US"/>
        </w:rPr>
        <w:t xml:space="preserve">; UN, </w:t>
      </w:r>
      <w:r w:rsidRPr="007C271A">
        <w:rPr>
          <w:i/>
          <w:color w:val="000000"/>
          <w:sz w:val="20"/>
          <w:szCs w:val="20"/>
          <w:lang w:val="en-US"/>
        </w:rPr>
        <w:t>S/PV.8084</w:t>
      </w:r>
      <w:r w:rsidRPr="007C271A">
        <w:rPr>
          <w:color w:val="000000"/>
          <w:sz w:val="20"/>
          <w:szCs w:val="20"/>
          <w:lang w:val="en-US"/>
        </w:rPr>
        <w:t xml:space="preserve"> (2017), 9 as per Mr. </w:t>
      </w:r>
      <w:proofErr w:type="spellStart"/>
      <w:r w:rsidRPr="007C271A">
        <w:rPr>
          <w:color w:val="000000"/>
          <w:sz w:val="20"/>
          <w:szCs w:val="20"/>
          <w:lang w:val="en-US"/>
        </w:rPr>
        <w:t>Inchauste</w:t>
      </w:r>
      <w:proofErr w:type="spellEnd"/>
      <w:r w:rsidRPr="007C271A">
        <w:rPr>
          <w:color w:val="000000"/>
          <w:sz w:val="20"/>
          <w:szCs w:val="20"/>
          <w:lang w:val="en-US"/>
        </w:rPr>
        <w:t xml:space="preserve"> </w:t>
      </w:r>
      <w:proofErr w:type="spellStart"/>
      <w:r w:rsidRPr="007C271A">
        <w:rPr>
          <w:color w:val="000000"/>
          <w:sz w:val="20"/>
          <w:szCs w:val="20"/>
          <w:lang w:val="en-US"/>
        </w:rPr>
        <w:t>Jordán</w:t>
      </w:r>
      <w:proofErr w:type="spellEnd"/>
      <w:r w:rsidRPr="007C271A">
        <w:rPr>
          <w:color w:val="000000"/>
          <w:sz w:val="20"/>
          <w:szCs w:val="20"/>
          <w:lang w:val="en-US"/>
        </w:rPr>
        <w:t xml:space="preserve">. </w:t>
      </w:r>
    </w:p>
  </w:footnote>
  <w:footnote w:id="86">
    <w:p w14:paraId="115AA976" w14:textId="1E276935"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sz w:val="20"/>
          <w:szCs w:val="20"/>
          <w:lang w:val="en-US"/>
        </w:rPr>
        <w:t>S/2013/677</w:t>
      </w:r>
      <w:r w:rsidRPr="007C271A">
        <w:rPr>
          <w:sz w:val="20"/>
          <w:szCs w:val="20"/>
          <w:lang w:val="en-US"/>
        </w:rPr>
        <w:t xml:space="preserve"> (2013), para 10; UN, </w:t>
      </w:r>
      <w:r w:rsidRPr="007C271A">
        <w:rPr>
          <w:i/>
          <w:color w:val="000000"/>
          <w:sz w:val="20"/>
          <w:szCs w:val="20"/>
          <w:lang w:val="en-US"/>
        </w:rPr>
        <w:t>S/PV.7069</w:t>
      </w:r>
      <w:r w:rsidRPr="007C271A">
        <w:rPr>
          <w:color w:val="000000"/>
          <w:sz w:val="20"/>
          <w:szCs w:val="20"/>
          <w:lang w:val="en-US"/>
        </w:rPr>
        <w:t xml:space="preserve"> (2013), 2 as per the Deputy Secretary-General.</w:t>
      </w:r>
    </w:p>
  </w:footnote>
  <w:footnote w:id="87">
    <w:p w14:paraId="5E23D9EC" w14:textId="4C2DF3C3"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S/RES/1612</w:t>
      </w:r>
      <w:r w:rsidRPr="007C271A">
        <w:t xml:space="preserve"> (2005); UN, </w:t>
      </w:r>
      <w:r w:rsidRPr="007C271A">
        <w:rPr>
          <w:i/>
        </w:rPr>
        <w:t>S/RES/2242</w:t>
      </w:r>
      <w:r w:rsidRPr="007C271A">
        <w:t xml:space="preserve"> (2015).</w:t>
      </w:r>
    </w:p>
  </w:footnote>
  <w:footnote w:id="88">
    <w:p w14:paraId="206C2C92" w14:textId="35D86028" w:rsidR="004C49C0" w:rsidRPr="007C271A" w:rsidRDefault="004C49C0" w:rsidP="00233CA0">
      <w:pPr>
        <w:pStyle w:val="FootnoteText"/>
      </w:pPr>
      <w:r w:rsidRPr="007C271A">
        <w:rPr>
          <w:rStyle w:val="FootnoteReference"/>
          <w:sz w:val="20"/>
        </w:rPr>
        <w:footnoteRef/>
      </w:r>
      <w:r w:rsidRPr="007C271A">
        <w:t xml:space="preserve"> UN, </w:t>
      </w:r>
      <w:r w:rsidRPr="007C271A">
        <w:rPr>
          <w:bCs/>
          <w:i/>
        </w:rPr>
        <w:t>S/2018/125</w:t>
      </w:r>
      <w:r w:rsidRPr="007C271A">
        <w:rPr>
          <w:bCs/>
        </w:rPr>
        <w:t xml:space="preserve"> (2018), </w:t>
      </w:r>
      <w:r w:rsidRPr="007C271A">
        <w:t xml:space="preserve">para 10; UN, </w:t>
      </w:r>
      <w:r w:rsidRPr="007C271A">
        <w:rPr>
          <w:i/>
        </w:rPr>
        <w:t>S/2016/565</w:t>
      </w:r>
      <w:r w:rsidRPr="007C271A">
        <w:t xml:space="preserve"> (2016), para 18; UN, </w:t>
      </w:r>
      <w:r w:rsidRPr="007C271A">
        <w:rPr>
          <w:i/>
        </w:rPr>
        <w:t>S/2017/865</w:t>
      </w:r>
      <w:r w:rsidRPr="007C271A">
        <w:t xml:space="preserve"> (2017), para 42.</w:t>
      </w:r>
    </w:p>
  </w:footnote>
  <w:footnote w:id="89">
    <w:p w14:paraId="1018BC46" w14:textId="189B88FA" w:rsidR="004C49C0" w:rsidRPr="00233CA0" w:rsidRDefault="004C49C0">
      <w:pPr>
        <w:pStyle w:val="FootnoteText"/>
        <w:rPr>
          <w:lang w:val="en-GB"/>
        </w:rPr>
      </w:pPr>
      <w:r>
        <w:rPr>
          <w:rStyle w:val="FootnoteReference"/>
        </w:rPr>
        <w:footnoteRef/>
      </w:r>
      <w:r>
        <w:t xml:space="preserve"> Vulnerable groups have also been mentioned by the Independent Expert on the situation of human rights in the Central African Republic with further mention of persons living in remote areas and internally displaced persons. UN, </w:t>
      </w:r>
      <w:r w:rsidRPr="00233CA0">
        <w:rPr>
          <w:i/>
        </w:rPr>
        <w:t>A/HRC/42/61</w:t>
      </w:r>
      <w:r>
        <w:t xml:space="preserve"> (2019), para 87.</w:t>
      </w:r>
    </w:p>
  </w:footnote>
  <w:footnote w:id="90">
    <w:p w14:paraId="70F69DD9" w14:textId="6426D6AC"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S/2014/142</w:t>
      </w:r>
      <w:r w:rsidRPr="007C271A">
        <w:rPr>
          <w:color w:val="000000"/>
          <w:sz w:val="20"/>
          <w:szCs w:val="20"/>
          <w:lang w:val="en-US"/>
        </w:rPr>
        <w:t xml:space="preserve"> (2014), para</w:t>
      </w:r>
      <w:r w:rsidRPr="007C271A">
        <w:rPr>
          <w:color w:val="000000"/>
          <w:sz w:val="20"/>
          <w:szCs w:val="20"/>
        </w:rPr>
        <w:t> 14.</w:t>
      </w:r>
    </w:p>
  </w:footnote>
  <w:footnote w:id="91">
    <w:p w14:paraId="4012929B" w14:textId="4602F232" w:rsidR="004C49C0" w:rsidRPr="007C271A" w:rsidRDefault="004C49C0" w:rsidP="005273F9">
      <w:pP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S/RES/2217</w:t>
      </w:r>
      <w:r w:rsidRPr="007C271A">
        <w:rPr>
          <w:rFonts w:ascii="Times New Roman" w:hAnsi="Times New Roman" w:cs="Times New Roman"/>
          <w:color w:val="000000"/>
          <w:sz w:val="20"/>
          <w:szCs w:val="20"/>
          <w:lang w:val="en-US"/>
        </w:rPr>
        <w:t xml:space="preserve"> (2015), 4.</w:t>
      </w:r>
    </w:p>
  </w:footnote>
  <w:footnote w:id="92">
    <w:p w14:paraId="238F190E" w14:textId="7DAE60D4"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S/2014/562</w:t>
      </w:r>
      <w:r w:rsidRPr="007C271A">
        <w:t xml:space="preserve"> (2014), para 3.</w:t>
      </w:r>
    </w:p>
  </w:footnote>
  <w:footnote w:id="93">
    <w:p w14:paraId="43C0F245" w14:textId="7317E373" w:rsidR="004C49C0" w:rsidRPr="007C271A" w:rsidRDefault="004C49C0" w:rsidP="005273F9">
      <w:pPr>
        <w:rPr>
          <w:rFonts w:ascii="Times New Roman" w:hAnsi="Times New Roman" w:cs="Times New Roman"/>
          <w:sz w:val="20"/>
          <w:szCs w:val="20"/>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S/2015/85</w:t>
      </w:r>
      <w:r w:rsidRPr="007C271A">
        <w:rPr>
          <w:rFonts w:ascii="Times New Roman" w:hAnsi="Times New Roman" w:cs="Times New Roman"/>
          <w:color w:val="000000"/>
          <w:sz w:val="20"/>
          <w:szCs w:val="20"/>
          <w:lang w:val="en-US"/>
        </w:rPr>
        <w:t xml:space="preserve"> (2015), 2; </w:t>
      </w:r>
      <w:r w:rsidRPr="007C271A">
        <w:rPr>
          <w:rFonts w:ascii="Times New Roman" w:hAnsi="Times New Roman" w:cs="Times New Roman"/>
          <w:sz w:val="20"/>
          <w:szCs w:val="20"/>
        </w:rPr>
        <w:t xml:space="preserve">UN, </w:t>
      </w:r>
      <w:r w:rsidRPr="007C271A">
        <w:rPr>
          <w:rFonts w:ascii="Times New Roman" w:hAnsi="Times New Roman" w:cs="Times New Roman"/>
          <w:i/>
          <w:color w:val="000000"/>
          <w:sz w:val="20"/>
          <w:szCs w:val="20"/>
          <w:lang w:val="en-US"/>
        </w:rPr>
        <w:t>S/2015/576</w:t>
      </w:r>
      <w:r w:rsidRPr="007C271A">
        <w:rPr>
          <w:rFonts w:ascii="Times New Roman" w:hAnsi="Times New Roman" w:cs="Times New Roman"/>
          <w:color w:val="000000"/>
          <w:sz w:val="20"/>
          <w:szCs w:val="20"/>
          <w:lang w:val="en-US"/>
        </w:rPr>
        <w:t xml:space="preserve"> (2015), para 20.</w:t>
      </w:r>
    </w:p>
  </w:footnote>
  <w:footnote w:id="94">
    <w:p w14:paraId="5C1B2625" w14:textId="12192CD1"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S/2014/562</w:t>
      </w:r>
      <w:r w:rsidRPr="007C271A">
        <w:t xml:space="preserve"> (2014), para 45.</w:t>
      </w:r>
    </w:p>
  </w:footnote>
  <w:footnote w:id="95">
    <w:p w14:paraId="1893348F" w14:textId="05C43807"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S/PV.7578</w:t>
      </w:r>
      <w:r w:rsidRPr="007C271A">
        <w:rPr>
          <w:rFonts w:ascii="Times New Roman" w:hAnsi="Times New Roman" w:cs="Times New Roman"/>
          <w:color w:val="000000"/>
          <w:sz w:val="20"/>
          <w:szCs w:val="20"/>
          <w:lang w:val="en-US"/>
        </w:rPr>
        <w:t xml:space="preserve"> (2015), 3 as per Mr. </w:t>
      </w:r>
      <w:proofErr w:type="spellStart"/>
      <w:r w:rsidRPr="007C271A">
        <w:rPr>
          <w:rFonts w:ascii="Times New Roman" w:hAnsi="Times New Roman" w:cs="Times New Roman"/>
          <w:color w:val="000000"/>
          <w:sz w:val="20"/>
          <w:szCs w:val="20"/>
          <w:lang w:val="en-US"/>
        </w:rPr>
        <w:t>Ladsous</w:t>
      </w:r>
      <w:proofErr w:type="spellEnd"/>
      <w:r w:rsidRPr="007C271A">
        <w:rPr>
          <w:rFonts w:ascii="Times New Roman" w:hAnsi="Times New Roman" w:cs="Times New Roman"/>
          <w:color w:val="000000"/>
          <w:sz w:val="20"/>
          <w:szCs w:val="20"/>
          <w:lang w:val="en-US"/>
        </w:rPr>
        <w:t>.</w:t>
      </w:r>
    </w:p>
  </w:footnote>
  <w:footnote w:id="96">
    <w:p w14:paraId="625400A1" w14:textId="1362AA77" w:rsidR="004C49C0" w:rsidRPr="007C271A" w:rsidRDefault="004C49C0" w:rsidP="005273F9">
      <w:pPr>
        <w:textAlignment w:val="center"/>
        <w:rPr>
          <w:rFonts w:ascii="Times New Roman" w:hAnsi="Times New Roman" w:cs="Times New Roman"/>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lang w:val="en-US"/>
        </w:rPr>
        <w:t>S/RES/2149</w:t>
      </w:r>
      <w:r w:rsidRPr="007C271A">
        <w:rPr>
          <w:rFonts w:ascii="Times New Roman" w:hAnsi="Times New Roman" w:cs="Times New Roman"/>
          <w:sz w:val="20"/>
          <w:szCs w:val="20"/>
          <w:lang w:val="en-US"/>
        </w:rPr>
        <w:t xml:space="preserve"> (2014), para 30(a).</w:t>
      </w:r>
    </w:p>
  </w:footnote>
  <w:footnote w:id="97">
    <w:p w14:paraId="4BA9008C" w14:textId="77777777" w:rsidR="004C49C0" w:rsidRPr="007C271A" w:rsidRDefault="004C49C0" w:rsidP="00233CA0">
      <w:pPr>
        <w:pStyle w:val="FootnoteText"/>
      </w:pPr>
      <w:r w:rsidRPr="007C271A">
        <w:rPr>
          <w:rStyle w:val="FootnoteReference"/>
          <w:sz w:val="20"/>
        </w:rPr>
        <w:footnoteRef/>
      </w:r>
      <w:r w:rsidRPr="007C271A">
        <w:t xml:space="preserve"> ibid. para 30(a</w:t>
      </w:r>
      <w:proofErr w:type="gramStart"/>
      <w:r w:rsidRPr="007C271A">
        <w:t>)(</w:t>
      </w:r>
      <w:proofErr w:type="spellStart"/>
      <w:proofErr w:type="gramEnd"/>
      <w:r w:rsidRPr="007C271A">
        <w:t>i</w:t>
      </w:r>
      <w:proofErr w:type="spellEnd"/>
      <w:r w:rsidRPr="007C271A">
        <w:t>), (ii).</w:t>
      </w:r>
    </w:p>
  </w:footnote>
  <w:footnote w:id="98">
    <w:p w14:paraId="2D86CF74" w14:textId="6D546BEC" w:rsidR="004C49C0" w:rsidRPr="007C271A" w:rsidRDefault="004C49C0" w:rsidP="005273F9">
      <w:pPr>
        <w:textAlignment w:val="center"/>
        <w:rPr>
          <w:rFonts w:ascii="Times New Roman" w:hAnsi="Times New Roman" w:cs="Times New Roman"/>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lang w:val="en-US"/>
        </w:rPr>
        <w:t>S/2015/576</w:t>
      </w:r>
      <w:r w:rsidRPr="007C271A">
        <w:rPr>
          <w:rFonts w:ascii="Times New Roman" w:hAnsi="Times New Roman" w:cs="Times New Roman"/>
          <w:sz w:val="20"/>
          <w:szCs w:val="20"/>
          <w:lang w:val="en-US"/>
        </w:rPr>
        <w:t xml:space="preserve"> (2015), para 20.</w:t>
      </w:r>
    </w:p>
  </w:footnote>
  <w:footnote w:id="99">
    <w:p w14:paraId="27D171C1" w14:textId="77777777" w:rsidR="004C49C0" w:rsidRPr="007C271A" w:rsidRDefault="004C49C0" w:rsidP="00233CA0">
      <w:pPr>
        <w:pStyle w:val="FootnoteText"/>
      </w:pPr>
      <w:r w:rsidRPr="007C271A">
        <w:rPr>
          <w:rStyle w:val="FootnoteReference"/>
          <w:sz w:val="20"/>
        </w:rPr>
        <w:footnoteRef/>
      </w:r>
      <w:r w:rsidRPr="007C271A">
        <w:t xml:space="preserve"> ibid. para 29.</w:t>
      </w:r>
    </w:p>
  </w:footnote>
  <w:footnote w:id="100">
    <w:p w14:paraId="2905C012" w14:textId="7A7CCDF0"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S/RES/2301</w:t>
      </w:r>
      <w:r w:rsidRPr="007C271A">
        <w:t xml:space="preserve"> (2016), para 34; Restated in UN, </w:t>
      </w:r>
      <w:r w:rsidRPr="007C271A">
        <w:rPr>
          <w:i/>
        </w:rPr>
        <w:t>S/RES/2387</w:t>
      </w:r>
      <w:r w:rsidRPr="007C271A">
        <w:t xml:space="preserve"> (2017) para 39.</w:t>
      </w:r>
    </w:p>
  </w:footnote>
  <w:footnote w:id="101">
    <w:p w14:paraId="5CA64CE7" w14:textId="768362EA"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S/2017/473</w:t>
      </w:r>
      <w:r w:rsidRPr="007C271A">
        <w:t xml:space="preserve"> (2017), para 2</w:t>
      </w:r>
    </w:p>
  </w:footnote>
  <w:footnote w:id="102">
    <w:p w14:paraId="72E11601" w14:textId="0E1A6A2C" w:rsidR="004C49C0" w:rsidRPr="007C271A" w:rsidRDefault="004C49C0" w:rsidP="00233CA0">
      <w:pPr>
        <w:pStyle w:val="FootnoteText"/>
      </w:pPr>
      <w:r w:rsidRPr="007C271A">
        <w:rPr>
          <w:rStyle w:val="FootnoteReference"/>
          <w:sz w:val="20"/>
        </w:rPr>
        <w:footnoteRef/>
      </w:r>
      <w:r w:rsidRPr="007C271A">
        <w:t xml:space="preserve"> UN, “UN expert calls for calm.”</w:t>
      </w:r>
    </w:p>
  </w:footnote>
  <w:footnote w:id="103">
    <w:p w14:paraId="40160745" w14:textId="5230F4C4"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S/2017/473</w:t>
      </w:r>
      <w:r w:rsidRPr="007C271A">
        <w:t xml:space="preserve"> (2017), para 11; UN, </w:t>
      </w:r>
      <w:r w:rsidRPr="007C271A">
        <w:rPr>
          <w:i/>
          <w:color w:val="000000"/>
        </w:rPr>
        <w:t>S/PV.7947</w:t>
      </w:r>
      <w:r w:rsidRPr="007C271A">
        <w:rPr>
          <w:color w:val="000000"/>
        </w:rPr>
        <w:t xml:space="preserve"> (2017), 12 as per Mr. </w:t>
      </w:r>
      <w:proofErr w:type="spellStart"/>
      <w:r w:rsidRPr="007C271A">
        <w:rPr>
          <w:color w:val="000000"/>
        </w:rPr>
        <w:t>Barro</w:t>
      </w:r>
      <w:proofErr w:type="spellEnd"/>
      <w:r w:rsidRPr="007C271A">
        <w:rPr>
          <w:color w:val="000000"/>
        </w:rPr>
        <w:t>.</w:t>
      </w:r>
    </w:p>
  </w:footnote>
  <w:footnote w:id="104">
    <w:p w14:paraId="2821B2EA" w14:textId="25ABE0F5" w:rsidR="004C49C0" w:rsidRPr="007C271A" w:rsidRDefault="004C49C0" w:rsidP="00233CA0">
      <w:pPr>
        <w:pStyle w:val="FootnoteText"/>
      </w:pPr>
      <w:r w:rsidRPr="007C271A">
        <w:rPr>
          <w:rStyle w:val="FootnoteReference"/>
          <w:sz w:val="20"/>
        </w:rPr>
        <w:footnoteRef/>
      </w:r>
      <w:r w:rsidRPr="007C271A">
        <w:t xml:space="preserve"> UN, </w:t>
      </w:r>
      <w:r w:rsidRPr="007C271A">
        <w:rPr>
          <w:i/>
        </w:rPr>
        <w:t>S/PV.7947</w:t>
      </w:r>
      <w:r w:rsidRPr="007C271A">
        <w:t xml:space="preserve"> (2017), 8 as per Lieutenant General </w:t>
      </w:r>
      <w:proofErr w:type="spellStart"/>
      <w:r w:rsidRPr="007C271A">
        <w:t>Keïta</w:t>
      </w:r>
      <w:proofErr w:type="spellEnd"/>
      <w:r w:rsidRPr="007C271A">
        <w:t>.</w:t>
      </w:r>
    </w:p>
  </w:footnote>
  <w:footnote w:id="105">
    <w:p w14:paraId="2FD99479" w14:textId="019EA25E" w:rsidR="004C49C0" w:rsidRPr="007C271A" w:rsidRDefault="004C49C0" w:rsidP="005273F9">
      <w:pPr>
        <w:textAlignment w:val="center"/>
        <w:rPr>
          <w:rFonts w:ascii="Times New Roman" w:hAnsi="Times New Roman" w:cs="Times New Roman"/>
          <w:color w:val="000000"/>
          <w:sz w:val="20"/>
          <w:szCs w:val="20"/>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S/2016/565</w:t>
      </w:r>
      <w:r w:rsidRPr="007C271A">
        <w:rPr>
          <w:rFonts w:ascii="Times New Roman" w:hAnsi="Times New Roman" w:cs="Times New Roman"/>
          <w:color w:val="000000"/>
          <w:sz w:val="20"/>
          <w:szCs w:val="20"/>
          <w:lang w:val="en-US"/>
        </w:rPr>
        <w:t xml:space="preserve"> (2016), para 41; UN, </w:t>
      </w:r>
      <w:r w:rsidRPr="007C271A">
        <w:rPr>
          <w:rFonts w:ascii="Times New Roman" w:hAnsi="Times New Roman" w:cs="Times New Roman"/>
          <w:i/>
          <w:color w:val="000000"/>
          <w:sz w:val="20"/>
          <w:szCs w:val="20"/>
          <w:lang w:val="en-US"/>
        </w:rPr>
        <w:t>S/2015/576</w:t>
      </w:r>
      <w:r w:rsidRPr="007C271A">
        <w:rPr>
          <w:rFonts w:ascii="Times New Roman" w:hAnsi="Times New Roman" w:cs="Times New Roman"/>
          <w:color w:val="000000"/>
          <w:sz w:val="20"/>
          <w:szCs w:val="20"/>
          <w:lang w:val="en-US"/>
        </w:rPr>
        <w:t xml:space="preserve"> (2015), para 25.</w:t>
      </w:r>
    </w:p>
  </w:footnote>
  <w:footnote w:id="106">
    <w:p w14:paraId="4921BB26" w14:textId="366D36A8"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rPr>
        <w:t xml:space="preserve">UN, </w:t>
      </w:r>
      <w:r w:rsidRPr="007C271A">
        <w:rPr>
          <w:rFonts w:ascii="Times New Roman" w:hAnsi="Times New Roman" w:cs="Times New Roman"/>
          <w:i/>
          <w:color w:val="000000"/>
          <w:sz w:val="20"/>
          <w:szCs w:val="20"/>
          <w:lang w:val="en-US"/>
        </w:rPr>
        <w:t xml:space="preserve">S/2015/576 </w:t>
      </w:r>
      <w:r w:rsidRPr="007C271A">
        <w:rPr>
          <w:rFonts w:ascii="Times New Roman" w:hAnsi="Times New Roman" w:cs="Times New Roman"/>
          <w:color w:val="000000"/>
          <w:sz w:val="20"/>
          <w:szCs w:val="20"/>
          <w:lang w:val="en-US"/>
        </w:rPr>
        <w:t>(2015), para 23.</w:t>
      </w:r>
    </w:p>
  </w:footnote>
  <w:footnote w:id="107">
    <w:p w14:paraId="2E158ECD" w14:textId="0E5F8791" w:rsidR="004C49C0" w:rsidRPr="007C271A" w:rsidRDefault="004C49C0" w:rsidP="00233CA0">
      <w:pPr>
        <w:pStyle w:val="FootnoteText"/>
      </w:pPr>
      <w:r w:rsidRPr="007C271A">
        <w:rPr>
          <w:rStyle w:val="FootnoteReference"/>
          <w:sz w:val="20"/>
        </w:rPr>
        <w:footnoteRef/>
      </w:r>
      <w:r w:rsidRPr="007C271A">
        <w:t xml:space="preserve"> UN, S/2018/611 (2018), paras 16-7; UN, “Central African Forces and MINUSCA launch a disarmament and arrest operation”; UN, “MINUSCA condemns fresh attack against peacekeepers in Bangui.”</w:t>
      </w:r>
    </w:p>
  </w:footnote>
  <w:footnote w:id="108">
    <w:p w14:paraId="343B687D" w14:textId="53FB473E" w:rsidR="004C49C0" w:rsidRPr="007C271A" w:rsidRDefault="004C49C0" w:rsidP="00233CA0">
      <w:pPr>
        <w:pStyle w:val="FootnoteText"/>
      </w:pPr>
      <w:r w:rsidRPr="007C271A">
        <w:rPr>
          <w:rStyle w:val="FootnoteReference"/>
          <w:sz w:val="20"/>
        </w:rPr>
        <w:footnoteRef/>
      </w:r>
      <w:r w:rsidRPr="007C271A">
        <w:t xml:space="preserve"> See e.g. Gilder, “The Effect of ‘Stabilization’ in the Mandates and Practice of UN Peace Operations.”</w:t>
      </w:r>
    </w:p>
  </w:footnote>
  <w:footnote w:id="109">
    <w:p w14:paraId="5B23FB06" w14:textId="0B198578" w:rsidR="004C49C0" w:rsidRDefault="004C49C0" w:rsidP="008178D3">
      <w:pPr>
        <w:pStyle w:val="FootnoteText"/>
      </w:pPr>
      <w:r>
        <w:rPr>
          <w:rStyle w:val="FootnoteReference"/>
        </w:rPr>
        <w:footnoteRef/>
      </w:r>
      <w:r>
        <w:t xml:space="preserve"> UN, </w:t>
      </w:r>
      <w:r w:rsidRPr="008178D3">
        <w:rPr>
          <w:i/>
        </w:rPr>
        <w:t>S/2019/147</w:t>
      </w:r>
      <w:r>
        <w:t xml:space="preserve"> (2019), para 21.</w:t>
      </w:r>
    </w:p>
  </w:footnote>
  <w:footnote w:id="110">
    <w:p w14:paraId="4D98CF5E" w14:textId="37357F71" w:rsidR="004C49C0" w:rsidRPr="007C271A" w:rsidRDefault="004C49C0" w:rsidP="00233CA0">
      <w:pPr>
        <w:pStyle w:val="FootnoteText"/>
      </w:pPr>
      <w:r w:rsidRPr="007C271A">
        <w:rPr>
          <w:rStyle w:val="FootnoteReference"/>
          <w:sz w:val="20"/>
        </w:rPr>
        <w:footnoteRef/>
      </w:r>
      <w:r w:rsidRPr="007C271A">
        <w:t xml:space="preserve"> EUTM, “European Union Training Mission in Central African Republic (EUTM- RCA).”</w:t>
      </w:r>
    </w:p>
  </w:footnote>
  <w:footnote w:id="111">
    <w:p w14:paraId="7A5820BD" w14:textId="0E08CADB" w:rsidR="004C49C0" w:rsidRPr="007C271A" w:rsidRDefault="004C49C0" w:rsidP="005273F9">
      <w:pPr>
        <w:rPr>
          <w:rFonts w:ascii="Times New Roman" w:hAnsi="Times New Roman" w:cs="Times New Roman"/>
          <w:color w:val="000000"/>
          <w:sz w:val="20"/>
          <w:szCs w:val="20"/>
          <w:lang w:val="en-US" w:eastAsia="en-GB"/>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eastAsia="en-GB"/>
        </w:rPr>
        <w:t>S/2018/463</w:t>
      </w:r>
      <w:r w:rsidRPr="007C271A">
        <w:rPr>
          <w:rFonts w:ascii="Times New Roman" w:hAnsi="Times New Roman" w:cs="Times New Roman"/>
          <w:color w:val="000000"/>
          <w:sz w:val="20"/>
          <w:szCs w:val="20"/>
          <w:lang w:val="en-US" w:eastAsia="en-GB"/>
        </w:rPr>
        <w:t xml:space="preserve"> (2018), para 22.</w:t>
      </w:r>
    </w:p>
  </w:footnote>
  <w:footnote w:id="112">
    <w:p w14:paraId="21ECD977" w14:textId="41725F63" w:rsidR="004C49C0" w:rsidRPr="007C271A" w:rsidRDefault="004C49C0" w:rsidP="00233CA0">
      <w:pPr>
        <w:pStyle w:val="FootnoteText"/>
      </w:pPr>
      <w:r w:rsidRPr="007C271A">
        <w:rPr>
          <w:rStyle w:val="FootnoteReference"/>
          <w:sz w:val="20"/>
        </w:rPr>
        <w:footnoteRef/>
      </w:r>
      <w:r w:rsidRPr="007C271A">
        <w:t xml:space="preserve"> This issue is </w:t>
      </w:r>
      <w:proofErr w:type="spellStart"/>
      <w:r w:rsidRPr="007C271A">
        <w:t>recognised</w:t>
      </w:r>
      <w:proofErr w:type="spellEnd"/>
      <w:r w:rsidRPr="007C271A">
        <w:t xml:space="preserve"> by the UN here, </w:t>
      </w:r>
      <w:r w:rsidRPr="007C271A">
        <w:rPr>
          <w:bCs/>
          <w:i/>
        </w:rPr>
        <w:t>S/2018/463</w:t>
      </w:r>
      <w:r w:rsidRPr="007C271A">
        <w:rPr>
          <w:b/>
          <w:bCs/>
        </w:rPr>
        <w:t xml:space="preserve"> </w:t>
      </w:r>
      <w:r w:rsidRPr="007C271A">
        <w:t>(2018), paras 4, 25.</w:t>
      </w:r>
    </w:p>
  </w:footnote>
  <w:footnote w:id="113">
    <w:p w14:paraId="165F65CD" w14:textId="700365C1" w:rsidR="004C49C0" w:rsidRPr="007C271A" w:rsidRDefault="004C49C0" w:rsidP="00233CA0">
      <w:pPr>
        <w:pStyle w:val="FootnoteText"/>
      </w:pPr>
      <w:r w:rsidRPr="007C271A">
        <w:rPr>
          <w:rStyle w:val="FootnoteReference"/>
          <w:sz w:val="20"/>
        </w:rPr>
        <w:footnoteRef/>
      </w:r>
      <w:r w:rsidRPr="007C271A">
        <w:t xml:space="preserve"> UN, </w:t>
      </w:r>
      <w:r w:rsidRPr="007C271A">
        <w:rPr>
          <w:i/>
        </w:rPr>
        <w:t>S/PV.7787</w:t>
      </w:r>
      <w:r w:rsidRPr="007C271A">
        <w:t xml:space="preserve"> (2016), 2 as per Mr. </w:t>
      </w:r>
      <w:proofErr w:type="spellStart"/>
      <w:r w:rsidRPr="007C271A">
        <w:t>Ladsous</w:t>
      </w:r>
      <w:proofErr w:type="spellEnd"/>
      <w:r w:rsidRPr="007C271A">
        <w:t xml:space="preserve">; UN, </w:t>
      </w:r>
      <w:r w:rsidRPr="007C271A">
        <w:rPr>
          <w:i/>
        </w:rPr>
        <w:t>S/2018/463</w:t>
      </w:r>
      <w:r w:rsidRPr="007C271A">
        <w:t xml:space="preserve"> (2018), para 5.</w:t>
      </w:r>
    </w:p>
  </w:footnote>
  <w:footnote w:id="114">
    <w:p w14:paraId="47A36D2E" w14:textId="2B6CEB12"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Karlsrud</w:t>
      </w:r>
      <w:proofErr w:type="spellEnd"/>
      <w:r w:rsidRPr="007C271A">
        <w:t>, “From Liberal Peacebuilding to Stabilization and Counterterrorism,” 9.</w:t>
      </w:r>
    </w:p>
  </w:footnote>
  <w:footnote w:id="115">
    <w:p w14:paraId="63A04E08" w14:textId="27855F83"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rPr>
        <w:t>S/RES/2149</w:t>
      </w:r>
      <w:r w:rsidRPr="007C271A">
        <w:rPr>
          <w:rFonts w:ascii="Times New Roman" w:hAnsi="Times New Roman" w:cs="Times New Roman"/>
          <w:sz w:val="20"/>
          <w:szCs w:val="20"/>
        </w:rPr>
        <w:t xml:space="preserve"> (2014), paras 15, </w:t>
      </w:r>
      <w:r w:rsidRPr="007C271A">
        <w:rPr>
          <w:rFonts w:ascii="Times New Roman" w:hAnsi="Times New Roman" w:cs="Times New Roman"/>
          <w:color w:val="000000"/>
          <w:sz w:val="20"/>
          <w:szCs w:val="20"/>
          <w:lang w:val="en-US"/>
        </w:rPr>
        <w:t>30(a</w:t>
      </w:r>
      <w:proofErr w:type="gramStart"/>
      <w:r w:rsidRPr="007C271A">
        <w:rPr>
          <w:rFonts w:ascii="Times New Roman" w:hAnsi="Times New Roman" w:cs="Times New Roman"/>
          <w:color w:val="000000"/>
          <w:sz w:val="20"/>
          <w:szCs w:val="20"/>
          <w:lang w:val="en-US"/>
        </w:rPr>
        <w:t>)(</w:t>
      </w:r>
      <w:proofErr w:type="gramEnd"/>
      <w:r w:rsidRPr="007C271A">
        <w:rPr>
          <w:rFonts w:ascii="Times New Roman" w:hAnsi="Times New Roman" w:cs="Times New Roman"/>
          <w:color w:val="000000"/>
          <w:sz w:val="20"/>
          <w:szCs w:val="20"/>
          <w:lang w:val="en-US"/>
        </w:rPr>
        <w:t>ii), 30(e)(ii).</w:t>
      </w:r>
    </w:p>
  </w:footnote>
  <w:footnote w:id="116">
    <w:p w14:paraId="17DE7E52" w14:textId="2A81F294"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S/PV.7206</w:t>
      </w:r>
      <w:r w:rsidRPr="007C271A">
        <w:rPr>
          <w:color w:val="000000"/>
          <w:sz w:val="20"/>
          <w:szCs w:val="20"/>
          <w:lang w:val="en-US"/>
        </w:rPr>
        <w:t xml:space="preserve"> (2014), 5 as per Ms. </w:t>
      </w:r>
      <w:proofErr w:type="spellStart"/>
      <w:r w:rsidRPr="007C271A">
        <w:rPr>
          <w:color w:val="000000"/>
          <w:sz w:val="20"/>
          <w:szCs w:val="20"/>
          <w:lang w:val="en-US"/>
        </w:rPr>
        <w:t>Mlambo-Ngcuka</w:t>
      </w:r>
      <w:proofErr w:type="spellEnd"/>
      <w:r w:rsidRPr="007C271A">
        <w:rPr>
          <w:color w:val="000000"/>
          <w:sz w:val="20"/>
          <w:szCs w:val="20"/>
          <w:lang w:val="en-US"/>
        </w:rPr>
        <w:t>.</w:t>
      </w:r>
    </w:p>
  </w:footnote>
  <w:footnote w:id="117">
    <w:p w14:paraId="4DA0DB77" w14:textId="1CC05534"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S/2014/562</w:t>
      </w:r>
      <w:r w:rsidRPr="007C271A">
        <w:rPr>
          <w:color w:val="000000"/>
          <w:sz w:val="20"/>
          <w:szCs w:val="20"/>
          <w:lang w:val="en-US"/>
        </w:rPr>
        <w:t xml:space="preserve"> (2014), para</w:t>
      </w:r>
      <w:r w:rsidRPr="007C271A">
        <w:rPr>
          <w:color w:val="000000"/>
          <w:sz w:val="20"/>
          <w:szCs w:val="20"/>
        </w:rPr>
        <w:t> 17.</w:t>
      </w:r>
    </w:p>
  </w:footnote>
  <w:footnote w:id="118">
    <w:p w14:paraId="2F104F9B" w14:textId="31DF5F38"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S/2014/562</w:t>
      </w:r>
      <w:r w:rsidRPr="007C271A">
        <w:rPr>
          <w:color w:val="000000"/>
          <w:sz w:val="20"/>
          <w:szCs w:val="20"/>
          <w:lang w:val="en-US"/>
        </w:rPr>
        <w:t xml:space="preserve"> (2014), para 48; UN, </w:t>
      </w:r>
      <w:r w:rsidRPr="007C271A">
        <w:rPr>
          <w:i/>
          <w:color w:val="000000"/>
          <w:sz w:val="20"/>
          <w:szCs w:val="20"/>
          <w:lang w:val="en-US"/>
        </w:rPr>
        <w:t>S/2014/857</w:t>
      </w:r>
      <w:r w:rsidRPr="007C271A">
        <w:rPr>
          <w:color w:val="000000"/>
          <w:sz w:val="20"/>
          <w:szCs w:val="20"/>
          <w:lang w:val="en-US"/>
        </w:rPr>
        <w:t xml:space="preserve"> (2014), para 45; UN, </w:t>
      </w:r>
      <w:r w:rsidRPr="007C271A">
        <w:rPr>
          <w:i/>
          <w:color w:val="000000"/>
          <w:sz w:val="20"/>
          <w:szCs w:val="20"/>
          <w:lang w:val="en-US"/>
        </w:rPr>
        <w:t>S/2015/227</w:t>
      </w:r>
      <w:r w:rsidRPr="007C271A">
        <w:rPr>
          <w:color w:val="000000"/>
          <w:sz w:val="20"/>
          <w:szCs w:val="20"/>
          <w:lang w:val="en-US"/>
        </w:rPr>
        <w:t xml:space="preserve"> (2015), para 45.</w:t>
      </w:r>
    </w:p>
  </w:footnote>
  <w:footnote w:id="119">
    <w:p w14:paraId="1FCAABF3" w14:textId="39F73380"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S/2015/576</w:t>
      </w:r>
      <w:r w:rsidRPr="007C271A">
        <w:rPr>
          <w:rFonts w:ascii="Times New Roman" w:hAnsi="Times New Roman" w:cs="Times New Roman"/>
          <w:color w:val="000000"/>
          <w:sz w:val="20"/>
          <w:szCs w:val="20"/>
          <w:lang w:val="en-US"/>
        </w:rPr>
        <w:t xml:space="preserve"> (2015), para</w:t>
      </w:r>
      <w:r w:rsidRPr="007C271A">
        <w:rPr>
          <w:rFonts w:ascii="Times New Roman" w:hAnsi="Times New Roman" w:cs="Times New Roman"/>
          <w:color w:val="000000"/>
          <w:sz w:val="20"/>
          <w:szCs w:val="20"/>
        </w:rPr>
        <w:t> 52.</w:t>
      </w:r>
    </w:p>
  </w:footnote>
  <w:footnote w:id="120">
    <w:p w14:paraId="3D335D6C" w14:textId="2354237D"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iCs/>
          <w:color w:val="000000"/>
          <w:sz w:val="20"/>
          <w:szCs w:val="20"/>
          <w:lang w:val="en-US"/>
        </w:rPr>
        <w:t>ibid</w:t>
      </w:r>
      <w:r w:rsidRPr="007C271A">
        <w:rPr>
          <w:rFonts w:ascii="Times New Roman" w:hAnsi="Times New Roman" w:cs="Times New Roman"/>
          <w:color w:val="000000"/>
          <w:sz w:val="20"/>
          <w:szCs w:val="20"/>
          <w:lang w:val="en-US"/>
        </w:rPr>
        <w:t>. para</w:t>
      </w:r>
      <w:r w:rsidRPr="007C271A">
        <w:rPr>
          <w:rFonts w:ascii="Times New Roman" w:hAnsi="Times New Roman" w:cs="Times New Roman"/>
          <w:color w:val="000000"/>
          <w:sz w:val="20"/>
          <w:szCs w:val="20"/>
        </w:rPr>
        <w:t xml:space="preserve"> 91; UN, </w:t>
      </w:r>
      <w:r w:rsidRPr="007C271A">
        <w:rPr>
          <w:rFonts w:ascii="Times New Roman" w:hAnsi="Times New Roman" w:cs="Times New Roman"/>
          <w:i/>
          <w:color w:val="000000"/>
          <w:sz w:val="20"/>
          <w:szCs w:val="20"/>
          <w:lang w:val="en-US"/>
        </w:rPr>
        <w:t>SC/12010-AFR/3198-PKO/514</w:t>
      </w:r>
      <w:r w:rsidRPr="007C271A">
        <w:rPr>
          <w:rFonts w:ascii="Times New Roman" w:hAnsi="Times New Roman" w:cs="Times New Roman"/>
          <w:color w:val="000000"/>
          <w:sz w:val="20"/>
          <w:szCs w:val="20"/>
          <w:lang w:val="en-US"/>
        </w:rPr>
        <w:t xml:space="preserve"> (2015).</w:t>
      </w:r>
    </w:p>
  </w:footnote>
  <w:footnote w:id="121">
    <w:p w14:paraId="7693D165" w14:textId="353FD7AE" w:rsidR="004C49C0" w:rsidRPr="007C271A" w:rsidRDefault="004C49C0" w:rsidP="005273F9">
      <w:pPr>
        <w:textAlignment w:val="center"/>
        <w:rPr>
          <w:rFonts w:ascii="Times New Roman" w:hAnsi="Times New Roman" w:cs="Times New Roman"/>
          <w:sz w:val="20"/>
          <w:szCs w:val="20"/>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rPr>
        <w:t>A/RES/71/278</w:t>
      </w:r>
      <w:r w:rsidRPr="007C271A">
        <w:rPr>
          <w:rFonts w:ascii="Times New Roman" w:hAnsi="Times New Roman" w:cs="Times New Roman"/>
          <w:sz w:val="20"/>
          <w:szCs w:val="20"/>
        </w:rPr>
        <w:t xml:space="preserve"> (2017); UN, </w:t>
      </w:r>
      <w:r w:rsidRPr="007C271A">
        <w:rPr>
          <w:rFonts w:ascii="Times New Roman" w:hAnsi="Times New Roman" w:cs="Times New Roman"/>
          <w:i/>
          <w:color w:val="000000"/>
          <w:sz w:val="20"/>
          <w:szCs w:val="20"/>
          <w:lang w:val="en-US"/>
        </w:rPr>
        <w:t>S/2017/473</w:t>
      </w:r>
      <w:r w:rsidRPr="007C271A">
        <w:rPr>
          <w:rFonts w:ascii="Times New Roman" w:hAnsi="Times New Roman" w:cs="Times New Roman"/>
          <w:color w:val="000000"/>
          <w:sz w:val="20"/>
          <w:szCs w:val="20"/>
        </w:rPr>
        <w:t> (2017), para 69.</w:t>
      </w:r>
    </w:p>
  </w:footnote>
  <w:footnote w:id="122">
    <w:p w14:paraId="1FD515BE" w14:textId="02852599"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rPr>
        <w:t>S/RES/2387</w:t>
      </w:r>
      <w:r w:rsidRPr="007C271A">
        <w:rPr>
          <w:rFonts w:ascii="Times New Roman" w:hAnsi="Times New Roman" w:cs="Times New Roman"/>
          <w:sz w:val="20"/>
          <w:szCs w:val="20"/>
        </w:rPr>
        <w:t xml:space="preserve"> (2017) para 52; UN, </w:t>
      </w:r>
      <w:r w:rsidRPr="007C271A">
        <w:rPr>
          <w:rFonts w:ascii="Times New Roman" w:hAnsi="Times New Roman" w:cs="Times New Roman"/>
          <w:i/>
          <w:color w:val="000000"/>
          <w:sz w:val="20"/>
          <w:szCs w:val="20"/>
          <w:lang w:val="en-US"/>
        </w:rPr>
        <w:t>S/PV.8102</w:t>
      </w:r>
      <w:r w:rsidRPr="007C271A">
        <w:rPr>
          <w:rFonts w:ascii="Times New Roman" w:hAnsi="Times New Roman" w:cs="Times New Roman"/>
          <w:color w:val="000000"/>
          <w:sz w:val="20"/>
          <w:szCs w:val="20"/>
          <w:lang w:val="en-US"/>
        </w:rPr>
        <w:t xml:space="preserve"> (2017), 4 as per Ms. </w:t>
      </w:r>
      <w:proofErr w:type="spellStart"/>
      <w:r w:rsidRPr="007C271A">
        <w:rPr>
          <w:rFonts w:ascii="Times New Roman" w:hAnsi="Times New Roman" w:cs="Times New Roman"/>
          <w:color w:val="000000"/>
          <w:sz w:val="20"/>
          <w:szCs w:val="20"/>
          <w:lang w:val="en-US"/>
        </w:rPr>
        <w:t>Sison</w:t>
      </w:r>
      <w:proofErr w:type="spellEnd"/>
      <w:r w:rsidRPr="007C271A">
        <w:rPr>
          <w:rFonts w:ascii="Times New Roman" w:hAnsi="Times New Roman" w:cs="Times New Roman"/>
          <w:color w:val="000000"/>
          <w:sz w:val="20"/>
          <w:szCs w:val="20"/>
          <w:lang w:val="en-US"/>
        </w:rPr>
        <w:t>.</w:t>
      </w:r>
    </w:p>
  </w:footnote>
  <w:footnote w:id="123">
    <w:p w14:paraId="4CAFCBDA" w14:textId="7392DCE3"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S/RES/2387</w:t>
      </w:r>
      <w:r w:rsidRPr="007C271A">
        <w:t xml:space="preserve"> (2017), para 52.</w:t>
      </w:r>
    </w:p>
  </w:footnote>
  <w:footnote w:id="124">
    <w:p w14:paraId="0F2C3C05" w14:textId="2BD9A02F"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S/2014/142</w:t>
      </w:r>
      <w:r w:rsidRPr="007C271A">
        <w:rPr>
          <w:color w:val="000000"/>
          <w:sz w:val="20"/>
          <w:szCs w:val="20"/>
          <w:lang w:val="en-US"/>
        </w:rPr>
        <w:t xml:space="preserve"> (2014), para 73; UN, </w:t>
      </w:r>
      <w:r w:rsidRPr="007C271A">
        <w:rPr>
          <w:i/>
          <w:color w:val="000000"/>
          <w:sz w:val="20"/>
          <w:szCs w:val="20"/>
          <w:lang w:val="en-US"/>
        </w:rPr>
        <w:t>S/PV.7153</w:t>
      </w:r>
      <w:r w:rsidRPr="007C271A">
        <w:rPr>
          <w:color w:val="000000"/>
          <w:sz w:val="20"/>
          <w:szCs w:val="20"/>
          <w:lang w:val="en-US"/>
        </w:rPr>
        <w:t xml:space="preserve"> (2015), 4 as per Mr. </w:t>
      </w:r>
      <w:proofErr w:type="spellStart"/>
      <w:r w:rsidRPr="007C271A">
        <w:rPr>
          <w:color w:val="000000"/>
          <w:sz w:val="20"/>
          <w:szCs w:val="20"/>
          <w:lang w:val="en-US"/>
        </w:rPr>
        <w:t>Kongo-Doudou</w:t>
      </w:r>
      <w:proofErr w:type="spellEnd"/>
      <w:r w:rsidRPr="007C271A">
        <w:rPr>
          <w:color w:val="000000"/>
          <w:sz w:val="20"/>
          <w:szCs w:val="20"/>
          <w:lang w:val="en-US"/>
        </w:rPr>
        <w:t>.</w:t>
      </w:r>
    </w:p>
  </w:footnote>
  <w:footnote w:id="125">
    <w:p w14:paraId="2F074CC8" w14:textId="0801C599"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S/RES/2149</w:t>
      </w:r>
      <w:r w:rsidRPr="007C271A">
        <w:t xml:space="preserve"> (2014), para 30(b</w:t>
      </w:r>
      <w:proofErr w:type="gramStart"/>
      <w:r w:rsidRPr="007C271A">
        <w:t>)(</w:t>
      </w:r>
      <w:proofErr w:type="gramEnd"/>
      <w:r w:rsidRPr="007C271A">
        <w:t>v).</w:t>
      </w:r>
    </w:p>
  </w:footnote>
  <w:footnote w:id="126">
    <w:p w14:paraId="46195AA4" w14:textId="77777777"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w:t>
      </w:r>
      <w:r w:rsidRPr="007C271A">
        <w:rPr>
          <w:rFonts w:ascii="Times New Roman" w:hAnsi="Times New Roman" w:cs="Times New Roman"/>
          <w:color w:val="000000"/>
          <w:sz w:val="20"/>
          <w:szCs w:val="20"/>
          <w:lang w:val="en-US"/>
        </w:rPr>
        <w:t>ibid. para 35.</w:t>
      </w:r>
    </w:p>
  </w:footnote>
  <w:footnote w:id="127">
    <w:p w14:paraId="55B71214" w14:textId="76541BC0" w:rsidR="004C49C0" w:rsidRPr="007C271A" w:rsidRDefault="004C49C0" w:rsidP="005273F9">
      <w:pPr>
        <w:pStyle w:val="NormalWeb"/>
        <w:rPr>
          <w:color w:val="000000"/>
          <w:sz w:val="20"/>
          <w:szCs w:val="20"/>
          <w:lang w:val="en-US"/>
        </w:rPr>
      </w:pPr>
      <w:r w:rsidRPr="007C271A">
        <w:rPr>
          <w:rStyle w:val="FootnoteReference"/>
          <w:sz w:val="20"/>
          <w:szCs w:val="20"/>
        </w:rPr>
        <w:footnoteRef/>
      </w:r>
      <w:r w:rsidRPr="007C271A">
        <w:rPr>
          <w:sz w:val="20"/>
          <w:szCs w:val="20"/>
        </w:rPr>
        <w:t xml:space="preserve"> UN, </w:t>
      </w:r>
      <w:r w:rsidRPr="007C271A">
        <w:rPr>
          <w:i/>
          <w:color w:val="000000"/>
          <w:sz w:val="20"/>
          <w:szCs w:val="20"/>
          <w:lang w:val="en-US"/>
        </w:rPr>
        <w:t>S/PV.7206</w:t>
      </w:r>
      <w:r w:rsidRPr="007C271A">
        <w:rPr>
          <w:color w:val="000000"/>
          <w:sz w:val="20"/>
          <w:szCs w:val="20"/>
          <w:lang w:val="en-US"/>
        </w:rPr>
        <w:t xml:space="preserve"> (2014), 6 as per Ms. </w:t>
      </w:r>
      <w:proofErr w:type="spellStart"/>
      <w:r w:rsidRPr="007C271A">
        <w:rPr>
          <w:color w:val="000000"/>
          <w:sz w:val="20"/>
          <w:szCs w:val="20"/>
          <w:lang w:val="en-US"/>
        </w:rPr>
        <w:t>Mlambo-Ngcuka</w:t>
      </w:r>
      <w:proofErr w:type="spellEnd"/>
      <w:r w:rsidRPr="007C271A">
        <w:rPr>
          <w:color w:val="000000"/>
          <w:sz w:val="20"/>
          <w:szCs w:val="20"/>
          <w:lang w:val="en-US"/>
        </w:rPr>
        <w:t>.</w:t>
      </w:r>
    </w:p>
  </w:footnote>
  <w:footnote w:id="128">
    <w:p w14:paraId="6B3D7490" w14:textId="5074B352" w:rsidR="004C49C0" w:rsidRPr="007C271A" w:rsidRDefault="004C49C0" w:rsidP="00233CA0">
      <w:pPr>
        <w:pStyle w:val="FootnoteText"/>
      </w:pPr>
      <w:r w:rsidRPr="007C271A">
        <w:rPr>
          <w:rStyle w:val="FootnoteReference"/>
          <w:sz w:val="20"/>
        </w:rPr>
        <w:footnoteRef/>
      </w:r>
      <w:r w:rsidRPr="007C271A">
        <w:t xml:space="preserve"> ibid. 4 as per Ms. </w:t>
      </w:r>
      <w:proofErr w:type="spellStart"/>
      <w:r w:rsidRPr="007C271A">
        <w:t>Mlambo-Ngcuka</w:t>
      </w:r>
      <w:proofErr w:type="spellEnd"/>
      <w:r w:rsidRPr="007C271A">
        <w:t>.</w:t>
      </w:r>
    </w:p>
  </w:footnote>
  <w:footnote w:id="129">
    <w:p w14:paraId="2FAD9659" w14:textId="729E687A" w:rsidR="004C49C0" w:rsidRPr="007C271A" w:rsidRDefault="004C49C0" w:rsidP="005273F9">
      <w:pPr>
        <w:textAlignment w:val="center"/>
        <w:rPr>
          <w:rFonts w:ascii="Times New Roman" w:hAnsi="Times New Roman" w:cs="Times New Roman"/>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rPr>
        <w:t>S</w:t>
      </w:r>
      <w:r w:rsidRPr="007C271A">
        <w:rPr>
          <w:rFonts w:ascii="Times New Roman" w:hAnsi="Times New Roman" w:cs="Times New Roman"/>
          <w:i/>
          <w:sz w:val="20"/>
          <w:szCs w:val="20"/>
          <w:lang w:val="en-US"/>
        </w:rPr>
        <w:t>/2016/672</w:t>
      </w:r>
      <w:r w:rsidRPr="007C271A">
        <w:rPr>
          <w:rFonts w:ascii="Times New Roman" w:hAnsi="Times New Roman" w:cs="Times New Roman"/>
          <w:sz w:val="20"/>
          <w:szCs w:val="20"/>
          <w:lang w:val="en-US"/>
        </w:rPr>
        <w:t xml:space="preserve"> (2016), 2.</w:t>
      </w:r>
    </w:p>
  </w:footnote>
  <w:footnote w:id="130">
    <w:p w14:paraId="58F2B1BD" w14:textId="4C50CCDC" w:rsidR="004C49C0" w:rsidRPr="007C271A" w:rsidRDefault="004C49C0" w:rsidP="00233CA0">
      <w:pPr>
        <w:pStyle w:val="FootnoteText"/>
      </w:pPr>
      <w:r w:rsidRPr="007C271A">
        <w:rPr>
          <w:rStyle w:val="FootnoteReference"/>
          <w:sz w:val="20"/>
        </w:rPr>
        <w:footnoteRef/>
      </w:r>
      <w:r w:rsidRPr="007C271A">
        <w:t xml:space="preserve"> The UN successfully advocated for a quota in Mali where there must be a minimum of 30% of female candidates. UN. </w:t>
      </w:r>
      <w:r w:rsidRPr="007C271A">
        <w:rPr>
          <w:i/>
        </w:rPr>
        <w:t>S/2016/819</w:t>
      </w:r>
      <w:r w:rsidRPr="007C271A">
        <w:t xml:space="preserve"> (2016), para 11</w:t>
      </w:r>
    </w:p>
  </w:footnote>
  <w:footnote w:id="131">
    <w:p w14:paraId="316DACAC" w14:textId="136B4FB1" w:rsidR="004C49C0" w:rsidRPr="007C271A" w:rsidRDefault="004C49C0" w:rsidP="00233CA0">
      <w:pPr>
        <w:pStyle w:val="FootnoteText"/>
      </w:pPr>
      <w:r w:rsidRPr="007C271A">
        <w:rPr>
          <w:rStyle w:val="FootnoteReference"/>
          <w:sz w:val="20"/>
        </w:rPr>
        <w:footnoteRef/>
      </w:r>
      <w:r w:rsidRPr="007C271A">
        <w:t xml:space="preserve"> UN, </w:t>
      </w:r>
      <w:r w:rsidRPr="007C271A">
        <w:rPr>
          <w:i/>
        </w:rPr>
        <w:t>S/2016/305</w:t>
      </w:r>
      <w:r w:rsidRPr="007C271A">
        <w:t xml:space="preserve"> (2016), para 10.</w:t>
      </w:r>
    </w:p>
  </w:footnote>
  <w:footnote w:id="132">
    <w:p w14:paraId="5786223E" w14:textId="0B0415CF" w:rsidR="004C49C0" w:rsidRPr="007C271A" w:rsidRDefault="004C49C0" w:rsidP="005273F9">
      <w:pPr>
        <w:textAlignment w:val="center"/>
        <w:rPr>
          <w:rFonts w:ascii="Times New Roman" w:hAnsi="Times New Roman" w:cs="Times New Roman"/>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lang w:val="en-US"/>
        </w:rPr>
        <w:t>S/2016/672</w:t>
      </w:r>
      <w:r w:rsidRPr="007C271A">
        <w:rPr>
          <w:rFonts w:ascii="Times New Roman" w:hAnsi="Times New Roman" w:cs="Times New Roman"/>
          <w:sz w:val="20"/>
          <w:szCs w:val="20"/>
          <w:lang w:val="en-US"/>
        </w:rPr>
        <w:t xml:space="preserve"> (2016), 3.</w:t>
      </w:r>
    </w:p>
  </w:footnote>
  <w:footnote w:id="133">
    <w:p w14:paraId="4FDC839B" w14:textId="5BA73E8E" w:rsidR="004C49C0" w:rsidRPr="007C271A" w:rsidRDefault="004C49C0" w:rsidP="005273F9">
      <w:pPr>
        <w:textAlignment w:val="center"/>
        <w:rPr>
          <w:rFonts w:ascii="Times New Roman" w:hAnsi="Times New Roman" w:cs="Times New Roman"/>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lang w:val="en-US"/>
        </w:rPr>
        <w:t xml:space="preserve"> ibid. 3.</w:t>
      </w:r>
    </w:p>
  </w:footnote>
  <w:footnote w:id="134">
    <w:p w14:paraId="59B1BE67" w14:textId="4D56335F" w:rsidR="004C49C0" w:rsidRPr="007C271A" w:rsidRDefault="004C49C0" w:rsidP="005273F9">
      <w:pPr>
        <w:rPr>
          <w:rFonts w:ascii="Times New Roman" w:hAnsi="Times New Roman" w:cs="Times New Roman"/>
          <w:sz w:val="20"/>
          <w:szCs w:val="20"/>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S/PV.8291</w:t>
      </w:r>
      <w:r w:rsidRPr="007C271A">
        <w:rPr>
          <w:rFonts w:ascii="Times New Roman" w:hAnsi="Times New Roman" w:cs="Times New Roman"/>
          <w:color w:val="000000"/>
          <w:sz w:val="20"/>
          <w:szCs w:val="20"/>
          <w:lang w:val="en-US"/>
        </w:rPr>
        <w:t xml:space="preserve"> (2018), 8 as per Mr. </w:t>
      </w:r>
      <w:proofErr w:type="spellStart"/>
      <w:r w:rsidRPr="007C271A">
        <w:rPr>
          <w:rFonts w:ascii="Times New Roman" w:hAnsi="Times New Roman" w:cs="Times New Roman"/>
          <w:color w:val="000000"/>
          <w:sz w:val="20"/>
          <w:szCs w:val="20"/>
          <w:lang w:val="en-US"/>
        </w:rPr>
        <w:t>Delattre</w:t>
      </w:r>
      <w:proofErr w:type="spellEnd"/>
      <w:r w:rsidRPr="007C271A">
        <w:rPr>
          <w:rFonts w:ascii="Times New Roman" w:hAnsi="Times New Roman" w:cs="Times New Roman"/>
          <w:color w:val="000000"/>
          <w:sz w:val="20"/>
          <w:szCs w:val="20"/>
          <w:lang w:val="en-US"/>
        </w:rPr>
        <w:t xml:space="preserve">; UN, </w:t>
      </w:r>
      <w:r w:rsidRPr="007C271A">
        <w:rPr>
          <w:rFonts w:ascii="Times New Roman" w:hAnsi="Times New Roman" w:cs="Times New Roman"/>
          <w:i/>
          <w:color w:val="000000"/>
          <w:sz w:val="20"/>
          <w:szCs w:val="20"/>
          <w:lang w:val="en-US"/>
        </w:rPr>
        <w:t>S</w:t>
      </w:r>
      <w:r w:rsidRPr="007C271A">
        <w:rPr>
          <w:rFonts w:ascii="Times New Roman" w:hAnsi="Times New Roman" w:cs="Times New Roman"/>
          <w:i/>
          <w:color w:val="000000"/>
          <w:sz w:val="20"/>
          <w:szCs w:val="20"/>
        </w:rPr>
        <w:t>/PRST/2018/14</w:t>
      </w:r>
      <w:r w:rsidRPr="007C271A">
        <w:rPr>
          <w:rFonts w:ascii="Times New Roman" w:hAnsi="Times New Roman" w:cs="Times New Roman"/>
          <w:color w:val="000000"/>
          <w:sz w:val="20"/>
          <w:szCs w:val="20"/>
        </w:rPr>
        <w:t xml:space="preserve"> (2018), 2.</w:t>
      </w:r>
    </w:p>
  </w:footnote>
  <w:footnote w:id="135">
    <w:p w14:paraId="12E2613E" w14:textId="113A9500" w:rsidR="004C49C0" w:rsidRPr="007C271A" w:rsidRDefault="004C49C0" w:rsidP="00233CA0">
      <w:pPr>
        <w:pStyle w:val="FootnoteText"/>
      </w:pPr>
      <w:r w:rsidRPr="007C271A">
        <w:rPr>
          <w:rStyle w:val="FootnoteReference"/>
          <w:sz w:val="20"/>
        </w:rPr>
        <w:footnoteRef/>
      </w:r>
      <w:r w:rsidRPr="007C271A">
        <w:t xml:space="preserve"> UN, </w:t>
      </w:r>
      <w:r w:rsidRPr="007C271A">
        <w:rPr>
          <w:i/>
        </w:rPr>
        <w:t>S/RES/2301</w:t>
      </w:r>
      <w:r w:rsidRPr="007C271A">
        <w:t xml:space="preserve"> (2016), 1.</w:t>
      </w:r>
    </w:p>
  </w:footnote>
  <w:footnote w:id="136">
    <w:p w14:paraId="11B9499D" w14:textId="022F20F7" w:rsidR="004C49C0" w:rsidRPr="007C271A" w:rsidRDefault="004C49C0" w:rsidP="005273F9">
      <w:pPr>
        <w:textAlignment w:val="cente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rPr>
        <w:t>S</w:t>
      </w:r>
      <w:r w:rsidRPr="007C271A">
        <w:rPr>
          <w:rFonts w:ascii="Times New Roman" w:hAnsi="Times New Roman" w:cs="Times New Roman"/>
          <w:i/>
          <w:color w:val="000000"/>
          <w:sz w:val="20"/>
          <w:szCs w:val="20"/>
          <w:lang w:val="en-US"/>
        </w:rPr>
        <w:t>/2015/918</w:t>
      </w:r>
      <w:r w:rsidRPr="007C271A">
        <w:rPr>
          <w:rFonts w:ascii="Times New Roman" w:hAnsi="Times New Roman" w:cs="Times New Roman"/>
          <w:color w:val="000000"/>
          <w:sz w:val="20"/>
          <w:szCs w:val="20"/>
          <w:lang w:val="en-US"/>
        </w:rPr>
        <w:t xml:space="preserve"> (2015), para 15.</w:t>
      </w:r>
    </w:p>
  </w:footnote>
  <w:footnote w:id="137">
    <w:p w14:paraId="0C49C775" w14:textId="7A6965A1" w:rsidR="004C49C0" w:rsidRPr="007C271A" w:rsidRDefault="004C49C0" w:rsidP="005273F9">
      <w:pPr>
        <w:textAlignment w:val="center"/>
        <w:rPr>
          <w:rFonts w:ascii="Times New Roman" w:hAnsi="Times New Roman" w:cs="Times New Roman"/>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sz w:val="20"/>
          <w:szCs w:val="20"/>
          <w:lang w:val="en-US"/>
        </w:rPr>
        <w:t>S/2017/94</w:t>
      </w:r>
      <w:r w:rsidRPr="007C271A">
        <w:rPr>
          <w:rFonts w:ascii="Times New Roman" w:hAnsi="Times New Roman" w:cs="Times New Roman"/>
          <w:sz w:val="20"/>
          <w:szCs w:val="20"/>
          <w:lang w:val="en-US"/>
        </w:rPr>
        <w:t xml:space="preserve"> (2017), para 21.</w:t>
      </w:r>
    </w:p>
  </w:footnote>
  <w:footnote w:id="138">
    <w:p w14:paraId="159858C3" w14:textId="1CCAE124" w:rsidR="004C49C0" w:rsidRDefault="004C49C0" w:rsidP="008178D3">
      <w:pPr>
        <w:pStyle w:val="FootnoteText"/>
      </w:pPr>
      <w:r>
        <w:rPr>
          <w:rStyle w:val="FootnoteReference"/>
        </w:rPr>
        <w:footnoteRef/>
      </w:r>
      <w:r>
        <w:t xml:space="preserve"> UN, </w:t>
      </w:r>
      <w:r w:rsidRPr="008178D3">
        <w:rPr>
          <w:i/>
        </w:rPr>
        <w:t>S/PV.8558</w:t>
      </w:r>
      <w:r>
        <w:t xml:space="preserve"> (2019), p.11 as per Mr. Allen.</w:t>
      </w:r>
    </w:p>
  </w:footnote>
  <w:footnote w:id="139">
    <w:p w14:paraId="0575888F" w14:textId="2AE05B90" w:rsidR="004C49C0" w:rsidRPr="007C271A" w:rsidRDefault="004C49C0" w:rsidP="00233CA0">
      <w:pPr>
        <w:pStyle w:val="FootnoteText"/>
      </w:pPr>
      <w:r w:rsidRPr="007C271A">
        <w:rPr>
          <w:rStyle w:val="FootnoteReference"/>
          <w:sz w:val="20"/>
        </w:rPr>
        <w:footnoteRef/>
      </w:r>
      <w:r w:rsidRPr="007C271A">
        <w:t xml:space="preserve"> Commission on Human Security, </w:t>
      </w:r>
      <w:r w:rsidRPr="007C271A">
        <w:rPr>
          <w:i/>
        </w:rPr>
        <w:t>Human Security Now</w:t>
      </w:r>
      <w:r w:rsidRPr="007C271A">
        <w:t>, 11.</w:t>
      </w:r>
    </w:p>
  </w:footnote>
  <w:footnote w:id="140">
    <w:p w14:paraId="09047A25" w14:textId="55A71653" w:rsidR="004C49C0" w:rsidRPr="007C271A" w:rsidRDefault="004C49C0" w:rsidP="005273F9">
      <w:pPr>
        <w:rPr>
          <w:rFonts w:ascii="Times New Roman" w:hAnsi="Times New Roman" w:cs="Times New Roman"/>
          <w:color w:val="000000"/>
          <w:sz w:val="20"/>
          <w:szCs w:val="20"/>
          <w:lang w:val="en-US"/>
        </w:rPr>
      </w:pPr>
      <w:r w:rsidRPr="007C271A">
        <w:rPr>
          <w:rStyle w:val="FootnoteReference"/>
          <w:rFonts w:cs="Times New Roman"/>
          <w:sz w:val="20"/>
          <w:szCs w:val="20"/>
        </w:rPr>
        <w:footnoteRef/>
      </w:r>
      <w:r w:rsidRPr="007C271A">
        <w:rPr>
          <w:rFonts w:ascii="Times New Roman" w:hAnsi="Times New Roman" w:cs="Times New Roman"/>
          <w:sz w:val="20"/>
          <w:szCs w:val="20"/>
        </w:rPr>
        <w:t xml:space="preserve"> UN, </w:t>
      </w:r>
      <w:r w:rsidRPr="007C271A">
        <w:rPr>
          <w:rFonts w:ascii="Times New Roman" w:hAnsi="Times New Roman" w:cs="Times New Roman"/>
          <w:i/>
          <w:color w:val="000000"/>
          <w:sz w:val="20"/>
          <w:szCs w:val="20"/>
          <w:lang w:val="en-US"/>
        </w:rPr>
        <w:t>S/2017/473</w:t>
      </w:r>
      <w:r w:rsidRPr="007C271A">
        <w:rPr>
          <w:rFonts w:ascii="Times New Roman" w:hAnsi="Times New Roman" w:cs="Times New Roman"/>
          <w:color w:val="000000"/>
          <w:sz w:val="20"/>
          <w:szCs w:val="20"/>
          <w:lang w:val="en-US"/>
        </w:rPr>
        <w:t xml:space="preserve"> (2017), para 21.</w:t>
      </w:r>
    </w:p>
  </w:footnote>
  <w:footnote w:id="141">
    <w:p w14:paraId="70C9BD22" w14:textId="6026580D" w:rsidR="004C49C0" w:rsidRDefault="004C49C0" w:rsidP="008178D3">
      <w:pPr>
        <w:pStyle w:val="FootnoteText"/>
      </w:pPr>
      <w:r>
        <w:rPr>
          <w:rStyle w:val="FootnoteReference"/>
        </w:rPr>
        <w:footnoteRef/>
      </w:r>
      <w:r>
        <w:t xml:space="preserve"> UN, </w:t>
      </w:r>
      <w:r w:rsidRPr="008178D3">
        <w:rPr>
          <w:i/>
        </w:rPr>
        <w:t>S/2019/147</w:t>
      </w:r>
      <w:r>
        <w:t xml:space="preserve"> (2019), para 12.</w:t>
      </w:r>
    </w:p>
  </w:footnote>
  <w:footnote w:id="142">
    <w:p w14:paraId="531D819F" w14:textId="1E795F46" w:rsidR="004C49C0" w:rsidRPr="002C5CD2" w:rsidRDefault="004C49C0" w:rsidP="003B2132">
      <w:pPr>
        <w:pStyle w:val="FootnoteText"/>
      </w:pPr>
      <w:r w:rsidRPr="002C5CD2">
        <w:rPr>
          <w:rStyle w:val="FootnoteReference"/>
        </w:rPr>
        <w:footnoteRef/>
      </w:r>
      <w:r w:rsidRPr="002C5CD2">
        <w:t xml:space="preserve"> </w:t>
      </w:r>
      <w:proofErr w:type="spellStart"/>
      <w:r w:rsidRPr="002C5CD2">
        <w:t>Autesserre</w:t>
      </w:r>
      <w:proofErr w:type="spellEnd"/>
      <w:r w:rsidRPr="002C5CD2">
        <w:t xml:space="preserve">, </w:t>
      </w:r>
      <w:proofErr w:type="gramStart"/>
      <w:r w:rsidRPr="005F378B">
        <w:rPr>
          <w:i/>
        </w:rPr>
        <w:t>The</w:t>
      </w:r>
      <w:proofErr w:type="gramEnd"/>
      <w:r w:rsidRPr="005F378B">
        <w:rPr>
          <w:i/>
        </w:rPr>
        <w:t xml:space="preserve"> Trouble with the Congo</w:t>
      </w:r>
      <w:r w:rsidRPr="007D065D">
        <w:t>.</w:t>
      </w:r>
    </w:p>
  </w:footnote>
  <w:footnote w:id="143">
    <w:p w14:paraId="2E029E88" w14:textId="42E57661" w:rsidR="004C49C0" w:rsidRPr="002C5CD2" w:rsidRDefault="004C49C0" w:rsidP="003B2132">
      <w:pPr>
        <w:pStyle w:val="FootnoteText"/>
      </w:pPr>
      <w:r w:rsidRPr="002C5CD2">
        <w:rPr>
          <w:rStyle w:val="FootnoteReference"/>
        </w:rPr>
        <w:footnoteRef/>
      </w:r>
      <w:r>
        <w:t xml:space="preserve"> Elisa </w:t>
      </w:r>
      <w:proofErr w:type="spellStart"/>
      <w:r>
        <w:t>Randazzo</w:t>
      </w:r>
      <w:proofErr w:type="spellEnd"/>
      <w:r>
        <w:t>, “The paradoxes of the ‘</w:t>
      </w:r>
      <w:proofErr w:type="spellStart"/>
      <w:r>
        <w:t>everyday</w:t>
      </w:r>
      <w:proofErr w:type="spellEnd"/>
      <w:r>
        <w:t xml:space="preserve">,” </w:t>
      </w:r>
      <w:r w:rsidRPr="002C5CD2">
        <w:t xml:space="preserve">1353; </w:t>
      </w:r>
      <w:proofErr w:type="spellStart"/>
      <w:r>
        <w:t>Autesserre</w:t>
      </w:r>
      <w:proofErr w:type="spellEnd"/>
      <w:r>
        <w:t>, “</w:t>
      </w:r>
      <w:r w:rsidRPr="002C5CD2">
        <w:t>International Peacebuilding and Local Success</w:t>
      </w:r>
      <w:r>
        <w:t xml:space="preserve">,” </w:t>
      </w:r>
      <w:r w:rsidRPr="002C5CD2">
        <w:t>118.</w:t>
      </w:r>
    </w:p>
  </w:footnote>
  <w:footnote w:id="144">
    <w:p w14:paraId="3588A538" w14:textId="66D0F672" w:rsidR="004C49C0" w:rsidRPr="002C5CD2" w:rsidRDefault="004C49C0" w:rsidP="003B2132">
      <w:pPr>
        <w:pStyle w:val="FootnoteText"/>
      </w:pPr>
      <w:r w:rsidRPr="002C5CD2">
        <w:rPr>
          <w:rStyle w:val="FootnoteReference"/>
        </w:rPr>
        <w:footnoteRef/>
      </w:r>
      <w:r w:rsidRPr="002C5CD2">
        <w:t xml:space="preserve"> </w:t>
      </w:r>
      <w:r>
        <w:t xml:space="preserve">ibid. </w:t>
      </w:r>
      <w:r w:rsidRPr="002C5CD2">
        <w:t>1352.</w:t>
      </w:r>
    </w:p>
  </w:footnote>
  <w:footnote w:id="145">
    <w:p w14:paraId="559C761E" w14:textId="44CA6935" w:rsidR="004C49C0" w:rsidRPr="00BB65C8" w:rsidRDefault="004C49C0" w:rsidP="00BB65C8">
      <w:pPr>
        <w:pStyle w:val="FootnoteText"/>
        <w:rPr>
          <w:lang w:val="en-GB"/>
        </w:rPr>
      </w:pPr>
      <w:r>
        <w:rPr>
          <w:rStyle w:val="FootnoteReference"/>
        </w:rPr>
        <w:footnoteRef/>
      </w:r>
      <w:r>
        <w:t xml:space="preserve"> Curran and Hunt, “Stabilization at the Expense of Peacebuilding,” 7. For an overview of local involvement with peacekeeping see </w:t>
      </w:r>
      <w:r w:rsidRPr="00BB65C8">
        <w:t xml:space="preserve">von </w:t>
      </w:r>
      <w:proofErr w:type="spellStart"/>
      <w:r w:rsidRPr="00BB65C8">
        <w:t>Billerbeck</w:t>
      </w:r>
      <w:proofErr w:type="spellEnd"/>
      <w:r>
        <w:t>,</w:t>
      </w:r>
      <w:r w:rsidRPr="00BB65C8">
        <w:t xml:space="preserve"> </w:t>
      </w:r>
      <w:r w:rsidRPr="005F378B">
        <w:rPr>
          <w:i/>
        </w:rPr>
        <w:t>Whose Peace?</w:t>
      </w:r>
    </w:p>
  </w:footnote>
  <w:footnote w:id="146">
    <w:p w14:paraId="4F2162F9" w14:textId="30F6BF05" w:rsidR="00A54FC0" w:rsidRPr="00A54FC0" w:rsidRDefault="00A54FC0">
      <w:pPr>
        <w:pStyle w:val="FootnoteText"/>
        <w:rPr>
          <w:lang w:val="en-GB"/>
        </w:rPr>
      </w:pPr>
      <w:r>
        <w:rPr>
          <w:rStyle w:val="FootnoteReference"/>
        </w:rPr>
        <w:footnoteRef/>
      </w:r>
      <w:r>
        <w:t xml:space="preserve"> </w:t>
      </w:r>
      <w:r>
        <w:rPr>
          <w:lang w:val="en-GB"/>
        </w:rPr>
        <w:t xml:space="preserve">Hanlon and Christie, </w:t>
      </w:r>
      <w:r w:rsidRPr="005F378B">
        <w:rPr>
          <w:i/>
          <w:lang w:val="en-GB"/>
        </w:rPr>
        <w:t>Freedom from Fear, Freedom from Want</w:t>
      </w:r>
      <w:r w:rsidR="00AA4F7A">
        <w:rPr>
          <w:lang w:val="en-GB"/>
        </w:rPr>
        <w:t xml:space="preserve">, </w:t>
      </w:r>
      <w:r>
        <w:rPr>
          <w:lang w:val="en-GB"/>
        </w:rPr>
        <w:t>105.</w:t>
      </w:r>
    </w:p>
  </w:footnote>
  <w:footnote w:id="147">
    <w:p w14:paraId="48F81041" w14:textId="2583A856" w:rsidR="004C49C0" w:rsidRPr="00916E8F" w:rsidRDefault="004C49C0">
      <w:pPr>
        <w:pStyle w:val="FootnoteText"/>
        <w:rPr>
          <w:lang w:val="en-GB"/>
        </w:rPr>
      </w:pPr>
      <w:r>
        <w:rPr>
          <w:rStyle w:val="FootnoteReference"/>
        </w:rPr>
        <w:footnoteRef/>
      </w:r>
      <w:r>
        <w:t xml:space="preserve"> Curran and Hunt, “Stabilization at the Expense of Peacebuilding,” 14.</w:t>
      </w:r>
    </w:p>
  </w:footnote>
  <w:footnote w:id="148">
    <w:p w14:paraId="18BB39EF" w14:textId="6C432562" w:rsidR="004C49C0" w:rsidRPr="007C271A" w:rsidRDefault="004C49C0" w:rsidP="00233CA0">
      <w:pPr>
        <w:pStyle w:val="FootnoteText"/>
      </w:pPr>
      <w:r w:rsidRPr="007C271A">
        <w:rPr>
          <w:rStyle w:val="FootnoteReference"/>
          <w:sz w:val="20"/>
        </w:rPr>
        <w:footnoteRef/>
      </w:r>
      <w:r w:rsidRPr="007C271A">
        <w:t xml:space="preserve"> UN, </w:t>
      </w:r>
      <w:r w:rsidRPr="007C271A">
        <w:rPr>
          <w:i/>
        </w:rPr>
        <w:t>S/2004/616</w:t>
      </w:r>
      <w:r w:rsidRPr="007C271A">
        <w:t xml:space="preserve"> (2004), para 6.</w:t>
      </w:r>
    </w:p>
  </w:footnote>
  <w:footnote w:id="149">
    <w:p w14:paraId="568DA949" w14:textId="7E6395A2"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Sannerholm</w:t>
      </w:r>
      <w:proofErr w:type="spellEnd"/>
      <w:r w:rsidRPr="007C271A">
        <w:t>, “Beyond the Rule of Law Template,” 68.</w:t>
      </w:r>
    </w:p>
  </w:footnote>
  <w:footnote w:id="150">
    <w:p w14:paraId="13A42A44" w14:textId="44B211D9" w:rsidR="004C49C0" w:rsidRPr="007C271A" w:rsidRDefault="004C49C0" w:rsidP="00233CA0">
      <w:pPr>
        <w:pStyle w:val="FootnoteText"/>
      </w:pPr>
      <w:r w:rsidRPr="007C271A">
        <w:rPr>
          <w:rStyle w:val="FootnoteReference"/>
          <w:sz w:val="20"/>
        </w:rPr>
        <w:footnoteRef/>
      </w:r>
      <w:r w:rsidRPr="007C271A">
        <w:t xml:space="preserve"> Tolbert and Solomon, “United Nations Reform and Supporting the Rule of Law in Post-Conflict Societies,” 33; UN. </w:t>
      </w:r>
      <w:r w:rsidRPr="007C271A">
        <w:rPr>
          <w:i/>
        </w:rPr>
        <w:t>A/59/565</w:t>
      </w:r>
      <w:r w:rsidRPr="007C271A">
        <w:t xml:space="preserve"> (2004), para 229.</w:t>
      </w:r>
    </w:p>
  </w:footnote>
  <w:footnote w:id="151">
    <w:p w14:paraId="7CF505FD" w14:textId="19E015D3" w:rsidR="004C49C0" w:rsidRPr="007C271A" w:rsidRDefault="004C49C0" w:rsidP="00233CA0">
      <w:pPr>
        <w:pStyle w:val="FootnoteText"/>
        <w:rPr>
          <w:lang w:val="en-GB"/>
        </w:rPr>
      </w:pPr>
      <w:r w:rsidRPr="007C271A">
        <w:rPr>
          <w:rStyle w:val="FootnoteReference"/>
          <w:sz w:val="20"/>
        </w:rPr>
        <w:footnoteRef/>
      </w:r>
      <w:r w:rsidRPr="007C271A">
        <w:t xml:space="preserve"> </w:t>
      </w:r>
      <w:proofErr w:type="spellStart"/>
      <w:r w:rsidRPr="007C271A">
        <w:t>Picco</w:t>
      </w:r>
      <w:proofErr w:type="spellEnd"/>
      <w:r w:rsidRPr="007C271A">
        <w:t>, “I Am 100% Central African,” 36.</w:t>
      </w:r>
    </w:p>
  </w:footnote>
  <w:footnote w:id="152">
    <w:p w14:paraId="17B2AB2B" w14:textId="3D3D75B4" w:rsidR="004C49C0" w:rsidRPr="007C271A" w:rsidRDefault="004C49C0" w:rsidP="00233CA0">
      <w:pPr>
        <w:pStyle w:val="FootnoteText"/>
        <w:rPr>
          <w:lang w:val="en-GB"/>
        </w:rPr>
      </w:pPr>
      <w:r w:rsidRPr="007C271A">
        <w:rPr>
          <w:rStyle w:val="FootnoteReference"/>
          <w:sz w:val="20"/>
        </w:rPr>
        <w:footnoteRef/>
      </w:r>
      <w:r w:rsidRPr="007C271A">
        <w:t xml:space="preserve"> ibid. 36.</w:t>
      </w:r>
    </w:p>
  </w:footnote>
  <w:footnote w:id="153">
    <w:p w14:paraId="3CCB23EF" w14:textId="59D64ED1" w:rsidR="004C49C0" w:rsidRPr="007C271A" w:rsidRDefault="004C49C0" w:rsidP="00233CA0">
      <w:pPr>
        <w:pStyle w:val="FootnoteText"/>
        <w:rPr>
          <w:lang w:val="en-GB"/>
        </w:rPr>
      </w:pPr>
      <w:r w:rsidRPr="007C271A">
        <w:rPr>
          <w:rStyle w:val="FootnoteReference"/>
          <w:sz w:val="20"/>
        </w:rPr>
        <w:footnoteRef/>
      </w:r>
      <w:r w:rsidRPr="007C271A">
        <w:t xml:space="preserve"> Lombard and </w:t>
      </w:r>
      <w:proofErr w:type="spellStart"/>
      <w:r w:rsidRPr="007C271A">
        <w:t>Picco</w:t>
      </w:r>
      <w:proofErr w:type="spellEnd"/>
      <w:r w:rsidRPr="007C271A">
        <w:t>, “Distributive Justice at War,” 16.</w:t>
      </w:r>
    </w:p>
  </w:footnote>
  <w:footnote w:id="154">
    <w:p w14:paraId="4A8A30EC" w14:textId="7A6899C5" w:rsidR="004C49C0" w:rsidRPr="007C271A" w:rsidRDefault="004C49C0" w:rsidP="00233CA0">
      <w:pPr>
        <w:pStyle w:val="FootnoteText"/>
        <w:rPr>
          <w:lang w:val="en-GB"/>
        </w:rPr>
      </w:pPr>
      <w:r w:rsidRPr="007C271A">
        <w:rPr>
          <w:rStyle w:val="FootnoteReference"/>
          <w:sz w:val="20"/>
        </w:rPr>
        <w:footnoteRef/>
      </w:r>
      <w:r w:rsidRPr="007C271A">
        <w:t xml:space="preserve"> ibid. 17.</w:t>
      </w:r>
    </w:p>
  </w:footnote>
  <w:footnote w:id="155">
    <w:p w14:paraId="78D91AA3" w14:textId="19867BBC" w:rsidR="004C49C0" w:rsidRPr="007C271A" w:rsidRDefault="004C49C0" w:rsidP="00233CA0">
      <w:pPr>
        <w:pStyle w:val="FootnoteText"/>
      </w:pPr>
      <w:r w:rsidRPr="007C271A">
        <w:rPr>
          <w:rStyle w:val="FootnoteReference"/>
          <w:sz w:val="20"/>
        </w:rPr>
        <w:footnoteRef/>
      </w:r>
      <w:r w:rsidRPr="007C271A">
        <w:t xml:space="preserve"> UN, S/2016/1137 (2016), para 69.</w:t>
      </w:r>
    </w:p>
  </w:footnote>
  <w:footnote w:id="156">
    <w:p w14:paraId="282B6C27" w14:textId="660B20BB" w:rsidR="004C49C0" w:rsidRPr="007C271A" w:rsidRDefault="004C49C0" w:rsidP="00233CA0">
      <w:pPr>
        <w:pStyle w:val="FootnoteText"/>
        <w:rPr>
          <w:lang w:val="en-GB"/>
        </w:rPr>
      </w:pPr>
      <w:r w:rsidRPr="007C271A">
        <w:rPr>
          <w:rStyle w:val="FootnoteReference"/>
          <w:sz w:val="20"/>
        </w:rPr>
        <w:footnoteRef/>
      </w:r>
      <w:r w:rsidRPr="007C271A">
        <w:t xml:space="preserve"> </w:t>
      </w:r>
      <w:proofErr w:type="spellStart"/>
      <w:r w:rsidRPr="007C271A">
        <w:t>Zahar</w:t>
      </w:r>
      <w:proofErr w:type="spellEnd"/>
      <w:r w:rsidRPr="007C271A">
        <w:t xml:space="preserve"> and </w:t>
      </w:r>
      <w:proofErr w:type="spellStart"/>
      <w:r w:rsidRPr="007C271A">
        <w:t>Mechoulan</w:t>
      </w:r>
      <w:proofErr w:type="spellEnd"/>
      <w:r w:rsidRPr="007C271A">
        <w:t>, “Peace by pieces?” 3.</w:t>
      </w:r>
    </w:p>
  </w:footnote>
  <w:footnote w:id="157">
    <w:p w14:paraId="6D700B36" w14:textId="4381922C" w:rsidR="004C49C0" w:rsidRPr="007C271A" w:rsidRDefault="004C49C0" w:rsidP="00233CA0">
      <w:pPr>
        <w:pStyle w:val="FootnoteText"/>
      </w:pPr>
      <w:r w:rsidRPr="007C271A">
        <w:rPr>
          <w:rStyle w:val="FootnoteReference"/>
          <w:sz w:val="20"/>
        </w:rPr>
        <w:footnoteRef/>
      </w:r>
      <w:r w:rsidRPr="007C271A">
        <w:t xml:space="preserve"> ibid. 30, 36.</w:t>
      </w:r>
    </w:p>
  </w:footnote>
  <w:footnote w:id="158">
    <w:p w14:paraId="292E889B" w14:textId="3339CDE9" w:rsidR="004C49C0" w:rsidRPr="007C271A" w:rsidRDefault="004C49C0" w:rsidP="00233CA0">
      <w:pPr>
        <w:pStyle w:val="FootnoteText"/>
        <w:rPr>
          <w:lang w:val="en-GB"/>
        </w:rPr>
      </w:pPr>
      <w:r w:rsidRPr="007C271A">
        <w:rPr>
          <w:rStyle w:val="FootnoteReference"/>
          <w:sz w:val="20"/>
        </w:rPr>
        <w:footnoteRef/>
      </w:r>
      <w:r w:rsidRPr="007C271A">
        <w:t xml:space="preserve"> UN, </w:t>
      </w:r>
      <w:r w:rsidRPr="007C271A">
        <w:rPr>
          <w:i/>
        </w:rPr>
        <w:t>S/PV.8084</w:t>
      </w:r>
      <w:r w:rsidRPr="007C271A">
        <w:t xml:space="preserve"> (2017), 6 as per Mr. </w:t>
      </w:r>
      <w:proofErr w:type="spellStart"/>
      <w:r w:rsidRPr="007C271A">
        <w:t>Nébie</w:t>
      </w:r>
      <w:proofErr w:type="spellEnd"/>
      <w:r w:rsidRPr="007C271A">
        <w:t>́.</w:t>
      </w:r>
    </w:p>
  </w:footnote>
  <w:footnote w:id="159">
    <w:p w14:paraId="5B440AF3" w14:textId="5EDFFE32" w:rsidR="004C49C0" w:rsidRPr="007C271A" w:rsidRDefault="004C49C0" w:rsidP="00233CA0">
      <w:pPr>
        <w:pStyle w:val="FootnoteText"/>
        <w:rPr>
          <w:lang w:val="en-GB"/>
        </w:rPr>
      </w:pPr>
      <w:r w:rsidRPr="007C271A">
        <w:rPr>
          <w:rStyle w:val="FootnoteReference"/>
          <w:sz w:val="20"/>
        </w:rPr>
        <w:footnoteRef/>
      </w:r>
      <w:r w:rsidRPr="007C271A">
        <w:t xml:space="preserve"> UN, </w:t>
      </w:r>
      <w:r w:rsidRPr="007C271A">
        <w:rPr>
          <w:i/>
        </w:rPr>
        <w:t>S/2014/857</w:t>
      </w:r>
      <w:r w:rsidRPr="007C271A">
        <w:t xml:space="preserve"> (2014), para 37.</w:t>
      </w:r>
    </w:p>
  </w:footnote>
  <w:footnote w:id="160">
    <w:p w14:paraId="07E0B31A" w14:textId="2EA7DAE9" w:rsidR="004C49C0" w:rsidRPr="007C271A" w:rsidRDefault="004C49C0" w:rsidP="00233CA0">
      <w:pPr>
        <w:pStyle w:val="FootnoteText"/>
      </w:pPr>
      <w:r w:rsidRPr="007C271A">
        <w:rPr>
          <w:rStyle w:val="FootnoteReference"/>
          <w:sz w:val="20"/>
        </w:rPr>
        <w:footnoteRef/>
      </w:r>
      <w:r w:rsidRPr="007C271A">
        <w:t xml:space="preserve"> For other works </w:t>
      </w:r>
      <w:r w:rsidR="007F050A">
        <w:t>which</w:t>
      </w:r>
      <w:r w:rsidRPr="007C271A">
        <w:t xml:space="preserve"> address </w:t>
      </w:r>
      <w:r w:rsidR="007F050A">
        <w:t xml:space="preserve">the </w:t>
      </w:r>
      <w:r w:rsidRPr="007C271A">
        <w:t xml:space="preserve">rising </w:t>
      </w:r>
      <w:proofErr w:type="spellStart"/>
      <w:r w:rsidRPr="007C271A">
        <w:t>militarisation</w:t>
      </w:r>
      <w:proofErr w:type="spellEnd"/>
      <w:r w:rsidRPr="007C271A">
        <w:t xml:space="preserve"> seen in UN peace operations please see, </w:t>
      </w:r>
      <w:proofErr w:type="spellStart"/>
      <w:r w:rsidRPr="007C271A">
        <w:t>Karlsrud</w:t>
      </w:r>
      <w:proofErr w:type="spellEnd"/>
      <w:r w:rsidRPr="007C271A">
        <w:t xml:space="preserve">, </w:t>
      </w:r>
      <w:r w:rsidRPr="007C271A">
        <w:rPr>
          <w:i/>
        </w:rPr>
        <w:t>The UN at War</w:t>
      </w:r>
      <w:r w:rsidRPr="007C271A">
        <w:t>; de Coning, “Is stabilization the new normal?”</w:t>
      </w:r>
    </w:p>
  </w:footnote>
  <w:footnote w:id="161">
    <w:p w14:paraId="0C70586A" w14:textId="354F032E" w:rsidR="004C49C0" w:rsidRPr="007C271A" w:rsidRDefault="004C49C0" w:rsidP="00233CA0">
      <w:pPr>
        <w:pStyle w:val="FootnoteText"/>
      </w:pPr>
      <w:r w:rsidRPr="007C271A">
        <w:rPr>
          <w:rStyle w:val="FootnoteReference"/>
          <w:sz w:val="20"/>
        </w:rPr>
        <w:footnoteRef/>
      </w:r>
      <w:r w:rsidRPr="007C271A">
        <w:t xml:space="preserve"> Pugh, “Reflections on Aggressive Peace,” 414.</w:t>
      </w:r>
    </w:p>
  </w:footnote>
  <w:footnote w:id="162">
    <w:p w14:paraId="4658946D" w14:textId="378272AD" w:rsidR="004C49C0" w:rsidRPr="007C271A" w:rsidRDefault="004C49C0" w:rsidP="00233CA0">
      <w:pPr>
        <w:pStyle w:val="FootnoteText"/>
        <w:rPr>
          <w:lang w:val="en-GB"/>
        </w:rPr>
      </w:pPr>
      <w:r w:rsidRPr="007C271A">
        <w:rPr>
          <w:rStyle w:val="FootnoteReference"/>
          <w:sz w:val="20"/>
        </w:rPr>
        <w:footnoteRef/>
      </w:r>
      <w:r w:rsidRPr="007C271A">
        <w:t xml:space="preserve"> </w:t>
      </w:r>
      <w:proofErr w:type="spellStart"/>
      <w:r w:rsidRPr="007C271A">
        <w:t>Gelot</w:t>
      </w:r>
      <w:proofErr w:type="spellEnd"/>
      <w:r w:rsidRPr="007C271A">
        <w:t>, “Civilian protection in Africa,” 166</w:t>
      </w:r>
    </w:p>
  </w:footnote>
  <w:footnote w:id="163">
    <w:p w14:paraId="7ED8FE87" w14:textId="227623F3" w:rsidR="004C49C0" w:rsidRPr="007C271A" w:rsidRDefault="004C49C0" w:rsidP="00233CA0">
      <w:pPr>
        <w:pStyle w:val="FootnoteText"/>
      </w:pPr>
      <w:r w:rsidRPr="007C271A">
        <w:rPr>
          <w:rStyle w:val="FootnoteReference"/>
          <w:sz w:val="20"/>
        </w:rPr>
        <w:footnoteRef/>
      </w:r>
      <w:r w:rsidRPr="007C271A">
        <w:t xml:space="preserve"> Bode and </w:t>
      </w:r>
      <w:proofErr w:type="spellStart"/>
      <w:r w:rsidRPr="007C271A">
        <w:t>Karlsrud</w:t>
      </w:r>
      <w:proofErr w:type="spellEnd"/>
      <w:r w:rsidRPr="007C271A">
        <w:t>, “The use of force to protect civilians in United Nations peacekeeping,” 465.</w:t>
      </w:r>
    </w:p>
  </w:footnote>
  <w:footnote w:id="164">
    <w:p w14:paraId="4AF0301C" w14:textId="294DF799" w:rsidR="004C49C0" w:rsidRPr="007C271A" w:rsidRDefault="004C49C0" w:rsidP="00233CA0">
      <w:pPr>
        <w:pStyle w:val="FootnoteText"/>
      </w:pPr>
      <w:r w:rsidRPr="007C271A">
        <w:rPr>
          <w:rStyle w:val="FootnoteReference"/>
          <w:sz w:val="20"/>
        </w:rPr>
        <w:footnoteRef/>
      </w:r>
      <w:r w:rsidRPr="007C271A">
        <w:t xml:space="preserve"> ibid. 465; See also, Riis Andersen, “The HIPPO in the room,” 353.</w:t>
      </w:r>
    </w:p>
  </w:footnote>
  <w:footnote w:id="165">
    <w:p w14:paraId="03D372AA" w14:textId="1A6A3290" w:rsidR="004C49C0" w:rsidRPr="007C271A" w:rsidRDefault="004C49C0" w:rsidP="00233CA0">
      <w:pPr>
        <w:pStyle w:val="FootnoteText"/>
        <w:rPr>
          <w:lang w:val="en-GB"/>
        </w:rPr>
      </w:pPr>
      <w:r w:rsidRPr="007C271A">
        <w:rPr>
          <w:rStyle w:val="FootnoteReference"/>
          <w:sz w:val="20"/>
        </w:rPr>
        <w:footnoteRef/>
      </w:r>
      <w:r w:rsidRPr="007C271A">
        <w:t xml:space="preserve"> Gilder, “The Effect of ‘Stabilization’ in the Mandates and Practice of UN Peace Operations.”</w:t>
      </w:r>
      <w:r w:rsidRPr="007C271A">
        <w:rPr>
          <w:lang w:val="en-GB"/>
        </w:rPr>
        <w:t xml:space="preserve">; </w:t>
      </w:r>
      <w:r w:rsidRPr="007C271A">
        <w:t>Sloan, “UN peacekeeping and international law,” 276</w:t>
      </w:r>
    </w:p>
  </w:footnote>
  <w:footnote w:id="166">
    <w:p w14:paraId="6971AFEF" w14:textId="64B6684F" w:rsidR="004C49C0" w:rsidRPr="007C271A" w:rsidRDefault="004C49C0" w:rsidP="00233CA0">
      <w:pPr>
        <w:pStyle w:val="FootnoteText"/>
      </w:pPr>
      <w:r w:rsidRPr="007C271A">
        <w:rPr>
          <w:rStyle w:val="FootnoteReference"/>
          <w:sz w:val="20"/>
        </w:rPr>
        <w:footnoteRef/>
      </w:r>
      <w:r w:rsidRPr="007C271A">
        <w:t xml:space="preserve"> An interesting discussion on this point can be found here, Mathias, “UN Peacekeeping Today.”</w:t>
      </w:r>
    </w:p>
  </w:footnote>
  <w:footnote w:id="167">
    <w:p w14:paraId="29AE33CA" w14:textId="387A1C59" w:rsidR="004C49C0" w:rsidRPr="007C271A" w:rsidRDefault="004C49C0" w:rsidP="00233CA0">
      <w:pPr>
        <w:pStyle w:val="FootnoteText"/>
      </w:pPr>
      <w:r w:rsidRPr="007C271A">
        <w:rPr>
          <w:rStyle w:val="FootnoteReference"/>
          <w:sz w:val="20"/>
        </w:rPr>
        <w:footnoteRef/>
      </w:r>
      <w:r w:rsidRPr="007C271A">
        <w:t xml:space="preserve"> Laurence, “An ‘Impartial’ Force?” 264.</w:t>
      </w:r>
    </w:p>
  </w:footnote>
  <w:footnote w:id="168">
    <w:p w14:paraId="1B05A866" w14:textId="356D2D92" w:rsidR="004C49C0" w:rsidRPr="007C271A" w:rsidRDefault="004C49C0" w:rsidP="00233CA0">
      <w:pPr>
        <w:pStyle w:val="FootnoteText"/>
      </w:pPr>
      <w:r w:rsidRPr="007C271A">
        <w:rPr>
          <w:rStyle w:val="FootnoteReference"/>
          <w:sz w:val="20"/>
        </w:rPr>
        <w:footnoteRef/>
      </w:r>
      <w:r w:rsidRPr="007C271A">
        <w:t xml:space="preserve"> </w:t>
      </w:r>
      <w:proofErr w:type="spellStart"/>
      <w:r w:rsidRPr="007C271A">
        <w:t>Longobardo</w:t>
      </w:r>
      <w:proofErr w:type="spellEnd"/>
      <w:r w:rsidRPr="007C271A">
        <w:t>, “Robust Peacekeeping Mandates,” 8,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B3A2" w14:textId="3FA7DF96" w:rsidR="004C49C0" w:rsidRPr="00435752" w:rsidRDefault="00A10F18" w:rsidP="00A10F18">
    <w:pPr>
      <w:pStyle w:val="Header"/>
      <w:jc w:val="center"/>
      <w:rPr>
        <w:sz w:val="22"/>
        <w:szCs w:val="22"/>
      </w:rPr>
    </w:pPr>
    <w:r w:rsidRPr="00A10F18">
      <w:rPr>
        <w:sz w:val="22"/>
        <w:szCs w:val="22"/>
      </w:rPr>
      <w:t xml:space="preserve">The Version of Record of this manuscript has been published and is available in </w:t>
    </w:r>
    <w:r w:rsidRPr="00A10F18">
      <w:rPr>
        <w:i/>
        <w:sz w:val="22"/>
        <w:szCs w:val="22"/>
      </w:rPr>
      <w:t>International Peacekeeping</w:t>
    </w:r>
    <w:r>
      <w:rPr>
        <w:sz w:val="22"/>
        <w:szCs w:val="22"/>
      </w:rPr>
      <w:t xml:space="preserve"> </w:t>
    </w:r>
    <w:r w:rsidRPr="00A10F18">
      <w:rPr>
        <w:sz w:val="22"/>
        <w:szCs w:val="22"/>
      </w:rPr>
      <w:t>http://www.tandfonline.com</w:t>
    </w:r>
    <w:r>
      <w:rPr>
        <w:sz w:val="22"/>
        <w:szCs w:val="22"/>
      </w:rPr>
      <w:t>/</w:t>
    </w:r>
    <w:r w:rsidRPr="00A10F18">
      <w:rPr>
        <w:sz w:val="22"/>
        <w:szCs w:val="22"/>
      </w:rPr>
      <w:t>10.1080/13533312.2020.1733423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6156"/>
    <w:multiLevelType w:val="hybridMultilevel"/>
    <w:tmpl w:val="F7C4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7776"/>
    <w:multiLevelType w:val="hybridMultilevel"/>
    <w:tmpl w:val="86F0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256"/>
    <w:multiLevelType w:val="hybridMultilevel"/>
    <w:tmpl w:val="E6F856B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D2E255C"/>
    <w:multiLevelType w:val="multilevel"/>
    <w:tmpl w:val="03B46B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3B4EA2"/>
    <w:multiLevelType w:val="multilevel"/>
    <w:tmpl w:val="B1908D0A"/>
    <w:lvl w:ilvl="0">
      <w:start w:val="1"/>
      <w:numFmt w:val="decimal"/>
      <w:lvlText w:val="%1"/>
      <w:lvlJc w:val="left"/>
      <w:pPr>
        <w:ind w:left="1080" w:hanging="72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8B685E"/>
    <w:multiLevelType w:val="multilevel"/>
    <w:tmpl w:val="B1908D0A"/>
    <w:lvl w:ilvl="0">
      <w:start w:val="1"/>
      <w:numFmt w:val="decimal"/>
      <w:lvlText w:val="%1"/>
      <w:lvlJc w:val="left"/>
      <w:pPr>
        <w:ind w:left="1080" w:hanging="72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133215"/>
    <w:multiLevelType w:val="hybridMultilevel"/>
    <w:tmpl w:val="290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46225"/>
    <w:multiLevelType w:val="hybridMultilevel"/>
    <w:tmpl w:val="C260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2632C"/>
    <w:multiLevelType w:val="hybridMultilevel"/>
    <w:tmpl w:val="B798B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61FFF"/>
    <w:multiLevelType w:val="hybridMultilevel"/>
    <w:tmpl w:val="87DC8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52164"/>
    <w:multiLevelType w:val="hybridMultilevel"/>
    <w:tmpl w:val="559A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55BC0"/>
    <w:multiLevelType w:val="multilevel"/>
    <w:tmpl w:val="B1908D0A"/>
    <w:lvl w:ilvl="0">
      <w:start w:val="1"/>
      <w:numFmt w:val="decimal"/>
      <w:lvlText w:val="%1"/>
      <w:lvlJc w:val="left"/>
      <w:pPr>
        <w:ind w:left="1080" w:hanging="72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1"/>
  </w:num>
  <w:num w:numId="4">
    <w:abstractNumId w:val="7"/>
  </w:num>
  <w:num w:numId="5">
    <w:abstractNumId w:val="5"/>
  </w:num>
  <w:num w:numId="6">
    <w:abstractNumId w:val="10"/>
  </w:num>
  <w:num w:numId="7">
    <w:abstractNumId w:val="8"/>
  </w:num>
  <w:num w:numId="8">
    <w:abstractNumId w:val="9"/>
  </w:num>
  <w:num w:numId="9">
    <w:abstractNumId w:val="4"/>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0D"/>
    <w:rsid w:val="00000151"/>
    <w:rsid w:val="000118AE"/>
    <w:rsid w:val="00011B6A"/>
    <w:rsid w:val="00014070"/>
    <w:rsid w:val="00020A0F"/>
    <w:rsid w:val="000210D2"/>
    <w:rsid w:val="000213AE"/>
    <w:rsid w:val="00022976"/>
    <w:rsid w:val="000239FB"/>
    <w:rsid w:val="000265E8"/>
    <w:rsid w:val="00026A07"/>
    <w:rsid w:val="000306AC"/>
    <w:rsid w:val="000307A5"/>
    <w:rsid w:val="00030F44"/>
    <w:rsid w:val="00032A90"/>
    <w:rsid w:val="00034301"/>
    <w:rsid w:val="00034A30"/>
    <w:rsid w:val="000354E0"/>
    <w:rsid w:val="0003555E"/>
    <w:rsid w:val="00036996"/>
    <w:rsid w:val="00037017"/>
    <w:rsid w:val="000376D4"/>
    <w:rsid w:val="000406AF"/>
    <w:rsid w:val="0004093B"/>
    <w:rsid w:val="0004272B"/>
    <w:rsid w:val="00045FD1"/>
    <w:rsid w:val="0004760D"/>
    <w:rsid w:val="00050A4C"/>
    <w:rsid w:val="00051487"/>
    <w:rsid w:val="000534EF"/>
    <w:rsid w:val="000628D2"/>
    <w:rsid w:val="00063E81"/>
    <w:rsid w:val="0006515B"/>
    <w:rsid w:val="00072837"/>
    <w:rsid w:val="000738C2"/>
    <w:rsid w:val="00074424"/>
    <w:rsid w:val="00075C42"/>
    <w:rsid w:val="00075EB3"/>
    <w:rsid w:val="000767EF"/>
    <w:rsid w:val="000772FF"/>
    <w:rsid w:val="000819FD"/>
    <w:rsid w:val="00082C87"/>
    <w:rsid w:val="0008374E"/>
    <w:rsid w:val="00083EFC"/>
    <w:rsid w:val="00086D99"/>
    <w:rsid w:val="0008721B"/>
    <w:rsid w:val="00087C3A"/>
    <w:rsid w:val="0009048D"/>
    <w:rsid w:val="0009056F"/>
    <w:rsid w:val="000940A9"/>
    <w:rsid w:val="00095873"/>
    <w:rsid w:val="0009599F"/>
    <w:rsid w:val="000A0A92"/>
    <w:rsid w:val="000A0E0A"/>
    <w:rsid w:val="000A5BEB"/>
    <w:rsid w:val="000A68C6"/>
    <w:rsid w:val="000A7835"/>
    <w:rsid w:val="000B2044"/>
    <w:rsid w:val="000B3630"/>
    <w:rsid w:val="000B6080"/>
    <w:rsid w:val="000B70A8"/>
    <w:rsid w:val="000C15E3"/>
    <w:rsid w:val="000C1D09"/>
    <w:rsid w:val="000C4B8A"/>
    <w:rsid w:val="000C6908"/>
    <w:rsid w:val="000D25C4"/>
    <w:rsid w:val="000D430E"/>
    <w:rsid w:val="000D7112"/>
    <w:rsid w:val="000D76BA"/>
    <w:rsid w:val="000E16DD"/>
    <w:rsid w:val="000E19FE"/>
    <w:rsid w:val="000E5B35"/>
    <w:rsid w:val="000E6A8F"/>
    <w:rsid w:val="000E7949"/>
    <w:rsid w:val="000F264B"/>
    <w:rsid w:val="000F2FCB"/>
    <w:rsid w:val="000F3A5B"/>
    <w:rsid w:val="000F57C4"/>
    <w:rsid w:val="000F5988"/>
    <w:rsid w:val="000F7A84"/>
    <w:rsid w:val="0010421F"/>
    <w:rsid w:val="00113D50"/>
    <w:rsid w:val="00117533"/>
    <w:rsid w:val="00123248"/>
    <w:rsid w:val="00123A16"/>
    <w:rsid w:val="00123F92"/>
    <w:rsid w:val="001261FD"/>
    <w:rsid w:val="00127464"/>
    <w:rsid w:val="001304AF"/>
    <w:rsid w:val="0013294B"/>
    <w:rsid w:val="00135111"/>
    <w:rsid w:val="00142198"/>
    <w:rsid w:val="00142552"/>
    <w:rsid w:val="001440F5"/>
    <w:rsid w:val="0014439D"/>
    <w:rsid w:val="001453C6"/>
    <w:rsid w:val="00145A8F"/>
    <w:rsid w:val="00150BF3"/>
    <w:rsid w:val="001516E2"/>
    <w:rsid w:val="0015206D"/>
    <w:rsid w:val="0015762B"/>
    <w:rsid w:val="00162338"/>
    <w:rsid w:val="001624C1"/>
    <w:rsid w:val="00162DEA"/>
    <w:rsid w:val="00164FB9"/>
    <w:rsid w:val="00165ABF"/>
    <w:rsid w:val="00172715"/>
    <w:rsid w:val="00175E41"/>
    <w:rsid w:val="001809C6"/>
    <w:rsid w:val="00181955"/>
    <w:rsid w:val="00190F01"/>
    <w:rsid w:val="00196B1D"/>
    <w:rsid w:val="001A1EF6"/>
    <w:rsid w:val="001A234E"/>
    <w:rsid w:val="001A23BB"/>
    <w:rsid w:val="001B0908"/>
    <w:rsid w:val="001B0A9C"/>
    <w:rsid w:val="001B4FE8"/>
    <w:rsid w:val="001B5444"/>
    <w:rsid w:val="001B645C"/>
    <w:rsid w:val="001B7546"/>
    <w:rsid w:val="001C10C8"/>
    <w:rsid w:val="001C1540"/>
    <w:rsid w:val="001C1814"/>
    <w:rsid w:val="001C1F0E"/>
    <w:rsid w:val="001C677A"/>
    <w:rsid w:val="001D1C33"/>
    <w:rsid w:val="001D3F99"/>
    <w:rsid w:val="001E1BF2"/>
    <w:rsid w:val="001E2E16"/>
    <w:rsid w:val="001E461A"/>
    <w:rsid w:val="001E5458"/>
    <w:rsid w:val="001E68A7"/>
    <w:rsid w:val="001E6D19"/>
    <w:rsid w:val="001F3E51"/>
    <w:rsid w:val="001F664E"/>
    <w:rsid w:val="001F7FF4"/>
    <w:rsid w:val="002046CB"/>
    <w:rsid w:val="002113A9"/>
    <w:rsid w:val="002120F2"/>
    <w:rsid w:val="002146EA"/>
    <w:rsid w:val="00214AD5"/>
    <w:rsid w:val="00216E2B"/>
    <w:rsid w:val="00221833"/>
    <w:rsid w:val="002226C4"/>
    <w:rsid w:val="002235D9"/>
    <w:rsid w:val="00225E8D"/>
    <w:rsid w:val="0022687D"/>
    <w:rsid w:val="0023220A"/>
    <w:rsid w:val="00233CA0"/>
    <w:rsid w:val="0023511A"/>
    <w:rsid w:val="00240C5C"/>
    <w:rsid w:val="00241593"/>
    <w:rsid w:val="0024171C"/>
    <w:rsid w:val="00242118"/>
    <w:rsid w:val="00242461"/>
    <w:rsid w:val="00247C9C"/>
    <w:rsid w:val="002502EF"/>
    <w:rsid w:val="00256CA5"/>
    <w:rsid w:val="00257DD8"/>
    <w:rsid w:val="00260069"/>
    <w:rsid w:val="00260F1D"/>
    <w:rsid w:val="00270851"/>
    <w:rsid w:val="0027528A"/>
    <w:rsid w:val="002769E1"/>
    <w:rsid w:val="00280EE3"/>
    <w:rsid w:val="002839FF"/>
    <w:rsid w:val="00292AA5"/>
    <w:rsid w:val="00294C9B"/>
    <w:rsid w:val="002960E9"/>
    <w:rsid w:val="002969BB"/>
    <w:rsid w:val="002A6481"/>
    <w:rsid w:val="002B5DC6"/>
    <w:rsid w:val="002B5E70"/>
    <w:rsid w:val="002B6D61"/>
    <w:rsid w:val="002C0E3B"/>
    <w:rsid w:val="002C2891"/>
    <w:rsid w:val="002C2A26"/>
    <w:rsid w:val="002C5D82"/>
    <w:rsid w:val="002C68C0"/>
    <w:rsid w:val="002D0E09"/>
    <w:rsid w:val="002D1D75"/>
    <w:rsid w:val="002D2001"/>
    <w:rsid w:val="002D2288"/>
    <w:rsid w:val="002D321C"/>
    <w:rsid w:val="002D5E7D"/>
    <w:rsid w:val="002D65F3"/>
    <w:rsid w:val="002D750A"/>
    <w:rsid w:val="002E18D7"/>
    <w:rsid w:val="002E5B2C"/>
    <w:rsid w:val="002E6F05"/>
    <w:rsid w:val="002F0AF0"/>
    <w:rsid w:val="002F39C1"/>
    <w:rsid w:val="002F3B3F"/>
    <w:rsid w:val="002F5DDD"/>
    <w:rsid w:val="002F5E9C"/>
    <w:rsid w:val="0030508F"/>
    <w:rsid w:val="00305274"/>
    <w:rsid w:val="0030748C"/>
    <w:rsid w:val="00307754"/>
    <w:rsid w:val="003122CC"/>
    <w:rsid w:val="003146D6"/>
    <w:rsid w:val="00317619"/>
    <w:rsid w:val="00321584"/>
    <w:rsid w:val="00321BCB"/>
    <w:rsid w:val="003227CF"/>
    <w:rsid w:val="003236A5"/>
    <w:rsid w:val="003271C1"/>
    <w:rsid w:val="0033030A"/>
    <w:rsid w:val="00331159"/>
    <w:rsid w:val="0033266A"/>
    <w:rsid w:val="00334BFD"/>
    <w:rsid w:val="0033505E"/>
    <w:rsid w:val="00335C92"/>
    <w:rsid w:val="003364A9"/>
    <w:rsid w:val="00336625"/>
    <w:rsid w:val="003401BA"/>
    <w:rsid w:val="00342B8E"/>
    <w:rsid w:val="00347C78"/>
    <w:rsid w:val="003535F3"/>
    <w:rsid w:val="00356058"/>
    <w:rsid w:val="0035769F"/>
    <w:rsid w:val="00360132"/>
    <w:rsid w:val="00363F6C"/>
    <w:rsid w:val="0036713C"/>
    <w:rsid w:val="00372D92"/>
    <w:rsid w:val="00373875"/>
    <w:rsid w:val="00376E6F"/>
    <w:rsid w:val="003810EF"/>
    <w:rsid w:val="00384AB6"/>
    <w:rsid w:val="00392555"/>
    <w:rsid w:val="00392C87"/>
    <w:rsid w:val="00394257"/>
    <w:rsid w:val="00396F49"/>
    <w:rsid w:val="0039785C"/>
    <w:rsid w:val="003A0347"/>
    <w:rsid w:val="003A43F7"/>
    <w:rsid w:val="003B2132"/>
    <w:rsid w:val="003B37B5"/>
    <w:rsid w:val="003C7C1E"/>
    <w:rsid w:val="003D0BAC"/>
    <w:rsid w:val="003D41A4"/>
    <w:rsid w:val="003D72FB"/>
    <w:rsid w:val="003E0392"/>
    <w:rsid w:val="003E0AC2"/>
    <w:rsid w:val="003E1544"/>
    <w:rsid w:val="003E66D0"/>
    <w:rsid w:val="003F16AC"/>
    <w:rsid w:val="003F16C6"/>
    <w:rsid w:val="003F256F"/>
    <w:rsid w:val="003F5C9B"/>
    <w:rsid w:val="003F5E85"/>
    <w:rsid w:val="003F6DA4"/>
    <w:rsid w:val="00400FCB"/>
    <w:rsid w:val="004112B0"/>
    <w:rsid w:val="00413B59"/>
    <w:rsid w:val="004153E3"/>
    <w:rsid w:val="00415641"/>
    <w:rsid w:val="00415A01"/>
    <w:rsid w:val="00417863"/>
    <w:rsid w:val="00420499"/>
    <w:rsid w:val="004236EF"/>
    <w:rsid w:val="00426B21"/>
    <w:rsid w:val="00427AB6"/>
    <w:rsid w:val="00432639"/>
    <w:rsid w:val="00432A1D"/>
    <w:rsid w:val="004334C1"/>
    <w:rsid w:val="00433681"/>
    <w:rsid w:val="00434894"/>
    <w:rsid w:val="00435752"/>
    <w:rsid w:val="004424C9"/>
    <w:rsid w:val="00442694"/>
    <w:rsid w:val="004500AC"/>
    <w:rsid w:val="00451E03"/>
    <w:rsid w:val="00454255"/>
    <w:rsid w:val="0045524D"/>
    <w:rsid w:val="00457264"/>
    <w:rsid w:val="0045736A"/>
    <w:rsid w:val="00460AD6"/>
    <w:rsid w:val="00460B42"/>
    <w:rsid w:val="0046164F"/>
    <w:rsid w:val="004639D2"/>
    <w:rsid w:val="00464EDE"/>
    <w:rsid w:val="00464F00"/>
    <w:rsid w:val="00466639"/>
    <w:rsid w:val="0047062D"/>
    <w:rsid w:val="00471C1D"/>
    <w:rsid w:val="004729EB"/>
    <w:rsid w:val="00477382"/>
    <w:rsid w:val="00477D25"/>
    <w:rsid w:val="0048063F"/>
    <w:rsid w:val="00481003"/>
    <w:rsid w:val="00481A10"/>
    <w:rsid w:val="004842D8"/>
    <w:rsid w:val="00492C04"/>
    <w:rsid w:val="00492C75"/>
    <w:rsid w:val="00495012"/>
    <w:rsid w:val="00495665"/>
    <w:rsid w:val="00496845"/>
    <w:rsid w:val="004A078A"/>
    <w:rsid w:val="004A0EA5"/>
    <w:rsid w:val="004A1E4D"/>
    <w:rsid w:val="004A245A"/>
    <w:rsid w:val="004A3947"/>
    <w:rsid w:val="004B032D"/>
    <w:rsid w:val="004B306F"/>
    <w:rsid w:val="004B7195"/>
    <w:rsid w:val="004B7764"/>
    <w:rsid w:val="004C24A7"/>
    <w:rsid w:val="004C424B"/>
    <w:rsid w:val="004C49C0"/>
    <w:rsid w:val="004C4A49"/>
    <w:rsid w:val="004C7C47"/>
    <w:rsid w:val="004D1FB9"/>
    <w:rsid w:val="004D2CFB"/>
    <w:rsid w:val="004D41B3"/>
    <w:rsid w:val="004D704A"/>
    <w:rsid w:val="004E05A2"/>
    <w:rsid w:val="004F2B47"/>
    <w:rsid w:val="00501623"/>
    <w:rsid w:val="005025C7"/>
    <w:rsid w:val="00503A4F"/>
    <w:rsid w:val="00504D08"/>
    <w:rsid w:val="00506C90"/>
    <w:rsid w:val="005126E0"/>
    <w:rsid w:val="00512F46"/>
    <w:rsid w:val="005135CE"/>
    <w:rsid w:val="00513B01"/>
    <w:rsid w:val="00513CEB"/>
    <w:rsid w:val="005143C8"/>
    <w:rsid w:val="005149D9"/>
    <w:rsid w:val="005161D7"/>
    <w:rsid w:val="0051717C"/>
    <w:rsid w:val="00517C37"/>
    <w:rsid w:val="00520431"/>
    <w:rsid w:val="00520726"/>
    <w:rsid w:val="00523859"/>
    <w:rsid w:val="005259A6"/>
    <w:rsid w:val="00525D04"/>
    <w:rsid w:val="0052710D"/>
    <w:rsid w:val="005273F9"/>
    <w:rsid w:val="00527F5A"/>
    <w:rsid w:val="00532BAF"/>
    <w:rsid w:val="0053503A"/>
    <w:rsid w:val="0054056A"/>
    <w:rsid w:val="00544617"/>
    <w:rsid w:val="00551280"/>
    <w:rsid w:val="00551CCC"/>
    <w:rsid w:val="0055318A"/>
    <w:rsid w:val="00553F78"/>
    <w:rsid w:val="00554825"/>
    <w:rsid w:val="00556242"/>
    <w:rsid w:val="00556314"/>
    <w:rsid w:val="00557273"/>
    <w:rsid w:val="00557CDE"/>
    <w:rsid w:val="005619A0"/>
    <w:rsid w:val="00566D3A"/>
    <w:rsid w:val="00566DDA"/>
    <w:rsid w:val="00571003"/>
    <w:rsid w:val="0057481A"/>
    <w:rsid w:val="00575085"/>
    <w:rsid w:val="00576130"/>
    <w:rsid w:val="0057726B"/>
    <w:rsid w:val="005806ED"/>
    <w:rsid w:val="00580BC3"/>
    <w:rsid w:val="0058729F"/>
    <w:rsid w:val="005902BF"/>
    <w:rsid w:val="005908C3"/>
    <w:rsid w:val="00592744"/>
    <w:rsid w:val="00592D35"/>
    <w:rsid w:val="005941F1"/>
    <w:rsid w:val="00594830"/>
    <w:rsid w:val="00594C3A"/>
    <w:rsid w:val="00594DDC"/>
    <w:rsid w:val="0059509E"/>
    <w:rsid w:val="00595E8A"/>
    <w:rsid w:val="005A07FE"/>
    <w:rsid w:val="005A1B82"/>
    <w:rsid w:val="005A26AA"/>
    <w:rsid w:val="005A5E94"/>
    <w:rsid w:val="005A6FF6"/>
    <w:rsid w:val="005A7C0A"/>
    <w:rsid w:val="005A7EDD"/>
    <w:rsid w:val="005B022C"/>
    <w:rsid w:val="005B094C"/>
    <w:rsid w:val="005B4E98"/>
    <w:rsid w:val="005B5EF0"/>
    <w:rsid w:val="005B7F31"/>
    <w:rsid w:val="005C22D0"/>
    <w:rsid w:val="005C39FA"/>
    <w:rsid w:val="005C7F48"/>
    <w:rsid w:val="005D059E"/>
    <w:rsid w:val="005E080C"/>
    <w:rsid w:val="005E238E"/>
    <w:rsid w:val="005E4BAC"/>
    <w:rsid w:val="005F135D"/>
    <w:rsid w:val="005F35A2"/>
    <w:rsid w:val="005F378B"/>
    <w:rsid w:val="005F7A80"/>
    <w:rsid w:val="006012EC"/>
    <w:rsid w:val="00602E73"/>
    <w:rsid w:val="00605686"/>
    <w:rsid w:val="00607124"/>
    <w:rsid w:val="00614777"/>
    <w:rsid w:val="00615C85"/>
    <w:rsid w:val="006228EA"/>
    <w:rsid w:val="00641EA4"/>
    <w:rsid w:val="00641ECB"/>
    <w:rsid w:val="00642BCF"/>
    <w:rsid w:val="00642D40"/>
    <w:rsid w:val="00645190"/>
    <w:rsid w:val="006463E0"/>
    <w:rsid w:val="00652DEE"/>
    <w:rsid w:val="00652FCB"/>
    <w:rsid w:val="00654A66"/>
    <w:rsid w:val="00655B9A"/>
    <w:rsid w:val="0065653E"/>
    <w:rsid w:val="00660997"/>
    <w:rsid w:val="006628DF"/>
    <w:rsid w:val="006639C7"/>
    <w:rsid w:val="006669A4"/>
    <w:rsid w:val="00675047"/>
    <w:rsid w:val="00684BA6"/>
    <w:rsid w:val="006855D0"/>
    <w:rsid w:val="0068657B"/>
    <w:rsid w:val="00686CC9"/>
    <w:rsid w:val="006871FC"/>
    <w:rsid w:val="00693D80"/>
    <w:rsid w:val="006B13B3"/>
    <w:rsid w:val="006B4CEB"/>
    <w:rsid w:val="006B5B39"/>
    <w:rsid w:val="006C1464"/>
    <w:rsid w:val="006C2718"/>
    <w:rsid w:val="006D212F"/>
    <w:rsid w:val="006D3C2E"/>
    <w:rsid w:val="006D4EC9"/>
    <w:rsid w:val="006D5E84"/>
    <w:rsid w:val="006E043D"/>
    <w:rsid w:val="006E351B"/>
    <w:rsid w:val="006F0581"/>
    <w:rsid w:val="006F1DD3"/>
    <w:rsid w:val="007003E9"/>
    <w:rsid w:val="007003EA"/>
    <w:rsid w:val="00706F9A"/>
    <w:rsid w:val="00706FD8"/>
    <w:rsid w:val="00710C0F"/>
    <w:rsid w:val="0071218D"/>
    <w:rsid w:val="007132D2"/>
    <w:rsid w:val="007146D8"/>
    <w:rsid w:val="00722D55"/>
    <w:rsid w:val="00723642"/>
    <w:rsid w:val="00723FA6"/>
    <w:rsid w:val="0072796A"/>
    <w:rsid w:val="007324CE"/>
    <w:rsid w:val="00732D73"/>
    <w:rsid w:val="00733126"/>
    <w:rsid w:val="00733812"/>
    <w:rsid w:val="00734316"/>
    <w:rsid w:val="00734B08"/>
    <w:rsid w:val="007369D6"/>
    <w:rsid w:val="00737618"/>
    <w:rsid w:val="00737627"/>
    <w:rsid w:val="00740E37"/>
    <w:rsid w:val="00741B6C"/>
    <w:rsid w:val="007422B4"/>
    <w:rsid w:val="00742DE8"/>
    <w:rsid w:val="00743738"/>
    <w:rsid w:val="00746CAC"/>
    <w:rsid w:val="00747ED6"/>
    <w:rsid w:val="00755A6C"/>
    <w:rsid w:val="00756A99"/>
    <w:rsid w:val="00761024"/>
    <w:rsid w:val="007620B4"/>
    <w:rsid w:val="00762EE6"/>
    <w:rsid w:val="0077045B"/>
    <w:rsid w:val="00772C5C"/>
    <w:rsid w:val="00774AAD"/>
    <w:rsid w:val="007837B8"/>
    <w:rsid w:val="00783D62"/>
    <w:rsid w:val="007921E0"/>
    <w:rsid w:val="0079660D"/>
    <w:rsid w:val="0079706A"/>
    <w:rsid w:val="007972B8"/>
    <w:rsid w:val="007977D8"/>
    <w:rsid w:val="007A0BF2"/>
    <w:rsid w:val="007A0F75"/>
    <w:rsid w:val="007A17BC"/>
    <w:rsid w:val="007A2341"/>
    <w:rsid w:val="007A2F52"/>
    <w:rsid w:val="007A323E"/>
    <w:rsid w:val="007A6692"/>
    <w:rsid w:val="007B5252"/>
    <w:rsid w:val="007C1E44"/>
    <w:rsid w:val="007C271A"/>
    <w:rsid w:val="007C5FCC"/>
    <w:rsid w:val="007C7562"/>
    <w:rsid w:val="007D065D"/>
    <w:rsid w:val="007D23D5"/>
    <w:rsid w:val="007D288E"/>
    <w:rsid w:val="007D3875"/>
    <w:rsid w:val="007E0CD0"/>
    <w:rsid w:val="007F050A"/>
    <w:rsid w:val="007F37D4"/>
    <w:rsid w:val="007F414A"/>
    <w:rsid w:val="00806BA1"/>
    <w:rsid w:val="00814EEC"/>
    <w:rsid w:val="0081506F"/>
    <w:rsid w:val="008178D3"/>
    <w:rsid w:val="00820676"/>
    <w:rsid w:val="00820F32"/>
    <w:rsid w:val="008225EA"/>
    <w:rsid w:val="00825E33"/>
    <w:rsid w:val="00826FCD"/>
    <w:rsid w:val="00826FF6"/>
    <w:rsid w:val="0083378A"/>
    <w:rsid w:val="00833A66"/>
    <w:rsid w:val="0083552A"/>
    <w:rsid w:val="008501D9"/>
    <w:rsid w:val="00855436"/>
    <w:rsid w:val="00856A35"/>
    <w:rsid w:val="00856DBF"/>
    <w:rsid w:val="0086594D"/>
    <w:rsid w:val="00867688"/>
    <w:rsid w:val="0087048B"/>
    <w:rsid w:val="00872AA2"/>
    <w:rsid w:val="00873699"/>
    <w:rsid w:val="00875C8B"/>
    <w:rsid w:val="00880F26"/>
    <w:rsid w:val="00882ADE"/>
    <w:rsid w:val="00884BBA"/>
    <w:rsid w:val="00886A19"/>
    <w:rsid w:val="00891CDC"/>
    <w:rsid w:val="008924FB"/>
    <w:rsid w:val="008930B9"/>
    <w:rsid w:val="0089439F"/>
    <w:rsid w:val="0089674E"/>
    <w:rsid w:val="008A07A4"/>
    <w:rsid w:val="008A182C"/>
    <w:rsid w:val="008A1C02"/>
    <w:rsid w:val="008A2101"/>
    <w:rsid w:val="008A2928"/>
    <w:rsid w:val="008A5FA5"/>
    <w:rsid w:val="008B0A26"/>
    <w:rsid w:val="008B26B7"/>
    <w:rsid w:val="008B53D7"/>
    <w:rsid w:val="008B6141"/>
    <w:rsid w:val="008C52C3"/>
    <w:rsid w:val="008D3708"/>
    <w:rsid w:val="008D3864"/>
    <w:rsid w:val="008E3B10"/>
    <w:rsid w:val="008E500E"/>
    <w:rsid w:val="008F21F1"/>
    <w:rsid w:val="008F2E22"/>
    <w:rsid w:val="008F355B"/>
    <w:rsid w:val="008F5CCD"/>
    <w:rsid w:val="008F7F1F"/>
    <w:rsid w:val="00900051"/>
    <w:rsid w:val="00900A8D"/>
    <w:rsid w:val="00905646"/>
    <w:rsid w:val="00905B1A"/>
    <w:rsid w:val="00906C6E"/>
    <w:rsid w:val="00907F86"/>
    <w:rsid w:val="00916E8F"/>
    <w:rsid w:val="00917193"/>
    <w:rsid w:val="00922033"/>
    <w:rsid w:val="00923D13"/>
    <w:rsid w:val="0092596F"/>
    <w:rsid w:val="00926DA9"/>
    <w:rsid w:val="00927562"/>
    <w:rsid w:val="0093048D"/>
    <w:rsid w:val="00933443"/>
    <w:rsid w:val="009379B2"/>
    <w:rsid w:val="0094091F"/>
    <w:rsid w:val="00943A61"/>
    <w:rsid w:val="00943B54"/>
    <w:rsid w:val="00950E2A"/>
    <w:rsid w:val="009525FA"/>
    <w:rsid w:val="009527CE"/>
    <w:rsid w:val="00955B10"/>
    <w:rsid w:val="00956DEE"/>
    <w:rsid w:val="00957284"/>
    <w:rsid w:val="0096141C"/>
    <w:rsid w:val="00967A23"/>
    <w:rsid w:val="00970E2A"/>
    <w:rsid w:val="00984260"/>
    <w:rsid w:val="00985D80"/>
    <w:rsid w:val="009949A4"/>
    <w:rsid w:val="009A02B1"/>
    <w:rsid w:val="009A0BE7"/>
    <w:rsid w:val="009A2930"/>
    <w:rsid w:val="009A508E"/>
    <w:rsid w:val="009B0029"/>
    <w:rsid w:val="009B3E7B"/>
    <w:rsid w:val="009B6214"/>
    <w:rsid w:val="009C0988"/>
    <w:rsid w:val="009D19D5"/>
    <w:rsid w:val="009D20A9"/>
    <w:rsid w:val="009D3016"/>
    <w:rsid w:val="009D605F"/>
    <w:rsid w:val="009E4340"/>
    <w:rsid w:val="009E7B0E"/>
    <w:rsid w:val="009E7F2F"/>
    <w:rsid w:val="009F0ED0"/>
    <w:rsid w:val="009F1B88"/>
    <w:rsid w:val="009F21F2"/>
    <w:rsid w:val="00A042D5"/>
    <w:rsid w:val="00A06D94"/>
    <w:rsid w:val="00A10F18"/>
    <w:rsid w:val="00A11444"/>
    <w:rsid w:val="00A12CD4"/>
    <w:rsid w:val="00A2152E"/>
    <w:rsid w:val="00A215E8"/>
    <w:rsid w:val="00A24C83"/>
    <w:rsid w:val="00A256A0"/>
    <w:rsid w:val="00A25FAB"/>
    <w:rsid w:val="00A271C4"/>
    <w:rsid w:val="00A30343"/>
    <w:rsid w:val="00A32F7D"/>
    <w:rsid w:val="00A42B0F"/>
    <w:rsid w:val="00A50F25"/>
    <w:rsid w:val="00A541A0"/>
    <w:rsid w:val="00A54FC0"/>
    <w:rsid w:val="00A57FCF"/>
    <w:rsid w:val="00A60E54"/>
    <w:rsid w:val="00A61B15"/>
    <w:rsid w:val="00A63763"/>
    <w:rsid w:val="00A700F1"/>
    <w:rsid w:val="00A75782"/>
    <w:rsid w:val="00A83CEB"/>
    <w:rsid w:val="00A84C86"/>
    <w:rsid w:val="00A84ED4"/>
    <w:rsid w:val="00A853A4"/>
    <w:rsid w:val="00A866D2"/>
    <w:rsid w:val="00A928DE"/>
    <w:rsid w:val="00A94857"/>
    <w:rsid w:val="00A96C06"/>
    <w:rsid w:val="00AA4F7A"/>
    <w:rsid w:val="00AA5174"/>
    <w:rsid w:val="00AA7D7E"/>
    <w:rsid w:val="00AB1CE8"/>
    <w:rsid w:val="00AB1D9A"/>
    <w:rsid w:val="00AB3749"/>
    <w:rsid w:val="00AC2B44"/>
    <w:rsid w:val="00AC3F7F"/>
    <w:rsid w:val="00AC6291"/>
    <w:rsid w:val="00AD0B29"/>
    <w:rsid w:val="00AD6843"/>
    <w:rsid w:val="00AE0776"/>
    <w:rsid w:val="00AE0DE4"/>
    <w:rsid w:val="00AE2C1D"/>
    <w:rsid w:val="00AE59EB"/>
    <w:rsid w:val="00AE5F51"/>
    <w:rsid w:val="00AE7D4C"/>
    <w:rsid w:val="00AE7FB5"/>
    <w:rsid w:val="00AF0964"/>
    <w:rsid w:val="00AF27FC"/>
    <w:rsid w:val="00AF3D87"/>
    <w:rsid w:val="00AF6373"/>
    <w:rsid w:val="00AF6AB6"/>
    <w:rsid w:val="00AF7556"/>
    <w:rsid w:val="00B00C5E"/>
    <w:rsid w:val="00B04DB3"/>
    <w:rsid w:val="00B0739B"/>
    <w:rsid w:val="00B11A36"/>
    <w:rsid w:val="00B12C60"/>
    <w:rsid w:val="00B13725"/>
    <w:rsid w:val="00B22E83"/>
    <w:rsid w:val="00B23377"/>
    <w:rsid w:val="00B276B3"/>
    <w:rsid w:val="00B30588"/>
    <w:rsid w:val="00B30F9C"/>
    <w:rsid w:val="00B3262E"/>
    <w:rsid w:val="00B362BC"/>
    <w:rsid w:val="00B36F7D"/>
    <w:rsid w:val="00B37C72"/>
    <w:rsid w:val="00B432C2"/>
    <w:rsid w:val="00B435EC"/>
    <w:rsid w:val="00B45C8F"/>
    <w:rsid w:val="00B466EA"/>
    <w:rsid w:val="00B46922"/>
    <w:rsid w:val="00B46CB2"/>
    <w:rsid w:val="00B476D5"/>
    <w:rsid w:val="00B47DFE"/>
    <w:rsid w:val="00B51C15"/>
    <w:rsid w:val="00B51EBF"/>
    <w:rsid w:val="00B522A9"/>
    <w:rsid w:val="00B550D1"/>
    <w:rsid w:val="00B564C5"/>
    <w:rsid w:val="00B71DB0"/>
    <w:rsid w:val="00B72CA7"/>
    <w:rsid w:val="00B74905"/>
    <w:rsid w:val="00B7636C"/>
    <w:rsid w:val="00B76639"/>
    <w:rsid w:val="00B7797B"/>
    <w:rsid w:val="00B8155D"/>
    <w:rsid w:val="00B82295"/>
    <w:rsid w:val="00B856D1"/>
    <w:rsid w:val="00B86892"/>
    <w:rsid w:val="00B9175D"/>
    <w:rsid w:val="00B94E9E"/>
    <w:rsid w:val="00B95628"/>
    <w:rsid w:val="00B977C0"/>
    <w:rsid w:val="00BA1DD3"/>
    <w:rsid w:val="00BA218D"/>
    <w:rsid w:val="00BA608C"/>
    <w:rsid w:val="00BA747F"/>
    <w:rsid w:val="00BB1E3A"/>
    <w:rsid w:val="00BB3134"/>
    <w:rsid w:val="00BB51B2"/>
    <w:rsid w:val="00BB57D5"/>
    <w:rsid w:val="00BB65C8"/>
    <w:rsid w:val="00BC3F2B"/>
    <w:rsid w:val="00BC4053"/>
    <w:rsid w:val="00BC5B54"/>
    <w:rsid w:val="00BD11E7"/>
    <w:rsid w:val="00BD4880"/>
    <w:rsid w:val="00BD7333"/>
    <w:rsid w:val="00BD7CC4"/>
    <w:rsid w:val="00BE5975"/>
    <w:rsid w:val="00BE5984"/>
    <w:rsid w:val="00BF043C"/>
    <w:rsid w:val="00BF0D15"/>
    <w:rsid w:val="00BF1CAB"/>
    <w:rsid w:val="00BF29C6"/>
    <w:rsid w:val="00BF340C"/>
    <w:rsid w:val="00BF3F80"/>
    <w:rsid w:val="00BF5048"/>
    <w:rsid w:val="00BF6690"/>
    <w:rsid w:val="00BF66E4"/>
    <w:rsid w:val="00C00156"/>
    <w:rsid w:val="00C02E1E"/>
    <w:rsid w:val="00C0491D"/>
    <w:rsid w:val="00C0716A"/>
    <w:rsid w:val="00C12556"/>
    <w:rsid w:val="00C13871"/>
    <w:rsid w:val="00C142B7"/>
    <w:rsid w:val="00C15CDE"/>
    <w:rsid w:val="00C1732F"/>
    <w:rsid w:val="00C20696"/>
    <w:rsid w:val="00C2322F"/>
    <w:rsid w:val="00C240BF"/>
    <w:rsid w:val="00C24B1F"/>
    <w:rsid w:val="00C3050F"/>
    <w:rsid w:val="00C3136F"/>
    <w:rsid w:val="00C32B88"/>
    <w:rsid w:val="00C41317"/>
    <w:rsid w:val="00C43189"/>
    <w:rsid w:val="00C4400E"/>
    <w:rsid w:val="00C50BE7"/>
    <w:rsid w:val="00C5377B"/>
    <w:rsid w:val="00C53D7D"/>
    <w:rsid w:val="00C61638"/>
    <w:rsid w:val="00C63DBB"/>
    <w:rsid w:val="00C640F0"/>
    <w:rsid w:val="00C65268"/>
    <w:rsid w:val="00C67FE3"/>
    <w:rsid w:val="00C7695C"/>
    <w:rsid w:val="00C76AF1"/>
    <w:rsid w:val="00C80FFD"/>
    <w:rsid w:val="00C8173B"/>
    <w:rsid w:val="00C832B8"/>
    <w:rsid w:val="00C86C31"/>
    <w:rsid w:val="00C90FC2"/>
    <w:rsid w:val="00C963EF"/>
    <w:rsid w:val="00C9657A"/>
    <w:rsid w:val="00CA31AA"/>
    <w:rsid w:val="00CA39DC"/>
    <w:rsid w:val="00CA4219"/>
    <w:rsid w:val="00CA6458"/>
    <w:rsid w:val="00CB54D2"/>
    <w:rsid w:val="00CB6680"/>
    <w:rsid w:val="00CC24E1"/>
    <w:rsid w:val="00CC2841"/>
    <w:rsid w:val="00CC3956"/>
    <w:rsid w:val="00CC3A1A"/>
    <w:rsid w:val="00CC460E"/>
    <w:rsid w:val="00CD0510"/>
    <w:rsid w:val="00CD3254"/>
    <w:rsid w:val="00CD5475"/>
    <w:rsid w:val="00CE14A1"/>
    <w:rsid w:val="00CE446D"/>
    <w:rsid w:val="00CE46E6"/>
    <w:rsid w:val="00CE6E91"/>
    <w:rsid w:val="00CE7EC9"/>
    <w:rsid w:val="00CF2001"/>
    <w:rsid w:val="00CF3FB6"/>
    <w:rsid w:val="00D00E79"/>
    <w:rsid w:val="00D01FEA"/>
    <w:rsid w:val="00D053B3"/>
    <w:rsid w:val="00D100FC"/>
    <w:rsid w:val="00D10690"/>
    <w:rsid w:val="00D13A1E"/>
    <w:rsid w:val="00D178D9"/>
    <w:rsid w:val="00D208A8"/>
    <w:rsid w:val="00D21ECE"/>
    <w:rsid w:val="00D232EB"/>
    <w:rsid w:val="00D25A33"/>
    <w:rsid w:val="00D27FFA"/>
    <w:rsid w:val="00D31F87"/>
    <w:rsid w:val="00D35059"/>
    <w:rsid w:val="00D35905"/>
    <w:rsid w:val="00D368DE"/>
    <w:rsid w:val="00D456C5"/>
    <w:rsid w:val="00D60CB8"/>
    <w:rsid w:val="00D63E85"/>
    <w:rsid w:val="00D70C06"/>
    <w:rsid w:val="00D70C5F"/>
    <w:rsid w:val="00D72051"/>
    <w:rsid w:val="00D7433C"/>
    <w:rsid w:val="00D8030C"/>
    <w:rsid w:val="00D84317"/>
    <w:rsid w:val="00D86FC7"/>
    <w:rsid w:val="00D903EF"/>
    <w:rsid w:val="00D91AA5"/>
    <w:rsid w:val="00D92C8E"/>
    <w:rsid w:val="00D93FA6"/>
    <w:rsid w:val="00DA3036"/>
    <w:rsid w:val="00DA3B69"/>
    <w:rsid w:val="00DA5696"/>
    <w:rsid w:val="00DA5B9B"/>
    <w:rsid w:val="00DB0798"/>
    <w:rsid w:val="00DB0C94"/>
    <w:rsid w:val="00DB17EF"/>
    <w:rsid w:val="00DB48B1"/>
    <w:rsid w:val="00DB619D"/>
    <w:rsid w:val="00DC3C21"/>
    <w:rsid w:val="00DC50B6"/>
    <w:rsid w:val="00DC6937"/>
    <w:rsid w:val="00DD16A8"/>
    <w:rsid w:val="00DD4B56"/>
    <w:rsid w:val="00DD5C1C"/>
    <w:rsid w:val="00DE32CC"/>
    <w:rsid w:val="00DE4350"/>
    <w:rsid w:val="00DE7383"/>
    <w:rsid w:val="00DF19DD"/>
    <w:rsid w:val="00DF2CF3"/>
    <w:rsid w:val="00DF32BD"/>
    <w:rsid w:val="00DF3C6D"/>
    <w:rsid w:val="00DF7809"/>
    <w:rsid w:val="00E0286A"/>
    <w:rsid w:val="00E02C8F"/>
    <w:rsid w:val="00E04A89"/>
    <w:rsid w:val="00E05463"/>
    <w:rsid w:val="00E07701"/>
    <w:rsid w:val="00E11602"/>
    <w:rsid w:val="00E148C0"/>
    <w:rsid w:val="00E15CE6"/>
    <w:rsid w:val="00E15DC3"/>
    <w:rsid w:val="00E226AE"/>
    <w:rsid w:val="00E226B1"/>
    <w:rsid w:val="00E27708"/>
    <w:rsid w:val="00E31021"/>
    <w:rsid w:val="00E35320"/>
    <w:rsid w:val="00E3668F"/>
    <w:rsid w:val="00E41AF3"/>
    <w:rsid w:val="00E44427"/>
    <w:rsid w:val="00E51435"/>
    <w:rsid w:val="00E527BE"/>
    <w:rsid w:val="00E5417E"/>
    <w:rsid w:val="00E570CC"/>
    <w:rsid w:val="00E60590"/>
    <w:rsid w:val="00E61B1F"/>
    <w:rsid w:val="00E630CF"/>
    <w:rsid w:val="00E63DEE"/>
    <w:rsid w:val="00E64DF0"/>
    <w:rsid w:val="00E66F54"/>
    <w:rsid w:val="00E708F3"/>
    <w:rsid w:val="00E73DEE"/>
    <w:rsid w:val="00E7527D"/>
    <w:rsid w:val="00E7594B"/>
    <w:rsid w:val="00E75B33"/>
    <w:rsid w:val="00E76CD5"/>
    <w:rsid w:val="00E77397"/>
    <w:rsid w:val="00E80A68"/>
    <w:rsid w:val="00E8288B"/>
    <w:rsid w:val="00E82BB7"/>
    <w:rsid w:val="00E91877"/>
    <w:rsid w:val="00E93E25"/>
    <w:rsid w:val="00E94BDF"/>
    <w:rsid w:val="00E94E44"/>
    <w:rsid w:val="00E964C1"/>
    <w:rsid w:val="00EA00A3"/>
    <w:rsid w:val="00EA2C0D"/>
    <w:rsid w:val="00EA425D"/>
    <w:rsid w:val="00EA4749"/>
    <w:rsid w:val="00EB0B45"/>
    <w:rsid w:val="00EB2358"/>
    <w:rsid w:val="00EB2D26"/>
    <w:rsid w:val="00EB6953"/>
    <w:rsid w:val="00EB6C00"/>
    <w:rsid w:val="00EC3F7F"/>
    <w:rsid w:val="00EC451A"/>
    <w:rsid w:val="00EC6AC9"/>
    <w:rsid w:val="00EC789F"/>
    <w:rsid w:val="00ED1CC7"/>
    <w:rsid w:val="00ED3313"/>
    <w:rsid w:val="00ED386E"/>
    <w:rsid w:val="00EE220C"/>
    <w:rsid w:val="00EE23D5"/>
    <w:rsid w:val="00EE3DC0"/>
    <w:rsid w:val="00EE3E75"/>
    <w:rsid w:val="00EE479E"/>
    <w:rsid w:val="00EF78AA"/>
    <w:rsid w:val="00EF7D1A"/>
    <w:rsid w:val="00F000A2"/>
    <w:rsid w:val="00F0077A"/>
    <w:rsid w:val="00F010BB"/>
    <w:rsid w:val="00F02AE2"/>
    <w:rsid w:val="00F03381"/>
    <w:rsid w:val="00F06C4B"/>
    <w:rsid w:val="00F11AA5"/>
    <w:rsid w:val="00F12098"/>
    <w:rsid w:val="00F149CD"/>
    <w:rsid w:val="00F149E5"/>
    <w:rsid w:val="00F24908"/>
    <w:rsid w:val="00F2655D"/>
    <w:rsid w:val="00F271B7"/>
    <w:rsid w:val="00F27581"/>
    <w:rsid w:val="00F31DE4"/>
    <w:rsid w:val="00F413C7"/>
    <w:rsid w:val="00F464C6"/>
    <w:rsid w:val="00F52857"/>
    <w:rsid w:val="00F52D70"/>
    <w:rsid w:val="00F52F65"/>
    <w:rsid w:val="00F54A00"/>
    <w:rsid w:val="00F54F5C"/>
    <w:rsid w:val="00F57392"/>
    <w:rsid w:val="00F5783C"/>
    <w:rsid w:val="00F6072F"/>
    <w:rsid w:val="00F6167F"/>
    <w:rsid w:val="00F65006"/>
    <w:rsid w:val="00F67107"/>
    <w:rsid w:val="00F6787D"/>
    <w:rsid w:val="00F73964"/>
    <w:rsid w:val="00F73A54"/>
    <w:rsid w:val="00F74D48"/>
    <w:rsid w:val="00F75CB3"/>
    <w:rsid w:val="00F8011B"/>
    <w:rsid w:val="00F80F7A"/>
    <w:rsid w:val="00F8374B"/>
    <w:rsid w:val="00F84651"/>
    <w:rsid w:val="00F8664F"/>
    <w:rsid w:val="00F87174"/>
    <w:rsid w:val="00F90A70"/>
    <w:rsid w:val="00F9143F"/>
    <w:rsid w:val="00F91E75"/>
    <w:rsid w:val="00F93136"/>
    <w:rsid w:val="00F95060"/>
    <w:rsid w:val="00F95BBD"/>
    <w:rsid w:val="00FA0395"/>
    <w:rsid w:val="00FA230F"/>
    <w:rsid w:val="00FB5DC2"/>
    <w:rsid w:val="00FC109D"/>
    <w:rsid w:val="00FC4565"/>
    <w:rsid w:val="00FC7B0D"/>
    <w:rsid w:val="00FD051E"/>
    <w:rsid w:val="00FD1C4F"/>
    <w:rsid w:val="00FD56C8"/>
    <w:rsid w:val="00FD69F1"/>
    <w:rsid w:val="00FE04A6"/>
    <w:rsid w:val="00FE3926"/>
    <w:rsid w:val="00FE3E2A"/>
    <w:rsid w:val="00FE3EEF"/>
    <w:rsid w:val="00FE4D33"/>
    <w:rsid w:val="00FE5F59"/>
    <w:rsid w:val="00FF0F7A"/>
    <w:rsid w:val="00FF20F5"/>
    <w:rsid w:val="00FF210A"/>
    <w:rsid w:val="00FF40A4"/>
    <w:rsid w:val="00FF4A9B"/>
    <w:rsid w:val="00FF5184"/>
    <w:rsid w:val="00FF66BD"/>
    <w:rsid w:val="00FF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6896"/>
  <w14:defaultImageDpi w14:val="32767"/>
  <w15:chartTrackingRefBased/>
  <w15:docId w15:val="{1E92B1CA-7196-5C4E-9877-EFE8B80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BB"/>
    <w:rPr>
      <w:rFonts w:ascii="Times" w:hAnsi="Times"/>
    </w:rPr>
  </w:style>
  <w:style w:type="paragraph" w:styleId="Heading1">
    <w:name w:val="heading 1"/>
    <w:basedOn w:val="Normal"/>
    <w:next w:val="Normal"/>
    <w:link w:val="Heading1Char"/>
    <w:uiPriority w:val="9"/>
    <w:qFormat/>
    <w:rsid w:val="00747ED6"/>
    <w:pPr>
      <w:keepNext/>
      <w:keepLines/>
      <w:spacing w:before="240"/>
      <w:outlineLvl w:val="0"/>
    </w:pPr>
    <w:rPr>
      <w:rFonts w:ascii="Garamond" w:eastAsiaTheme="majorEastAsia" w:hAnsi="Garamond" w:cstheme="majorBidi"/>
      <w:color w:val="000000" w:themeColor="text1"/>
      <w:sz w:val="32"/>
      <w:szCs w:val="32"/>
    </w:rPr>
  </w:style>
  <w:style w:type="paragraph" w:styleId="Heading2">
    <w:name w:val="heading 2"/>
    <w:basedOn w:val="Normal"/>
    <w:next w:val="Normal"/>
    <w:link w:val="Heading2Char"/>
    <w:uiPriority w:val="9"/>
    <w:unhideWhenUsed/>
    <w:qFormat/>
    <w:rsid w:val="00B3262E"/>
    <w:pPr>
      <w:keepNext/>
      <w:keepLines/>
      <w:spacing w:before="40"/>
      <w:outlineLvl w:val="1"/>
    </w:pPr>
    <w:rPr>
      <w:rFonts w:ascii="Garamond" w:eastAsiaTheme="majorEastAsia" w:hAnsi="Garamond" w:cstheme="majorBidi"/>
      <w:b/>
      <w:color w:val="000000" w:themeColor="text1"/>
      <w:sz w:val="26"/>
      <w:szCs w:val="26"/>
    </w:rPr>
  </w:style>
  <w:style w:type="paragraph" w:styleId="Heading3">
    <w:name w:val="heading 3"/>
    <w:aliases w:val="Garamond"/>
    <w:basedOn w:val="Normal"/>
    <w:next w:val="Normal"/>
    <w:link w:val="Heading3Char"/>
    <w:uiPriority w:val="9"/>
    <w:unhideWhenUsed/>
    <w:qFormat/>
    <w:rsid w:val="00B3262E"/>
    <w:pPr>
      <w:keepNext/>
      <w:keepLines/>
      <w:spacing w:before="40"/>
      <w:outlineLvl w:val="2"/>
    </w:pPr>
    <w:rPr>
      <w:rFonts w:ascii="Garamond" w:eastAsiaTheme="majorEastAsia" w:hAnsi="Garamond" w:cstheme="majorBidi"/>
      <w:b/>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D6"/>
    <w:rPr>
      <w:rFonts w:ascii="Garamond" w:eastAsiaTheme="majorEastAsia" w:hAnsi="Garamond" w:cstheme="majorBidi"/>
      <w:color w:val="000000" w:themeColor="text1"/>
      <w:sz w:val="32"/>
      <w:szCs w:val="32"/>
    </w:rPr>
  </w:style>
  <w:style w:type="paragraph" w:styleId="Title">
    <w:name w:val="Title"/>
    <w:basedOn w:val="Normal"/>
    <w:next w:val="Normal"/>
    <w:link w:val="TitleChar"/>
    <w:uiPriority w:val="10"/>
    <w:qFormat/>
    <w:rsid w:val="00747ED6"/>
    <w:pPr>
      <w:contextualSpacing/>
    </w:pPr>
    <w:rPr>
      <w:rFonts w:ascii="Garamond" w:eastAsiaTheme="majorEastAsia" w:hAnsi="Garamond" w:cstheme="majorBidi"/>
      <w:spacing w:val="-10"/>
      <w:kern w:val="28"/>
      <w:sz w:val="56"/>
      <w:szCs w:val="56"/>
    </w:rPr>
  </w:style>
  <w:style w:type="character" w:customStyle="1" w:styleId="TitleChar">
    <w:name w:val="Title Char"/>
    <w:basedOn w:val="DefaultParagraphFont"/>
    <w:link w:val="Title"/>
    <w:uiPriority w:val="10"/>
    <w:rsid w:val="00747ED6"/>
    <w:rPr>
      <w:rFonts w:ascii="Garamond" w:eastAsiaTheme="majorEastAsia" w:hAnsi="Garamond" w:cstheme="majorBidi"/>
      <w:spacing w:val="-10"/>
      <w:kern w:val="28"/>
      <w:sz w:val="56"/>
      <w:szCs w:val="56"/>
    </w:rPr>
  </w:style>
  <w:style w:type="character" w:customStyle="1" w:styleId="Heading2Char">
    <w:name w:val="Heading 2 Char"/>
    <w:basedOn w:val="DefaultParagraphFont"/>
    <w:link w:val="Heading2"/>
    <w:uiPriority w:val="9"/>
    <w:rsid w:val="00B3262E"/>
    <w:rPr>
      <w:rFonts w:ascii="Garamond" w:eastAsiaTheme="majorEastAsia" w:hAnsi="Garamond" w:cstheme="majorBidi"/>
      <w:b/>
      <w:color w:val="000000" w:themeColor="text1"/>
      <w:sz w:val="26"/>
      <w:szCs w:val="26"/>
    </w:rPr>
  </w:style>
  <w:style w:type="character" w:customStyle="1" w:styleId="Heading3Char">
    <w:name w:val="Heading 3 Char"/>
    <w:aliases w:val="Garamond Char"/>
    <w:basedOn w:val="DefaultParagraphFont"/>
    <w:link w:val="Heading3"/>
    <w:uiPriority w:val="9"/>
    <w:rsid w:val="00B3262E"/>
    <w:rPr>
      <w:rFonts w:ascii="Garamond" w:eastAsiaTheme="majorEastAsia" w:hAnsi="Garamond" w:cstheme="majorBidi"/>
      <w:b/>
      <w:i/>
      <w:color w:val="000000" w:themeColor="text1"/>
      <w:sz w:val="26"/>
    </w:rPr>
  </w:style>
  <w:style w:type="paragraph" w:styleId="TOCHeading">
    <w:name w:val="TOC Heading"/>
    <w:basedOn w:val="Heading1"/>
    <w:next w:val="Normal"/>
    <w:uiPriority w:val="39"/>
    <w:semiHidden/>
    <w:unhideWhenUsed/>
    <w:qFormat/>
    <w:rsid w:val="00B3262E"/>
    <w:pPr>
      <w:outlineLvl w:val="9"/>
    </w:pPr>
    <w:rPr>
      <w:rFonts w:ascii="Times New Roman" w:hAnsi="Times New Roman"/>
    </w:rPr>
  </w:style>
  <w:style w:type="paragraph" w:styleId="FootnoteText">
    <w:name w:val="footnote text"/>
    <w:basedOn w:val="Normal"/>
    <w:link w:val="FootnoteTextChar"/>
    <w:autoRedefine/>
    <w:uiPriority w:val="99"/>
    <w:unhideWhenUsed/>
    <w:qFormat/>
    <w:rsid w:val="00233CA0"/>
    <w:pPr>
      <w:ind w:left="284" w:hanging="284"/>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33CA0"/>
    <w:rPr>
      <w:rFonts w:cs="Times New Roman"/>
      <w:sz w:val="20"/>
      <w:szCs w:val="20"/>
      <w:lang w:val="en-US"/>
    </w:rPr>
  </w:style>
  <w:style w:type="character" w:styleId="FootnoteReference">
    <w:name w:val="footnote reference"/>
    <w:basedOn w:val="DefaultParagraphFont"/>
    <w:uiPriority w:val="99"/>
    <w:unhideWhenUsed/>
    <w:rsid w:val="005143C8"/>
    <w:rPr>
      <w:rFonts w:ascii="Times New Roman" w:hAnsi="Times New Roman"/>
      <w:sz w:val="22"/>
      <w:vertAlign w:val="superscript"/>
    </w:rPr>
  </w:style>
  <w:style w:type="paragraph" w:styleId="ListParagraph">
    <w:name w:val="List Paragraph"/>
    <w:basedOn w:val="Normal"/>
    <w:uiPriority w:val="34"/>
    <w:qFormat/>
    <w:rsid w:val="0052710D"/>
    <w:pPr>
      <w:ind w:left="720"/>
      <w:contextualSpacing/>
    </w:pPr>
  </w:style>
  <w:style w:type="paragraph" w:styleId="Quote">
    <w:name w:val="Quote"/>
    <w:basedOn w:val="Normal"/>
    <w:next w:val="Normal"/>
    <w:link w:val="QuoteChar"/>
    <w:uiPriority w:val="29"/>
    <w:qFormat/>
    <w:rsid w:val="0052710D"/>
    <w:pPr>
      <w:spacing w:before="200" w:after="160"/>
      <w:ind w:left="864" w:right="864"/>
      <w:jc w:val="center"/>
    </w:pPr>
    <w:rPr>
      <w:rFonts w:ascii="Times New Roman" w:hAnsi="Times New Roman" w:cs="Times New Roman"/>
      <w:i/>
      <w:iCs/>
      <w:color w:val="404040" w:themeColor="text1" w:themeTint="BF"/>
    </w:rPr>
  </w:style>
  <w:style w:type="character" w:customStyle="1" w:styleId="QuoteChar">
    <w:name w:val="Quote Char"/>
    <w:basedOn w:val="DefaultParagraphFont"/>
    <w:link w:val="Quote"/>
    <w:uiPriority w:val="29"/>
    <w:rsid w:val="0052710D"/>
    <w:rPr>
      <w:rFonts w:cs="Times New Roman"/>
      <w:i/>
      <w:iCs/>
      <w:color w:val="404040" w:themeColor="text1" w:themeTint="BF"/>
    </w:rPr>
  </w:style>
  <w:style w:type="paragraph" w:styleId="Header">
    <w:name w:val="header"/>
    <w:basedOn w:val="Normal"/>
    <w:link w:val="HeaderChar"/>
    <w:uiPriority w:val="99"/>
    <w:unhideWhenUsed/>
    <w:rsid w:val="001C1540"/>
    <w:pPr>
      <w:tabs>
        <w:tab w:val="center" w:pos="4513"/>
        <w:tab w:val="right" w:pos="9026"/>
      </w:tabs>
    </w:pPr>
  </w:style>
  <w:style w:type="character" w:customStyle="1" w:styleId="HeaderChar">
    <w:name w:val="Header Char"/>
    <w:basedOn w:val="DefaultParagraphFont"/>
    <w:link w:val="Header"/>
    <w:uiPriority w:val="99"/>
    <w:rsid w:val="001C1540"/>
    <w:rPr>
      <w:rFonts w:ascii="Times" w:hAnsi="Times"/>
    </w:rPr>
  </w:style>
  <w:style w:type="paragraph" w:styleId="Footer">
    <w:name w:val="footer"/>
    <w:basedOn w:val="Normal"/>
    <w:link w:val="FooterChar"/>
    <w:uiPriority w:val="99"/>
    <w:unhideWhenUsed/>
    <w:rsid w:val="001C1540"/>
    <w:pPr>
      <w:tabs>
        <w:tab w:val="center" w:pos="4513"/>
        <w:tab w:val="right" w:pos="9026"/>
      </w:tabs>
    </w:pPr>
  </w:style>
  <w:style w:type="character" w:customStyle="1" w:styleId="FooterChar">
    <w:name w:val="Footer Char"/>
    <w:basedOn w:val="DefaultParagraphFont"/>
    <w:link w:val="Footer"/>
    <w:uiPriority w:val="99"/>
    <w:rsid w:val="001C1540"/>
    <w:rPr>
      <w:rFonts w:ascii="Times" w:hAnsi="Times"/>
    </w:rPr>
  </w:style>
  <w:style w:type="paragraph" w:styleId="NormalWeb">
    <w:name w:val="Normal (Web)"/>
    <w:basedOn w:val="Normal"/>
    <w:uiPriority w:val="99"/>
    <w:unhideWhenUsed/>
    <w:rsid w:val="00917193"/>
    <w:rPr>
      <w:rFonts w:ascii="Times New Roman" w:eastAsia="Times New Roman" w:hAnsi="Times New Roman" w:cs="Times New Roman"/>
      <w:lang w:eastAsia="en-GB"/>
    </w:rPr>
  </w:style>
  <w:style w:type="character" w:styleId="Hyperlink">
    <w:name w:val="Hyperlink"/>
    <w:basedOn w:val="DefaultParagraphFont"/>
    <w:uiPriority w:val="99"/>
    <w:unhideWhenUsed/>
    <w:rsid w:val="008F2E22"/>
    <w:rPr>
      <w:color w:val="0563C1" w:themeColor="hyperlink"/>
      <w:u w:val="single"/>
    </w:rPr>
  </w:style>
  <w:style w:type="character" w:customStyle="1" w:styleId="UnresolvedMention1">
    <w:name w:val="Unresolved Mention1"/>
    <w:basedOn w:val="DefaultParagraphFont"/>
    <w:uiPriority w:val="99"/>
    <w:semiHidden/>
    <w:unhideWhenUsed/>
    <w:rsid w:val="00AE5F51"/>
    <w:rPr>
      <w:color w:val="605E5C"/>
      <w:shd w:val="clear" w:color="auto" w:fill="E1DFDD"/>
    </w:rPr>
  </w:style>
  <w:style w:type="paragraph" w:customStyle="1" w:styleId="p1">
    <w:name w:val="p1"/>
    <w:basedOn w:val="Normal"/>
    <w:rsid w:val="009B6214"/>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F6787D"/>
    <w:rPr>
      <w:sz w:val="16"/>
      <w:szCs w:val="16"/>
    </w:rPr>
  </w:style>
  <w:style w:type="paragraph" w:styleId="CommentText">
    <w:name w:val="annotation text"/>
    <w:basedOn w:val="Normal"/>
    <w:link w:val="CommentTextChar"/>
    <w:uiPriority w:val="99"/>
    <w:semiHidden/>
    <w:unhideWhenUsed/>
    <w:rsid w:val="00F6787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787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87D"/>
    <w:rPr>
      <w:b/>
      <w:bCs/>
    </w:rPr>
  </w:style>
  <w:style w:type="character" w:customStyle="1" w:styleId="CommentSubjectChar">
    <w:name w:val="Comment Subject Char"/>
    <w:basedOn w:val="CommentTextChar"/>
    <w:link w:val="CommentSubject"/>
    <w:uiPriority w:val="99"/>
    <w:semiHidden/>
    <w:rsid w:val="00F6787D"/>
    <w:rPr>
      <w:rFonts w:eastAsia="Times New Roman" w:cs="Times New Roman"/>
      <w:b/>
      <w:bCs/>
      <w:sz w:val="20"/>
      <w:szCs w:val="20"/>
    </w:rPr>
  </w:style>
  <w:style w:type="paragraph" w:styleId="BalloonText">
    <w:name w:val="Balloon Text"/>
    <w:basedOn w:val="Normal"/>
    <w:link w:val="BalloonTextChar"/>
    <w:uiPriority w:val="99"/>
    <w:semiHidden/>
    <w:unhideWhenUsed/>
    <w:rsid w:val="00F6787D"/>
    <w:rPr>
      <w:rFonts w:ascii="Times New Roman" w:eastAsia="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6787D"/>
    <w:rPr>
      <w:rFonts w:eastAsia="Times New Roman" w:cs="Times New Roman"/>
      <w:sz w:val="26"/>
      <w:szCs w:val="26"/>
    </w:rPr>
  </w:style>
  <w:style w:type="character" w:customStyle="1" w:styleId="UnresolvedMention10">
    <w:name w:val="Unresolved Mention1"/>
    <w:basedOn w:val="DefaultParagraphFont"/>
    <w:uiPriority w:val="99"/>
    <w:rsid w:val="00F6787D"/>
    <w:rPr>
      <w:color w:val="605E5C"/>
      <w:shd w:val="clear" w:color="auto" w:fill="E1DFDD"/>
    </w:rPr>
  </w:style>
  <w:style w:type="character" w:customStyle="1" w:styleId="apple-converted-space">
    <w:name w:val="apple-converted-space"/>
    <w:basedOn w:val="DefaultParagraphFont"/>
    <w:rsid w:val="00F6787D"/>
  </w:style>
  <w:style w:type="character" w:customStyle="1" w:styleId="UnresolvedMention2">
    <w:name w:val="Unresolved Mention2"/>
    <w:basedOn w:val="DefaultParagraphFont"/>
    <w:uiPriority w:val="99"/>
    <w:semiHidden/>
    <w:unhideWhenUsed/>
    <w:rsid w:val="00F6787D"/>
    <w:rPr>
      <w:color w:val="605E5C"/>
      <w:shd w:val="clear" w:color="auto" w:fill="E1DFDD"/>
    </w:rPr>
  </w:style>
  <w:style w:type="character" w:styleId="FollowedHyperlink">
    <w:name w:val="FollowedHyperlink"/>
    <w:basedOn w:val="DefaultParagraphFont"/>
    <w:uiPriority w:val="99"/>
    <w:semiHidden/>
    <w:unhideWhenUsed/>
    <w:rsid w:val="00F6787D"/>
    <w:rPr>
      <w:color w:val="954F72" w:themeColor="followedHyperlink"/>
      <w:u w:val="single"/>
    </w:rPr>
  </w:style>
  <w:style w:type="paragraph" w:styleId="Revision">
    <w:name w:val="Revision"/>
    <w:hidden/>
    <w:uiPriority w:val="99"/>
    <w:semiHidden/>
    <w:rsid w:val="00F6787D"/>
    <w:rPr>
      <w:rFonts w:eastAsia="Times New Roman" w:cs="Times New Roman"/>
    </w:rPr>
  </w:style>
  <w:style w:type="character" w:customStyle="1" w:styleId="UnresolvedMention3">
    <w:name w:val="Unresolved Mention3"/>
    <w:basedOn w:val="DefaultParagraphFont"/>
    <w:uiPriority w:val="99"/>
    <w:semiHidden/>
    <w:unhideWhenUsed/>
    <w:rsid w:val="00B22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5165">
      <w:bodyDiv w:val="1"/>
      <w:marLeft w:val="0"/>
      <w:marRight w:val="0"/>
      <w:marTop w:val="0"/>
      <w:marBottom w:val="0"/>
      <w:divBdr>
        <w:top w:val="none" w:sz="0" w:space="0" w:color="auto"/>
        <w:left w:val="none" w:sz="0" w:space="0" w:color="auto"/>
        <w:bottom w:val="none" w:sz="0" w:space="0" w:color="auto"/>
        <w:right w:val="none" w:sz="0" w:space="0" w:color="auto"/>
      </w:divBdr>
      <w:divsChild>
        <w:div w:id="1373770076">
          <w:marLeft w:val="0"/>
          <w:marRight w:val="0"/>
          <w:marTop w:val="0"/>
          <w:marBottom w:val="0"/>
          <w:divBdr>
            <w:top w:val="none" w:sz="0" w:space="0" w:color="auto"/>
            <w:left w:val="none" w:sz="0" w:space="0" w:color="auto"/>
            <w:bottom w:val="none" w:sz="0" w:space="0" w:color="auto"/>
            <w:right w:val="none" w:sz="0" w:space="0" w:color="auto"/>
          </w:divBdr>
          <w:divsChild>
            <w:div w:id="318776054">
              <w:marLeft w:val="0"/>
              <w:marRight w:val="0"/>
              <w:marTop w:val="0"/>
              <w:marBottom w:val="0"/>
              <w:divBdr>
                <w:top w:val="none" w:sz="0" w:space="0" w:color="auto"/>
                <w:left w:val="none" w:sz="0" w:space="0" w:color="auto"/>
                <w:bottom w:val="none" w:sz="0" w:space="0" w:color="auto"/>
                <w:right w:val="none" w:sz="0" w:space="0" w:color="auto"/>
              </w:divBdr>
              <w:divsChild>
                <w:div w:id="10315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74916">
      <w:bodyDiv w:val="1"/>
      <w:marLeft w:val="0"/>
      <w:marRight w:val="0"/>
      <w:marTop w:val="0"/>
      <w:marBottom w:val="0"/>
      <w:divBdr>
        <w:top w:val="none" w:sz="0" w:space="0" w:color="auto"/>
        <w:left w:val="none" w:sz="0" w:space="0" w:color="auto"/>
        <w:bottom w:val="none" w:sz="0" w:space="0" w:color="auto"/>
        <w:right w:val="none" w:sz="0" w:space="0" w:color="auto"/>
      </w:divBdr>
      <w:divsChild>
        <w:div w:id="763304665">
          <w:marLeft w:val="0"/>
          <w:marRight w:val="0"/>
          <w:marTop w:val="0"/>
          <w:marBottom w:val="0"/>
          <w:divBdr>
            <w:top w:val="none" w:sz="0" w:space="0" w:color="auto"/>
            <w:left w:val="none" w:sz="0" w:space="0" w:color="auto"/>
            <w:bottom w:val="none" w:sz="0" w:space="0" w:color="auto"/>
            <w:right w:val="none" w:sz="0" w:space="0" w:color="auto"/>
          </w:divBdr>
          <w:divsChild>
            <w:div w:id="48846889">
              <w:marLeft w:val="0"/>
              <w:marRight w:val="0"/>
              <w:marTop w:val="0"/>
              <w:marBottom w:val="0"/>
              <w:divBdr>
                <w:top w:val="none" w:sz="0" w:space="0" w:color="auto"/>
                <w:left w:val="none" w:sz="0" w:space="0" w:color="auto"/>
                <w:bottom w:val="none" w:sz="0" w:space="0" w:color="auto"/>
                <w:right w:val="none" w:sz="0" w:space="0" w:color="auto"/>
              </w:divBdr>
              <w:divsChild>
                <w:div w:id="18278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1489">
      <w:bodyDiv w:val="1"/>
      <w:marLeft w:val="0"/>
      <w:marRight w:val="0"/>
      <w:marTop w:val="0"/>
      <w:marBottom w:val="0"/>
      <w:divBdr>
        <w:top w:val="none" w:sz="0" w:space="0" w:color="auto"/>
        <w:left w:val="none" w:sz="0" w:space="0" w:color="auto"/>
        <w:bottom w:val="none" w:sz="0" w:space="0" w:color="auto"/>
        <w:right w:val="none" w:sz="0" w:space="0" w:color="auto"/>
      </w:divBdr>
    </w:div>
    <w:div w:id="580287855">
      <w:bodyDiv w:val="1"/>
      <w:marLeft w:val="0"/>
      <w:marRight w:val="0"/>
      <w:marTop w:val="0"/>
      <w:marBottom w:val="0"/>
      <w:divBdr>
        <w:top w:val="none" w:sz="0" w:space="0" w:color="auto"/>
        <w:left w:val="none" w:sz="0" w:space="0" w:color="auto"/>
        <w:bottom w:val="none" w:sz="0" w:space="0" w:color="auto"/>
        <w:right w:val="none" w:sz="0" w:space="0" w:color="auto"/>
      </w:divBdr>
      <w:divsChild>
        <w:div w:id="291863128">
          <w:marLeft w:val="0"/>
          <w:marRight w:val="0"/>
          <w:marTop w:val="0"/>
          <w:marBottom w:val="0"/>
          <w:divBdr>
            <w:top w:val="none" w:sz="0" w:space="0" w:color="auto"/>
            <w:left w:val="none" w:sz="0" w:space="0" w:color="auto"/>
            <w:bottom w:val="none" w:sz="0" w:space="0" w:color="auto"/>
            <w:right w:val="none" w:sz="0" w:space="0" w:color="auto"/>
          </w:divBdr>
          <w:divsChild>
            <w:div w:id="186145408">
              <w:marLeft w:val="0"/>
              <w:marRight w:val="0"/>
              <w:marTop w:val="0"/>
              <w:marBottom w:val="0"/>
              <w:divBdr>
                <w:top w:val="none" w:sz="0" w:space="0" w:color="auto"/>
                <w:left w:val="none" w:sz="0" w:space="0" w:color="auto"/>
                <w:bottom w:val="none" w:sz="0" w:space="0" w:color="auto"/>
                <w:right w:val="none" w:sz="0" w:space="0" w:color="auto"/>
              </w:divBdr>
              <w:divsChild>
                <w:div w:id="789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884">
      <w:bodyDiv w:val="1"/>
      <w:marLeft w:val="0"/>
      <w:marRight w:val="0"/>
      <w:marTop w:val="0"/>
      <w:marBottom w:val="0"/>
      <w:divBdr>
        <w:top w:val="none" w:sz="0" w:space="0" w:color="auto"/>
        <w:left w:val="none" w:sz="0" w:space="0" w:color="auto"/>
        <w:bottom w:val="none" w:sz="0" w:space="0" w:color="auto"/>
        <w:right w:val="none" w:sz="0" w:space="0" w:color="auto"/>
      </w:divBdr>
    </w:div>
    <w:div w:id="742526653">
      <w:bodyDiv w:val="1"/>
      <w:marLeft w:val="0"/>
      <w:marRight w:val="0"/>
      <w:marTop w:val="0"/>
      <w:marBottom w:val="0"/>
      <w:divBdr>
        <w:top w:val="none" w:sz="0" w:space="0" w:color="auto"/>
        <w:left w:val="none" w:sz="0" w:space="0" w:color="auto"/>
        <w:bottom w:val="none" w:sz="0" w:space="0" w:color="auto"/>
        <w:right w:val="none" w:sz="0" w:space="0" w:color="auto"/>
      </w:divBdr>
      <w:divsChild>
        <w:div w:id="1904019187">
          <w:marLeft w:val="0"/>
          <w:marRight w:val="0"/>
          <w:marTop w:val="0"/>
          <w:marBottom w:val="0"/>
          <w:divBdr>
            <w:top w:val="none" w:sz="0" w:space="0" w:color="auto"/>
            <w:left w:val="none" w:sz="0" w:space="0" w:color="auto"/>
            <w:bottom w:val="none" w:sz="0" w:space="0" w:color="auto"/>
            <w:right w:val="none" w:sz="0" w:space="0" w:color="auto"/>
          </w:divBdr>
          <w:divsChild>
            <w:div w:id="1782645773">
              <w:marLeft w:val="0"/>
              <w:marRight w:val="0"/>
              <w:marTop w:val="0"/>
              <w:marBottom w:val="0"/>
              <w:divBdr>
                <w:top w:val="none" w:sz="0" w:space="0" w:color="auto"/>
                <w:left w:val="none" w:sz="0" w:space="0" w:color="auto"/>
                <w:bottom w:val="none" w:sz="0" w:space="0" w:color="auto"/>
                <w:right w:val="none" w:sz="0" w:space="0" w:color="auto"/>
              </w:divBdr>
              <w:divsChild>
                <w:div w:id="16710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8733">
      <w:bodyDiv w:val="1"/>
      <w:marLeft w:val="0"/>
      <w:marRight w:val="0"/>
      <w:marTop w:val="0"/>
      <w:marBottom w:val="0"/>
      <w:divBdr>
        <w:top w:val="none" w:sz="0" w:space="0" w:color="auto"/>
        <w:left w:val="none" w:sz="0" w:space="0" w:color="auto"/>
        <w:bottom w:val="none" w:sz="0" w:space="0" w:color="auto"/>
        <w:right w:val="none" w:sz="0" w:space="0" w:color="auto"/>
      </w:divBdr>
      <w:divsChild>
        <w:div w:id="599487534">
          <w:marLeft w:val="0"/>
          <w:marRight w:val="0"/>
          <w:marTop w:val="0"/>
          <w:marBottom w:val="0"/>
          <w:divBdr>
            <w:top w:val="none" w:sz="0" w:space="0" w:color="auto"/>
            <w:left w:val="none" w:sz="0" w:space="0" w:color="auto"/>
            <w:bottom w:val="none" w:sz="0" w:space="0" w:color="auto"/>
            <w:right w:val="none" w:sz="0" w:space="0" w:color="auto"/>
          </w:divBdr>
          <w:divsChild>
            <w:div w:id="2013101142">
              <w:marLeft w:val="0"/>
              <w:marRight w:val="0"/>
              <w:marTop w:val="0"/>
              <w:marBottom w:val="0"/>
              <w:divBdr>
                <w:top w:val="none" w:sz="0" w:space="0" w:color="auto"/>
                <w:left w:val="none" w:sz="0" w:space="0" w:color="auto"/>
                <w:bottom w:val="none" w:sz="0" w:space="0" w:color="auto"/>
                <w:right w:val="none" w:sz="0" w:space="0" w:color="auto"/>
              </w:divBdr>
              <w:divsChild>
                <w:div w:id="3533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8566">
      <w:bodyDiv w:val="1"/>
      <w:marLeft w:val="0"/>
      <w:marRight w:val="0"/>
      <w:marTop w:val="0"/>
      <w:marBottom w:val="0"/>
      <w:divBdr>
        <w:top w:val="none" w:sz="0" w:space="0" w:color="auto"/>
        <w:left w:val="none" w:sz="0" w:space="0" w:color="auto"/>
        <w:bottom w:val="none" w:sz="0" w:space="0" w:color="auto"/>
        <w:right w:val="none" w:sz="0" w:space="0" w:color="auto"/>
      </w:divBdr>
      <w:divsChild>
        <w:div w:id="140315874">
          <w:marLeft w:val="0"/>
          <w:marRight w:val="0"/>
          <w:marTop w:val="0"/>
          <w:marBottom w:val="0"/>
          <w:divBdr>
            <w:top w:val="none" w:sz="0" w:space="0" w:color="auto"/>
            <w:left w:val="none" w:sz="0" w:space="0" w:color="auto"/>
            <w:bottom w:val="none" w:sz="0" w:space="0" w:color="auto"/>
            <w:right w:val="none" w:sz="0" w:space="0" w:color="auto"/>
          </w:divBdr>
          <w:divsChild>
            <w:div w:id="981546004">
              <w:marLeft w:val="0"/>
              <w:marRight w:val="0"/>
              <w:marTop w:val="0"/>
              <w:marBottom w:val="0"/>
              <w:divBdr>
                <w:top w:val="none" w:sz="0" w:space="0" w:color="auto"/>
                <w:left w:val="none" w:sz="0" w:space="0" w:color="auto"/>
                <w:bottom w:val="none" w:sz="0" w:space="0" w:color="auto"/>
                <w:right w:val="none" w:sz="0" w:space="0" w:color="auto"/>
              </w:divBdr>
              <w:divsChild>
                <w:div w:id="15431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1712">
      <w:bodyDiv w:val="1"/>
      <w:marLeft w:val="0"/>
      <w:marRight w:val="0"/>
      <w:marTop w:val="0"/>
      <w:marBottom w:val="0"/>
      <w:divBdr>
        <w:top w:val="none" w:sz="0" w:space="0" w:color="auto"/>
        <w:left w:val="none" w:sz="0" w:space="0" w:color="auto"/>
        <w:bottom w:val="none" w:sz="0" w:space="0" w:color="auto"/>
        <w:right w:val="none" w:sz="0" w:space="0" w:color="auto"/>
      </w:divBdr>
      <w:divsChild>
        <w:div w:id="1584028327">
          <w:marLeft w:val="0"/>
          <w:marRight w:val="0"/>
          <w:marTop w:val="0"/>
          <w:marBottom w:val="0"/>
          <w:divBdr>
            <w:top w:val="none" w:sz="0" w:space="0" w:color="auto"/>
            <w:left w:val="none" w:sz="0" w:space="0" w:color="auto"/>
            <w:bottom w:val="none" w:sz="0" w:space="0" w:color="auto"/>
            <w:right w:val="none" w:sz="0" w:space="0" w:color="auto"/>
          </w:divBdr>
          <w:divsChild>
            <w:div w:id="1159275335">
              <w:marLeft w:val="0"/>
              <w:marRight w:val="0"/>
              <w:marTop w:val="0"/>
              <w:marBottom w:val="0"/>
              <w:divBdr>
                <w:top w:val="none" w:sz="0" w:space="0" w:color="auto"/>
                <w:left w:val="none" w:sz="0" w:space="0" w:color="auto"/>
                <w:bottom w:val="none" w:sz="0" w:space="0" w:color="auto"/>
                <w:right w:val="none" w:sz="0" w:space="0" w:color="auto"/>
              </w:divBdr>
              <w:divsChild>
                <w:div w:id="12033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4174">
      <w:bodyDiv w:val="1"/>
      <w:marLeft w:val="0"/>
      <w:marRight w:val="0"/>
      <w:marTop w:val="0"/>
      <w:marBottom w:val="0"/>
      <w:divBdr>
        <w:top w:val="none" w:sz="0" w:space="0" w:color="auto"/>
        <w:left w:val="none" w:sz="0" w:space="0" w:color="auto"/>
        <w:bottom w:val="none" w:sz="0" w:space="0" w:color="auto"/>
        <w:right w:val="none" w:sz="0" w:space="0" w:color="auto"/>
      </w:divBdr>
    </w:div>
    <w:div w:id="1479960420">
      <w:bodyDiv w:val="1"/>
      <w:marLeft w:val="0"/>
      <w:marRight w:val="0"/>
      <w:marTop w:val="0"/>
      <w:marBottom w:val="0"/>
      <w:divBdr>
        <w:top w:val="none" w:sz="0" w:space="0" w:color="auto"/>
        <w:left w:val="none" w:sz="0" w:space="0" w:color="auto"/>
        <w:bottom w:val="none" w:sz="0" w:space="0" w:color="auto"/>
        <w:right w:val="none" w:sz="0" w:space="0" w:color="auto"/>
      </w:divBdr>
      <w:divsChild>
        <w:div w:id="36515869">
          <w:marLeft w:val="0"/>
          <w:marRight w:val="0"/>
          <w:marTop w:val="0"/>
          <w:marBottom w:val="0"/>
          <w:divBdr>
            <w:top w:val="none" w:sz="0" w:space="0" w:color="auto"/>
            <w:left w:val="none" w:sz="0" w:space="0" w:color="auto"/>
            <w:bottom w:val="none" w:sz="0" w:space="0" w:color="auto"/>
            <w:right w:val="none" w:sz="0" w:space="0" w:color="auto"/>
          </w:divBdr>
          <w:divsChild>
            <w:div w:id="96296530">
              <w:marLeft w:val="0"/>
              <w:marRight w:val="0"/>
              <w:marTop w:val="0"/>
              <w:marBottom w:val="0"/>
              <w:divBdr>
                <w:top w:val="none" w:sz="0" w:space="0" w:color="auto"/>
                <w:left w:val="none" w:sz="0" w:space="0" w:color="auto"/>
                <w:bottom w:val="none" w:sz="0" w:space="0" w:color="auto"/>
                <w:right w:val="none" w:sz="0" w:space="0" w:color="auto"/>
              </w:divBdr>
              <w:divsChild>
                <w:div w:id="7304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6761">
      <w:bodyDiv w:val="1"/>
      <w:marLeft w:val="0"/>
      <w:marRight w:val="0"/>
      <w:marTop w:val="0"/>
      <w:marBottom w:val="0"/>
      <w:divBdr>
        <w:top w:val="none" w:sz="0" w:space="0" w:color="auto"/>
        <w:left w:val="none" w:sz="0" w:space="0" w:color="auto"/>
        <w:bottom w:val="none" w:sz="0" w:space="0" w:color="auto"/>
        <w:right w:val="none" w:sz="0" w:space="0" w:color="auto"/>
      </w:divBdr>
      <w:divsChild>
        <w:div w:id="904486814">
          <w:marLeft w:val="0"/>
          <w:marRight w:val="0"/>
          <w:marTop w:val="0"/>
          <w:marBottom w:val="0"/>
          <w:divBdr>
            <w:top w:val="none" w:sz="0" w:space="0" w:color="auto"/>
            <w:left w:val="none" w:sz="0" w:space="0" w:color="auto"/>
            <w:bottom w:val="none" w:sz="0" w:space="0" w:color="auto"/>
            <w:right w:val="none" w:sz="0" w:space="0" w:color="auto"/>
          </w:divBdr>
          <w:divsChild>
            <w:div w:id="920023156">
              <w:marLeft w:val="0"/>
              <w:marRight w:val="0"/>
              <w:marTop w:val="0"/>
              <w:marBottom w:val="0"/>
              <w:divBdr>
                <w:top w:val="none" w:sz="0" w:space="0" w:color="auto"/>
                <w:left w:val="none" w:sz="0" w:space="0" w:color="auto"/>
                <w:bottom w:val="none" w:sz="0" w:space="0" w:color="auto"/>
                <w:right w:val="none" w:sz="0" w:space="0" w:color="auto"/>
              </w:divBdr>
              <w:divsChild>
                <w:div w:id="587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3621">
      <w:bodyDiv w:val="1"/>
      <w:marLeft w:val="0"/>
      <w:marRight w:val="0"/>
      <w:marTop w:val="0"/>
      <w:marBottom w:val="0"/>
      <w:divBdr>
        <w:top w:val="none" w:sz="0" w:space="0" w:color="auto"/>
        <w:left w:val="none" w:sz="0" w:space="0" w:color="auto"/>
        <w:bottom w:val="none" w:sz="0" w:space="0" w:color="auto"/>
        <w:right w:val="none" w:sz="0" w:space="0" w:color="auto"/>
      </w:divBdr>
    </w:div>
    <w:div w:id="1595824075">
      <w:bodyDiv w:val="1"/>
      <w:marLeft w:val="0"/>
      <w:marRight w:val="0"/>
      <w:marTop w:val="0"/>
      <w:marBottom w:val="0"/>
      <w:divBdr>
        <w:top w:val="none" w:sz="0" w:space="0" w:color="auto"/>
        <w:left w:val="none" w:sz="0" w:space="0" w:color="auto"/>
        <w:bottom w:val="none" w:sz="0" w:space="0" w:color="auto"/>
        <w:right w:val="none" w:sz="0" w:space="0" w:color="auto"/>
      </w:divBdr>
    </w:div>
    <w:div w:id="2035299803">
      <w:bodyDiv w:val="1"/>
      <w:marLeft w:val="0"/>
      <w:marRight w:val="0"/>
      <w:marTop w:val="0"/>
      <w:marBottom w:val="0"/>
      <w:divBdr>
        <w:top w:val="none" w:sz="0" w:space="0" w:color="auto"/>
        <w:left w:val="none" w:sz="0" w:space="0" w:color="auto"/>
        <w:bottom w:val="none" w:sz="0" w:space="0" w:color="auto"/>
        <w:right w:val="none" w:sz="0" w:space="0" w:color="auto"/>
      </w:divBdr>
      <w:divsChild>
        <w:div w:id="1269656106">
          <w:marLeft w:val="0"/>
          <w:marRight w:val="0"/>
          <w:marTop w:val="0"/>
          <w:marBottom w:val="0"/>
          <w:divBdr>
            <w:top w:val="none" w:sz="0" w:space="0" w:color="auto"/>
            <w:left w:val="none" w:sz="0" w:space="0" w:color="auto"/>
            <w:bottom w:val="none" w:sz="0" w:space="0" w:color="auto"/>
            <w:right w:val="none" w:sz="0" w:space="0" w:color="auto"/>
          </w:divBdr>
          <w:divsChild>
            <w:div w:id="396324140">
              <w:marLeft w:val="0"/>
              <w:marRight w:val="0"/>
              <w:marTop w:val="0"/>
              <w:marBottom w:val="0"/>
              <w:divBdr>
                <w:top w:val="none" w:sz="0" w:space="0" w:color="auto"/>
                <w:left w:val="none" w:sz="0" w:space="0" w:color="auto"/>
                <w:bottom w:val="none" w:sz="0" w:space="0" w:color="auto"/>
                <w:right w:val="none" w:sz="0" w:space="0" w:color="auto"/>
              </w:divBdr>
              <w:divsChild>
                <w:div w:id="15390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qeh.ox.ac.uk/pdf/crisewps/workingpaper2.pdf" TargetMode="External"/><Relationship Id="rId13" Type="http://schemas.openxmlformats.org/officeDocument/2006/relationships/hyperlink" Target="https://minusca.unmissions.org/en/central-african-forces-and-minusca-launch-disarmament-and-arrest-operation-against-armed-crimin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cekeeping.un.org/sites/default/files/statsbyyearmissionincidenttype_5a_1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inst.org/wp-content/uploads/2017/11/1701_Peace-by-Pie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tj.org/sites/default/files/ICTJ_CAR_report_100_percent_Central_African.pdf" TargetMode="External"/><Relationship Id="rId5" Type="http://schemas.openxmlformats.org/officeDocument/2006/relationships/webSettings" Target="webSettings.xml"/><Relationship Id="rId15" Type="http://schemas.openxmlformats.org/officeDocument/2006/relationships/hyperlink" Target="https://minusca.unmissions.org/en/un-expert-calls-calm-protection-civilians-central-african-republic" TargetMode="External"/><Relationship Id="rId10" Type="http://schemas.openxmlformats.org/officeDocument/2006/relationships/hyperlink" Target="https://www.hrw.org/news/2018/06/04/central-african-republic-parliament-adopts-special-criminal-court-ru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as.europa.eu/sites/eeas/files/180823_mission_factsheet_eutm_rca_jul18_v1.pdf" TargetMode="External"/><Relationship Id="rId14" Type="http://schemas.openxmlformats.org/officeDocument/2006/relationships/hyperlink" Target="https://minusca.unmissions.org/en/minusca-condemns-fresh-attack-against-peacekeepers-bang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916C-EB9A-41BE-99A3-8B198096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28</Pages>
  <Words>12256</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Gilder</dc:creator>
  <cp:keywords/>
  <dc:description/>
  <cp:lastModifiedBy>Gilder, Alexander</cp:lastModifiedBy>
  <cp:revision>123</cp:revision>
  <cp:lastPrinted>2020-02-17T13:55:00Z</cp:lastPrinted>
  <dcterms:created xsi:type="dcterms:W3CDTF">2019-05-03T16:48:00Z</dcterms:created>
  <dcterms:modified xsi:type="dcterms:W3CDTF">2020-02-20T08:37:00Z</dcterms:modified>
</cp:coreProperties>
</file>