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4909" w14:textId="77777777" w:rsidR="008A11D0" w:rsidRPr="00735FE5" w:rsidRDefault="008A11D0" w:rsidP="008A11D0">
      <w:pPr>
        <w:autoSpaceDE w:val="0"/>
        <w:autoSpaceDN w:val="0"/>
        <w:adjustRightInd w:val="0"/>
        <w:spacing w:line="480" w:lineRule="auto"/>
        <w:jc w:val="center"/>
        <w:rPr>
          <w:lang w:val="en-US"/>
        </w:rPr>
      </w:pPr>
      <w:bookmarkStart w:id="0" w:name="_GoBack"/>
      <w:bookmarkEnd w:id="0"/>
    </w:p>
    <w:p w14:paraId="468ED960" w14:textId="330D4341" w:rsidR="008A11D0" w:rsidRPr="00735FE5" w:rsidRDefault="008A11D0" w:rsidP="008A11D0">
      <w:pPr>
        <w:autoSpaceDE w:val="0"/>
        <w:autoSpaceDN w:val="0"/>
        <w:adjustRightInd w:val="0"/>
        <w:spacing w:line="480" w:lineRule="auto"/>
        <w:jc w:val="center"/>
        <w:rPr>
          <w:lang w:val="en-US"/>
        </w:rPr>
      </w:pPr>
    </w:p>
    <w:p w14:paraId="1ED9F38D" w14:textId="77777777" w:rsidR="008A11D0" w:rsidRPr="00735FE5" w:rsidRDefault="008A11D0" w:rsidP="008A11D0">
      <w:pPr>
        <w:autoSpaceDE w:val="0"/>
        <w:autoSpaceDN w:val="0"/>
        <w:adjustRightInd w:val="0"/>
        <w:spacing w:line="480" w:lineRule="auto"/>
        <w:jc w:val="center"/>
        <w:rPr>
          <w:lang w:val="en-US"/>
        </w:rPr>
      </w:pPr>
    </w:p>
    <w:p w14:paraId="7136227F" w14:textId="77777777" w:rsidR="008A11D0" w:rsidRPr="00735FE5" w:rsidRDefault="008A11D0" w:rsidP="008A11D0">
      <w:pPr>
        <w:autoSpaceDE w:val="0"/>
        <w:autoSpaceDN w:val="0"/>
        <w:adjustRightInd w:val="0"/>
        <w:spacing w:line="480" w:lineRule="auto"/>
        <w:jc w:val="center"/>
        <w:rPr>
          <w:lang w:val="en-US"/>
        </w:rPr>
      </w:pPr>
    </w:p>
    <w:p w14:paraId="44D64E2F" w14:textId="588B410D" w:rsidR="008A11D0" w:rsidRPr="00735FE5" w:rsidRDefault="00F1257C" w:rsidP="008A11D0">
      <w:pPr>
        <w:autoSpaceDE w:val="0"/>
        <w:autoSpaceDN w:val="0"/>
        <w:adjustRightInd w:val="0"/>
        <w:spacing w:line="480" w:lineRule="auto"/>
        <w:jc w:val="center"/>
        <w:rPr>
          <w:lang w:val="en-US"/>
        </w:rPr>
      </w:pPr>
      <w:r w:rsidRPr="00735FE5">
        <w:rPr>
          <w:lang w:val="en-US"/>
        </w:rPr>
        <w:t>When do peers influence adolescent males’ risk</w:t>
      </w:r>
      <w:r w:rsidR="00FC03B7">
        <w:rPr>
          <w:lang w:val="en-US"/>
        </w:rPr>
        <w:t>-</w:t>
      </w:r>
      <w:r w:rsidRPr="00735FE5">
        <w:rPr>
          <w:lang w:val="en-US"/>
        </w:rPr>
        <w:t>taking? Examining decision</w:t>
      </w:r>
      <w:r w:rsidR="00F72376" w:rsidRPr="00735FE5">
        <w:rPr>
          <w:lang w:val="en-US"/>
        </w:rPr>
        <w:t>-</w:t>
      </w:r>
      <w:r w:rsidRPr="00735FE5">
        <w:rPr>
          <w:lang w:val="en-US"/>
        </w:rPr>
        <w:t>making under conditions of risk and ambiguity</w:t>
      </w:r>
      <w:r w:rsidR="008A11D0" w:rsidRPr="00735FE5">
        <w:rPr>
          <w:lang w:val="en-US"/>
        </w:rPr>
        <w:t xml:space="preserve"> </w:t>
      </w:r>
    </w:p>
    <w:p w14:paraId="6C823837" w14:textId="0381D9D9" w:rsidR="008A11D0" w:rsidRPr="00735FE5" w:rsidRDefault="008A11D0" w:rsidP="008A11D0">
      <w:pPr>
        <w:autoSpaceDE w:val="0"/>
        <w:autoSpaceDN w:val="0"/>
        <w:adjustRightInd w:val="0"/>
        <w:spacing w:line="480" w:lineRule="auto"/>
        <w:jc w:val="center"/>
        <w:rPr>
          <w:lang w:val="en-US"/>
        </w:rPr>
      </w:pPr>
    </w:p>
    <w:p w14:paraId="278EF9AE" w14:textId="77777777" w:rsidR="008A11D0" w:rsidRPr="00735FE5" w:rsidRDefault="008A11D0" w:rsidP="008A11D0">
      <w:pPr>
        <w:autoSpaceDE w:val="0"/>
        <w:autoSpaceDN w:val="0"/>
        <w:adjustRightInd w:val="0"/>
        <w:spacing w:line="480" w:lineRule="auto"/>
        <w:jc w:val="center"/>
        <w:rPr>
          <w:lang w:val="en-US"/>
        </w:rPr>
      </w:pPr>
    </w:p>
    <w:p w14:paraId="5AB37956" w14:textId="77777777" w:rsidR="008A11D0" w:rsidRPr="00735FE5" w:rsidRDefault="008A11D0" w:rsidP="008A11D0">
      <w:pPr>
        <w:autoSpaceDE w:val="0"/>
        <w:autoSpaceDN w:val="0"/>
        <w:adjustRightInd w:val="0"/>
        <w:spacing w:line="480" w:lineRule="auto"/>
        <w:jc w:val="center"/>
        <w:rPr>
          <w:lang w:val="en-US"/>
        </w:rPr>
      </w:pPr>
    </w:p>
    <w:p w14:paraId="3242ACB0" w14:textId="77777777" w:rsidR="008A11D0" w:rsidRPr="00735FE5" w:rsidRDefault="008A11D0" w:rsidP="008C3DDE">
      <w:pPr>
        <w:autoSpaceDE w:val="0"/>
        <w:autoSpaceDN w:val="0"/>
        <w:adjustRightInd w:val="0"/>
        <w:spacing w:line="480" w:lineRule="auto"/>
        <w:jc w:val="center"/>
        <w:outlineLvl w:val="0"/>
        <w:rPr>
          <w:lang w:val="en-US"/>
        </w:rPr>
      </w:pPr>
      <w:r w:rsidRPr="00735FE5">
        <w:rPr>
          <w:lang w:val="en-US"/>
        </w:rPr>
        <w:t xml:space="preserve">Alex Lloyd &amp; Anna K. </w:t>
      </w:r>
      <w:bookmarkStart w:id="1" w:name="_Hlk524702364"/>
      <w:r w:rsidRPr="00735FE5">
        <w:rPr>
          <w:lang w:val="en-US"/>
        </w:rPr>
        <w:t>Döring</w:t>
      </w:r>
      <w:bookmarkEnd w:id="1"/>
    </w:p>
    <w:p w14:paraId="42E7AA9D" w14:textId="77777777" w:rsidR="008A11D0" w:rsidRPr="00735FE5" w:rsidRDefault="008A11D0" w:rsidP="008A11D0">
      <w:pPr>
        <w:autoSpaceDE w:val="0"/>
        <w:autoSpaceDN w:val="0"/>
        <w:adjustRightInd w:val="0"/>
        <w:spacing w:line="480" w:lineRule="auto"/>
        <w:jc w:val="center"/>
        <w:rPr>
          <w:lang w:val="en-US"/>
        </w:rPr>
      </w:pPr>
    </w:p>
    <w:p w14:paraId="4C89183C" w14:textId="77777777" w:rsidR="008A11D0" w:rsidRPr="00735FE5" w:rsidRDefault="008A11D0" w:rsidP="008C3DDE">
      <w:pPr>
        <w:autoSpaceDE w:val="0"/>
        <w:autoSpaceDN w:val="0"/>
        <w:adjustRightInd w:val="0"/>
        <w:spacing w:line="480" w:lineRule="auto"/>
        <w:jc w:val="center"/>
        <w:outlineLvl w:val="0"/>
        <w:rPr>
          <w:lang w:val="en-US"/>
        </w:rPr>
      </w:pPr>
      <w:r w:rsidRPr="00735FE5">
        <w:rPr>
          <w:lang w:val="en-US"/>
        </w:rPr>
        <w:t>University of Westminster</w:t>
      </w:r>
    </w:p>
    <w:p w14:paraId="42738F69" w14:textId="77777777" w:rsidR="008A11D0" w:rsidRPr="00735FE5" w:rsidRDefault="008A11D0" w:rsidP="008A11D0">
      <w:pPr>
        <w:autoSpaceDE w:val="0"/>
        <w:autoSpaceDN w:val="0"/>
        <w:adjustRightInd w:val="0"/>
        <w:spacing w:line="480" w:lineRule="auto"/>
        <w:jc w:val="center"/>
        <w:rPr>
          <w:lang w:val="en-US"/>
        </w:rPr>
      </w:pPr>
    </w:p>
    <w:p w14:paraId="66519246" w14:textId="77777777" w:rsidR="008A11D0" w:rsidRPr="00735FE5" w:rsidRDefault="008A11D0" w:rsidP="008A11D0">
      <w:pPr>
        <w:autoSpaceDE w:val="0"/>
        <w:autoSpaceDN w:val="0"/>
        <w:adjustRightInd w:val="0"/>
        <w:spacing w:line="480" w:lineRule="auto"/>
        <w:jc w:val="center"/>
        <w:rPr>
          <w:lang w:val="en-US"/>
        </w:rPr>
      </w:pPr>
    </w:p>
    <w:p w14:paraId="5974A1AA" w14:textId="77777777" w:rsidR="008A11D0" w:rsidRPr="00735FE5" w:rsidRDefault="008A11D0" w:rsidP="008A11D0">
      <w:pPr>
        <w:autoSpaceDE w:val="0"/>
        <w:autoSpaceDN w:val="0"/>
        <w:adjustRightInd w:val="0"/>
        <w:spacing w:line="480" w:lineRule="auto"/>
        <w:rPr>
          <w:lang w:val="en-US"/>
        </w:rPr>
      </w:pPr>
    </w:p>
    <w:p w14:paraId="20413EB4" w14:textId="77777777" w:rsidR="008A11D0" w:rsidRPr="00735FE5" w:rsidRDefault="008A11D0" w:rsidP="008A11D0">
      <w:pPr>
        <w:autoSpaceDE w:val="0"/>
        <w:autoSpaceDN w:val="0"/>
        <w:adjustRightInd w:val="0"/>
        <w:spacing w:line="480" w:lineRule="auto"/>
        <w:rPr>
          <w:lang w:val="en-US"/>
        </w:rPr>
      </w:pPr>
    </w:p>
    <w:p w14:paraId="1D7DF08C" w14:textId="77777777" w:rsidR="008A11D0" w:rsidRPr="00735FE5" w:rsidRDefault="008A11D0" w:rsidP="008A11D0">
      <w:pPr>
        <w:autoSpaceDE w:val="0"/>
        <w:autoSpaceDN w:val="0"/>
        <w:adjustRightInd w:val="0"/>
        <w:spacing w:line="480" w:lineRule="auto"/>
        <w:rPr>
          <w:lang w:val="en-US"/>
        </w:rPr>
      </w:pPr>
    </w:p>
    <w:p w14:paraId="70FACC8B" w14:textId="77777777" w:rsidR="000F1140" w:rsidRPr="00735FE5" w:rsidRDefault="000F1140" w:rsidP="008A11D0">
      <w:pPr>
        <w:autoSpaceDE w:val="0"/>
        <w:autoSpaceDN w:val="0"/>
        <w:adjustRightInd w:val="0"/>
        <w:spacing w:line="480" w:lineRule="auto"/>
        <w:rPr>
          <w:lang w:val="en-US"/>
        </w:rPr>
      </w:pPr>
    </w:p>
    <w:p w14:paraId="1C71405B" w14:textId="77777777" w:rsidR="000F1140" w:rsidRPr="00735FE5" w:rsidRDefault="000F1140" w:rsidP="008A11D0">
      <w:pPr>
        <w:autoSpaceDE w:val="0"/>
        <w:autoSpaceDN w:val="0"/>
        <w:adjustRightInd w:val="0"/>
        <w:spacing w:line="480" w:lineRule="auto"/>
        <w:rPr>
          <w:lang w:val="en-US"/>
        </w:rPr>
      </w:pPr>
    </w:p>
    <w:p w14:paraId="0C49E5E6" w14:textId="77777777" w:rsidR="000F1140" w:rsidRPr="00735FE5" w:rsidRDefault="000F1140" w:rsidP="008A11D0">
      <w:pPr>
        <w:autoSpaceDE w:val="0"/>
        <w:autoSpaceDN w:val="0"/>
        <w:adjustRightInd w:val="0"/>
        <w:spacing w:line="480" w:lineRule="auto"/>
        <w:rPr>
          <w:lang w:val="en-US"/>
        </w:rPr>
      </w:pPr>
    </w:p>
    <w:p w14:paraId="3552D843" w14:textId="77777777" w:rsidR="000F1140" w:rsidRPr="00735FE5" w:rsidRDefault="000F1140" w:rsidP="008A11D0">
      <w:pPr>
        <w:autoSpaceDE w:val="0"/>
        <w:autoSpaceDN w:val="0"/>
        <w:adjustRightInd w:val="0"/>
        <w:spacing w:line="480" w:lineRule="auto"/>
        <w:rPr>
          <w:lang w:val="en-US"/>
        </w:rPr>
      </w:pPr>
    </w:p>
    <w:p w14:paraId="4FA14640" w14:textId="3507F1BA" w:rsidR="008A11D0" w:rsidRPr="00735FE5" w:rsidRDefault="008A11D0" w:rsidP="008A11D0">
      <w:pPr>
        <w:autoSpaceDE w:val="0"/>
        <w:autoSpaceDN w:val="0"/>
        <w:adjustRightInd w:val="0"/>
        <w:spacing w:line="480" w:lineRule="auto"/>
        <w:rPr>
          <w:lang w:val="en-US"/>
        </w:rPr>
        <w:sectPr w:rsidR="008A11D0" w:rsidRPr="00735FE5" w:rsidSect="004B7DF9">
          <w:headerReference w:type="even" r:id="rId8"/>
          <w:headerReference w:type="default" r:id="rId9"/>
          <w:pgSz w:w="11900" w:h="16840"/>
          <w:pgMar w:top="1440" w:right="1440" w:bottom="1440" w:left="1440" w:header="675" w:footer="720" w:gutter="0"/>
          <w:cols w:space="720"/>
          <w:docGrid w:linePitch="360"/>
        </w:sectPr>
      </w:pPr>
      <w:r w:rsidRPr="00735FE5">
        <w:rPr>
          <w:lang w:val="en-US"/>
        </w:rPr>
        <w:t>* Corresponding author</w:t>
      </w:r>
      <w:r w:rsidR="00427E93" w:rsidRPr="00735FE5">
        <w:rPr>
          <w:lang w:val="en-US"/>
        </w:rPr>
        <w:t xml:space="preserve"> Alex Lloyd</w:t>
      </w:r>
      <w:r w:rsidRPr="00735FE5">
        <w:rPr>
          <w:lang w:val="en-US"/>
        </w:rPr>
        <w:t>,</w:t>
      </w:r>
      <w:r w:rsidR="000244D4">
        <w:rPr>
          <w:lang w:val="en-US"/>
        </w:rPr>
        <w:t xml:space="preserve"> Department of Psychology, Wolfson Building,</w:t>
      </w:r>
      <w:r w:rsidRPr="00735FE5">
        <w:rPr>
          <w:lang w:val="en-US"/>
        </w:rPr>
        <w:t xml:space="preserve"> </w:t>
      </w:r>
      <w:r w:rsidR="000244D4">
        <w:rPr>
          <w:lang w:val="en-US"/>
        </w:rPr>
        <w:t>Royal Holloway</w:t>
      </w:r>
      <w:r w:rsidRPr="00735FE5">
        <w:rPr>
          <w:lang w:val="en-US"/>
        </w:rPr>
        <w:t>,</w:t>
      </w:r>
      <w:r w:rsidR="000244D4">
        <w:rPr>
          <w:lang w:val="en-US"/>
        </w:rPr>
        <w:t xml:space="preserve"> University of London,</w:t>
      </w:r>
      <w:r w:rsidRPr="00735FE5">
        <w:rPr>
          <w:lang w:val="en-US"/>
        </w:rPr>
        <w:t xml:space="preserve"> </w:t>
      </w:r>
      <w:r w:rsidR="000244D4">
        <w:rPr>
          <w:lang w:val="en-US"/>
        </w:rPr>
        <w:t>Egham, Surrey</w:t>
      </w:r>
      <w:r w:rsidRPr="00735FE5">
        <w:rPr>
          <w:lang w:val="en-US"/>
        </w:rPr>
        <w:t xml:space="preserve"> </w:t>
      </w:r>
      <w:r w:rsidR="000244D4">
        <w:rPr>
          <w:lang w:val="en-US"/>
        </w:rPr>
        <w:t>TW20 0EX</w:t>
      </w:r>
      <w:r w:rsidRPr="00735FE5">
        <w:rPr>
          <w:lang w:val="en-US"/>
        </w:rPr>
        <w:t xml:space="preserve">, United Kingdom (e-mail: </w:t>
      </w:r>
      <w:r w:rsidR="00427E93" w:rsidRPr="00735FE5">
        <w:rPr>
          <w:lang w:val="en-US"/>
        </w:rPr>
        <w:t>alex.lloyd120@gmail.com</w:t>
      </w:r>
      <w:r w:rsidR="00AE79A9" w:rsidRPr="00735FE5">
        <w:rPr>
          <w:lang w:val="en-US"/>
        </w:rPr>
        <w:t>)</w:t>
      </w:r>
    </w:p>
    <w:p w14:paraId="68E4F0F2" w14:textId="77777777" w:rsidR="00B85091" w:rsidRPr="00735FE5" w:rsidRDefault="00B85091" w:rsidP="008C3DDE">
      <w:pPr>
        <w:autoSpaceDE w:val="0"/>
        <w:autoSpaceDN w:val="0"/>
        <w:adjustRightInd w:val="0"/>
        <w:spacing w:line="480" w:lineRule="auto"/>
        <w:jc w:val="center"/>
        <w:outlineLvl w:val="0"/>
        <w:rPr>
          <w:lang w:val="en-US"/>
        </w:rPr>
      </w:pPr>
      <w:r w:rsidRPr="00735FE5">
        <w:rPr>
          <w:lang w:val="en-US"/>
        </w:rPr>
        <w:lastRenderedPageBreak/>
        <w:t>Abstract</w:t>
      </w:r>
    </w:p>
    <w:p w14:paraId="43804968" w14:textId="77777777" w:rsidR="00CA5AD0" w:rsidRPr="00735FE5" w:rsidRDefault="00CA5AD0" w:rsidP="001F58AA">
      <w:pPr>
        <w:spacing w:line="480" w:lineRule="auto"/>
        <w:rPr>
          <w:lang w:val="en-US"/>
        </w:rPr>
      </w:pPr>
    </w:p>
    <w:p w14:paraId="2A898D5F" w14:textId="503823C5" w:rsidR="008125B3" w:rsidRPr="00735FE5" w:rsidRDefault="008125B3" w:rsidP="008125B3">
      <w:pPr>
        <w:autoSpaceDE w:val="0"/>
        <w:autoSpaceDN w:val="0"/>
        <w:adjustRightInd w:val="0"/>
        <w:spacing w:line="480" w:lineRule="auto"/>
        <w:jc w:val="both"/>
        <w:rPr>
          <w:lang w:val="en-US"/>
        </w:rPr>
      </w:pPr>
      <w:r w:rsidRPr="00735FE5">
        <w:rPr>
          <w:lang w:val="en-US"/>
        </w:rPr>
        <w:t>Risk-taking is highly prevalent among adolescent males, and a range of studies have shown that decisions become riskier if a peer is pres</w:t>
      </w:r>
      <w:r w:rsidR="00C40E7A" w:rsidRPr="00735FE5">
        <w:rPr>
          <w:lang w:val="en-US"/>
        </w:rPr>
        <w:t>ent. However, previous</w:t>
      </w:r>
      <w:r w:rsidR="00084E3A" w:rsidRPr="00735FE5">
        <w:rPr>
          <w:lang w:val="en-US"/>
        </w:rPr>
        <w:t xml:space="preserve"> studies</w:t>
      </w:r>
      <w:r w:rsidR="00C40E7A" w:rsidRPr="00735FE5">
        <w:rPr>
          <w:lang w:val="en-US"/>
        </w:rPr>
        <w:t xml:space="preserve"> have typically</w:t>
      </w:r>
      <w:r w:rsidR="00084E3A" w:rsidRPr="00735FE5">
        <w:rPr>
          <w:lang w:val="en-US"/>
        </w:rPr>
        <w:t xml:space="preserve"> </w:t>
      </w:r>
      <w:r w:rsidRPr="00735FE5">
        <w:rPr>
          <w:lang w:val="en-US"/>
        </w:rPr>
        <w:t xml:space="preserve">provided participants with explicit probabilities of risk in each situation. This does not </w:t>
      </w:r>
      <w:r w:rsidR="005D0E5E" w:rsidRPr="00735FE5">
        <w:rPr>
          <w:lang w:val="en-US"/>
        </w:rPr>
        <w:t xml:space="preserve">accurately </w:t>
      </w:r>
      <w:r w:rsidR="00E70559" w:rsidRPr="00735FE5">
        <w:rPr>
          <w:lang w:val="en-US"/>
        </w:rPr>
        <w:t>reflect adolescents' real-</w:t>
      </w:r>
      <w:r w:rsidR="00BF1DBA" w:rsidRPr="00735FE5">
        <w:rPr>
          <w:lang w:val="en-US"/>
        </w:rPr>
        <w:t>world risk taking</w:t>
      </w:r>
      <w:r w:rsidR="00C40E7A" w:rsidRPr="00735FE5">
        <w:rPr>
          <w:lang w:val="en-US"/>
        </w:rPr>
        <w:t>,</w:t>
      </w:r>
      <w:r w:rsidRPr="00735FE5">
        <w:rPr>
          <w:lang w:val="en-US"/>
        </w:rPr>
        <w:t xml:space="preserve"> where decision</w:t>
      </w:r>
      <w:r w:rsidR="000A6831" w:rsidRPr="00735FE5">
        <w:rPr>
          <w:lang w:val="en-US"/>
        </w:rPr>
        <w:t xml:space="preserve">s are made </w:t>
      </w:r>
      <w:r w:rsidR="00084E3A" w:rsidRPr="00735FE5">
        <w:rPr>
          <w:lang w:val="en-US"/>
        </w:rPr>
        <w:t>in ambiguous situations</w:t>
      </w:r>
      <w:r w:rsidR="00B77F97" w:rsidRPr="00735FE5">
        <w:rPr>
          <w:lang w:val="en-US"/>
        </w:rPr>
        <w:t xml:space="preserve"> alongside</w:t>
      </w:r>
      <w:r w:rsidR="005D59BB" w:rsidRPr="00735FE5">
        <w:rPr>
          <w:lang w:val="en-US"/>
        </w:rPr>
        <w:t xml:space="preserve"> their peers</w:t>
      </w:r>
      <w:r w:rsidRPr="00735FE5">
        <w:rPr>
          <w:lang w:val="en-US"/>
        </w:rPr>
        <w:t xml:space="preserve">. Aiming for a more ecologically valid design, the present experiment manipulated situational ambiguity and examined its interplay with </w:t>
      </w:r>
      <w:r w:rsidR="00065C34" w:rsidRPr="00735FE5">
        <w:rPr>
          <w:lang w:val="en-US"/>
        </w:rPr>
        <w:t xml:space="preserve">group </w:t>
      </w:r>
      <w:r w:rsidR="00F72376" w:rsidRPr="00735FE5">
        <w:rPr>
          <w:lang w:val="en-US"/>
        </w:rPr>
        <w:t>decision-making</w:t>
      </w:r>
      <w:r w:rsidRPr="00735FE5">
        <w:rPr>
          <w:lang w:val="en-US"/>
        </w:rPr>
        <w:t xml:space="preserve"> and developmental factors. Adole</w:t>
      </w:r>
      <w:r w:rsidR="005D0E5E" w:rsidRPr="00735FE5">
        <w:rPr>
          <w:lang w:val="en-US"/>
        </w:rPr>
        <w:t>scent males (N = 202) aged 12-15</w:t>
      </w:r>
      <w:r w:rsidR="00E107C3" w:rsidRPr="00735FE5">
        <w:rPr>
          <w:lang w:val="en-US"/>
        </w:rPr>
        <w:t xml:space="preserve"> completed a ‘Wheel of F</w:t>
      </w:r>
      <w:r w:rsidRPr="00735FE5">
        <w:rPr>
          <w:lang w:val="en-US"/>
        </w:rPr>
        <w:t>ortune’ task and then self-reported their score, presenting an opportunity to cheat as a measure of antisocial risk-</w:t>
      </w:r>
      <w:r w:rsidR="00F16B77" w:rsidRPr="00735FE5">
        <w:rPr>
          <w:lang w:val="en-US"/>
        </w:rPr>
        <w:t xml:space="preserve">taking. As </w:t>
      </w:r>
      <w:r w:rsidR="003B458E" w:rsidRPr="00735FE5">
        <w:rPr>
          <w:lang w:val="en-US"/>
        </w:rPr>
        <w:t>predicted</w:t>
      </w:r>
      <w:r w:rsidR="00F16B77" w:rsidRPr="00735FE5">
        <w:rPr>
          <w:lang w:val="en-US"/>
        </w:rPr>
        <w:t>, a</w:t>
      </w:r>
      <w:r w:rsidRPr="00735FE5">
        <w:rPr>
          <w:lang w:val="en-US"/>
        </w:rPr>
        <w:t xml:space="preserve">dolescents were more likely to take risks when probabilities were ambiguous rather than explicit. </w:t>
      </w:r>
      <w:r w:rsidR="005D59BB" w:rsidRPr="00735FE5">
        <w:rPr>
          <w:lang w:val="en-US"/>
        </w:rPr>
        <w:t>Further</w:t>
      </w:r>
      <w:r w:rsidR="00BF1EFE" w:rsidRPr="00735FE5">
        <w:rPr>
          <w:lang w:val="en-US"/>
        </w:rPr>
        <w:t xml:space="preserve">, </w:t>
      </w:r>
      <w:r w:rsidR="005D59BB" w:rsidRPr="00735FE5">
        <w:rPr>
          <w:lang w:val="en-US"/>
        </w:rPr>
        <w:t xml:space="preserve">higher levels of gambling choices were made by groups </w:t>
      </w:r>
      <w:r w:rsidRPr="00735FE5">
        <w:rPr>
          <w:lang w:val="en-US"/>
        </w:rPr>
        <w:t xml:space="preserve">in ambiguous, but not </w:t>
      </w:r>
      <w:r w:rsidR="00C230C5" w:rsidRPr="00735FE5">
        <w:rPr>
          <w:lang w:val="en-US"/>
        </w:rPr>
        <w:t>risk</w:t>
      </w:r>
      <w:r w:rsidR="00084E3A" w:rsidRPr="00735FE5">
        <w:rPr>
          <w:lang w:val="en-US"/>
        </w:rPr>
        <w:t xml:space="preserve"> situations</w:t>
      </w:r>
      <w:r w:rsidRPr="00735FE5">
        <w:rPr>
          <w:lang w:val="en-US"/>
        </w:rPr>
        <w:t xml:space="preserve">. </w:t>
      </w:r>
      <w:r w:rsidR="00F16B77" w:rsidRPr="00735FE5">
        <w:rPr>
          <w:lang w:val="en-US"/>
        </w:rPr>
        <w:t xml:space="preserve">Age significantly predicted </w:t>
      </w:r>
      <w:r w:rsidR="00065C34" w:rsidRPr="00735FE5">
        <w:rPr>
          <w:lang w:val="en-US"/>
        </w:rPr>
        <w:t>gambling in ambiguous conditions</w:t>
      </w:r>
      <w:r w:rsidR="00C35F90" w:rsidRPr="00735FE5">
        <w:rPr>
          <w:lang w:val="en-US"/>
        </w:rPr>
        <w:t>,</w:t>
      </w:r>
      <w:r w:rsidR="00F16B77" w:rsidRPr="00735FE5">
        <w:rPr>
          <w:lang w:val="en-US"/>
        </w:rPr>
        <w:t xml:space="preserve"> while developmental dispositions (risk perception, reward sensitivity, and inhibitory control) did not play a role. </w:t>
      </w:r>
      <w:r w:rsidR="00143CE5" w:rsidRPr="00735FE5">
        <w:rPr>
          <w:lang w:val="en-US"/>
        </w:rPr>
        <w:t xml:space="preserve">Findings provide an insight into the social and situational conditions under which </w:t>
      </w:r>
      <w:r w:rsidR="00065C34" w:rsidRPr="00735FE5">
        <w:rPr>
          <w:lang w:val="en-US"/>
        </w:rPr>
        <w:t xml:space="preserve">adolescent males engage in reckless </w:t>
      </w:r>
      <w:r w:rsidR="00143CE5" w:rsidRPr="00735FE5">
        <w:rPr>
          <w:lang w:val="en-US"/>
        </w:rPr>
        <w:t>behavior.</w:t>
      </w:r>
    </w:p>
    <w:p w14:paraId="1D935549" w14:textId="77777777" w:rsidR="008125B3" w:rsidRPr="00735FE5" w:rsidRDefault="008125B3">
      <w:pPr>
        <w:rPr>
          <w:lang w:val="en-US"/>
        </w:rPr>
      </w:pPr>
      <w:r w:rsidRPr="00735FE5">
        <w:rPr>
          <w:lang w:val="en-US"/>
        </w:rPr>
        <w:br w:type="page"/>
      </w:r>
    </w:p>
    <w:p w14:paraId="1DEAE847" w14:textId="5B815D14" w:rsidR="00C2334C" w:rsidRPr="00735FE5" w:rsidRDefault="003F02E1" w:rsidP="00A55671">
      <w:pPr>
        <w:autoSpaceDE w:val="0"/>
        <w:autoSpaceDN w:val="0"/>
        <w:adjustRightInd w:val="0"/>
        <w:spacing w:line="480" w:lineRule="auto"/>
        <w:jc w:val="center"/>
        <w:rPr>
          <w:b/>
          <w:lang w:val="en-US"/>
        </w:rPr>
      </w:pPr>
      <w:r w:rsidRPr="00735FE5">
        <w:rPr>
          <w:b/>
          <w:lang w:val="en-US"/>
        </w:rPr>
        <w:lastRenderedPageBreak/>
        <w:t xml:space="preserve">When </w:t>
      </w:r>
      <w:r w:rsidR="00A03B2C" w:rsidRPr="00735FE5">
        <w:rPr>
          <w:b/>
          <w:lang w:val="en-US"/>
        </w:rPr>
        <w:t>D</w:t>
      </w:r>
      <w:r w:rsidRPr="00735FE5">
        <w:rPr>
          <w:b/>
          <w:lang w:val="en-US"/>
        </w:rPr>
        <w:t xml:space="preserve">o </w:t>
      </w:r>
      <w:r w:rsidR="00A03B2C" w:rsidRPr="00735FE5">
        <w:rPr>
          <w:b/>
          <w:lang w:val="en-US"/>
        </w:rPr>
        <w:t>Peers Influence Adolescent M</w:t>
      </w:r>
      <w:r w:rsidRPr="00735FE5">
        <w:rPr>
          <w:b/>
          <w:lang w:val="en-US"/>
        </w:rPr>
        <w:t>ales’</w:t>
      </w:r>
      <w:r w:rsidR="00A03B2C" w:rsidRPr="00735FE5">
        <w:rPr>
          <w:b/>
          <w:lang w:val="en-US"/>
        </w:rPr>
        <w:t xml:space="preserve"> R</w:t>
      </w:r>
      <w:r w:rsidRPr="00735FE5">
        <w:rPr>
          <w:b/>
          <w:lang w:val="en-US"/>
        </w:rPr>
        <w:t>isk</w:t>
      </w:r>
      <w:r w:rsidR="005F68AB">
        <w:rPr>
          <w:b/>
          <w:lang w:val="en-US"/>
        </w:rPr>
        <w:t>-</w:t>
      </w:r>
      <w:r w:rsidR="00A03B2C" w:rsidRPr="00735FE5">
        <w:rPr>
          <w:b/>
          <w:lang w:val="en-US"/>
        </w:rPr>
        <w:t xml:space="preserve">Taking? Examining </w:t>
      </w:r>
      <w:r w:rsidR="00F72376" w:rsidRPr="00735FE5">
        <w:rPr>
          <w:b/>
          <w:lang w:val="en-US"/>
        </w:rPr>
        <w:t>Decision-making</w:t>
      </w:r>
      <w:r w:rsidR="00A03B2C" w:rsidRPr="00735FE5">
        <w:rPr>
          <w:b/>
          <w:lang w:val="en-US"/>
        </w:rPr>
        <w:t xml:space="preserve"> U</w:t>
      </w:r>
      <w:r w:rsidRPr="00735FE5">
        <w:rPr>
          <w:b/>
          <w:lang w:val="en-US"/>
        </w:rPr>
        <w:t xml:space="preserve">nder </w:t>
      </w:r>
      <w:r w:rsidR="00A03B2C" w:rsidRPr="00735FE5">
        <w:rPr>
          <w:b/>
          <w:lang w:val="en-US"/>
        </w:rPr>
        <w:t>C</w:t>
      </w:r>
      <w:r w:rsidRPr="00735FE5">
        <w:rPr>
          <w:b/>
          <w:lang w:val="en-US"/>
        </w:rPr>
        <w:t xml:space="preserve">onditions of </w:t>
      </w:r>
      <w:r w:rsidR="00A03B2C" w:rsidRPr="00735FE5">
        <w:rPr>
          <w:b/>
          <w:lang w:val="en-US"/>
        </w:rPr>
        <w:t>Risk and A</w:t>
      </w:r>
      <w:r w:rsidRPr="00735FE5">
        <w:rPr>
          <w:b/>
          <w:lang w:val="en-US"/>
        </w:rPr>
        <w:t>mbiguity</w:t>
      </w:r>
    </w:p>
    <w:p w14:paraId="7B486583" w14:textId="77777777" w:rsidR="00B21BA9" w:rsidRPr="00735FE5" w:rsidRDefault="00B21BA9" w:rsidP="00A55671">
      <w:pPr>
        <w:autoSpaceDE w:val="0"/>
        <w:autoSpaceDN w:val="0"/>
        <w:adjustRightInd w:val="0"/>
        <w:spacing w:line="480" w:lineRule="auto"/>
        <w:jc w:val="center"/>
        <w:rPr>
          <w:b/>
          <w:lang w:val="en-US"/>
        </w:rPr>
      </w:pPr>
    </w:p>
    <w:p w14:paraId="30D2D5BC" w14:textId="0872C547" w:rsidR="0052656D" w:rsidRPr="00735FE5" w:rsidRDefault="0028736A" w:rsidP="0052656D">
      <w:pPr>
        <w:spacing w:line="480" w:lineRule="auto"/>
        <w:ind w:firstLine="720"/>
        <w:jc w:val="both"/>
        <w:rPr>
          <w:lang w:val="en-US"/>
        </w:rPr>
      </w:pPr>
      <w:r w:rsidRPr="00735FE5">
        <w:rPr>
          <w:lang w:val="en-US"/>
        </w:rPr>
        <w:t xml:space="preserve">Adolescence is a developmental </w:t>
      </w:r>
      <w:r w:rsidR="000926A3" w:rsidRPr="00735FE5">
        <w:rPr>
          <w:lang w:val="en-US"/>
        </w:rPr>
        <w:t xml:space="preserve">stage </w:t>
      </w:r>
      <w:r w:rsidR="00687497" w:rsidRPr="00735FE5">
        <w:rPr>
          <w:lang w:val="en-US"/>
        </w:rPr>
        <w:t>during</w:t>
      </w:r>
      <w:r w:rsidRPr="00735FE5">
        <w:rPr>
          <w:lang w:val="en-US"/>
        </w:rPr>
        <w:t xml:space="preserve"> which</w:t>
      </w:r>
      <w:r w:rsidR="00FE26DB" w:rsidRPr="00735FE5">
        <w:rPr>
          <w:lang w:val="en-US"/>
        </w:rPr>
        <w:t xml:space="preserve"> individuals are </w:t>
      </w:r>
      <w:r w:rsidR="000F2718" w:rsidRPr="00735FE5">
        <w:rPr>
          <w:lang w:val="en-US"/>
        </w:rPr>
        <w:t>more likely t</w:t>
      </w:r>
      <w:r w:rsidR="00A47206" w:rsidRPr="00735FE5">
        <w:rPr>
          <w:lang w:val="en-US"/>
        </w:rPr>
        <w:t xml:space="preserve">o </w:t>
      </w:r>
      <w:r w:rsidR="00A22187" w:rsidRPr="00735FE5">
        <w:rPr>
          <w:lang w:val="en-US"/>
        </w:rPr>
        <w:t>engage in behaviors associated with risk</w:t>
      </w:r>
      <w:r w:rsidRPr="00735FE5">
        <w:rPr>
          <w:lang w:val="en-US"/>
        </w:rPr>
        <w:t xml:space="preserve"> (</w:t>
      </w:r>
      <w:r w:rsidR="006A1911" w:rsidRPr="00735FE5">
        <w:rPr>
          <w:lang w:val="en-US"/>
        </w:rPr>
        <w:t>Steinberg, 2008</w:t>
      </w:r>
      <w:r w:rsidRPr="00735FE5">
        <w:rPr>
          <w:lang w:val="en-US"/>
        </w:rPr>
        <w:t xml:space="preserve">). </w:t>
      </w:r>
      <w:r w:rsidR="00152E4D" w:rsidRPr="00735FE5">
        <w:rPr>
          <w:lang w:val="en-US"/>
        </w:rPr>
        <w:t xml:space="preserve">While adolescence is a period of physical health, teenagers are disproportionally represented in statistics </w:t>
      </w:r>
      <w:r w:rsidR="000C7E15" w:rsidRPr="00735FE5">
        <w:rPr>
          <w:lang w:val="en-US"/>
        </w:rPr>
        <w:t xml:space="preserve">related to </w:t>
      </w:r>
      <w:r w:rsidR="00152E4D" w:rsidRPr="00735FE5">
        <w:rPr>
          <w:lang w:val="en-US"/>
        </w:rPr>
        <w:t xml:space="preserve">hazardous behaviors including dangerous driving, drug misuse and risky sexual practices (Arnett, 1992; Gittes, &amp; Irwin, 1993; Jonah, 1986). </w:t>
      </w:r>
      <w:r w:rsidR="00884E47" w:rsidRPr="00735FE5">
        <w:rPr>
          <w:lang w:val="en-US"/>
        </w:rPr>
        <w:t>Recent</w:t>
      </w:r>
      <w:r w:rsidR="000F1135" w:rsidRPr="00735FE5">
        <w:rPr>
          <w:lang w:val="en-US"/>
        </w:rPr>
        <w:t>ly, it has been</w:t>
      </w:r>
      <w:r w:rsidR="00884E47" w:rsidRPr="00735FE5">
        <w:rPr>
          <w:lang w:val="en-US"/>
        </w:rPr>
        <w:t xml:space="preserve"> suggested</w:t>
      </w:r>
      <w:r w:rsidR="00604F31" w:rsidRPr="00735FE5">
        <w:rPr>
          <w:lang w:val="en-US"/>
        </w:rPr>
        <w:t xml:space="preserve"> that situational conditions</w:t>
      </w:r>
      <w:r w:rsidR="00884E47" w:rsidRPr="00735FE5">
        <w:rPr>
          <w:lang w:val="en-US"/>
        </w:rPr>
        <w:t xml:space="preserve"> influence adolescents’ likelihood of engaging</w:t>
      </w:r>
      <w:r w:rsidR="00BA08FD" w:rsidRPr="00735FE5">
        <w:rPr>
          <w:lang w:val="en-US"/>
        </w:rPr>
        <w:t xml:space="preserve"> in risk</w:t>
      </w:r>
      <w:r w:rsidR="004B3F49" w:rsidRPr="00735FE5">
        <w:rPr>
          <w:lang w:val="en-US"/>
        </w:rPr>
        <w:t>y</w:t>
      </w:r>
      <w:r w:rsidR="00BA08FD" w:rsidRPr="00735FE5">
        <w:rPr>
          <w:lang w:val="en-US"/>
        </w:rPr>
        <w:t xml:space="preserve"> </w:t>
      </w:r>
      <w:r w:rsidR="004B3F49" w:rsidRPr="00735FE5">
        <w:rPr>
          <w:lang w:val="en-US"/>
        </w:rPr>
        <w:t>actions</w:t>
      </w:r>
      <w:r w:rsidR="00A4765B" w:rsidRPr="00735FE5">
        <w:rPr>
          <w:lang w:val="en-US"/>
        </w:rPr>
        <w:t xml:space="preserve"> (</w:t>
      </w:r>
      <w:r w:rsidR="008E4438" w:rsidRPr="00735FE5">
        <w:rPr>
          <w:lang w:val="en-US"/>
        </w:rPr>
        <w:t>Romer, Reyna &amp; Satterthwaite, 2017</w:t>
      </w:r>
      <w:r w:rsidR="00A4765B" w:rsidRPr="00735FE5">
        <w:rPr>
          <w:lang w:val="en-US"/>
        </w:rPr>
        <w:t>)</w:t>
      </w:r>
      <w:r w:rsidR="00BA08FD" w:rsidRPr="00735FE5">
        <w:rPr>
          <w:lang w:val="en-US"/>
        </w:rPr>
        <w:t xml:space="preserve">. These </w:t>
      </w:r>
      <w:r w:rsidR="001F02F5" w:rsidRPr="00735FE5">
        <w:rPr>
          <w:lang w:val="en-US"/>
        </w:rPr>
        <w:t>researchers</w:t>
      </w:r>
      <w:r w:rsidR="00BA08FD" w:rsidRPr="00735FE5">
        <w:rPr>
          <w:lang w:val="en-US"/>
        </w:rPr>
        <w:t xml:space="preserve"> </w:t>
      </w:r>
      <w:r w:rsidR="001F02F5" w:rsidRPr="00735FE5">
        <w:rPr>
          <w:lang w:val="en-US"/>
        </w:rPr>
        <w:t>propose</w:t>
      </w:r>
      <w:r w:rsidR="00BA08FD" w:rsidRPr="00735FE5">
        <w:rPr>
          <w:lang w:val="en-US"/>
        </w:rPr>
        <w:t xml:space="preserve"> that when the probabilities involved in outcomes of a decision are hidden and thus ambiguous, adolescents are more likely to opt for </w:t>
      </w:r>
      <w:r w:rsidR="008250FE" w:rsidRPr="00735FE5">
        <w:rPr>
          <w:lang w:val="en-US"/>
        </w:rPr>
        <w:t xml:space="preserve">these </w:t>
      </w:r>
      <w:r w:rsidR="00BA08FD" w:rsidRPr="00735FE5">
        <w:rPr>
          <w:lang w:val="en-US"/>
        </w:rPr>
        <w:t>choice</w:t>
      </w:r>
      <w:r w:rsidR="00152E4D" w:rsidRPr="00735FE5">
        <w:rPr>
          <w:lang w:val="en-US"/>
        </w:rPr>
        <w:t>s</w:t>
      </w:r>
      <w:r w:rsidR="00DF1971" w:rsidRPr="00735FE5">
        <w:rPr>
          <w:lang w:val="en-US"/>
        </w:rPr>
        <w:t xml:space="preserve"> than when </w:t>
      </w:r>
      <w:r w:rsidR="002E40F0" w:rsidRPr="00735FE5">
        <w:rPr>
          <w:lang w:val="en-US"/>
        </w:rPr>
        <w:t>probabilities</w:t>
      </w:r>
      <w:r w:rsidR="00DF1971" w:rsidRPr="00735FE5">
        <w:rPr>
          <w:lang w:val="en-US"/>
        </w:rPr>
        <w:t xml:space="preserve"> are known</w:t>
      </w:r>
      <w:r w:rsidR="00A4765B" w:rsidRPr="00735FE5">
        <w:rPr>
          <w:lang w:val="en-US"/>
        </w:rPr>
        <w:t xml:space="preserve"> (</w:t>
      </w:r>
      <w:r w:rsidR="008E4438" w:rsidRPr="00735FE5">
        <w:rPr>
          <w:lang w:val="en-US"/>
        </w:rPr>
        <w:t>van den Bos &amp; Hertwig, 2017</w:t>
      </w:r>
      <w:r w:rsidR="00A4765B" w:rsidRPr="00735FE5">
        <w:rPr>
          <w:lang w:val="en-US"/>
        </w:rPr>
        <w:t>)</w:t>
      </w:r>
      <w:r w:rsidR="00BA08FD" w:rsidRPr="00735FE5">
        <w:rPr>
          <w:lang w:val="en-US"/>
        </w:rPr>
        <w:t>.</w:t>
      </w:r>
      <w:r w:rsidR="00152E4D" w:rsidRPr="00735FE5">
        <w:rPr>
          <w:lang w:val="en-US"/>
        </w:rPr>
        <w:t xml:space="preserve"> While evidence has begun to emerge in support of this phenomenon, </w:t>
      </w:r>
      <w:r w:rsidR="00A22187" w:rsidRPr="00735FE5">
        <w:rPr>
          <w:lang w:val="en-US"/>
        </w:rPr>
        <w:t>adolescents’ tolerance for ambiguity has</w:t>
      </w:r>
      <w:r w:rsidR="00152E4D" w:rsidRPr="00735FE5">
        <w:rPr>
          <w:lang w:val="en-US"/>
        </w:rPr>
        <w:t xml:space="preserve"> yet to be examined within </w:t>
      </w:r>
      <w:r w:rsidR="00333BAA" w:rsidRPr="00735FE5">
        <w:rPr>
          <w:lang w:val="en-US"/>
        </w:rPr>
        <w:t xml:space="preserve">the </w:t>
      </w:r>
      <w:r w:rsidR="00152E4D" w:rsidRPr="00735FE5">
        <w:rPr>
          <w:lang w:val="en-US"/>
        </w:rPr>
        <w:t xml:space="preserve">context of </w:t>
      </w:r>
      <w:r w:rsidR="008B6F41" w:rsidRPr="00735FE5">
        <w:rPr>
          <w:lang w:val="en-US"/>
        </w:rPr>
        <w:t xml:space="preserve">social and </w:t>
      </w:r>
      <w:r w:rsidR="00D03492" w:rsidRPr="00735FE5">
        <w:rPr>
          <w:lang w:val="en-US"/>
        </w:rPr>
        <w:t xml:space="preserve">developmental </w:t>
      </w:r>
      <w:r w:rsidR="000B720F" w:rsidRPr="00735FE5">
        <w:rPr>
          <w:lang w:val="en-US"/>
        </w:rPr>
        <w:t>changes</w:t>
      </w:r>
      <w:r w:rsidR="00152E4D" w:rsidRPr="00735FE5">
        <w:rPr>
          <w:lang w:val="en-US"/>
        </w:rPr>
        <w:t xml:space="preserve"> that occur </w:t>
      </w:r>
      <w:r w:rsidR="00FB5469" w:rsidRPr="00735FE5">
        <w:rPr>
          <w:lang w:val="en-US"/>
        </w:rPr>
        <w:t>during</w:t>
      </w:r>
      <w:r w:rsidR="0052656D" w:rsidRPr="00735FE5">
        <w:rPr>
          <w:lang w:val="en-US"/>
        </w:rPr>
        <w:t xml:space="preserve"> </w:t>
      </w:r>
      <w:r w:rsidR="00333BAA" w:rsidRPr="00735FE5">
        <w:rPr>
          <w:lang w:val="en-US"/>
        </w:rPr>
        <w:t xml:space="preserve">this </w:t>
      </w:r>
      <w:r w:rsidR="00FB5469" w:rsidRPr="00735FE5">
        <w:rPr>
          <w:lang w:val="en-US"/>
        </w:rPr>
        <w:t>period</w:t>
      </w:r>
      <w:r w:rsidR="00152E4D" w:rsidRPr="00735FE5">
        <w:rPr>
          <w:lang w:val="en-US"/>
        </w:rPr>
        <w:t xml:space="preserve">. </w:t>
      </w:r>
    </w:p>
    <w:p w14:paraId="427A26BD" w14:textId="12DE9641" w:rsidR="00577E63" w:rsidRPr="00735FE5" w:rsidRDefault="00884E47" w:rsidP="001C73BC">
      <w:pPr>
        <w:spacing w:line="480" w:lineRule="auto"/>
        <w:ind w:firstLine="720"/>
        <w:jc w:val="both"/>
        <w:rPr>
          <w:lang w:val="en-US"/>
        </w:rPr>
      </w:pPr>
      <w:r w:rsidRPr="00735FE5">
        <w:rPr>
          <w:lang w:val="en-US"/>
        </w:rPr>
        <w:t>R</w:t>
      </w:r>
      <w:r w:rsidR="00551313" w:rsidRPr="00735FE5">
        <w:rPr>
          <w:lang w:val="en-US"/>
        </w:rPr>
        <w:t>isk</w:t>
      </w:r>
      <w:r w:rsidR="0052656D" w:rsidRPr="00735FE5">
        <w:rPr>
          <w:lang w:val="en-US"/>
        </w:rPr>
        <w:t>s</w:t>
      </w:r>
      <w:r w:rsidR="00551313" w:rsidRPr="00735FE5">
        <w:rPr>
          <w:lang w:val="en-US"/>
        </w:rPr>
        <w:t xml:space="preserve"> </w:t>
      </w:r>
      <w:r w:rsidRPr="00735FE5">
        <w:rPr>
          <w:lang w:val="en-US"/>
        </w:rPr>
        <w:t>are</w:t>
      </w:r>
      <w:r w:rsidR="00152E4D" w:rsidRPr="00735FE5">
        <w:rPr>
          <w:lang w:val="en-US"/>
        </w:rPr>
        <w:t xml:space="preserve"> encountered across the lifespan and</w:t>
      </w:r>
      <w:r w:rsidR="001C73BC" w:rsidRPr="00735FE5">
        <w:rPr>
          <w:lang w:val="en-US"/>
        </w:rPr>
        <w:t xml:space="preserve"> are a distinct </w:t>
      </w:r>
      <w:r w:rsidR="00E62315" w:rsidRPr="00735FE5">
        <w:rPr>
          <w:lang w:val="en-US"/>
        </w:rPr>
        <w:t>type</w:t>
      </w:r>
      <w:r w:rsidR="004555E2" w:rsidRPr="00735FE5">
        <w:rPr>
          <w:lang w:val="en-US"/>
        </w:rPr>
        <w:t xml:space="preserve"> </w:t>
      </w:r>
      <w:r w:rsidR="001C73BC" w:rsidRPr="00735FE5">
        <w:rPr>
          <w:lang w:val="en-US"/>
        </w:rPr>
        <w:t xml:space="preserve">of </w:t>
      </w:r>
      <w:r w:rsidR="00F72376" w:rsidRPr="00735FE5">
        <w:rPr>
          <w:lang w:val="en-US"/>
        </w:rPr>
        <w:t>decision-making</w:t>
      </w:r>
      <w:r w:rsidR="001C73BC" w:rsidRPr="00735FE5">
        <w:rPr>
          <w:lang w:val="en-US"/>
        </w:rPr>
        <w:t xml:space="preserve">. </w:t>
      </w:r>
      <w:r w:rsidR="008E4438" w:rsidRPr="00735FE5">
        <w:rPr>
          <w:lang w:val="en-US"/>
        </w:rPr>
        <w:t>In</w:t>
      </w:r>
      <w:r w:rsidR="001C73BC" w:rsidRPr="00735FE5">
        <w:rPr>
          <w:lang w:val="en-US"/>
        </w:rPr>
        <w:t xml:space="preserve"> risk</w:t>
      </w:r>
      <w:r w:rsidR="008E4438" w:rsidRPr="00735FE5">
        <w:rPr>
          <w:lang w:val="en-US"/>
        </w:rPr>
        <w:t xml:space="preserve"> scenarios</w:t>
      </w:r>
      <w:r w:rsidR="001C73BC" w:rsidRPr="00735FE5">
        <w:rPr>
          <w:lang w:val="en-US"/>
        </w:rPr>
        <w:t>, t</w:t>
      </w:r>
      <w:r w:rsidR="0052656D" w:rsidRPr="00735FE5">
        <w:rPr>
          <w:lang w:val="en-US"/>
        </w:rPr>
        <w:t>he agent</w:t>
      </w:r>
      <w:r w:rsidR="001C73BC" w:rsidRPr="00735FE5">
        <w:rPr>
          <w:lang w:val="en-US"/>
        </w:rPr>
        <w:t xml:space="preserve"> is presented</w:t>
      </w:r>
      <w:r w:rsidR="0052656D" w:rsidRPr="00735FE5">
        <w:rPr>
          <w:lang w:val="en-US"/>
        </w:rPr>
        <w:t xml:space="preserve"> with an option </w:t>
      </w:r>
      <w:r w:rsidR="001C73BC" w:rsidRPr="00735FE5">
        <w:rPr>
          <w:lang w:val="en-US"/>
        </w:rPr>
        <w:t>that</w:t>
      </w:r>
      <w:r w:rsidR="00E01D2B" w:rsidRPr="00735FE5">
        <w:rPr>
          <w:lang w:val="en-US"/>
        </w:rPr>
        <w:t xml:space="preserve"> has</w:t>
      </w:r>
      <w:r w:rsidR="00152E4D" w:rsidRPr="00735FE5">
        <w:rPr>
          <w:lang w:val="en-US"/>
        </w:rPr>
        <w:t xml:space="preserve"> the potential for either</w:t>
      </w:r>
      <w:r w:rsidR="0052656D" w:rsidRPr="00735FE5">
        <w:rPr>
          <w:lang w:val="en-US"/>
        </w:rPr>
        <w:t xml:space="preserve"> a positive or</w:t>
      </w:r>
      <w:r w:rsidR="009B03D3" w:rsidRPr="00735FE5">
        <w:rPr>
          <w:lang w:val="en-US"/>
        </w:rPr>
        <w:t xml:space="preserve"> a negative o</w:t>
      </w:r>
      <w:r w:rsidR="001C73BC" w:rsidRPr="00735FE5">
        <w:rPr>
          <w:lang w:val="en-US"/>
        </w:rPr>
        <w:t xml:space="preserve">utcome, which </w:t>
      </w:r>
      <w:r w:rsidR="0052656D" w:rsidRPr="00735FE5">
        <w:rPr>
          <w:lang w:val="en-US"/>
        </w:rPr>
        <w:t>is</w:t>
      </w:r>
      <w:r w:rsidR="00A47206" w:rsidRPr="00735FE5">
        <w:rPr>
          <w:lang w:val="en-US"/>
        </w:rPr>
        <w:t xml:space="preserve"> chosen in favo</w:t>
      </w:r>
      <w:r w:rsidR="009B03D3" w:rsidRPr="00735FE5">
        <w:rPr>
          <w:lang w:val="en-US"/>
        </w:rPr>
        <w:t>r of an option that is guaranteed against a negative outcome (</w:t>
      </w:r>
      <w:r w:rsidR="00F5020A" w:rsidRPr="00735FE5">
        <w:rPr>
          <w:lang w:val="en-US"/>
        </w:rPr>
        <w:t>Defoe et al., 2015</w:t>
      </w:r>
      <w:r w:rsidR="0052656D" w:rsidRPr="00735FE5">
        <w:rPr>
          <w:lang w:val="en-US"/>
        </w:rPr>
        <w:t>).</w:t>
      </w:r>
      <w:r w:rsidR="008250FE" w:rsidRPr="00735FE5">
        <w:rPr>
          <w:lang w:val="en-US"/>
        </w:rPr>
        <w:t xml:space="preserve"> In conditions of risk</w:t>
      </w:r>
      <w:r w:rsidR="0052656D" w:rsidRPr="00735FE5">
        <w:rPr>
          <w:lang w:val="en-US"/>
        </w:rPr>
        <w:t>,</w:t>
      </w:r>
      <w:r w:rsidR="00535101" w:rsidRPr="00735FE5">
        <w:rPr>
          <w:lang w:val="en-US"/>
        </w:rPr>
        <w:t xml:space="preserve"> the </w:t>
      </w:r>
      <w:r w:rsidR="00523EF5" w:rsidRPr="00735FE5">
        <w:rPr>
          <w:lang w:val="en-US"/>
        </w:rPr>
        <w:t>individual</w:t>
      </w:r>
      <w:r w:rsidR="00535101" w:rsidRPr="00735FE5">
        <w:rPr>
          <w:lang w:val="en-US"/>
        </w:rPr>
        <w:t xml:space="preserve"> ha</w:t>
      </w:r>
      <w:r w:rsidR="00214EF4" w:rsidRPr="00735FE5">
        <w:rPr>
          <w:lang w:val="en-US"/>
        </w:rPr>
        <w:t>s knowledge of the probability distributions</w:t>
      </w:r>
      <w:r w:rsidR="00535101" w:rsidRPr="00735FE5">
        <w:rPr>
          <w:lang w:val="en-US"/>
        </w:rPr>
        <w:t xml:space="preserve"> involved in both</w:t>
      </w:r>
      <w:r w:rsidR="002E0607" w:rsidRPr="00735FE5">
        <w:rPr>
          <w:lang w:val="en-US"/>
        </w:rPr>
        <w:t xml:space="preserve"> pos</w:t>
      </w:r>
      <w:r w:rsidR="00DE59F6" w:rsidRPr="00735FE5">
        <w:rPr>
          <w:lang w:val="en-US"/>
        </w:rPr>
        <w:t>itive and negative outcomes of the</w:t>
      </w:r>
      <w:r w:rsidR="008E4438" w:rsidRPr="00735FE5">
        <w:rPr>
          <w:lang w:val="en-US"/>
        </w:rPr>
        <w:t xml:space="preserve"> risk</w:t>
      </w:r>
      <w:r w:rsidR="008250FE" w:rsidRPr="00735FE5">
        <w:rPr>
          <w:lang w:val="en-US"/>
        </w:rPr>
        <w:t>y</w:t>
      </w:r>
      <w:r w:rsidR="002E0607" w:rsidRPr="00735FE5">
        <w:rPr>
          <w:lang w:val="en-US"/>
        </w:rPr>
        <w:t xml:space="preserve"> </w:t>
      </w:r>
      <w:r w:rsidR="0044569B" w:rsidRPr="00735FE5">
        <w:rPr>
          <w:lang w:val="en-US"/>
        </w:rPr>
        <w:t>option</w:t>
      </w:r>
      <w:r w:rsidR="00B77F97" w:rsidRPr="00735FE5">
        <w:rPr>
          <w:lang w:val="en-US"/>
        </w:rPr>
        <w:t>, such</w:t>
      </w:r>
      <w:r w:rsidR="001371E9" w:rsidRPr="00735FE5">
        <w:rPr>
          <w:lang w:val="en-US"/>
        </w:rPr>
        <w:t xml:space="preserve"> as</w:t>
      </w:r>
      <w:r w:rsidR="00FE3383" w:rsidRPr="00735FE5">
        <w:rPr>
          <w:lang w:val="en-US"/>
        </w:rPr>
        <w:t xml:space="preserve"> evaluating one’s chances to win on a roulette table.</w:t>
      </w:r>
      <w:r w:rsidR="00535101" w:rsidRPr="00735FE5">
        <w:rPr>
          <w:lang w:val="en-US"/>
        </w:rPr>
        <w:t xml:space="preserve"> </w:t>
      </w:r>
      <w:r w:rsidR="002E40F0" w:rsidRPr="00735FE5">
        <w:rPr>
          <w:lang w:val="en-US"/>
        </w:rPr>
        <w:t>However,</w:t>
      </w:r>
      <w:r w:rsidR="008250FE" w:rsidRPr="00735FE5">
        <w:rPr>
          <w:lang w:val="en-US"/>
        </w:rPr>
        <w:t xml:space="preserve"> real-world </w:t>
      </w:r>
      <w:r w:rsidR="0052656D" w:rsidRPr="00735FE5">
        <w:rPr>
          <w:lang w:val="en-US"/>
        </w:rPr>
        <w:t xml:space="preserve">decisions rarely occur in conditions where probability distributions are fully available to the agent. </w:t>
      </w:r>
      <w:r w:rsidR="00577E63" w:rsidRPr="00735FE5">
        <w:rPr>
          <w:lang w:val="en-US"/>
        </w:rPr>
        <w:t xml:space="preserve">For example, the likelihood of being involved in a road traffic accident by </w:t>
      </w:r>
      <w:r w:rsidR="00FC4CE8" w:rsidRPr="00735FE5">
        <w:rPr>
          <w:lang w:val="en-US"/>
        </w:rPr>
        <w:t>driving</w:t>
      </w:r>
      <w:r w:rsidR="008E4438" w:rsidRPr="00735FE5">
        <w:rPr>
          <w:lang w:val="en-US"/>
        </w:rPr>
        <w:t xml:space="preserve"> above the speed limit </w:t>
      </w:r>
      <w:r w:rsidR="00577E63" w:rsidRPr="00735FE5">
        <w:rPr>
          <w:lang w:val="en-US"/>
        </w:rPr>
        <w:t xml:space="preserve">involves a myriad of factors that are not available to the </w:t>
      </w:r>
      <w:r w:rsidR="0052656D" w:rsidRPr="00735FE5">
        <w:rPr>
          <w:lang w:val="en-US"/>
        </w:rPr>
        <w:t>individual</w:t>
      </w:r>
      <w:r w:rsidR="00577E63" w:rsidRPr="00735FE5">
        <w:rPr>
          <w:lang w:val="en-US"/>
        </w:rPr>
        <w:t xml:space="preserve"> to evaluate.</w:t>
      </w:r>
      <w:r w:rsidR="00214EF4" w:rsidRPr="00735FE5">
        <w:rPr>
          <w:lang w:val="en-US"/>
        </w:rPr>
        <w:t xml:space="preserve"> Rather, these are more appropriately defined as conditions of ‘ambiguity’</w:t>
      </w:r>
      <w:r w:rsidR="007D5B98" w:rsidRPr="00735FE5">
        <w:rPr>
          <w:lang w:val="en-US"/>
        </w:rPr>
        <w:t>, where probability distributions</w:t>
      </w:r>
      <w:r w:rsidR="006C645F" w:rsidRPr="00735FE5">
        <w:rPr>
          <w:lang w:val="en-US"/>
        </w:rPr>
        <w:t xml:space="preserve"> of the </w:t>
      </w:r>
      <w:r w:rsidR="00F355AC" w:rsidRPr="00735FE5">
        <w:rPr>
          <w:lang w:val="en-US"/>
        </w:rPr>
        <w:t>decision</w:t>
      </w:r>
      <w:r w:rsidR="007D5B98" w:rsidRPr="00735FE5">
        <w:rPr>
          <w:lang w:val="en-US"/>
        </w:rPr>
        <w:t xml:space="preserve"> are unknown (Tversky &amp; Kahnemann, 1992)</w:t>
      </w:r>
      <w:r w:rsidR="00214EF4" w:rsidRPr="00735FE5">
        <w:rPr>
          <w:lang w:val="en-US"/>
        </w:rPr>
        <w:t>.</w:t>
      </w:r>
      <w:r w:rsidR="00577E63" w:rsidRPr="00735FE5">
        <w:rPr>
          <w:lang w:val="en-US"/>
        </w:rPr>
        <w:t xml:space="preserve"> </w:t>
      </w:r>
      <w:r w:rsidR="00A4765B" w:rsidRPr="00735FE5">
        <w:rPr>
          <w:lang w:val="en-US"/>
        </w:rPr>
        <w:t>This</w:t>
      </w:r>
      <w:r w:rsidR="00214EF4" w:rsidRPr="00735FE5">
        <w:rPr>
          <w:lang w:val="en-US"/>
        </w:rPr>
        <w:t xml:space="preserve"> distinction</w:t>
      </w:r>
      <w:r w:rsidR="00A4765B" w:rsidRPr="00735FE5">
        <w:rPr>
          <w:lang w:val="en-US"/>
        </w:rPr>
        <w:t xml:space="preserve"> is </w:t>
      </w:r>
      <w:r w:rsidR="00A4765B" w:rsidRPr="00735FE5">
        <w:rPr>
          <w:lang w:val="en-US"/>
        </w:rPr>
        <w:lastRenderedPageBreak/>
        <w:t xml:space="preserve">particularly </w:t>
      </w:r>
      <w:r w:rsidR="00214EF4" w:rsidRPr="00735FE5">
        <w:rPr>
          <w:lang w:val="en-US"/>
        </w:rPr>
        <w:t>relevant to</w:t>
      </w:r>
      <w:r w:rsidR="00E60899" w:rsidRPr="00735FE5">
        <w:rPr>
          <w:lang w:val="en-US"/>
        </w:rPr>
        <w:t xml:space="preserve"> </w:t>
      </w:r>
      <w:r w:rsidR="00162785" w:rsidRPr="00735FE5">
        <w:rPr>
          <w:lang w:val="en-US"/>
        </w:rPr>
        <w:t xml:space="preserve">adolescent </w:t>
      </w:r>
      <w:r w:rsidR="00F72376" w:rsidRPr="00735FE5">
        <w:rPr>
          <w:lang w:val="en-US"/>
        </w:rPr>
        <w:t>decision-making</w:t>
      </w:r>
      <w:r w:rsidR="00E60899" w:rsidRPr="00735FE5">
        <w:rPr>
          <w:lang w:val="en-US"/>
        </w:rPr>
        <w:t xml:space="preserve">, </w:t>
      </w:r>
      <w:r w:rsidR="00A4765B" w:rsidRPr="00735FE5">
        <w:rPr>
          <w:lang w:val="en-US"/>
        </w:rPr>
        <w:t xml:space="preserve">as </w:t>
      </w:r>
      <w:r w:rsidR="00E60899" w:rsidRPr="00735FE5">
        <w:rPr>
          <w:lang w:val="en-US"/>
        </w:rPr>
        <w:t xml:space="preserve">their </w:t>
      </w:r>
      <w:r w:rsidR="00577E63" w:rsidRPr="00735FE5">
        <w:rPr>
          <w:lang w:val="en-US"/>
        </w:rPr>
        <w:t>relative in</w:t>
      </w:r>
      <w:r w:rsidR="00F355AC" w:rsidRPr="00735FE5">
        <w:rPr>
          <w:lang w:val="en-US"/>
        </w:rPr>
        <w:t xml:space="preserve">experience </w:t>
      </w:r>
      <w:r w:rsidR="00B77F97" w:rsidRPr="00735FE5">
        <w:rPr>
          <w:lang w:val="en-US"/>
        </w:rPr>
        <w:t xml:space="preserve">compared to adults </w:t>
      </w:r>
      <w:r w:rsidR="00F355AC" w:rsidRPr="00735FE5">
        <w:rPr>
          <w:lang w:val="en-US"/>
        </w:rPr>
        <w:t xml:space="preserve">means that more </w:t>
      </w:r>
      <w:r w:rsidR="00577E63" w:rsidRPr="00735FE5">
        <w:rPr>
          <w:lang w:val="en-US"/>
        </w:rPr>
        <w:t xml:space="preserve">scenarios are processed as ambiguous (Romer, 2010). </w:t>
      </w:r>
    </w:p>
    <w:p w14:paraId="6B972E7C" w14:textId="4071703D" w:rsidR="00C601CD" w:rsidRPr="00793D66" w:rsidRDefault="00F6779D" w:rsidP="00C91C57">
      <w:pPr>
        <w:spacing w:line="480" w:lineRule="auto"/>
        <w:ind w:firstLine="720"/>
        <w:jc w:val="both"/>
        <w:rPr>
          <w:lang w:val="en-US"/>
        </w:rPr>
      </w:pPr>
      <w:r w:rsidRPr="00735FE5">
        <w:rPr>
          <w:lang w:val="en-US"/>
        </w:rPr>
        <w:t xml:space="preserve">However, not all adolescents engage in equal amounts of risk taking. </w:t>
      </w:r>
      <w:r w:rsidR="00C601CD" w:rsidRPr="00735FE5">
        <w:rPr>
          <w:lang w:val="en-US"/>
        </w:rPr>
        <w:t xml:space="preserve">Compared to females, males are consistently more likely to </w:t>
      </w:r>
      <w:r w:rsidR="00B53E66" w:rsidRPr="00735FE5">
        <w:rPr>
          <w:lang w:val="en-US"/>
        </w:rPr>
        <w:t>engage in</w:t>
      </w:r>
      <w:r w:rsidR="002B1879" w:rsidRPr="00735FE5">
        <w:rPr>
          <w:lang w:val="en-US"/>
        </w:rPr>
        <w:t xml:space="preserve"> real world risky behaviors</w:t>
      </w:r>
      <w:r w:rsidR="00C601CD" w:rsidRPr="00735FE5">
        <w:rPr>
          <w:lang w:val="en-US"/>
        </w:rPr>
        <w:t xml:space="preserve"> (Byrnes, Miller &amp; Schafer, 1999). Moreover, </w:t>
      </w:r>
      <w:r w:rsidR="00C91C57" w:rsidRPr="00735FE5">
        <w:rPr>
          <w:lang w:val="en-US"/>
        </w:rPr>
        <w:t xml:space="preserve">adolescent males are </w:t>
      </w:r>
      <w:r w:rsidR="00C601CD" w:rsidRPr="00735FE5">
        <w:rPr>
          <w:lang w:val="en-US"/>
        </w:rPr>
        <w:t xml:space="preserve">more likely than females to engage in </w:t>
      </w:r>
      <w:r w:rsidR="00B53E66" w:rsidRPr="00735FE5">
        <w:rPr>
          <w:lang w:val="en-US"/>
        </w:rPr>
        <w:t>acts</w:t>
      </w:r>
      <w:r w:rsidR="00C601CD" w:rsidRPr="00735FE5">
        <w:rPr>
          <w:lang w:val="en-US"/>
        </w:rPr>
        <w:t xml:space="preserve"> with the potential for serious injury or mortality (Eaton et al., 2012)</w:t>
      </w:r>
      <w:r w:rsidR="00C91C57" w:rsidRPr="00735FE5">
        <w:rPr>
          <w:lang w:val="en-US"/>
        </w:rPr>
        <w:t>, making this population particularly vulnerable</w:t>
      </w:r>
      <w:r w:rsidRPr="00735FE5">
        <w:rPr>
          <w:lang w:val="en-US"/>
        </w:rPr>
        <w:t xml:space="preserve"> to negative outcomes</w:t>
      </w:r>
      <w:r w:rsidR="00C601CD" w:rsidRPr="00735FE5">
        <w:rPr>
          <w:lang w:val="en-US"/>
        </w:rPr>
        <w:t>.</w:t>
      </w:r>
      <w:r w:rsidR="007D5BDC" w:rsidRPr="00735FE5">
        <w:rPr>
          <w:lang w:val="en-US"/>
        </w:rPr>
        <w:t xml:space="preserve"> For example, international data on road traffic accidents suggest males are more likely to be involved in accidents associated with r</w:t>
      </w:r>
      <w:r w:rsidR="00B53E66" w:rsidRPr="00735FE5">
        <w:rPr>
          <w:lang w:val="en-US"/>
        </w:rPr>
        <w:t>eckless</w:t>
      </w:r>
      <w:r w:rsidR="007D5BDC" w:rsidRPr="00735FE5">
        <w:rPr>
          <w:lang w:val="en-US"/>
        </w:rPr>
        <w:t xml:space="preserve"> behaviors, such as speeding or driving while intoxicated</w:t>
      </w:r>
      <w:r w:rsidR="00D44931" w:rsidRPr="00735FE5">
        <w:rPr>
          <w:lang w:val="en-US"/>
        </w:rPr>
        <w:t xml:space="preserve"> (Swedler, Bowman &amp; Baker, 2012</w:t>
      </w:r>
      <w:r w:rsidR="007D5BDC" w:rsidRPr="00735FE5">
        <w:rPr>
          <w:lang w:val="en-US"/>
        </w:rPr>
        <w:t>)</w:t>
      </w:r>
      <w:r w:rsidR="001371E9" w:rsidRPr="00735FE5">
        <w:rPr>
          <w:lang w:val="en-US"/>
        </w:rPr>
        <w:t>.</w:t>
      </w:r>
      <w:r w:rsidR="00C601CD" w:rsidRPr="00735FE5">
        <w:rPr>
          <w:lang w:val="en-US"/>
        </w:rPr>
        <w:t xml:space="preserve"> These </w:t>
      </w:r>
      <w:r w:rsidR="00B53E66" w:rsidRPr="00735FE5">
        <w:rPr>
          <w:lang w:val="en-US"/>
        </w:rPr>
        <w:t>behaviors</w:t>
      </w:r>
      <w:r w:rsidR="00C601CD" w:rsidRPr="00735FE5">
        <w:rPr>
          <w:lang w:val="en-US"/>
        </w:rPr>
        <w:t xml:space="preserve"> are therefore a public health concern, and it is imperative to understand the</w:t>
      </w:r>
      <w:r w:rsidR="00116043" w:rsidRPr="00735FE5">
        <w:rPr>
          <w:lang w:val="en-US"/>
        </w:rPr>
        <w:t xml:space="preserve"> factors that contribute to</w:t>
      </w:r>
      <w:r w:rsidR="00744E0C" w:rsidRPr="00735FE5">
        <w:rPr>
          <w:lang w:val="en-US"/>
        </w:rPr>
        <w:t xml:space="preserve"> the</w:t>
      </w:r>
      <w:r w:rsidR="00116043" w:rsidRPr="00735FE5">
        <w:rPr>
          <w:lang w:val="en-US"/>
        </w:rPr>
        <w:t xml:space="preserve"> </w:t>
      </w:r>
      <w:r w:rsidRPr="00735FE5">
        <w:rPr>
          <w:lang w:val="en-US"/>
        </w:rPr>
        <w:t>risk</w:t>
      </w:r>
      <w:r w:rsidR="007A58BC">
        <w:rPr>
          <w:lang w:val="en-US"/>
        </w:rPr>
        <w:t>-</w:t>
      </w:r>
      <w:r w:rsidRPr="00793D66">
        <w:rPr>
          <w:lang w:val="en-US"/>
        </w:rPr>
        <w:t>taking</w:t>
      </w:r>
      <w:r w:rsidR="00116043" w:rsidRPr="00793D66">
        <w:rPr>
          <w:lang w:val="en-US"/>
        </w:rPr>
        <w:t xml:space="preserve"> behaviors</w:t>
      </w:r>
      <w:r w:rsidR="00744E0C" w:rsidRPr="00793D66">
        <w:rPr>
          <w:lang w:val="en-US"/>
        </w:rPr>
        <w:t xml:space="preserve"> of this population</w:t>
      </w:r>
      <w:r w:rsidR="00116043" w:rsidRPr="00793D66">
        <w:rPr>
          <w:lang w:val="en-US"/>
        </w:rPr>
        <w:t xml:space="preserve"> in order to</w:t>
      </w:r>
      <w:r w:rsidR="00C601CD" w:rsidRPr="00793D66">
        <w:rPr>
          <w:lang w:val="en-US"/>
        </w:rPr>
        <w:t xml:space="preserve"> protect ag</w:t>
      </w:r>
      <w:r w:rsidR="00D24EDD" w:rsidRPr="00793D66">
        <w:rPr>
          <w:lang w:val="en-US"/>
        </w:rPr>
        <w:t>ainst</w:t>
      </w:r>
      <w:r w:rsidR="00FB4349" w:rsidRPr="00793D66">
        <w:rPr>
          <w:lang w:val="en-US"/>
        </w:rPr>
        <w:t xml:space="preserve"> negative outcomes. </w:t>
      </w:r>
    </w:p>
    <w:p w14:paraId="233EB546" w14:textId="0302194D" w:rsidR="008B6F41" w:rsidRPr="00793D66" w:rsidRDefault="00DC1F46" w:rsidP="00D71DA9">
      <w:pPr>
        <w:spacing w:line="480" w:lineRule="auto"/>
        <w:ind w:firstLine="720"/>
        <w:jc w:val="both"/>
        <w:rPr>
          <w:lang w:val="en-US"/>
        </w:rPr>
      </w:pPr>
      <w:r w:rsidRPr="00793D66">
        <w:rPr>
          <w:lang w:val="en-US"/>
        </w:rPr>
        <w:t>Adolescence is a</w:t>
      </w:r>
      <w:r w:rsidR="002E40F0" w:rsidRPr="00793D66">
        <w:rPr>
          <w:lang w:val="en-US"/>
        </w:rPr>
        <w:t xml:space="preserve"> unique</w:t>
      </w:r>
      <w:r w:rsidRPr="00793D66">
        <w:rPr>
          <w:lang w:val="en-US"/>
        </w:rPr>
        <w:t xml:space="preserve"> period marked by major social, </w:t>
      </w:r>
      <w:r w:rsidR="00CF3B28" w:rsidRPr="00793D66">
        <w:rPr>
          <w:lang w:val="en-US"/>
        </w:rPr>
        <w:t>affective</w:t>
      </w:r>
      <w:r w:rsidRPr="00793D66">
        <w:rPr>
          <w:lang w:val="en-US"/>
        </w:rPr>
        <w:t xml:space="preserve"> and cognitive development</w:t>
      </w:r>
      <w:r w:rsidR="00057337" w:rsidRPr="00793D66">
        <w:rPr>
          <w:lang w:val="en-US"/>
        </w:rPr>
        <w:t>s</w:t>
      </w:r>
      <w:r w:rsidR="00A74DE9" w:rsidRPr="00793D66">
        <w:rPr>
          <w:lang w:val="en-US"/>
        </w:rPr>
        <w:t>,</w:t>
      </w:r>
      <w:r w:rsidR="00D24EDD" w:rsidRPr="00793D66">
        <w:rPr>
          <w:lang w:val="en-US"/>
        </w:rPr>
        <w:t xml:space="preserve"> which make this population more vulnerable to engaging in reckless behaviors</w:t>
      </w:r>
      <w:r w:rsidRPr="00793D66">
        <w:rPr>
          <w:lang w:val="en-US"/>
        </w:rPr>
        <w:t xml:space="preserve"> (</w:t>
      </w:r>
      <w:r w:rsidR="00B64E28" w:rsidRPr="00793D66">
        <w:rPr>
          <w:lang w:val="en-US"/>
        </w:rPr>
        <w:t>Casey, Getz &amp; Galvan, 2008</w:t>
      </w:r>
      <w:r w:rsidRPr="00793D66">
        <w:rPr>
          <w:lang w:val="en-US"/>
        </w:rPr>
        <w:t xml:space="preserve">). </w:t>
      </w:r>
      <w:r w:rsidR="004A5B8D" w:rsidRPr="00793D66">
        <w:rPr>
          <w:lang w:val="en-US"/>
        </w:rPr>
        <w:t xml:space="preserve">During this </w:t>
      </w:r>
      <w:r w:rsidR="00381FFC" w:rsidRPr="00793D66">
        <w:rPr>
          <w:lang w:val="en-US"/>
        </w:rPr>
        <w:t>time</w:t>
      </w:r>
      <w:r w:rsidR="00E826B0" w:rsidRPr="00793D66">
        <w:rPr>
          <w:lang w:val="en-US"/>
        </w:rPr>
        <w:t>, there</w:t>
      </w:r>
      <w:r w:rsidR="004A5B8D" w:rsidRPr="00793D66">
        <w:rPr>
          <w:lang w:val="en-US"/>
        </w:rPr>
        <w:t xml:space="preserve"> significant </w:t>
      </w:r>
      <w:r w:rsidR="00033A3F" w:rsidRPr="00793D66">
        <w:rPr>
          <w:lang w:val="en-US"/>
        </w:rPr>
        <w:t xml:space="preserve">neurological </w:t>
      </w:r>
      <w:r w:rsidR="004A5B8D" w:rsidRPr="00793D66">
        <w:rPr>
          <w:lang w:val="en-US"/>
        </w:rPr>
        <w:t xml:space="preserve">changes as adolescents develop </w:t>
      </w:r>
      <w:r w:rsidR="00885C0B" w:rsidRPr="00793D66">
        <w:rPr>
          <w:lang w:val="en-US"/>
        </w:rPr>
        <w:t>the mature</w:t>
      </w:r>
      <w:r w:rsidR="00033A3F" w:rsidRPr="00793D66">
        <w:rPr>
          <w:lang w:val="en-US"/>
        </w:rPr>
        <w:t xml:space="preserve"> cognitive architecture </w:t>
      </w:r>
      <w:r w:rsidR="00F4388A" w:rsidRPr="00793D66">
        <w:rPr>
          <w:lang w:val="en-US"/>
        </w:rPr>
        <w:t>of adulthood</w:t>
      </w:r>
      <w:r w:rsidR="00033A3F" w:rsidRPr="00793D66">
        <w:rPr>
          <w:lang w:val="en-US"/>
        </w:rPr>
        <w:t xml:space="preserve"> (Spear, 2013</w:t>
      </w:r>
      <w:r w:rsidR="004A5B8D" w:rsidRPr="00793D66">
        <w:rPr>
          <w:lang w:val="en-US"/>
        </w:rPr>
        <w:t>).</w:t>
      </w:r>
      <w:r w:rsidR="008D7067" w:rsidRPr="00793D66">
        <w:rPr>
          <w:lang w:val="en-US"/>
        </w:rPr>
        <w:t xml:space="preserve"> </w:t>
      </w:r>
      <w:r w:rsidR="002E40F0" w:rsidRPr="00793D66">
        <w:rPr>
          <w:lang w:val="en-US"/>
        </w:rPr>
        <w:t>A</w:t>
      </w:r>
      <w:r w:rsidR="00885C0B" w:rsidRPr="00793D66">
        <w:rPr>
          <w:lang w:val="en-US"/>
        </w:rPr>
        <w:t>t the onset of puberty</w:t>
      </w:r>
      <w:r w:rsidR="008E6031" w:rsidRPr="00793D66">
        <w:rPr>
          <w:lang w:val="en-US"/>
        </w:rPr>
        <w:t>,</w:t>
      </w:r>
      <w:r w:rsidR="00885C0B" w:rsidRPr="00793D66">
        <w:rPr>
          <w:lang w:val="en-US"/>
        </w:rPr>
        <w:t xml:space="preserve"> there is a rapid development of </w:t>
      </w:r>
      <w:r w:rsidR="00E33A5F" w:rsidRPr="00793D66">
        <w:rPr>
          <w:lang w:val="en-US"/>
        </w:rPr>
        <w:t xml:space="preserve">affective </w:t>
      </w:r>
      <w:r w:rsidR="00F861AE" w:rsidRPr="00793D66">
        <w:rPr>
          <w:lang w:val="en-US"/>
        </w:rPr>
        <w:t>regions</w:t>
      </w:r>
      <w:r w:rsidR="002E1C72" w:rsidRPr="00793D66">
        <w:rPr>
          <w:lang w:val="en-US"/>
        </w:rPr>
        <w:t xml:space="preserve"> of the brain, such as the </w:t>
      </w:r>
      <w:r w:rsidR="00885C0B" w:rsidRPr="00793D66">
        <w:rPr>
          <w:lang w:val="en-US"/>
        </w:rPr>
        <w:t>v</w:t>
      </w:r>
      <w:r w:rsidR="005A204B" w:rsidRPr="00793D66">
        <w:rPr>
          <w:lang w:val="en-US"/>
        </w:rPr>
        <w:t>entral striatum</w:t>
      </w:r>
      <w:r w:rsidR="002E6833" w:rsidRPr="00793D66">
        <w:rPr>
          <w:lang w:val="en-US"/>
        </w:rPr>
        <w:t>,</w:t>
      </w:r>
      <w:r w:rsidR="00F861AE" w:rsidRPr="00793D66">
        <w:rPr>
          <w:lang w:val="en-US"/>
        </w:rPr>
        <w:t xml:space="preserve"> which has an important role in the dopaminergic reward system </w:t>
      </w:r>
      <w:r w:rsidR="005A204B" w:rsidRPr="00793D66">
        <w:rPr>
          <w:lang w:val="en-US"/>
        </w:rPr>
        <w:t>(</w:t>
      </w:r>
      <w:r w:rsidR="000D3E22" w:rsidRPr="00793D66">
        <w:rPr>
          <w:lang w:val="en-US"/>
        </w:rPr>
        <w:t xml:space="preserve">Van Leijenhorst </w:t>
      </w:r>
      <w:r w:rsidR="00A47206" w:rsidRPr="00793D66">
        <w:rPr>
          <w:lang w:val="en-US"/>
        </w:rPr>
        <w:t>et al.</w:t>
      </w:r>
      <w:r w:rsidR="00885C0B" w:rsidRPr="00793D66">
        <w:rPr>
          <w:lang w:val="en-US"/>
        </w:rPr>
        <w:t xml:space="preserve">, 2009). </w:t>
      </w:r>
      <w:r w:rsidR="00951ECF" w:rsidRPr="00793D66">
        <w:rPr>
          <w:lang w:val="en-US"/>
        </w:rPr>
        <w:t>In contrast</w:t>
      </w:r>
      <w:r w:rsidR="00885C0B" w:rsidRPr="00793D66">
        <w:rPr>
          <w:lang w:val="en-US"/>
        </w:rPr>
        <w:t xml:space="preserve">, </w:t>
      </w:r>
      <w:r w:rsidR="00F861AE" w:rsidRPr="00793D66">
        <w:rPr>
          <w:lang w:val="en-US"/>
        </w:rPr>
        <w:t xml:space="preserve">cognitive </w:t>
      </w:r>
      <w:r w:rsidR="00885C0B" w:rsidRPr="00793D66">
        <w:rPr>
          <w:lang w:val="en-US"/>
        </w:rPr>
        <w:t>areas such as the prefrontal cortex and anterior cingulate, which are responsible</w:t>
      </w:r>
      <w:r w:rsidR="00A47206" w:rsidRPr="00793D66">
        <w:rPr>
          <w:lang w:val="en-US"/>
        </w:rPr>
        <w:t xml:space="preserve"> for complex inhibitory behavio</w:t>
      </w:r>
      <w:r w:rsidR="00885C0B" w:rsidRPr="00793D66">
        <w:rPr>
          <w:lang w:val="en-US"/>
        </w:rPr>
        <w:t xml:space="preserve">rs, develop more gradually and do not reach full maturity until late adolescence (Casey </w:t>
      </w:r>
      <w:r w:rsidR="00B64E28" w:rsidRPr="00793D66">
        <w:rPr>
          <w:lang w:val="en-US"/>
        </w:rPr>
        <w:t>et al., 2008</w:t>
      </w:r>
      <w:r w:rsidR="007D5B98" w:rsidRPr="00793D66">
        <w:rPr>
          <w:lang w:val="en-US"/>
        </w:rPr>
        <w:t>). Therefore</w:t>
      </w:r>
      <w:r w:rsidR="00A4765B" w:rsidRPr="00793D66">
        <w:rPr>
          <w:lang w:val="en-US"/>
        </w:rPr>
        <w:t>,</w:t>
      </w:r>
      <w:r w:rsidR="00885C0B" w:rsidRPr="00793D66">
        <w:rPr>
          <w:lang w:val="en-US"/>
        </w:rPr>
        <w:t xml:space="preserve"> adolescents are predisposed to perceive potential rewards as more salient and subsequently pursue these without the restraint of mature inhibitory control abilities (van Duijvenvoorde, Peters, Braams &amp; Crone, 2016).</w:t>
      </w:r>
      <w:r w:rsidR="00F4388A" w:rsidRPr="00793D66">
        <w:rPr>
          <w:lang w:val="en-US"/>
        </w:rPr>
        <w:t xml:space="preserve"> These observations have led to the development of a ‘dual system</w:t>
      </w:r>
      <w:r w:rsidR="004C40D9" w:rsidRPr="00793D66">
        <w:rPr>
          <w:lang w:val="en-US"/>
        </w:rPr>
        <w:t xml:space="preserve">s model’ of adolescent </w:t>
      </w:r>
      <w:r w:rsidR="00F72376" w:rsidRPr="00793D66">
        <w:rPr>
          <w:lang w:val="en-US"/>
        </w:rPr>
        <w:t>decision-making</w:t>
      </w:r>
      <w:r w:rsidR="00F4388A" w:rsidRPr="00793D66">
        <w:rPr>
          <w:lang w:val="en-US"/>
        </w:rPr>
        <w:t xml:space="preserve"> (Steinberg, 2008). This model states that neurobiological changes </w:t>
      </w:r>
      <w:r w:rsidR="00F4388A" w:rsidRPr="00793D66">
        <w:rPr>
          <w:lang w:val="en-US"/>
        </w:rPr>
        <w:lastRenderedPageBreak/>
        <w:t>during puberty create an imbalance between areas responsible for the processing of rewards and those responsible for inhibit</w:t>
      </w:r>
      <w:r w:rsidR="00A47206" w:rsidRPr="00793D66">
        <w:rPr>
          <w:lang w:val="en-US"/>
        </w:rPr>
        <w:t>ing potentially harmful behavio</w:t>
      </w:r>
      <w:r w:rsidR="00F4388A" w:rsidRPr="00793D66">
        <w:rPr>
          <w:lang w:val="en-US"/>
        </w:rPr>
        <w:t xml:space="preserve">r (Steinberg, 2010). </w:t>
      </w:r>
      <w:r w:rsidR="00373282" w:rsidRPr="00793D66">
        <w:rPr>
          <w:lang w:val="en-US"/>
        </w:rPr>
        <w:t>A</w:t>
      </w:r>
      <w:r w:rsidR="00F4388A" w:rsidRPr="00793D66">
        <w:rPr>
          <w:lang w:val="en-US"/>
        </w:rPr>
        <w:t>dolescents</w:t>
      </w:r>
      <w:r w:rsidR="00373282" w:rsidRPr="00793D66">
        <w:rPr>
          <w:lang w:val="en-US"/>
        </w:rPr>
        <w:t xml:space="preserve"> are thereby predisposed</w:t>
      </w:r>
      <w:r w:rsidR="00F4388A" w:rsidRPr="00793D66">
        <w:rPr>
          <w:lang w:val="en-US"/>
        </w:rPr>
        <w:t xml:space="preserve"> to pursue rewards in conditions of risk, without the </w:t>
      </w:r>
      <w:r w:rsidR="00A47206" w:rsidRPr="00793D66">
        <w:rPr>
          <w:lang w:val="en-US"/>
        </w:rPr>
        <w:t>ability to inhibit behavio</w:t>
      </w:r>
      <w:r w:rsidR="00F4388A" w:rsidRPr="00793D66">
        <w:rPr>
          <w:lang w:val="en-US"/>
        </w:rPr>
        <w:t>rs to avoid negative outcomes.</w:t>
      </w:r>
      <w:r w:rsidR="00885C0B" w:rsidRPr="00793D66">
        <w:rPr>
          <w:lang w:val="en-US"/>
        </w:rPr>
        <w:t xml:space="preserve"> </w:t>
      </w:r>
    </w:p>
    <w:p w14:paraId="3B37AE32" w14:textId="77777777" w:rsidR="00E3529D" w:rsidRPr="00725726" w:rsidRDefault="00A0299A" w:rsidP="00FF1742">
      <w:pPr>
        <w:spacing w:line="480" w:lineRule="auto"/>
        <w:ind w:firstLine="720"/>
        <w:jc w:val="both"/>
        <w:rPr>
          <w:lang w:val="en-US"/>
        </w:rPr>
      </w:pPr>
      <w:r w:rsidRPr="00793D66">
        <w:rPr>
          <w:lang w:val="en-US"/>
        </w:rPr>
        <w:t>The dual systems model</w:t>
      </w:r>
      <w:r w:rsidR="005B48E7" w:rsidRPr="00793D66">
        <w:rPr>
          <w:lang w:val="en-US"/>
        </w:rPr>
        <w:t xml:space="preserve"> </w:t>
      </w:r>
      <w:r w:rsidRPr="00793D66">
        <w:rPr>
          <w:lang w:val="en-US"/>
        </w:rPr>
        <w:t>has</w:t>
      </w:r>
      <w:r w:rsidR="005B48E7" w:rsidRPr="00793D66">
        <w:rPr>
          <w:lang w:val="en-US"/>
        </w:rPr>
        <w:t xml:space="preserve"> seen co</w:t>
      </w:r>
      <w:r w:rsidR="00A47206" w:rsidRPr="00793D66">
        <w:rPr>
          <w:lang w:val="en-US"/>
        </w:rPr>
        <w:t>nsiderable support from behavio</w:t>
      </w:r>
      <w:r w:rsidR="005B48E7" w:rsidRPr="00793D66">
        <w:rPr>
          <w:lang w:val="en-US"/>
        </w:rPr>
        <w:t xml:space="preserve">ral studies examining </w:t>
      </w:r>
      <w:r w:rsidR="00F72376" w:rsidRPr="00793D66">
        <w:rPr>
          <w:lang w:val="en-US"/>
        </w:rPr>
        <w:t>decision-making</w:t>
      </w:r>
      <w:r w:rsidR="005B48E7" w:rsidRPr="00793D66">
        <w:rPr>
          <w:lang w:val="en-US"/>
        </w:rPr>
        <w:t xml:space="preserve"> in adolescents</w:t>
      </w:r>
      <w:r w:rsidR="00827D8F" w:rsidRPr="00793D66">
        <w:rPr>
          <w:lang w:val="en-US"/>
        </w:rPr>
        <w:t xml:space="preserve"> (e.g. Braams, van Duijvenvoorde, Peper, &amp; Crone, 2015;</w:t>
      </w:r>
      <w:r w:rsidR="00466078" w:rsidRPr="00793D66">
        <w:rPr>
          <w:lang w:val="en-US"/>
        </w:rPr>
        <w:t xml:space="preserve"> </w:t>
      </w:r>
      <w:r w:rsidR="00763751" w:rsidRPr="00793D66">
        <w:rPr>
          <w:lang w:val="en-US"/>
        </w:rPr>
        <w:t>O’Brien, Albert, Chein &amp; Steinberg</w:t>
      </w:r>
      <w:r w:rsidR="00466078" w:rsidRPr="00793D66">
        <w:rPr>
          <w:lang w:val="en-US"/>
        </w:rPr>
        <w:t>, 2011</w:t>
      </w:r>
      <w:r w:rsidR="00827D8F" w:rsidRPr="00793D66">
        <w:rPr>
          <w:lang w:val="en-US"/>
        </w:rPr>
        <w:t>).</w:t>
      </w:r>
      <w:r w:rsidR="005B48E7" w:rsidRPr="00793D66">
        <w:rPr>
          <w:lang w:val="en-US"/>
        </w:rPr>
        <w:t xml:space="preserve"> </w:t>
      </w:r>
      <w:r w:rsidR="006023E6" w:rsidRPr="00793D66">
        <w:rPr>
          <w:lang w:val="en-US"/>
        </w:rPr>
        <w:t xml:space="preserve">In a </w:t>
      </w:r>
      <w:r w:rsidR="00361FBC" w:rsidRPr="00793D66">
        <w:rPr>
          <w:lang w:val="en-US"/>
        </w:rPr>
        <w:t xml:space="preserve">multinational </w:t>
      </w:r>
      <w:r w:rsidR="006023E6" w:rsidRPr="00793D66">
        <w:rPr>
          <w:lang w:val="en-US"/>
        </w:rPr>
        <w:t>study of over 5</w:t>
      </w:r>
      <w:r w:rsidR="008D162D" w:rsidRPr="00793D66">
        <w:rPr>
          <w:lang w:val="en-US"/>
        </w:rPr>
        <w:t>,</w:t>
      </w:r>
      <w:r w:rsidR="006023E6" w:rsidRPr="00793D66">
        <w:rPr>
          <w:lang w:val="en-US"/>
        </w:rPr>
        <w:t xml:space="preserve">000 adolescents </w:t>
      </w:r>
      <w:r w:rsidR="00262DEA" w:rsidRPr="00793D66">
        <w:rPr>
          <w:lang w:val="en-US"/>
        </w:rPr>
        <w:t>Duell</w:t>
      </w:r>
      <w:r w:rsidR="006023E6" w:rsidRPr="00793D66">
        <w:rPr>
          <w:lang w:val="en-US"/>
        </w:rPr>
        <w:t xml:space="preserve"> and colleagues</w:t>
      </w:r>
      <w:r w:rsidR="00262DEA" w:rsidRPr="00793D66">
        <w:rPr>
          <w:lang w:val="en-US"/>
        </w:rPr>
        <w:t xml:space="preserve"> (2016)</w:t>
      </w:r>
      <w:r w:rsidR="006023E6" w:rsidRPr="00793D66">
        <w:rPr>
          <w:lang w:val="en-US"/>
        </w:rPr>
        <w:t xml:space="preserve"> found </w:t>
      </w:r>
      <w:r w:rsidR="009527C5" w:rsidRPr="00793D66">
        <w:rPr>
          <w:lang w:val="en-US"/>
        </w:rPr>
        <w:t>a positive relationship between</w:t>
      </w:r>
      <w:r w:rsidR="00CF3B28" w:rsidRPr="00793D66">
        <w:rPr>
          <w:lang w:val="en-US"/>
        </w:rPr>
        <w:t xml:space="preserve"> </w:t>
      </w:r>
      <w:r w:rsidR="00EA5352" w:rsidRPr="00793D66">
        <w:rPr>
          <w:lang w:val="en-US"/>
        </w:rPr>
        <w:t>r</w:t>
      </w:r>
      <w:r w:rsidR="00012F54" w:rsidRPr="00793D66">
        <w:rPr>
          <w:lang w:val="en-US"/>
        </w:rPr>
        <w:t xml:space="preserve">eward sensitivity </w:t>
      </w:r>
      <w:r w:rsidR="009527C5" w:rsidRPr="00793D66">
        <w:rPr>
          <w:lang w:val="en-US"/>
        </w:rPr>
        <w:t>and</w:t>
      </w:r>
      <w:r w:rsidR="00A47206" w:rsidRPr="00793D66">
        <w:rPr>
          <w:lang w:val="en-US"/>
        </w:rPr>
        <w:t xml:space="preserve"> risk behavio</w:t>
      </w:r>
      <w:r w:rsidR="00012F54" w:rsidRPr="00793D66">
        <w:rPr>
          <w:lang w:val="en-US"/>
        </w:rPr>
        <w:t>r</w:t>
      </w:r>
      <w:r w:rsidR="00815D55" w:rsidRPr="00793D66">
        <w:rPr>
          <w:lang w:val="en-US"/>
        </w:rPr>
        <w:t>,</w:t>
      </w:r>
      <w:r w:rsidR="00057337" w:rsidRPr="00793D66">
        <w:rPr>
          <w:lang w:val="en-US"/>
        </w:rPr>
        <w:t xml:space="preserve"> whereas they found</w:t>
      </w:r>
      <w:r w:rsidR="00012F54" w:rsidRPr="00793D66">
        <w:rPr>
          <w:lang w:val="en-US"/>
        </w:rPr>
        <w:t xml:space="preserve"> a negative association between in</w:t>
      </w:r>
      <w:r w:rsidR="00057337" w:rsidRPr="00793D66">
        <w:rPr>
          <w:lang w:val="en-US"/>
        </w:rPr>
        <w:t>hibitory control and</w:t>
      </w:r>
      <w:r w:rsidR="00A47206" w:rsidRPr="00793D66">
        <w:rPr>
          <w:lang w:val="en-US"/>
        </w:rPr>
        <w:t xml:space="preserve"> </w:t>
      </w:r>
      <w:r w:rsidR="00F355AC" w:rsidRPr="00793D66">
        <w:rPr>
          <w:lang w:val="en-US"/>
        </w:rPr>
        <w:t>measures of risk taking</w:t>
      </w:r>
      <w:r w:rsidR="00750C55" w:rsidRPr="00793D66">
        <w:rPr>
          <w:lang w:val="en-US"/>
        </w:rPr>
        <w:t>.</w:t>
      </w:r>
      <w:r w:rsidR="00AD4759" w:rsidRPr="00793D66">
        <w:rPr>
          <w:lang w:val="en-US"/>
        </w:rPr>
        <w:t xml:space="preserve"> However, these associations were found </w:t>
      </w:r>
      <w:r w:rsidR="007849BC" w:rsidRPr="00793D66">
        <w:rPr>
          <w:lang w:val="en-US"/>
        </w:rPr>
        <w:t xml:space="preserve">to be </w:t>
      </w:r>
      <w:r w:rsidR="00BB3C2C" w:rsidRPr="00793D66">
        <w:rPr>
          <w:lang w:val="en-US"/>
        </w:rPr>
        <w:t>independent</w:t>
      </w:r>
      <w:r w:rsidR="00AD4759" w:rsidRPr="00793D66">
        <w:rPr>
          <w:lang w:val="en-US"/>
        </w:rPr>
        <w:t xml:space="preserve"> of </w:t>
      </w:r>
      <w:r w:rsidR="00BB3C2C" w:rsidRPr="00793D66">
        <w:rPr>
          <w:lang w:val="en-US"/>
        </w:rPr>
        <w:t xml:space="preserve">participants’ </w:t>
      </w:r>
      <w:r w:rsidR="00AD4759" w:rsidRPr="00793D66">
        <w:rPr>
          <w:lang w:val="en-US"/>
        </w:rPr>
        <w:t xml:space="preserve">age </w:t>
      </w:r>
      <w:r w:rsidR="00BB3C2C" w:rsidRPr="00793D66">
        <w:rPr>
          <w:lang w:val="en-US"/>
        </w:rPr>
        <w:t>and therefore require that age be considered as a dis</w:t>
      </w:r>
      <w:r w:rsidR="00CD33CF" w:rsidRPr="00793D66">
        <w:rPr>
          <w:lang w:val="en-US"/>
        </w:rPr>
        <w:t>tinct predictor of risk behavio</w:t>
      </w:r>
      <w:r w:rsidR="00BB3C2C" w:rsidRPr="00793D66">
        <w:rPr>
          <w:lang w:val="en-US"/>
        </w:rPr>
        <w:t>r</w:t>
      </w:r>
      <w:r w:rsidR="00B915A9" w:rsidRPr="00793D66">
        <w:rPr>
          <w:lang w:val="en-US"/>
        </w:rPr>
        <w:t xml:space="preserve"> (Duell et al., 2016)</w:t>
      </w:r>
      <w:r w:rsidR="00BB3C2C" w:rsidRPr="00793D66">
        <w:rPr>
          <w:lang w:val="en-US"/>
        </w:rPr>
        <w:t>.</w:t>
      </w:r>
      <w:r w:rsidR="00F676E5" w:rsidRPr="00793D66">
        <w:rPr>
          <w:lang w:val="en-US"/>
        </w:rPr>
        <w:t xml:space="preserve"> </w:t>
      </w:r>
      <w:r w:rsidR="00DF1C7F" w:rsidRPr="00793D66">
        <w:rPr>
          <w:lang w:val="en-US"/>
        </w:rPr>
        <w:t>S</w:t>
      </w:r>
      <w:r w:rsidR="0019441D" w:rsidRPr="00793D66">
        <w:rPr>
          <w:lang w:val="en-US"/>
        </w:rPr>
        <w:t>tudies examining age-related differences in</w:t>
      </w:r>
      <w:r w:rsidR="004662B8" w:rsidRPr="00793D66">
        <w:rPr>
          <w:lang w:val="en-US"/>
        </w:rPr>
        <w:t xml:space="preserve"> risk taking have found that this behavio</w:t>
      </w:r>
      <w:r w:rsidR="0019441D" w:rsidRPr="00793D66">
        <w:rPr>
          <w:lang w:val="en-US"/>
        </w:rPr>
        <w:t xml:space="preserve">r peaks around the ages of </w:t>
      </w:r>
      <w:r w:rsidR="00DD75FE" w:rsidRPr="00793D66">
        <w:rPr>
          <w:lang w:val="en-US"/>
        </w:rPr>
        <w:t>14-15</w:t>
      </w:r>
      <w:r w:rsidR="006F070F" w:rsidRPr="00793D66">
        <w:rPr>
          <w:lang w:val="en-US"/>
        </w:rPr>
        <w:t xml:space="preserve"> (Cauffman et al., 2010)</w:t>
      </w:r>
      <w:r w:rsidR="007F4EAF" w:rsidRPr="00793D66">
        <w:rPr>
          <w:lang w:val="en-US"/>
        </w:rPr>
        <w:t>,</w:t>
      </w:r>
      <w:r w:rsidR="00750C55" w:rsidRPr="00793D66">
        <w:rPr>
          <w:lang w:val="en-US"/>
        </w:rPr>
        <w:t xml:space="preserve"> also identified as</w:t>
      </w:r>
      <w:r w:rsidR="00FC4FE1" w:rsidRPr="00793D66">
        <w:rPr>
          <w:lang w:val="en-US"/>
        </w:rPr>
        <w:t xml:space="preserve"> </w:t>
      </w:r>
      <w:r w:rsidR="00A37AD8" w:rsidRPr="00793D66">
        <w:rPr>
          <w:lang w:val="en-US"/>
        </w:rPr>
        <w:t>‘</w:t>
      </w:r>
      <w:r w:rsidR="00FC4FE1" w:rsidRPr="00793D66">
        <w:rPr>
          <w:lang w:val="en-US"/>
        </w:rPr>
        <w:t>middle adolescence</w:t>
      </w:r>
      <w:r w:rsidR="00A37AD8" w:rsidRPr="00793D66">
        <w:rPr>
          <w:lang w:val="en-US"/>
        </w:rPr>
        <w:t>’</w:t>
      </w:r>
      <w:r w:rsidR="0039180E" w:rsidRPr="00793D66">
        <w:rPr>
          <w:lang w:val="en-US"/>
        </w:rPr>
        <w:t xml:space="preserve"> </w:t>
      </w:r>
      <w:r w:rsidR="0039180E" w:rsidRPr="00725726">
        <w:rPr>
          <w:lang w:val="en-US"/>
        </w:rPr>
        <w:t>(Spear, 2013)</w:t>
      </w:r>
      <w:r w:rsidR="00A74DE9" w:rsidRPr="00725726">
        <w:rPr>
          <w:lang w:val="en-US"/>
        </w:rPr>
        <w:t>,</w:t>
      </w:r>
      <w:r w:rsidR="00461F9D" w:rsidRPr="00725726">
        <w:rPr>
          <w:lang w:val="en-US"/>
        </w:rPr>
        <w:t xml:space="preserve"> and declines towards</w:t>
      </w:r>
      <w:r w:rsidR="00CD0818" w:rsidRPr="00725726">
        <w:rPr>
          <w:lang w:val="en-US"/>
        </w:rPr>
        <w:t xml:space="preserve"> early adulthood</w:t>
      </w:r>
      <w:r w:rsidR="00461F9D" w:rsidRPr="00725726">
        <w:rPr>
          <w:lang w:val="en-US"/>
        </w:rPr>
        <w:t xml:space="preserve"> </w:t>
      </w:r>
      <w:r w:rsidR="007347E8" w:rsidRPr="00725726">
        <w:rPr>
          <w:lang w:val="en-US"/>
        </w:rPr>
        <w:t>(Shulman et al., 2016</w:t>
      </w:r>
      <w:r w:rsidR="00EE401E" w:rsidRPr="00725726">
        <w:rPr>
          <w:lang w:val="en-US"/>
        </w:rPr>
        <w:t>).</w:t>
      </w:r>
      <w:r w:rsidR="00BB52B0" w:rsidRPr="00725726">
        <w:rPr>
          <w:lang w:val="en-US"/>
        </w:rPr>
        <w:t xml:space="preserve"> </w:t>
      </w:r>
    </w:p>
    <w:p w14:paraId="01753D5A" w14:textId="6FE262AD" w:rsidR="00DC772A" w:rsidRPr="00725726" w:rsidRDefault="002E1C72" w:rsidP="00207369">
      <w:pPr>
        <w:spacing w:line="480" w:lineRule="auto"/>
        <w:ind w:firstLine="720"/>
        <w:jc w:val="both"/>
        <w:rPr>
          <w:lang w:val="en-US"/>
        </w:rPr>
      </w:pPr>
      <w:r w:rsidRPr="00725726">
        <w:rPr>
          <w:lang w:val="en-US"/>
        </w:rPr>
        <w:t xml:space="preserve">However, findings have </w:t>
      </w:r>
      <w:r w:rsidR="002E6833" w:rsidRPr="00725726">
        <w:rPr>
          <w:lang w:val="en-US"/>
        </w:rPr>
        <w:t>been</w:t>
      </w:r>
      <w:r w:rsidRPr="00725726">
        <w:rPr>
          <w:lang w:val="en-US"/>
        </w:rPr>
        <w:t xml:space="preserve"> mixed with regard to the age at which risk</w:t>
      </w:r>
      <w:r w:rsidR="008E6031" w:rsidRPr="00725726">
        <w:rPr>
          <w:lang w:val="en-US"/>
        </w:rPr>
        <w:t>-</w:t>
      </w:r>
      <w:r w:rsidRPr="00725726">
        <w:rPr>
          <w:lang w:val="en-US"/>
        </w:rPr>
        <w:t xml:space="preserve">taking </w:t>
      </w:r>
      <w:r w:rsidR="00EE3486" w:rsidRPr="00725726">
        <w:rPr>
          <w:lang w:val="en-US"/>
        </w:rPr>
        <w:t>behavior</w:t>
      </w:r>
      <w:r w:rsidRPr="00725726">
        <w:rPr>
          <w:lang w:val="en-US"/>
        </w:rPr>
        <w:t xml:space="preserve"> peaks.</w:t>
      </w:r>
      <w:r w:rsidR="00FF1742" w:rsidRPr="00725726">
        <w:rPr>
          <w:lang w:val="en-US"/>
        </w:rPr>
        <w:t xml:space="preserve"> I</w:t>
      </w:r>
      <w:r w:rsidR="00C256EF" w:rsidRPr="00725726">
        <w:rPr>
          <w:lang w:val="en-US"/>
        </w:rPr>
        <w:t>n cases of</w:t>
      </w:r>
      <w:r w:rsidR="00966025" w:rsidRPr="00725726">
        <w:rPr>
          <w:lang w:val="en-US"/>
        </w:rPr>
        <w:t xml:space="preserve"> alcohol </w:t>
      </w:r>
      <w:r w:rsidR="00FF1742" w:rsidRPr="00725726">
        <w:rPr>
          <w:lang w:val="en-US"/>
        </w:rPr>
        <w:t>consumption</w:t>
      </w:r>
      <w:r w:rsidR="00966025" w:rsidRPr="00725726">
        <w:rPr>
          <w:lang w:val="en-US"/>
        </w:rPr>
        <w:t>, cigarette smoking and</w:t>
      </w:r>
      <w:r w:rsidR="00FF1742" w:rsidRPr="00725726">
        <w:rPr>
          <w:lang w:val="en-US"/>
        </w:rPr>
        <w:t xml:space="preserve"> illicit drug use, the frequency of these behaviors is highest in late adolescence, </w:t>
      </w:r>
      <w:r w:rsidR="00555054" w:rsidRPr="00725726">
        <w:rPr>
          <w:lang w:val="en-US"/>
        </w:rPr>
        <w:t>contrary to predictions of the dual system model</w:t>
      </w:r>
      <w:r w:rsidR="00FF1742" w:rsidRPr="00725726">
        <w:rPr>
          <w:lang w:val="en-US"/>
        </w:rPr>
        <w:t xml:space="preserve"> (Willoughby, Good, Adachi, Hamza &amp; Tavernier, 2013). </w:t>
      </w:r>
      <w:r w:rsidR="00555054" w:rsidRPr="00725726">
        <w:rPr>
          <w:lang w:val="en-US"/>
        </w:rPr>
        <w:t>Yet,</w:t>
      </w:r>
      <w:r w:rsidR="00FF1742" w:rsidRPr="00725726">
        <w:rPr>
          <w:lang w:val="en-US"/>
        </w:rPr>
        <w:t xml:space="preserve"> rates of real</w:t>
      </w:r>
      <w:r w:rsidR="008E6031" w:rsidRPr="00725726">
        <w:rPr>
          <w:lang w:val="en-US"/>
        </w:rPr>
        <w:t>-</w:t>
      </w:r>
      <w:r w:rsidR="00FF1742" w:rsidRPr="00725726">
        <w:rPr>
          <w:lang w:val="en-US"/>
        </w:rPr>
        <w:t xml:space="preserve">world risk taking may be confounded by the </w:t>
      </w:r>
      <w:r w:rsidR="00C256EF" w:rsidRPr="00725726">
        <w:rPr>
          <w:lang w:val="en-US"/>
        </w:rPr>
        <w:t xml:space="preserve">increased independence </w:t>
      </w:r>
      <w:r w:rsidR="00FF1742" w:rsidRPr="00725726">
        <w:rPr>
          <w:lang w:val="en-US"/>
        </w:rPr>
        <w:t>experienced</w:t>
      </w:r>
      <w:r w:rsidR="00C256EF" w:rsidRPr="00725726">
        <w:rPr>
          <w:lang w:val="en-US"/>
        </w:rPr>
        <w:t xml:space="preserve"> at this age, which provides greater opportunity for adolescents to engage in risk behavior away from the observation of parents and caregivers </w:t>
      </w:r>
      <w:r w:rsidR="00DD3FD6" w:rsidRPr="00725726">
        <w:rPr>
          <w:lang w:val="en-US"/>
        </w:rPr>
        <w:t>(Laird, Pettit, Bates &amp; Dodge, 2003</w:t>
      </w:r>
      <w:r w:rsidR="00C256EF" w:rsidRPr="00725726">
        <w:rPr>
          <w:lang w:val="en-US"/>
        </w:rPr>
        <w:t>). By contrast, in</w:t>
      </w:r>
      <w:r w:rsidR="005812BF" w:rsidRPr="00725726">
        <w:rPr>
          <w:lang w:val="en-US"/>
        </w:rPr>
        <w:t xml:space="preserve"> </w:t>
      </w:r>
      <w:r w:rsidR="00EE3486" w:rsidRPr="00725726">
        <w:rPr>
          <w:lang w:val="en-US"/>
        </w:rPr>
        <w:t>laboratory</w:t>
      </w:r>
      <w:r w:rsidR="00C256EF" w:rsidRPr="00725726">
        <w:rPr>
          <w:lang w:val="en-US"/>
        </w:rPr>
        <w:t xml:space="preserve"> studies, a significant body of evidence has found risk</w:t>
      </w:r>
      <w:r w:rsidR="008E6031" w:rsidRPr="00725726">
        <w:rPr>
          <w:lang w:val="en-US"/>
        </w:rPr>
        <w:t>-</w:t>
      </w:r>
      <w:r w:rsidR="00C256EF" w:rsidRPr="00725726">
        <w:rPr>
          <w:lang w:val="en-US"/>
        </w:rPr>
        <w:t xml:space="preserve">taking </w:t>
      </w:r>
      <w:r w:rsidR="00EE3486" w:rsidRPr="00725726">
        <w:rPr>
          <w:lang w:val="en-US"/>
        </w:rPr>
        <w:t>behaviors</w:t>
      </w:r>
      <w:r w:rsidR="00C256EF" w:rsidRPr="00725726">
        <w:rPr>
          <w:lang w:val="en-US"/>
        </w:rPr>
        <w:t xml:space="preserve"> to be higher in younger adolescents compared to older adolescents (</w:t>
      </w:r>
      <w:r w:rsidR="00E3529D" w:rsidRPr="00725726">
        <w:rPr>
          <w:lang w:val="en-US"/>
        </w:rPr>
        <w:t xml:space="preserve">Burnett, Bault, Coricelli &amp; Blakemore, 2010; </w:t>
      </w:r>
      <w:r w:rsidR="00441EF4" w:rsidRPr="00725726">
        <w:rPr>
          <w:lang w:val="en-US"/>
        </w:rPr>
        <w:t xml:space="preserve">Cauffman et al., 2010; </w:t>
      </w:r>
      <w:r w:rsidR="00652FCC" w:rsidRPr="00725726">
        <w:rPr>
          <w:lang w:val="en-US"/>
        </w:rPr>
        <w:t>Defoe et al., 2015</w:t>
      </w:r>
      <w:r w:rsidR="00C256EF" w:rsidRPr="00725726">
        <w:rPr>
          <w:lang w:val="en-US"/>
        </w:rPr>
        <w:t>)</w:t>
      </w:r>
      <w:r w:rsidR="00EE3486" w:rsidRPr="00725726">
        <w:rPr>
          <w:lang w:val="en-US"/>
        </w:rPr>
        <w:t>.</w:t>
      </w:r>
      <w:r w:rsidR="007A270E" w:rsidRPr="00725726">
        <w:rPr>
          <w:lang w:val="en-US"/>
        </w:rPr>
        <w:t xml:space="preserve"> </w:t>
      </w:r>
      <w:r w:rsidR="00DC772A" w:rsidRPr="00725726">
        <w:rPr>
          <w:lang w:val="en-US"/>
        </w:rPr>
        <w:t xml:space="preserve">While the literature is mixed on the age at </w:t>
      </w:r>
      <w:r w:rsidR="00DC772A" w:rsidRPr="00725726">
        <w:rPr>
          <w:lang w:val="en-US"/>
        </w:rPr>
        <w:lastRenderedPageBreak/>
        <w:t>which risk</w:t>
      </w:r>
      <w:r w:rsidR="008E6031" w:rsidRPr="00725726">
        <w:rPr>
          <w:lang w:val="en-US"/>
        </w:rPr>
        <w:t>-</w:t>
      </w:r>
      <w:r w:rsidR="00DC772A" w:rsidRPr="00725726">
        <w:rPr>
          <w:lang w:val="en-US"/>
        </w:rPr>
        <w:t xml:space="preserve">taking peaks, most neurobiological accounts </w:t>
      </w:r>
      <w:r w:rsidR="00832550" w:rsidRPr="00725726">
        <w:rPr>
          <w:lang w:val="en-US"/>
        </w:rPr>
        <w:t>agree that rapid developments in reward sensitivity begin around the age of 12 in adolescent males, with inhibitory control developing at a more gradual pace throughout adolescence (Shulman et al., 2016).</w:t>
      </w:r>
    </w:p>
    <w:p w14:paraId="0FA7733E" w14:textId="1EDA85F3" w:rsidR="0047796A" w:rsidRPr="00725726" w:rsidRDefault="00BB52B0" w:rsidP="008B6F41">
      <w:pPr>
        <w:spacing w:line="480" w:lineRule="auto"/>
        <w:ind w:firstLine="720"/>
        <w:jc w:val="both"/>
        <w:rPr>
          <w:lang w:val="en-US"/>
        </w:rPr>
      </w:pPr>
      <w:r w:rsidRPr="00725726">
        <w:rPr>
          <w:lang w:val="en-US"/>
        </w:rPr>
        <w:t>Notably,</w:t>
      </w:r>
      <w:r w:rsidR="00330F04" w:rsidRPr="00725726">
        <w:rPr>
          <w:lang w:val="en-US"/>
        </w:rPr>
        <w:t xml:space="preserve"> </w:t>
      </w:r>
      <w:r w:rsidR="00222CE0" w:rsidRPr="00725726">
        <w:rPr>
          <w:lang w:val="en-US"/>
        </w:rPr>
        <w:t>developmental</w:t>
      </w:r>
      <w:r w:rsidR="008F7E10" w:rsidRPr="00725726">
        <w:rPr>
          <w:lang w:val="en-US"/>
        </w:rPr>
        <w:t xml:space="preserve"> </w:t>
      </w:r>
      <w:r w:rsidR="00555054" w:rsidRPr="00725726">
        <w:rPr>
          <w:lang w:val="en-US"/>
        </w:rPr>
        <w:t>models</w:t>
      </w:r>
      <w:r w:rsidR="008F7E10" w:rsidRPr="00725726">
        <w:rPr>
          <w:lang w:val="en-US"/>
        </w:rPr>
        <w:t xml:space="preserve"> of risk behavio</w:t>
      </w:r>
      <w:r w:rsidRPr="00725726">
        <w:rPr>
          <w:lang w:val="en-US"/>
        </w:rPr>
        <w:t>r reflect</w:t>
      </w:r>
      <w:r w:rsidR="00330F04" w:rsidRPr="00725726">
        <w:rPr>
          <w:lang w:val="en-US"/>
        </w:rPr>
        <w:t xml:space="preserve"> the </w:t>
      </w:r>
      <w:r w:rsidRPr="00725726">
        <w:rPr>
          <w:lang w:val="en-US"/>
        </w:rPr>
        <w:t xml:space="preserve">lifespan </w:t>
      </w:r>
      <w:r w:rsidR="001B0122" w:rsidRPr="00725726">
        <w:rPr>
          <w:lang w:val="en-US"/>
        </w:rPr>
        <w:t>prevalence of criminal activity</w:t>
      </w:r>
      <w:r w:rsidR="002E40F0" w:rsidRPr="00725726">
        <w:rPr>
          <w:lang w:val="en-US"/>
        </w:rPr>
        <w:t xml:space="preserve"> (Moffitt, 1993)</w:t>
      </w:r>
      <w:r w:rsidR="008D162D" w:rsidRPr="00725726">
        <w:rPr>
          <w:lang w:val="en-US"/>
        </w:rPr>
        <w:t>,</w:t>
      </w:r>
      <w:r w:rsidR="00330F04" w:rsidRPr="00725726">
        <w:rPr>
          <w:lang w:val="en-US"/>
        </w:rPr>
        <w:t xml:space="preserve"> and adolescents are more likely to eng</w:t>
      </w:r>
      <w:r w:rsidR="008F7E10" w:rsidRPr="00725726">
        <w:rPr>
          <w:lang w:val="en-US"/>
        </w:rPr>
        <w:t>age in antisocial behavio</w:t>
      </w:r>
      <w:r w:rsidR="00330F04" w:rsidRPr="00725726">
        <w:rPr>
          <w:lang w:val="en-US"/>
        </w:rPr>
        <w:t>rs than</w:t>
      </w:r>
      <w:r w:rsidR="00A37AD8" w:rsidRPr="00725726">
        <w:rPr>
          <w:lang w:val="en-US"/>
        </w:rPr>
        <w:t xml:space="preserve"> children or</w:t>
      </w:r>
      <w:r w:rsidR="00330F04" w:rsidRPr="00725726">
        <w:rPr>
          <w:lang w:val="en-US"/>
        </w:rPr>
        <w:t xml:space="preserve"> adul</w:t>
      </w:r>
      <w:r w:rsidR="00D03CC8" w:rsidRPr="00725726">
        <w:rPr>
          <w:lang w:val="en-US"/>
        </w:rPr>
        <w:t>ts (</w:t>
      </w:r>
      <w:r w:rsidR="00412DE8" w:rsidRPr="00725726">
        <w:rPr>
          <w:lang w:val="en-US"/>
        </w:rPr>
        <w:t>Steinberg, 2013</w:t>
      </w:r>
      <w:r w:rsidR="00D03CC8" w:rsidRPr="00725726">
        <w:rPr>
          <w:lang w:val="en-US"/>
        </w:rPr>
        <w:t xml:space="preserve">). </w:t>
      </w:r>
      <w:r w:rsidR="00410991" w:rsidRPr="00725726">
        <w:rPr>
          <w:lang w:val="en-US"/>
        </w:rPr>
        <w:t>C</w:t>
      </w:r>
      <w:r w:rsidR="00D03CC8" w:rsidRPr="00725726">
        <w:rPr>
          <w:lang w:val="en-US"/>
        </w:rPr>
        <w:t>orrelational</w:t>
      </w:r>
      <w:r w:rsidR="00330F04" w:rsidRPr="00725726">
        <w:rPr>
          <w:lang w:val="en-US"/>
        </w:rPr>
        <w:t xml:space="preserve"> measures have </w:t>
      </w:r>
      <w:r w:rsidR="00D03CC8" w:rsidRPr="00725726">
        <w:rPr>
          <w:lang w:val="en-US"/>
        </w:rPr>
        <w:t>found a</w:t>
      </w:r>
      <w:r w:rsidR="00330F04" w:rsidRPr="00725726">
        <w:rPr>
          <w:lang w:val="en-US"/>
        </w:rPr>
        <w:t xml:space="preserve"> relationship between reward sensitivity, inhibitory control, and involvement in the criminal justice system (Shulman &amp; Cauffman, 2013), suggesting neurobiological developments </w:t>
      </w:r>
      <w:r w:rsidR="00D03CC8" w:rsidRPr="00725726">
        <w:rPr>
          <w:lang w:val="en-US"/>
        </w:rPr>
        <w:t>are related to</w:t>
      </w:r>
      <w:r w:rsidR="008F7E10" w:rsidRPr="00725726">
        <w:rPr>
          <w:lang w:val="en-US"/>
        </w:rPr>
        <w:t xml:space="preserve"> </w:t>
      </w:r>
      <w:r w:rsidR="008B6F41" w:rsidRPr="00725726">
        <w:rPr>
          <w:lang w:val="en-US"/>
        </w:rPr>
        <w:t>delinquent</w:t>
      </w:r>
      <w:r w:rsidR="008F7E10" w:rsidRPr="00725726">
        <w:rPr>
          <w:lang w:val="en-US"/>
        </w:rPr>
        <w:t xml:space="preserve"> behavio</w:t>
      </w:r>
      <w:r w:rsidR="00330F04" w:rsidRPr="00725726">
        <w:rPr>
          <w:lang w:val="en-US"/>
        </w:rPr>
        <w:t xml:space="preserve">rs. </w:t>
      </w:r>
      <w:r w:rsidR="005B48E7" w:rsidRPr="00725726">
        <w:rPr>
          <w:lang w:val="en-US"/>
        </w:rPr>
        <w:t>Thus</w:t>
      </w:r>
      <w:r w:rsidR="00C63969" w:rsidRPr="00725726">
        <w:rPr>
          <w:lang w:val="en-US"/>
        </w:rPr>
        <w:t>,</w:t>
      </w:r>
      <w:r w:rsidR="005B48E7" w:rsidRPr="00725726">
        <w:rPr>
          <w:lang w:val="en-US"/>
        </w:rPr>
        <w:t xml:space="preserve"> the account given </w:t>
      </w:r>
      <w:r w:rsidR="007067FB" w:rsidRPr="00725726">
        <w:rPr>
          <w:lang w:val="en-US"/>
        </w:rPr>
        <w:t xml:space="preserve">by the dual systems model highlights the importance of reward sensitivity and inhibitory control in predicting </w:t>
      </w:r>
      <w:r w:rsidR="00175667" w:rsidRPr="00725726">
        <w:rPr>
          <w:lang w:val="en-US"/>
        </w:rPr>
        <w:t xml:space="preserve">a range of </w:t>
      </w:r>
      <w:r w:rsidR="008F7E10" w:rsidRPr="00725726">
        <w:rPr>
          <w:lang w:val="en-US"/>
        </w:rPr>
        <w:t>risk behavio</w:t>
      </w:r>
      <w:r w:rsidR="007067FB" w:rsidRPr="00725726">
        <w:rPr>
          <w:lang w:val="en-US"/>
        </w:rPr>
        <w:t xml:space="preserve">rs in adolescence. </w:t>
      </w:r>
    </w:p>
    <w:p w14:paraId="7B65CEA8" w14:textId="57442C72" w:rsidR="004529C3" w:rsidRPr="00725726" w:rsidRDefault="000A7F40" w:rsidP="005D032D">
      <w:pPr>
        <w:spacing w:line="480" w:lineRule="auto"/>
        <w:ind w:firstLine="720"/>
        <w:jc w:val="both"/>
        <w:rPr>
          <w:lang w:val="en-US"/>
        </w:rPr>
      </w:pPr>
      <w:r w:rsidRPr="00725726">
        <w:rPr>
          <w:lang w:val="en-US"/>
        </w:rPr>
        <w:t xml:space="preserve">Within </w:t>
      </w:r>
      <w:r w:rsidR="00A74DE9" w:rsidRPr="00725726">
        <w:rPr>
          <w:lang w:val="en-US"/>
        </w:rPr>
        <w:t>adolescent</w:t>
      </w:r>
      <w:r w:rsidRPr="00725726">
        <w:rPr>
          <w:lang w:val="en-US"/>
        </w:rPr>
        <w:t xml:space="preserve"> population</w:t>
      </w:r>
      <w:r w:rsidR="00A74DE9" w:rsidRPr="00725726">
        <w:rPr>
          <w:lang w:val="en-US"/>
        </w:rPr>
        <w:t>s</w:t>
      </w:r>
      <w:r w:rsidRPr="00725726">
        <w:rPr>
          <w:lang w:val="en-US"/>
        </w:rPr>
        <w:t xml:space="preserve">, males are particularly at risk of engaging in hazardous behaviors due to </w:t>
      </w:r>
      <w:r w:rsidR="00A22187" w:rsidRPr="00725726">
        <w:rPr>
          <w:lang w:val="en-US"/>
        </w:rPr>
        <w:t>the rise in</w:t>
      </w:r>
      <w:r w:rsidRPr="00725726">
        <w:rPr>
          <w:lang w:val="en-US"/>
        </w:rPr>
        <w:t xml:space="preserve"> levels of </w:t>
      </w:r>
      <w:r w:rsidR="00EF19B4" w:rsidRPr="00725726">
        <w:rPr>
          <w:lang w:val="en-US"/>
        </w:rPr>
        <w:t xml:space="preserve">the hormone </w:t>
      </w:r>
      <w:r w:rsidR="004529C3" w:rsidRPr="00725726">
        <w:rPr>
          <w:lang w:val="en-US"/>
        </w:rPr>
        <w:t>testosterone, which regulates male puberty (Mehta, Welker, Zilioli, &amp; Carré, 2015). In an experimental study, Hermans</w:t>
      </w:r>
      <w:r w:rsidR="00185B95" w:rsidRPr="00725726">
        <w:rPr>
          <w:lang w:val="en-US"/>
        </w:rPr>
        <w:t xml:space="preserve"> and colleagues </w:t>
      </w:r>
      <w:r w:rsidR="004529C3" w:rsidRPr="00725726">
        <w:rPr>
          <w:lang w:val="en-US"/>
        </w:rPr>
        <w:t>(2010) found that females who were administered with doses of testosterone exhibited increased activity in the ventral striatum compared to controls. While the authors did not examine the impact of this on risk taking behavior,</w:t>
      </w:r>
      <w:r w:rsidR="00856566" w:rsidRPr="00725726">
        <w:rPr>
          <w:lang w:val="en-US"/>
        </w:rPr>
        <w:t xml:space="preserve"> the ventral striatum is associated with</w:t>
      </w:r>
      <w:r w:rsidR="004529C3" w:rsidRPr="00725726">
        <w:rPr>
          <w:lang w:val="en-US"/>
        </w:rPr>
        <w:t xml:space="preserve"> the anticipation of rewards in</w:t>
      </w:r>
      <w:r w:rsidR="00A22187" w:rsidRPr="00725726">
        <w:rPr>
          <w:lang w:val="en-US"/>
        </w:rPr>
        <w:t xml:space="preserve"> adolescents</w:t>
      </w:r>
      <w:r w:rsidR="004529C3" w:rsidRPr="00725726">
        <w:rPr>
          <w:lang w:val="en-US"/>
        </w:rPr>
        <w:t xml:space="preserve">, </w:t>
      </w:r>
      <w:r w:rsidR="00856566" w:rsidRPr="00725726">
        <w:rPr>
          <w:lang w:val="en-US"/>
        </w:rPr>
        <w:t>which motivates</w:t>
      </w:r>
      <w:r w:rsidR="004529C3" w:rsidRPr="00725726">
        <w:rPr>
          <w:lang w:val="en-US"/>
        </w:rPr>
        <w:t xml:space="preserve"> risk behavior (</w:t>
      </w:r>
      <w:r w:rsidR="000660DF" w:rsidRPr="00725726">
        <w:rPr>
          <w:lang w:val="en-US"/>
        </w:rPr>
        <w:t>Galvan</w:t>
      </w:r>
      <w:r w:rsidR="0032383B" w:rsidRPr="00725726">
        <w:rPr>
          <w:lang w:val="en-US"/>
        </w:rPr>
        <w:t>, 2010</w:t>
      </w:r>
      <w:r w:rsidR="004529C3" w:rsidRPr="00725726">
        <w:rPr>
          <w:lang w:val="en-US"/>
        </w:rPr>
        <w:t>). Furth</w:t>
      </w:r>
      <w:r w:rsidR="00D104B3" w:rsidRPr="00725726">
        <w:rPr>
          <w:lang w:val="en-US"/>
        </w:rPr>
        <w:t xml:space="preserve">ermore, using a combination of </w:t>
      </w:r>
      <w:r w:rsidR="004529C3" w:rsidRPr="00725726">
        <w:rPr>
          <w:lang w:val="en-US"/>
        </w:rPr>
        <w:t xml:space="preserve">MRI and </w:t>
      </w:r>
      <w:r w:rsidR="00856566" w:rsidRPr="00725726">
        <w:rPr>
          <w:lang w:val="en-US"/>
        </w:rPr>
        <w:t>saliva</w:t>
      </w:r>
      <w:r w:rsidR="004529C3" w:rsidRPr="00725726">
        <w:rPr>
          <w:lang w:val="en-US"/>
        </w:rPr>
        <w:t xml:space="preserve"> samp</w:t>
      </w:r>
      <w:r w:rsidR="0032383B" w:rsidRPr="00725726">
        <w:rPr>
          <w:lang w:val="en-US"/>
        </w:rPr>
        <w:t>les,</w:t>
      </w:r>
      <w:r w:rsidR="00585D0D" w:rsidRPr="00725726">
        <w:rPr>
          <w:lang w:val="en-US"/>
        </w:rPr>
        <w:t xml:space="preserve"> a number of studies have found a relationship between testosterone and the activation of brain areas related to risk taking (e.g. Braams et al., 2015; de Macks et al., 2011).</w:t>
      </w:r>
      <w:r w:rsidR="0032383B" w:rsidRPr="00725726">
        <w:rPr>
          <w:lang w:val="en-US"/>
        </w:rPr>
        <w:t xml:space="preserve"> </w:t>
      </w:r>
      <w:r w:rsidR="003E154C" w:rsidRPr="00725726">
        <w:rPr>
          <w:lang w:val="en-US"/>
        </w:rPr>
        <w:t xml:space="preserve">Peters, Jolles, Van Duijvenvoorde, Crone </w:t>
      </w:r>
      <w:r w:rsidR="00801176" w:rsidRPr="00725726">
        <w:rPr>
          <w:lang w:val="en-US"/>
        </w:rPr>
        <w:t>and</w:t>
      </w:r>
      <w:r w:rsidR="003E154C" w:rsidRPr="00725726">
        <w:rPr>
          <w:lang w:val="en-US"/>
        </w:rPr>
        <w:t xml:space="preserve"> Peper (2015) found that testosterone levels mediated the relationship between functional connectivity of the amygdala and the orbitofrontal cortex (OFC)</w:t>
      </w:r>
      <w:r w:rsidR="005D032D" w:rsidRPr="00725726">
        <w:rPr>
          <w:lang w:val="en-US"/>
        </w:rPr>
        <w:t>,</w:t>
      </w:r>
      <w:r w:rsidR="003E154C" w:rsidRPr="00725726">
        <w:rPr>
          <w:lang w:val="en-US"/>
        </w:rPr>
        <w:t xml:space="preserve"> and alcohol use. Yet, th</w:t>
      </w:r>
      <w:r w:rsidR="00F63B19" w:rsidRPr="00725726">
        <w:rPr>
          <w:lang w:val="en-US"/>
        </w:rPr>
        <w:t>is</w:t>
      </w:r>
      <w:r w:rsidR="003E154C" w:rsidRPr="00725726">
        <w:rPr>
          <w:lang w:val="en-US"/>
        </w:rPr>
        <w:t xml:space="preserve"> relationship</w:t>
      </w:r>
      <w:r w:rsidR="00744572" w:rsidRPr="00725726">
        <w:rPr>
          <w:lang w:val="en-US"/>
        </w:rPr>
        <w:t xml:space="preserve"> </w:t>
      </w:r>
      <w:r w:rsidR="003E154C" w:rsidRPr="00725726">
        <w:rPr>
          <w:lang w:val="en-US"/>
        </w:rPr>
        <w:t xml:space="preserve">was only found for adolescent boys. </w:t>
      </w:r>
      <w:r w:rsidR="004529C3" w:rsidRPr="00725726">
        <w:rPr>
          <w:lang w:val="en-US"/>
        </w:rPr>
        <w:t>These convergent studies indicate that testosterone has a significant role in the</w:t>
      </w:r>
      <w:r w:rsidR="005D032D" w:rsidRPr="00725726">
        <w:rPr>
          <w:lang w:val="en-US"/>
        </w:rPr>
        <w:t xml:space="preserve"> areas of the brain related to risk taking</w:t>
      </w:r>
      <w:r w:rsidR="004529C3" w:rsidRPr="00725726">
        <w:rPr>
          <w:lang w:val="en-US"/>
        </w:rPr>
        <w:t xml:space="preserve"> during adolescence. </w:t>
      </w:r>
      <w:r w:rsidR="009256AA" w:rsidRPr="00725726">
        <w:rPr>
          <w:lang w:val="en-US"/>
        </w:rPr>
        <w:t xml:space="preserve">Therefore, </w:t>
      </w:r>
      <w:r w:rsidR="009256AA" w:rsidRPr="00725726">
        <w:rPr>
          <w:lang w:val="en-US"/>
        </w:rPr>
        <w:lastRenderedPageBreak/>
        <w:t>gender differences in real-world reckless behaviors may reflect adolescent males’ hypersensitivity to rewards in the absence of the ability to inhibit their actions (Steinberg, 2008).</w:t>
      </w:r>
    </w:p>
    <w:p w14:paraId="310598A8" w14:textId="7EA737B9" w:rsidR="009355F7" w:rsidRPr="00725726" w:rsidRDefault="00CE5B64" w:rsidP="00324BD9">
      <w:pPr>
        <w:spacing w:line="480" w:lineRule="auto"/>
        <w:ind w:firstLine="720"/>
        <w:jc w:val="both"/>
        <w:rPr>
          <w:lang w:val="en-US"/>
        </w:rPr>
      </w:pPr>
      <w:r w:rsidRPr="00725726">
        <w:rPr>
          <w:lang w:val="en-US"/>
        </w:rPr>
        <w:t>Although</w:t>
      </w:r>
      <w:r w:rsidR="006A1911" w:rsidRPr="00725726">
        <w:rPr>
          <w:lang w:val="en-US"/>
        </w:rPr>
        <w:t xml:space="preserve"> a number of studies have indicated that</w:t>
      </w:r>
      <w:r w:rsidRPr="00725726">
        <w:rPr>
          <w:lang w:val="en-US"/>
        </w:rPr>
        <w:t xml:space="preserve"> </w:t>
      </w:r>
      <w:r w:rsidR="00BE5D73" w:rsidRPr="00725726">
        <w:rPr>
          <w:lang w:val="en-US"/>
        </w:rPr>
        <w:t>adolescents engage in more risk-</w:t>
      </w:r>
      <w:r w:rsidRPr="00725726">
        <w:rPr>
          <w:lang w:val="en-US"/>
        </w:rPr>
        <w:t>taking behaviors than adults</w:t>
      </w:r>
      <w:r w:rsidR="00004498" w:rsidRPr="00725726">
        <w:rPr>
          <w:lang w:val="en-US"/>
        </w:rPr>
        <w:t xml:space="preserve"> (</w:t>
      </w:r>
      <w:r w:rsidR="00856566" w:rsidRPr="00725726">
        <w:rPr>
          <w:lang w:val="en-US"/>
        </w:rPr>
        <w:t>Cauffman et al., 2010</w:t>
      </w:r>
      <w:r w:rsidR="00004498" w:rsidRPr="00725726">
        <w:rPr>
          <w:lang w:val="en-US"/>
        </w:rPr>
        <w:t>)</w:t>
      </w:r>
      <w:r w:rsidRPr="00725726">
        <w:rPr>
          <w:lang w:val="en-US"/>
        </w:rPr>
        <w:t xml:space="preserve">, it is not the case that they are </w:t>
      </w:r>
      <w:r w:rsidR="00B45B6A" w:rsidRPr="00725726">
        <w:rPr>
          <w:lang w:val="en-US"/>
        </w:rPr>
        <w:t>indiscriminately</w:t>
      </w:r>
      <w:r w:rsidR="00DC680A" w:rsidRPr="00725726">
        <w:rPr>
          <w:lang w:val="en-US"/>
        </w:rPr>
        <w:t xml:space="preserve"> more</w:t>
      </w:r>
      <w:r w:rsidR="00B45B6A" w:rsidRPr="00725726">
        <w:rPr>
          <w:lang w:val="en-US"/>
        </w:rPr>
        <w:t xml:space="preserve"> </w:t>
      </w:r>
      <w:r w:rsidR="00031B5C" w:rsidRPr="00725726">
        <w:rPr>
          <w:lang w:val="en-US"/>
        </w:rPr>
        <w:t>risk</w:t>
      </w:r>
      <w:r w:rsidR="00801176" w:rsidRPr="00725726">
        <w:rPr>
          <w:lang w:val="en-US"/>
        </w:rPr>
        <w:t>-</w:t>
      </w:r>
      <w:r w:rsidR="00031B5C" w:rsidRPr="00725726">
        <w:rPr>
          <w:lang w:val="en-US"/>
        </w:rPr>
        <w:t>seeking</w:t>
      </w:r>
      <w:r w:rsidR="00DC680A" w:rsidRPr="00725726">
        <w:rPr>
          <w:lang w:val="en-US"/>
        </w:rPr>
        <w:t xml:space="preserve"> than adults</w:t>
      </w:r>
      <w:r w:rsidR="006A1911" w:rsidRPr="00725726">
        <w:rPr>
          <w:lang w:val="en-US"/>
        </w:rPr>
        <w:t xml:space="preserve"> (Defoe et al., 2015)</w:t>
      </w:r>
      <w:r w:rsidR="00BC5043" w:rsidRPr="00725726">
        <w:rPr>
          <w:lang w:val="en-US"/>
        </w:rPr>
        <w:t>.</w:t>
      </w:r>
      <w:r w:rsidR="00297D51" w:rsidRPr="00725726">
        <w:rPr>
          <w:lang w:val="en-US"/>
        </w:rPr>
        <w:t xml:space="preserve"> </w:t>
      </w:r>
      <w:r w:rsidR="00CB5AA5" w:rsidRPr="00725726">
        <w:rPr>
          <w:lang w:val="en-US"/>
        </w:rPr>
        <w:t xml:space="preserve">Situational influences have a significant role in </w:t>
      </w:r>
      <w:r w:rsidR="00D50EF0" w:rsidRPr="00725726">
        <w:rPr>
          <w:lang w:val="en-US"/>
        </w:rPr>
        <w:t>influencing risk behavior, such as whether the</w:t>
      </w:r>
      <w:r w:rsidR="009256AA" w:rsidRPr="00725726">
        <w:rPr>
          <w:lang w:val="en-US"/>
        </w:rPr>
        <w:t>re is the</w:t>
      </w:r>
      <w:r w:rsidR="00A72724" w:rsidRPr="00725726">
        <w:rPr>
          <w:lang w:val="en-US"/>
        </w:rPr>
        <w:t xml:space="preserve"> presence</w:t>
      </w:r>
      <w:r w:rsidR="0031237E" w:rsidRPr="00725726">
        <w:rPr>
          <w:lang w:val="en-US"/>
        </w:rPr>
        <w:t xml:space="preserve"> of affectively ‘hot’ stimuli (Figner &amp; Weber, 2011). These stimuli are defined by their </w:t>
      </w:r>
      <w:r w:rsidR="00324BD9" w:rsidRPr="00725726">
        <w:rPr>
          <w:lang w:val="en-US"/>
        </w:rPr>
        <w:t xml:space="preserve">emotive </w:t>
      </w:r>
      <w:r w:rsidR="0031237E" w:rsidRPr="00725726">
        <w:rPr>
          <w:lang w:val="en-US"/>
        </w:rPr>
        <w:t xml:space="preserve">properties </w:t>
      </w:r>
      <w:r w:rsidR="00324BD9" w:rsidRPr="00725726">
        <w:rPr>
          <w:lang w:val="en-US"/>
        </w:rPr>
        <w:t xml:space="preserve">and lead to a </w:t>
      </w:r>
      <w:r w:rsidR="00F72376" w:rsidRPr="00725726">
        <w:rPr>
          <w:lang w:val="en-US"/>
        </w:rPr>
        <w:t>decision-making</w:t>
      </w:r>
      <w:r w:rsidR="00324BD9" w:rsidRPr="00725726">
        <w:rPr>
          <w:lang w:val="en-US"/>
        </w:rPr>
        <w:t xml:space="preserve"> style that is more intuitive and less reliant on information gathering. </w:t>
      </w:r>
      <w:r w:rsidR="0031237E" w:rsidRPr="00725726">
        <w:rPr>
          <w:lang w:val="en-US"/>
        </w:rPr>
        <w:t xml:space="preserve">By contrast, ‘cold’ </w:t>
      </w:r>
      <w:r w:rsidR="00F72376" w:rsidRPr="00725726">
        <w:rPr>
          <w:lang w:val="en-US"/>
        </w:rPr>
        <w:t>decision-making</w:t>
      </w:r>
      <w:r w:rsidR="0031237E" w:rsidRPr="00725726">
        <w:rPr>
          <w:lang w:val="en-US"/>
        </w:rPr>
        <w:t xml:space="preserve"> scenarios are those that lack emotive properties and the </w:t>
      </w:r>
      <w:r w:rsidR="005D151F" w:rsidRPr="00725726">
        <w:rPr>
          <w:lang w:val="en-US"/>
        </w:rPr>
        <w:t>decision maker</w:t>
      </w:r>
      <w:r w:rsidR="0031237E" w:rsidRPr="00725726">
        <w:rPr>
          <w:lang w:val="en-US"/>
        </w:rPr>
        <w:t xml:space="preserve"> </w:t>
      </w:r>
      <w:r w:rsidR="005D151F" w:rsidRPr="00725726">
        <w:rPr>
          <w:lang w:val="en-US"/>
        </w:rPr>
        <w:t xml:space="preserve">utilizes </w:t>
      </w:r>
      <w:r w:rsidR="0031237E" w:rsidRPr="00725726">
        <w:rPr>
          <w:lang w:val="en-US"/>
        </w:rPr>
        <w:t>rational, considered thought processes</w:t>
      </w:r>
      <w:r w:rsidR="00EC2902" w:rsidRPr="00725726">
        <w:rPr>
          <w:lang w:val="en-US"/>
        </w:rPr>
        <w:t xml:space="preserve"> </w:t>
      </w:r>
      <w:r w:rsidR="00A72724" w:rsidRPr="00725726">
        <w:rPr>
          <w:lang w:val="en-US"/>
        </w:rPr>
        <w:t xml:space="preserve">(Figner &amp; Weber, 2011). </w:t>
      </w:r>
      <w:r w:rsidR="00E25F1A" w:rsidRPr="00725726">
        <w:rPr>
          <w:lang w:val="en-US"/>
        </w:rPr>
        <w:t>Within the lifespan</w:t>
      </w:r>
      <w:r w:rsidR="009256AA" w:rsidRPr="00725726">
        <w:rPr>
          <w:lang w:val="en-US"/>
        </w:rPr>
        <w:t>,</w:t>
      </w:r>
      <w:r w:rsidR="00826945" w:rsidRPr="00725726">
        <w:rPr>
          <w:lang w:val="en-US"/>
        </w:rPr>
        <w:t xml:space="preserve"> </w:t>
      </w:r>
      <w:r w:rsidR="00D50EF0" w:rsidRPr="00725726">
        <w:rPr>
          <w:lang w:val="en-US"/>
        </w:rPr>
        <w:t>adolescents are more likely to engage in risks</w:t>
      </w:r>
      <w:r w:rsidR="00E25F1A" w:rsidRPr="00725726">
        <w:rPr>
          <w:lang w:val="en-US"/>
        </w:rPr>
        <w:t xml:space="preserve"> in affectively hot scenarios</w:t>
      </w:r>
      <w:r w:rsidR="00D50EF0" w:rsidRPr="00725726">
        <w:rPr>
          <w:lang w:val="en-US"/>
        </w:rPr>
        <w:t xml:space="preserve">, whilst in the absence of this </w:t>
      </w:r>
      <w:r w:rsidR="00B7243A" w:rsidRPr="00725726">
        <w:rPr>
          <w:lang w:val="en-US"/>
        </w:rPr>
        <w:t>situational variable</w:t>
      </w:r>
      <w:r w:rsidR="00D50EF0" w:rsidRPr="00725726">
        <w:rPr>
          <w:lang w:val="en-US"/>
        </w:rPr>
        <w:t>, adolescents’ risk behavior is similar to that of adults (</w:t>
      </w:r>
      <w:r w:rsidR="00AB6F74" w:rsidRPr="00725726">
        <w:rPr>
          <w:lang w:val="en-US"/>
        </w:rPr>
        <w:t>Figner, Mackinlay, Wilkening &amp; Weber, 2009</w:t>
      </w:r>
      <w:r w:rsidR="00D50EF0" w:rsidRPr="00725726">
        <w:rPr>
          <w:lang w:val="en-US"/>
        </w:rPr>
        <w:t xml:space="preserve">). </w:t>
      </w:r>
      <w:r w:rsidR="00CB5AA5" w:rsidRPr="00725726">
        <w:rPr>
          <w:lang w:val="en-US"/>
        </w:rPr>
        <w:t xml:space="preserve"> </w:t>
      </w:r>
    </w:p>
    <w:p w14:paraId="2CE17CC9" w14:textId="5AF0693A" w:rsidR="00B7243A" w:rsidRPr="00725726" w:rsidRDefault="00043FBB" w:rsidP="008C259A">
      <w:pPr>
        <w:spacing w:line="480" w:lineRule="auto"/>
        <w:ind w:firstLine="720"/>
        <w:jc w:val="both"/>
        <w:rPr>
          <w:lang w:val="en-US"/>
        </w:rPr>
      </w:pPr>
      <w:r w:rsidRPr="00725726">
        <w:rPr>
          <w:lang w:val="en-US"/>
        </w:rPr>
        <w:t>One affectively hot stimul</w:t>
      </w:r>
      <w:r w:rsidR="00432AD5">
        <w:rPr>
          <w:lang w:val="en-US"/>
        </w:rPr>
        <w:t>us</w:t>
      </w:r>
      <w:r w:rsidR="00F70258" w:rsidRPr="00725726">
        <w:rPr>
          <w:lang w:val="en-US"/>
        </w:rPr>
        <w:t xml:space="preserve"> </w:t>
      </w:r>
      <w:r w:rsidR="006131E3" w:rsidRPr="00725726">
        <w:rPr>
          <w:lang w:val="en-US"/>
        </w:rPr>
        <w:t xml:space="preserve">that is particularly relevant in adolescence </w:t>
      </w:r>
      <w:r w:rsidR="00513C79" w:rsidRPr="00725726">
        <w:rPr>
          <w:lang w:val="en-US"/>
        </w:rPr>
        <w:t>is the</w:t>
      </w:r>
      <w:r w:rsidR="00B7243A" w:rsidRPr="00725726">
        <w:rPr>
          <w:lang w:val="en-US"/>
        </w:rPr>
        <w:t>ir</w:t>
      </w:r>
      <w:r w:rsidRPr="00725726">
        <w:rPr>
          <w:lang w:val="en-US"/>
        </w:rPr>
        <w:t xml:space="preserve"> relationship with their</w:t>
      </w:r>
      <w:r w:rsidR="00F70258" w:rsidRPr="00725726">
        <w:rPr>
          <w:lang w:val="en-US"/>
        </w:rPr>
        <w:t xml:space="preserve"> peers</w:t>
      </w:r>
      <w:r w:rsidR="006131E3" w:rsidRPr="00725726">
        <w:rPr>
          <w:lang w:val="en-US"/>
        </w:rPr>
        <w:t>.</w:t>
      </w:r>
      <w:r w:rsidR="00F70258" w:rsidRPr="00725726">
        <w:rPr>
          <w:lang w:val="en-US"/>
        </w:rPr>
        <w:t xml:space="preserve"> </w:t>
      </w:r>
      <w:r w:rsidR="00B0100E" w:rsidRPr="00725726">
        <w:rPr>
          <w:lang w:val="en-US"/>
        </w:rPr>
        <w:t xml:space="preserve">Adolescence is a period of social development and </w:t>
      </w:r>
      <w:r w:rsidRPr="00725726">
        <w:rPr>
          <w:lang w:val="en-US"/>
        </w:rPr>
        <w:t xml:space="preserve">during this period </w:t>
      </w:r>
      <w:r w:rsidR="00B0100E" w:rsidRPr="00725726">
        <w:rPr>
          <w:lang w:val="en-US"/>
        </w:rPr>
        <w:t>this population is</w:t>
      </w:r>
      <w:r w:rsidR="00E25F1A" w:rsidRPr="00725726">
        <w:rPr>
          <w:lang w:val="en-US"/>
        </w:rPr>
        <w:t xml:space="preserve"> </w:t>
      </w:r>
      <w:r w:rsidR="006131E3" w:rsidRPr="00725726">
        <w:rPr>
          <w:lang w:val="en-US"/>
        </w:rPr>
        <w:t>particularly sensitive to</w:t>
      </w:r>
      <w:r w:rsidR="00E25F1A" w:rsidRPr="00725726">
        <w:rPr>
          <w:lang w:val="en-US"/>
        </w:rPr>
        <w:t xml:space="preserve"> feedback</w:t>
      </w:r>
      <w:r w:rsidR="003246BA" w:rsidRPr="00725726">
        <w:rPr>
          <w:lang w:val="en-US"/>
        </w:rPr>
        <w:t xml:space="preserve"> </w:t>
      </w:r>
      <w:r w:rsidR="006131E3" w:rsidRPr="00725726">
        <w:rPr>
          <w:lang w:val="en-US"/>
        </w:rPr>
        <w:t>from peers (Albert, Chein &amp; Steinberg, 2013</w:t>
      </w:r>
      <w:r w:rsidR="003246BA" w:rsidRPr="00725726">
        <w:rPr>
          <w:lang w:val="en-US"/>
        </w:rPr>
        <w:t xml:space="preserve">). </w:t>
      </w:r>
      <w:r w:rsidRPr="00725726">
        <w:rPr>
          <w:lang w:val="en-US"/>
        </w:rPr>
        <w:t>This social sensitivity has an impact on risk behavior, and a</w:t>
      </w:r>
      <w:r w:rsidR="00E25F1A" w:rsidRPr="00725726">
        <w:rPr>
          <w:lang w:val="en-US"/>
        </w:rPr>
        <w:t xml:space="preserve"> robust body of evidence has demonstrated that when </w:t>
      </w:r>
      <w:r w:rsidR="00EC2902" w:rsidRPr="00725726">
        <w:rPr>
          <w:lang w:val="en-US"/>
        </w:rPr>
        <w:t>adolescents are observed by a</w:t>
      </w:r>
      <w:r w:rsidR="006131E3" w:rsidRPr="00725726">
        <w:rPr>
          <w:lang w:val="en-US"/>
        </w:rPr>
        <w:t xml:space="preserve"> same aged</w:t>
      </w:r>
      <w:r w:rsidR="00EC2902" w:rsidRPr="00725726">
        <w:rPr>
          <w:lang w:val="en-US"/>
        </w:rPr>
        <w:t xml:space="preserve"> peer they</w:t>
      </w:r>
      <w:r w:rsidR="0066718D" w:rsidRPr="00725726">
        <w:rPr>
          <w:lang w:val="en-US"/>
        </w:rPr>
        <w:t xml:space="preserve"> are more likely to engage in risky behavior, whereas this effect is not observed in adults (Albert </w:t>
      </w:r>
      <w:r w:rsidR="00E25F1A" w:rsidRPr="00725726">
        <w:rPr>
          <w:lang w:val="en-US"/>
        </w:rPr>
        <w:t>et al.</w:t>
      </w:r>
      <w:r w:rsidR="0066718D" w:rsidRPr="00725726">
        <w:rPr>
          <w:lang w:val="en-US"/>
        </w:rPr>
        <w:t>, 2013; Gardner &amp; Steinberg, 2005). However, the influence of peers extends beyond merely being present; as active agents, peers exert social influence on risk taking, expressing either support or opposition for these behaviors (Knoll, Magis-Weinberg, Speekenbrink &amp; Blakemore, 2015). When tested experimentally, it has been demonstrated that</w:t>
      </w:r>
      <w:r w:rsidR="008C259A" w:rsidRPr="00725726">
        <w:rPr>
          <w:lang w:val="en-US"/>
        </w:rPr>
        <w:t xml:space="preserve"> </w:t>
      </w:r>
      <w:r w:rsidR="0066718D" w:rsidRPr="00725726">
        <w:rPr>
          <w:lang w:val="en-US"/>
        </w:rPr>
        <w:t xml:space="preserve">adolescents are highly sensitive towards peer attitudes and the highest levels of risk taking occurs when </w:t>
      </w:r>
      <w:r w:rsidR="0066718D" w:rsidRPr="00725726">
        <w:rPr>
          <w:lang w:val="en-US"/>
        </w:rPr>
        <w:lastRenderedPageBreak/>
        <w:t>adolescents receive positive encouragement from peers to engage in risky behavior (Centifanti, Modecki, MacLellan &amp; Gowling, 2014).</w:t>
      </w:r>
      <w:r w:rsidR="008C259A" w:rsidRPr="00725726">
        <w:rPr>
          <w:lang w:val="en-US"/>
        </w:rPr>
        <w:t xml:space="preserve"> This is particularly salient in early adolescence, as this group is more sensitive to the influence of their peers compared to older adolescence (Knoll et al., 2015).</w:t>
      </w:r>
      <w:r w:rsidR="0066718D" w:rsidRPr="00725726">
        <w:rPr>
          <w:lang w:val="en-US"/>
        </w:rPr>
        <w:t xml:space="preserve"> </w:t>
      </w:r>
      <w:r w:rsidR="00E62D21" w:rsidRPr="00725726">
        <w:rPr>
          <w:lang w:val="en-US"/>
        </w:rPr>
        <w:t xml:space="preserve">Thus, </w:t>
      </w:r>
      <w:r w:rsidR="00B7243A" w:rsidRPr="00725726">
        <w:rPr>
          <w:lang w:val="en-US"/>
        </w:rPr>
        <w:t>situational variables such as the presence or absence of peers can have a significant influence on the frequency of adolescents’ risk behavior.</w:t>
      </w:r>
    </w:p>
    <w:p w14:paraId="320D9CDB" w14:textId="7E3CA05F" w:rsidR="002A60FD" w:rsidRPr="005F4CAF" w:rsidRDefault="00D50EF0" w:rsidP="00236D9D">
      <w:pPr>
        <w:spacing w:line="480" w:lineRule="auto"/>
        <w:ind w:firstLine="720"/>
        <w:jc w:val="both"/>
        <w:rPr>
          <w:lang w:val="en-US"/>
        </w:rPr>
      </w:pPr>
      <w:r w:rsidRPr="00725726">
        <w:rPr>
          <w:lang w:val="en-US"/>
        </w:rPr>
        <w:t>Recently, it has bee</w:t>
      </w:r>
      <w:r w:rsidR="001027A6" w:rsidRPr="00725726">
        <w:rPr>
          <w:lang w:val="en-US"/>
        </w:rPr>
        <w:t>n suggested that ambiguity is a</w:t>
      </w:r>
      <w:r w:rsidR="00BD2573" w:rsidRPr="00725726">
        <w:rPr>
          <w:lang w:val="en-US"/>
        </w:rPr>
        <w:t xml:space="preserve"> </w:t>
      </w:r>
      <w:r w:rsidR="001027A6" w:rsidRPr="00725726">
        <w:rPr>
          <w:lang w:val="en-US"/>
        </w:rPr>
        <w:t>further</w:t>
      </w:r>
      <w:r w:rsidRPr="00725726">
        <w:rPr>
          <w:lang w:val="en-US"/>
        </w:rPr>
        <w:t xml:space="preserve"> </w:t>
      </w:r>
      <w:r w:rsidR="002625FE" w:rsidRPr="00725726">
        <w:rPr>
          <w:lang w:val="en-US"/>
        </w:rPr>
        <w:t>situational</w:t>
      </w:r>
      <w:r w:rsidRPr="00725726">
        <w:rPr>
          <w:lang w:val="en-US"/>
        </w:rPr>
        <w:t xml:space="preserve"> factor</w:t>
      </w:r>
      <w:r w:rsidR="002625FE" w:rsidRPr="00725726">
        <w:rPr>
          <w:lang w:val="en-US"/>
        </w:rPr>
        <w:t xml:space="preserve"> that </w:t>
      </w:r>
      <w:r w:rsidR="00066048" w:rsidRPr="00725726">
        <w:rPr>
          <w:lang w:val="en-US"/>
        </w:rPr>
        <w:t>biases adolescents</w:t>
      </w:r>
      <w:r w:rsidRPr="00725726">
        <w:rPr>
          <w:lang w:val="en-US"/>
        </w:rPr>
        <w:t xml:space="preserve"> to </w:t>
      </w:r>
      <w:r w:rsidR="00E62D21" w:rsidRPr="00725726">
        <w:rPr>
          <w:lang w:val="en-US"/>
        </w:rPr>
        <w:t xml:space="preserve">gamble and therefore expose themselves to </w:t>
      </w:r>
      <w:r w:rsidR="00DB3EB0" w:rsidRPr="00725726">
        <w:rPr>
          <w:lang w:val="en-US"/>
        </w:rPr>
        <w:t xml:space="preserve">potentially </w:t>
      </w:r>
      <w:r w:rsidR="00E62D21" w:rsidRPr="00725726">
        <w:rPr>
          <w:lang w:val="en-US"/>
        </w:rPr>
        <w:t>negative outcomes</w:t>
      </w:r>
      <w:r w:rsidRPr="00725726">
        <w:rPr>
          <w:lang w:val="en-US"/>
        </w:rPr>
        <w:t xml:space="preserve"> (Tymula et al., 2012;</w:t>
      </w:r>
      <w:r w:rsidR="002B21DA" w:rsidRPr="00725726">
        <w:rPr>
          <w:lang w:val="en-US"/>
        </w:rPr>
        <w:t xml:space="preserve"> Osmont et al., 2017</w:t>
      </w:r>
      <w:r w:rsidRPr="00725726">
        <w:rPr>
          <w:lang w:val="en-US"/>
        </w:rPr>
        <w:t xml:space="preserve">). </w:t>
      </w:r>
      <w:r w:rsidR="0072118F" w:rsidRPr="00725726">
        <w:rPr>
          <w:lang w:val="en-US"/>
        </w:rPr>
        <w:t xml:space="preserve">Using a ‘Wheel of Fortune’ task (Ernst et al., 2004), </w:t>
      </w:r>
      <w:r w:rsidR="002B21DA" w:rsidRPr="00725726">
        <w:rPr>
          <w:lang w:val="en-US"/>
        </w:rPr>
        <w:t>several</w:t>
      </w:r>
      <w:r w:rsidR="00867644" w:rsidRPr="00725726">
        <w:rPr>
          <w:lang w:val="en-US"/>
        </w:rPr>
        <w:t xml:space="preserve"> studies have demonstrated that adolescents are more </w:t>
      </w:r>
      <w:r w:rsidR="006A1911" w:rsidRPr="00725726">
        <w:rPr>
          <w:lang w:val="en-US"/>
        </w:rPr>
        <w:t>likely</w:t>
      </w:r>
      <w:r w:rsidR="006B510B" w:rsidRPr="00725726">
        <w:rPr>
          <w:lang w:val="en-US"/>
        </w:rPr>
        <w:t xml:space="preserve"> than adults</w:t>
      </w:r>
      <w:r w:rsidR="006A1911" w:rsidRPr="00725726">
        <w:rPr>
          <w:lang w:val="en-US"/>
        </w:rPr>
        <w:t xml:space="preserve"> to </w:t>
      </w:r>
      <w:r w:rsidR="00BD2573" w:rsidRPr="00725726">
        <w:rPr>
          <w:lang w:val="en-US"/>
        </w:rPr>
        <w:t>gamble</w:t>
      </w:r>
      <w:r w:rsidRPr="00725726">
        <w:rPr>
          <w:lang w:val="en-US"/>
        </w:rPr>
        <w:t xml:space="preserve"> </w:t>
      </w:r>
      <w:r w:rsidR="000526AE" w:rsidRPr="00725726">
        <w:rPr>
          <w:lang w:val="en-US"/>
        </w:rPr>
        <w:t>under conditions of ambiguity</w:t>
      </w:r>
      <w:r w:rsidR="006A1911" w:rsidRPr="00725726">
        <w:rPr>
          <w:lang w:val="en-US"/>
        </w:rPr>
        <w:t>.</w:t>
      </w:r>
      <w:r w:rsidR="00474A87" w:rsidRPr="00725726">
        <w:rPr>
          <w:lang w:val="en-US"/>
        </w:rPr>
        <w:t xml:space="preserve"> </w:t>
      </w:r>
      <w:r w:rsidR="00841E3E" w:rsidRPr="00725726">
        <w:rPr>
          <w:lang w:val="en-US"/>
        </w:rPr>
        <w:t>However,</w:t>
      </w:r>
      <w:r w:rsidR="006A1911" w:rsidRPr="00725726">
        <w:rPr>
          <w:lang w:val="en-US"/>
        </w:rPr>
        <w:t xml:space="preserve"> in conditions</w:t>
      </w:r>
      <w:r w:rsidR="000526AE" w:rsidRPr="00725726">
        <w:rPr>
          <w:lang w:val="en-US"/>
        </w:rPr>
        <w:t xml:space="preserve"> of risk</w:t>
      </w:r>
      <w:r w:rsidR="006A1911" w:rsidRPr="00725726">
        <w:rPr>
          <w:lang w:val="en-US"/>
        </w:rPr>
        <w:t xml:space="preserve"> where probabilities</w:t>
      </w:r>
      <w:r w:rsidR="00FB5469" w:rsidRPr="00725726">
        <w:rPr>
          <w:lang w:val="en-US"/>
        </w:rPr>
        <w:t xml:space="preserve"> are </w:t>
      </w:r>
      <w:r w:rsidR="001032BE" w:rsidRPr="00725726">
        <w:rPr>
          <w:lang w:val="en-US"/>
        </w:rPr>
        <w:t xml:space="preserve">explicit, </w:t>
      </w:r>
      <w:r w:rsidR="00867644" w:rsidRPr="00725726">
        <w:rPr>
          <w:lang w:val="en-US"/>
        </w:rPr>
        <w:t>adolescents are equally or more risk averse than adults (</w:t>
      </w:r>
      <w:r w:rsidR="002847F5" w:rsidRPr="00725726">
        <w:rPr>
          <w:color w:val="000000" w:themeColor="text1"/>
          <w:shd w:val="clear" w:color="auto" w:fill="FFFFFF"/>
          <w:lang w:val="en-US"/>
        </w:rPr>
        <w:t xml:space="preserve">Blankenstein, Crone, van den Bos &amp; van Duijenvoorde, </w:t>
      </w:r>
      <w:r w:rsidR="002B21DA" w:rsidRPr="00725726">
        <w:rPr>
          <w:lang w:val="en-US"/>
        </w:rPr>
        <w:t>2016; van den Bos &amp; Hertwig, 2017</w:t>
      </w:r>
      <w:r w:rsidR="00867644" w:rsidRPr="00725726">
        <w:rPr>
          <w:lang w:val="en-US"/>
        </w:rPr>
        <w:t xml:space="preserve">). </w:t>
      </w:r>
      <w:r w:rsidR="0072118F" w:rsidRPr="00725726">
        <w:rPr>
          <w:lang w:val="en-US"/>
        </w:rPr>
        <w:t>This</w:t>
      </w:r>
      <w:r w:rsidR="00EE78F3" w:rsidRPr="00725726">
        <w:rPr>
          <w:lang w:val="en-US"/>
        </w:rPr>
        <w:t xml:space="preserve"> economic </w:t>
      </w:r>
      <w:r w:rsidR="0072118F" w:rsidRPr="00725726">
        <w:rPr>
          <w:lang w:val="en-US"/>
        </w:rPr>
        <w:t>task is a particularly strong measure</w:t>
      </w:r>
      <w:r w:rsidR="00236D9D" w:rsidRPr="00725726">
        <w:rPr>
          <w:lang w:val="en-US"/>
        </w:rPr>
        <w:t xml:space="preserve"> of </w:t>
      </w:r>
      <w:r w:rsidR="00F72376" w:rsidRPr="00725726">
        <w:rPr>
          <w:lang w:val="en-US"/>
        </w:rPr>
        <w:t>decision-making</w:t>
      </w:r>
      <w:r w:rsidR="004D145B" w:rsidRPr="00725726">
        <w:rPr>
          <w:lang w:val="en-US"/>
        </w:rPr>
        <w:t>,</w:t>
      </w:r>
      <w:r w:rsidR="0072118F" w:rsidRPr="00725726">
        <w:rPr>
          <w:lang w:val="en-US"/>
        </w:rPr>
        <w:t xml:space="preserve"> as it allows for direct comparison betwe</w:t>
      </w:r>
      <w:r w:rsidR="002B21DA" w:rsidRPr="00725726">
        <w:rPr>
          <w:lang w:val="en-US"/>
        </w:rPr>
        <w:t>en risk and ambiguity attitudes</w:t>
      </w:r>
      <w:r w:rsidR="00EA0B35" w:rsidRPr="00725726">
        <w:rPr>
          <w:lang w:val="en-US"/>
        </w:rPr>
        <w:t xml:space="preserve"> using identical probability distributions</w:t>
      </w:r>
      <w:r w:rsidR="00EE4950" w:rsidRPr="00725726">
        <w:rPr>
          <w:lang w:val="en-US"/>
        </w:rPr>
        <w:t xml:space="preserve">. Further, </w:t>
      </w:r>
      <w:r w:rsidR="00236D9D" w:rsidRPr="00725726">
        <w:rPr>
          <w:lang w:val="en-US"/>
        </w:rPr>
        <w:t xml:space="preserve">adolescents’ ambiguity tolerance on the task have </w:t>
      </w:r>
      <w:r w:rsidR="00EE4950" w:rsidRPr="00725726">
        <w:rPr>
          <w:lang w:val="en-US"/>
        </w:rPr>
        <w:t>shown a</w:t>
      </w:r>
      <w:r w:rsidR="00E92258" w:rsidRPr="00725726">
        <w:rPr>
          <w:lang w:val="en-US"/>
        </w:rPr>
        <w:t xml:space="preserve"> </w:t>
      </w:r>
      <w:r w:rsidR="00197A77" w:rsidRPr="00725726">
        <w:rPr>
          <w:lang w:val="en-US"/>
        </w:rPr>
        <w:t xml:space="preserve">relationship to </w:t>
      </w:r>
      <w:r w:rsidR="00426947" w:rsidRPr="00725726">
        <w:rPr>
          <w:lang w:val="en-US"/>
        </w:rPr>
        <w:t>real</w:t>
      </w:r>
      <w:r w:rsidR="00801176" w:rsidRPr="00725726">
        <w:rPr>
          <w:lang w:val="en-US"/>
        </w:rPr>
        <w:t>-</w:t>
      </w:r>
      <w:r w:rsidR="00426947" w:rsidRPr="00725726">
        <w:rPr>
          <w:lang w:val="en-US"/>
        </w:rPr>
        <w:t>world</w:t>
      </w:r>
      <w:r w:rsidR="00197A77" w:rsidRPr="00725726">
        <w:rPr>
          <w:lang w:val="en-US"/>
        </w:rPr>
        <w:t xml:space="preserve"> risk</w:t>
      </w:r>
      <w:r w:rsidR="00801176" w:rsidRPr="00725726">
        <w:rPr>
          <w:lang w:val="en-US"/>
        </w:rPr>
        <w:t>-t</w:t>
      </w:r>
      <w:r w:rsidR="00197A77" w:rsidRPr="00725726">
        <w:rPr>
          <w:lang w:val="en-US"/>
        </w:rPr>
        <w:t>aking</w:t>
      </w:r>
      <w:r w:rsidR="002B21DA" w:rsidRPr="00725726">
        <w:rPr>
          <w:lang w:val="en-US"/>
        </w:rPr>
        <w:t xml:space="preserve"> </w:t>
      </w:r>
      <w:r w:rsidR="00236D9D" w:rsidRPr="00725726">
        <w:rPr>
          <w:lang w:val="en-US"/>
        </w:rPr>
        <w:t>behavior</w:t>
      </w:r>
      <w:r w:rsidR="002B21DA" w:rsidRPr="00725726">
        <w:rPr>
          <w:lang w:val="en-US"/>
        </w:rPr>
        <w:t xml:space="preserve"> (van den Bos &amp; Hertwig, 2017).</w:t>
      </w:r>
      <w:r w:rsidR="005A3C42" w:rsidRPr="00725726">
        <w:rPr>
          <w:lang w:val="en-US"/>
        </w:rPr>
        <w:t xml:space="preserve"> </w:t>
      </w:r>
      <w:r w:rsidR="002B21DA" w:rsidRPr="00725726">
        <w:rPr>
          <w:lang w:val="en-US"/>
        </w:rPr>
        <w:t xml:space="preserve">While there are a number of other established tasks </w:t>
      </w:r>
      <w:r w:rsidR="004725D0" w:rsidRPr="00725726">
        <w:rPr>
          <w:lang w:val="en-US"/>
        </w:rPr>
        <w:t xml:space="preserve">that </w:t>
      </w:r>
      <w:r w:rsidR="002B21DA" w:rsidRPr="00725726">
        <w:rPr>
          <w:lang w:val="en-US"/>
        </w:rPr>
        <w:t>similar</w:t>
      </w:r>
      <w:r w:rsidR="004725D0" w:rsidRPr="00725726">
        <w:rPr>
          <w:lang w:val="en-US"/>
        </w:rPr>
        <w:t>ly claim to measure ambiguity attitudes</w:t>
      </w:r>
      <w:r w:rsidR="002B21DA" w:rsidRPr="00725726">
        <w:rPr>
          <w:lang w:val="en-US"/>
        </w:rPr>
        <w:t xml:space="preserve"> (e.g. the Iowa Gambling Task;</w:t>
      </w:r>
      <w:r w:rsidR="00C1707C" w:rsidRPr="00725726">
        <w:rPr>
          <w:lang w:val="en-US"/>
        </w:rPr>
        <w:t xml:space="preserve"> </w:t>
      </w:r>
      <w:r w:rsidR="00E07607" w:rsidRPr="00725726">
        <w:rPr>
          <w:lang w:val="en-US"/>
        </w:rPr>
        <w:t>Bechara, Damasio</w:t>
      </w:r>
      <w:r w:rsidR="00B7029E" w:rsidRPr="00725726">
        <w:rPr>
          <w:lang w:val="en-US"/>
        </w:rPr>
        <w:t>, Tranel &amp; Damasio, 2005</w:t>
      </w:r>
      <w:r w:rsidR="002B21DA" w:rsidRPr="00725726">
        <w:rPr>
          <w:lang w:val="en-US"/>
        </w:rPr>
        <w:t>), the exten</w:t>
      </w:r>
      <w:r w:rsidR="004725D0" w:rsidRPr="00725726">
        <w:rPr>
          <w:lang w:val="en-US"/>
        </w:rPr>
        <w:t xml:space="preserve">t to which these truly capture this condition of </w:t>
      </w:r>
      <w:r w:rsidR="00F72376" w:rsidRPr="00725726">
        <w:rPr>
          <w:lang w:val="en-US"/>
        </w:rPr>
        <w:t>decision-making</w:t>
      </w:r>
      <w:r w:rsidR="002B21DA" w:rsidRPr="00725726">
        <w:rPr>
          <w:lang w:val="en-US"/>
        </w:rPr>
        <w:t xml:space="preserve"> has </w:t>
      </w:r>
      <w:r w:rsidR="002B21DA" w:rsidRPr="005F4CAF">
        <w:rPr>
          <w:lang w:val="en-US"/>
        </w:rPr>
        <w:t xml:space="preserve">been </w:t>
      </w:r>
      <w:r w:rsidR="00B7029E" w:rsidRPr="005F4CAF">
        <w:rPr>
          <w:lang w:val="en-US"/>
        </w:rPr>
        <w:t>subject to criticism</w:t>
      </w:r>
      <w:r w:rsidR="002B21DA" w:rsidRPr="005F4CAF">
        <w:rPr>
          <w:lang w:val="en-US"/>
        </w:rPr>
        <w:t xml:space="preserve"> (see Dunn,</w:t>
      </w:r>
      <w:r w:rsidR="00EA6FDB" w:rsidRPr="005F4CAF">
        <w:rPr>
          <w:lang w:val="en-US"/>
        </w:rPr>
        <w:t xml:space="preserve"> Dagleish &amp; Lawrence,</w:t>
      </w:r>
      <w:r w:rsidR="002B21DA" w:rsidRPr="005F4CAF">
        <w:rPr>
          <w:lang w:val="en-US"/>
        </w:rPr>
        <w:t xml:space="preserve"> 2006). </w:t>
      </w:r>
    </w:p>
    <w:p w14:paraId="3B354AFB" w14:textId="4F843F9B" w:rsidR="00F07EEF" w:rsidRPr="005F4CAF" w:rsidRDefault="00E352DB" w:rsidP="00F07EEF">
      <w:pPr>
        <w:spacing w:line="480" w:lineRule="auto"/>
        <w:ind w:firstLine="720"/>
        <w:jc w:val="both"/>
        <w:rPr>
          <w:lang w:val="en-US"/>
        </w:rPr>
      </w:pPr>
      <w:r w:rsidRPr="005F4CAF">
        <w:rPr>
          <w:lang w:val="en-US"/>
        </w:rPr>
        <w:t>In economic decision</w:t>
      </w:r>
      <w:r w:rsidR="003F32B4" w:rsidRPr="005F4CAF">
        <w:rPr>
          <w:lang w:val="en-US"/>
        </w:rPr>
        <w:t>-</w:t>
      </w:r>
      <w:r w:rsidRPr="005F4CAF">
        <w:rPr>
          <w:lang w:val="en-US"/>
        </w:rPr>
        <w:t>making, the ‘expected value’ of a gambling decision is calculated by the summed values of the expected gains, weighted against their respective probabilities (Defoe et al., 2015). Adolescents’ ability to</w:t>
      </w:r>
      <w:r w:rsidR="00A22A74" w:rsidRPr="005F4CAF">
        <w:rPr>
          <w:lang w:val="en-US"/>
        </w:rPr>
        <w:t xml:space="preserve"> navigate probability to maximi</w:t>
      </w:r>
      <w:r w:rsidR="00FF48DC" w:rsidRPr="005F4CAF">
        <w:rPr>
          <w:lang w:val="en-US"/>
        </w:rPr>
        <w:t>z</w:t>
      </w:r>
      <w:r w:rsidR="00A22A74" w:rsidRPr="005F4CAF">
        <w:rPr>
          <w:lang w:val="en-US"/>
        </w:rPr>
        <w:t xml:space="preserve">e expected value in </w:t>
      </w:r>
      <w:r w:rsidR="003F32B4" w:rsidRPr="005F4CAF">
        <w:rPr>
          <w:lang w:val="en-US"/>
        </w:rPr>
        <w:t xml:space="preserve">risky </w:t>
      </w:r>
      <w:r w:rsidR="00A22A74" w:rsidRPr="005F4CAF">
        <w:rPr>
          <w:lang w:val="en-US"/>
        </w:rPr>
        <w:t>decision</w:t>
      </w:r>
      <w:r w:rsidR="002758F1" w:rsidRPr="005F4CAF">
        <w:rPr>
          <w:lang w:val="en-US"/>
        </w:rPr>
        <w:t>-</w:t>
      </w:r>
      <w:r w:rsidR="00A22A74" w:rsidRPr="005F4CAF">
        <w:rPr>
          <w:lang w:val="en-US"/>
        </w:rPr>
        <w:t xml:space="preserve">making tasks </w:t>
      </w:r>
      <w:r w:rsidRPr="005F4CAF">
        <w:rPr>
          <w:lang w:val="en-US"/>
        </w:rPr>
        <w:t xml:space="preserve">has been found to improve linearly with age (Burnett </w:t>
      </w:r>
      <w:r w:rsidR="00A6733D" w:rsidRPr="005F4CAF">
        <w:rPr>
          <w:lang w:val="en-US"/>
        </w:rPr>
        <w:t>et al.</w:t>
      </w:r>
      <w:r w:rsidRPr="005F4CAF">
        <w:rPr>
          <w:lang w:val="en-US"/>
        </w:rPr>
        <w:t xml:space="preserve">, 2010). </w:t>
      </w:r>
      <w:r w:rsidR="00D21146" w:rsidRPr="005F4CAF">
        <w:rPr>
          <w:lang w:val="en-US"/>
        </w:rPr>
        <w:t xml:space="preserve">However, </w:t>
      </w:r>
      <w:r w:rsidR="005338BA" w:rsidRPr="005F4CAF">
        <w:rPr>
          <w:lang w:val="en-US"/>
        </w:rPr>
        <w:t>i</w:t>
      </w:r>
      <w:r w:rsidR="00D21146" w:rsidRPr="005F4CAF">
        <w:rPr>
          <w:lang w:val="en-US"/>
        </w:rPr>
        <w:t xml:space="preserve">n conditions of ambiguity, the agent does not have information about the probabilities involved </w:t>
      </w:r>
      <w:r w:rsidR="006B279E" w:rsidRPr="005F4CAF">
        <w:rPr>
          <w:lang w:val="en-US"/>
        </w:rPr>
        <w:t>in a decision</w:t>
      </w:r>
      <w:r w:rsidR="00775BE9" w:rsidRPr="005F4CAF">
        <w:rPr>
          <w:lang w:val="en-US"/>
        </w:rPr>
        <w:t xml:space="preserve"> and as such, </w:t>
      </w:r>
      <w:r w:rsidR="004D6B60" w:rsidRPr="005F4CAF">
        <w:rPr>
          <w:lang w:val="en-US"/>
        </w:rPr>
        <w:t>expected value is incalculable</w:t>
      </w:r>
      <w:r w:rsidR="005109C7" w:rsidRPr="005F4CAF">
        <w:rPr>
          <w:lang w:val="en-US"/>
        </w:rPr>
        <w:t xml:space="preserve"> (Huette</w:t>
      </w:r>
      <w:r w:rsidR="00260515" w:rsidRPr="005F4CAF">
        <w:rPr>
          <w:lang w:val="en-US"/>
        </w:rPr>
        <w:t xml:space="preserve">l, Stowe, </w:t>
      </w:r>
      <w:r w:rsidR="00260515" w:rsidRPr="005F4CAF">
        <w:rPr>
          <w:lang w:val="en-US"/>
        </w:rPr>
        <w:lastRenderedPageBreak/>
        <w:t>Gordon, Warner &amp; Platt, 2006</w:t>
      </w:r>
      <w:r w:rsidR="005109C7" w:rsidRPr="005F4CAF">
        <w:rPr>
          <w:lang w:val="en-US"/>
        </w:rPr>
        <w:t>).</w:t>
      </w:r>
      <w:r w:rsidR="00132938" w:rsidRPr="005F4CAF">
        <w:rPr>
          <w:lang w:val="en-US"/>
        </w:rPr>
        <w:t xml:space="preserve"> Decision-making in conditions of</w:t>
      </w:r>
      <w:r w:rsidR="005109C7" w:rsidRPr="005F4CAF">
        <w:rPr>
          <w:lang w:val="en-US"/>
        </w:rPr>
        <w:t xml:space="preserve"> </w:t>
      </w:r>
      <w:r w:rsidR="00132938" w:rsidRPr="005F4CAF">
        <w:rPr>
          <w:lang w:val="en-US"/>
        </w:rPr>
        <w:t>a</w:t>
      </w:r>
      <w:r w:rsidR="005109C7" w:rsidRPr="005F4CAF">
        <w:rPr>
          <w:lang w:val="en-US"/>
        </w:rPr>
        <w:t>mbiguity therefore relies on different psychological mechanisms</w:t>
      </w:r>
      <w:r w:rsidR="00485F08" w:rsidRPr="005F4CAF">
        <w:rPr>
          <w:lang w:val="en-US"/>
        </w:rPr>
        <w:t xml:space="preserve"> compared to conditions of risk</w:t>
      </w:r>
      <w:r w:rsidR="008331F9" w:rsidRPr="005F4CAF">
        <w:rPr>
          <w:lang w:val="en-US"/>
        </w:rPr>
        <w:t xml:space="preserve"> (Tversky &amp; Kahnemann, 1992)</w:t>
      </w:r>
      <w:r w:rsidR="005109C7" w:rsidRPr="005F4CAF">
        <w:rPr>
          <w:lang w:val="en-US"/>
        </w:rPr>
        <w:t xml:space="preserve">. Consistent with this view, research has found no correlation between risk and ambiguity attitudes (van den Bos &amp; Hertwig, 2017) and gambling under these two conditions </w:t>
      </w:r>
      <w:r w:rsidR="0008381F" w:rsidRPr="005F4CAF">
        <w:rPr>
          <w:lang w:val="en-US"/>
        </w:rPr>
        <w:t>activates</w:t>
      </w:r>
      <w:r w:rsidR="005109C7" w:rsidRPr="005F4CAF">
        <w:rPr>
          <w:lang w:val="en-US"/>
        </w:rPr>
        <w:t xml:space="preserve"> different neural regions (Huettel et al., </w:t>
      </w:r>
      <w:r w:rsidR="00260515" w:rsidRPr="005F4CAF">
        <w:rPr>
          <w:lang w:val="en-US"/>
        </w:rPr>
        <w:t>2006</w:t>
      </w:r>
      <w:r w:rsidR="005109C7" w:rsidRPr="005F4CAF">
        <w:rPr>
          <w:lang w:val="en-US"/>
        </w:rPr>
        <w:t>).</w:t>
      </w:r>
      <w:r w:rsidR="00132938" w:rsidRPr="005F4CAF">
        <w:rPr>
          <w:lang w:val="en-US"/>
        </w:rPr>
        <w:t xml:space="preserve"> </w:t>
      </w:r>
      <w:r w:rsidR="00F07EEF" w:rsidRPr="005F4CAF">
        <w:rPr>
          <w:lang w:val="en-US"/>
        </w:rPr>
        <w:t>Thus, while the ability to understand probability to maximi</w:t>
      </w:r>
      <w:r w:rsidR="00FF48DC" w:rsidRPr="005F4CAF">
        <w:rPr>
          <w:lang w:val="en-US"/>
        </w:rPr>
        <w:t>z</w:t>
      </w:r>
      <w:r w:rsidR="00F07EEF" w:rsidRPr="005F4CAF">
        <w:rPr>
          <w:lang w:val="en-US"/>
        </w:rPr>
        <w:t>e expected value increase</w:t>
      </w:r>
      <w:r w:rsidR="006E679F" w:rsidRPr="005F4CAF">
        <w:rPr>
          <w:lang w:val="en-US"/>
        </w:rPr>
        <w:t>s</w:t>
      </w:r>
      <w:r w:rsidR="00F07EEF" w:rsidRPr="005F4CAF">
        <w:rPr>
          <w:lang w:val="en-US"/>
        </w:rPr>
        <w:t xml:space="preserve"> linearly with age, there is still limited understanding about how ambiguity attitudes develop </w:t>
      </w:r>
      <w:r w:rsidR="006E679F" w:rsidRPr="005F4CAF">
        <w:rPr>
          <w:lang w:val="en-US"/>
        </w:rPr>
        <w:t>across</w:t>
      </w:r>
      <w:r w:rsidR="00F07EEF" w:rsidRPr="005F4CAF">
        <w:rPr>
          <w:lang w:val="en-US"/>
        </w:rPr>
        <w:t xml:space="preserve"> the lifespan.</w:t>
      </w:r>
    </w:p>
    <w:p w14:paraId="64633063" w14:textId="16544DB1" w:rsidR="00BB5FBB" w:rsidRPr="00E600F8" w:rsidRDefault="00434B79" w:rsidP="00F07EEF">
      <w:pPr>
        <w:spacing w:line="480" w:lineRule="auto"/>
        <w:ind w:firstLine="720"/>
        <w:jc w:val="both"/>
        <w:rPr>
          <w:highlight w:val="yellow"/>
          <w:lang w:val="en-US"/>
        </w:rPr>
      </w:pPr>
      <w:r w:rsidRPr="005F4CAF">
        <w:rPr>
          <w:lang w:val="en-US"/>
        </w:rPr>
        <w:t xml:space="preserve">The current study aims to build on this line of work by </w:t>
      </w:r>
      <w:r w:rsidR="0082692D" w:rsidRPr="005F4CAF">
        <w:rPr>
          <w:lang w:val="en-US"/>
        </w:rPr>
        <w:t>manipulating two situational</w:t>
      </w:r>
      <w:r w:rsidR="0082692D" w:rsidRPr="00E600F8">
        <w:rPr>
          <w:lang w:val="en-US"/>
        </w:rPr>
        <w:t xml:space="preserve"> conditions that can influence adolescents’ </w:t>
      </w:r>
      <w:r w:rsidR="00F72376" w:rsidRPr="00E600F8">
        <w:rPr>
          <w:lang w:val="en-US"/>
        </w:rPr>
        <w:t>decision-making</w:t>
      </w:r>
      <w:r w:rsidR="0082692D" w:rsidRPr="00E600F8">
        <w:rPr>
          <w:lang w:val="en-US"/>
        </w:rPr>
        <w:t xml:space="preserve">: ambiguity and peer presence. Previous studies </w:t>
      </w:r>
      <w:r w:rsidR="00A10098" w:rsidRPr="00E600F8">
        <w:rPr>
          <w:lang w:val="en-US"/>
        </w:rPr>
        <w:t>examining peer influence in conditions of risk and ambiguity</w:t>
      </w:r>
      <w:r w:rsidR="00264C04" w:rsidRPr="00E600F8">
        <w:rPr>
          <w:lang w:val="en-US"/>
        </w:rPr>
        <w:t xml:space="preserve"> have utilized a ‘static’ peer.</w:t>
      </w:r>
      <w:r w:rsidR="00483DB5" w:rsidRPr="00E600F8">
        <w:rPr>
          <w:lang w:val="en-US"/>
        </w:rPr>
        <w:t xml:space="preserve"> It is therefore uncertain whether the influence of peers extends to ‘dynamic’ contexts</w:t>
      </w:r>
      <w:r w:rsidR="000C2759" w:rsidRPr="00E600F8">
        <w:rPr>
          <w:lang w:val="en-US"/>
        </w:rPr>
        <w:t>,</w:t>
      </w:r>
      <w:r w:rsidR="00483DB5" w:rsidRPr="00E600F8">
        <w:rPr>
          <w:lang w:val="en-US"/>
        </w:rPr>
        <w:t xml:space="preserve"> </w:t>
      </w:r>
      <w:r w:rsidR="00693737" w:rsidRPr="00E600F8">
        <w:rPr>
          <w:lang w:val="en-US"/>
        </w:rPr>
        <w:t>where peers</w:t>
      </w:r>
      <w:r w:rsidR="009C1792" w:rsidRPr="00E600F8">
        <w:rPr>
          <w:lang w:val="en-US"/>
        </w:rPr>
        <w:t xml:space="preserve"> are active in the deliberations</w:t>
      </w:r>
      <w:r w:rsidR="00693737" w:rsidRPr="00E600F8">
        <w:rPr>
          <w:lang w:val="en-US"/>
        </w:rPr>
        <w:t xml:space="preserve"> </w:t>
      </w:r>
      <w:r w:rsidR="00483DB5" w:rsidRPr="00E600F8">
        <w:rPr>
          <w:lang w:val="en-US"/>
        </w:rPr>
        <w:t>that precede</w:t>
      </w:r>
      <w:r w:rsidR="00693737" w:rsidRPr="00E600F8">
        <w:rPr>
          <w:lang w:val="en-US"/>
        </w:rPr>
        <w:t>s</w:t>
      </w:r>
      <w:r w:rsidR="00483DB5" w:rsidRPr="00E600F8">
        <w:rPr>
          <w:lang w:val="en-US"/>
        </w:rPr>
        <w:t xml:space="preserve"> a decision. This consideration is important, as these dynamic interactions are reflective of real</w:t>
      </w:r>
      <w:r w:rsidR="00801176" w:rsidRPr="00E600F8">
        <w:rPr>
          <w:lang w:val="en-US"/>
        </w:rPr>
        <w:t>-</w:t>
      </w:r>
      <w:r w:rsidR="00483DB5" w:rsidRPr="00E600F8">
        <w:rPr>
          <w:lang w:val="en-US"/>
        </w:rPr>
        <w:t xml:space="preserve">world </w:t>
      </w:r>
      <w:r w:rsidR="00FD508A" w:rsidRPr="00E600F8">
        <w:rPr>
          <w:lang w:val="en-US"/>
        </w:rPr>
        <w:t xml:space="preserve">reckless behaviors, which </w:t>
      </w:r>
      <w:r w:rsidR="008E7B13" w:rsidRPr="00E600F8">
        <w:rPr>
          <w:lang w:val="en-US"/>
        </w:rPr>
        <w:t>often occur in group settings</w:t>
      </w:r>
      <w:r w:rsidR="00FD508A" w:rsidRPr="00E600F8">
        <w:rPr>
          <w:lang w:val="en-US"/>
        </w:rPr>
        <w:t xml:space="preserve"> </w:t>
      </w:r>
      <w:r w:rsidR="00996B27" w:rsidRPr="00E600F8">
        <w:rPr>
          <w:lang w:val="en-US"/>
        </w:rPr>
        <w:t>(see Diebelius, 2018</w:t>
      </w:r>
      <w:r w:rsidR="00837C5C" w:rsidRPr="00E600F8">
        <w:rPr>
          <w:lang w:val="en-US"/>
        </w:rPr>
        <w:t>, for a case</w:t>
      </w:r>
      <w:r w:rsidR="00996B27" w:rsidRPr="00E600F8">
        <w:rPr>
          <w:lang w:val="en-US"/>
        </w:rPr>
        <w:t xml:space="preserve"> example).</w:t>
      </w:r>
      <w:r w:rsidR="00FD508A" w:rsidRPr="00E600F8">
        <w:rPr>
          <w:lang w:val="en-US"/>
        </w:rPr>
        <w:t xml:space="preserve"> </w:t>
      </w:r>
      <w:r w:rsidR="000C2759" w:rsidRPr="00E600F8">
        <w:rPr>
          <w:lang w:val="en-US"/>
        </w:rPr>
        <w:t>U</w:t>
      </w:r>
      <w:r w:rsidR="00FD508A" w:rsidRPr="00E600F8">
        <w:rPr>
          <w:lang w:val="en-US"/>
        </w:rPr>
        <w:t xml:space="preserve">nlike adults, adolescents are </w:t>
      </w:r>
      <w:r w:rsidR="00E171BE" w:rsidRPr="00E600F8">
        <w:rPr>
          <w:lang w:val="en-US"/>
        </w:rPr>
        <w:t xml:space="preserve">also </w:t>
      </w:r>
      <w:r w:rsidR="00FD508A" w:rsidRPr="00E600F8">
        <w:rPr>
          <w:lang w:val="en-US"/>
        </w:rPr>
        <w:t>more likely to engage in antisocial behaviors i</w:t>
      </w:r>
      <w:r w:rsidR="006E2DE3" w:rsidRPr="00E600F8">
        <w:rPr>
          <w:lang w:val="en-US"/>
        </w:rPr>
        <w:t>n groups rather than alone (Zimring, 1981</w:t>
      </w:r>
      <w:r w:rsidR="00FD508A" w:rsidRPr="00E600F8">
        <w:rPr>
          <w:lang w:val="en-US"/>
        </w:rPr>
        <w:t>).</w:t>
      </w:r>
      <w:r w:rsidR="00BB5FBB" w:rsidRPr="00E600F8">
        <w:rPr>
          <w:lang w:val="en-US"/>
        </w:rPr>
        <w:t xml:space="preserve"> </w:t>
      </w:r>
      <w:r w:rsidR="00B56C89" w:rsidRPr="00E600F8">
        <w:rPr>
          <w:lang w:val="en-US"/>
        </w:rPr>
        <w:t>Consistent with this, observational studies have found</w:t>
      </w:r>
      <w:r w:rsidR="00801176" w:rsidRPr="00E600F8">
        <w:rPr>
          <w:lang w:val="en-US"/>
        </w:rPr>
        <w:t>, for example,</w:t>
      </w:r>
      <w:r w:rsidR="00B56C89" w:rsidRPr="00E600F8">
        <w:rPr>
          <w:lang w:val="en-US"/>
        </w:rPr>
        <w:t xml:space="preserve"> that</w:t>
      </w:r>
      <w:r w:rsidR="00BB5FBB" w:rsidRPr="00E600F8">
        <w:rPr>
          <w:lang w:val="en-US"/>
        </w:rPr>
        <w:t xml:space="preserve"> </w:t>
      </w:r>
      <w:r w:rsidR="00715554" w:rsidRPr="00E600F8">
        <w:rPr>
          <w:lang w:val="en-US"/>
        </w:rPr>
        <w:t>discussion</w:t>
      </w:r>
      <w:r w:rsidR="00BB5FBB" w:rsidRPr="00E600F8">
        <w:rPr>
          <w:lang w:val="en-US"/>
        </w:rPr>
        <w:t xml:space="preserve"> with a peer who promotes rule-breaking and substance use has been associated with an immediate rise in adolescents’ own substance use (Dishion, Capaldi, Speacklen &amp; Li, 1995</w:t>
      </w:r>
      <w:r w:rsidR="00715554" w:rsidRPr="00E600F8">
        <w:rPr>
          <w:lang w:val="en-US"/>
        </w:rPr>
        <w:t>)</w:t>
      </w:r>
      <w:r w:rsidR="00BB5FBB" w:rsidRPr="00E600F8">
        <w:rPr>
          <w:lang w:val="en-US"/>
        </w:rPr>
        <w:t xml:space="preserve">. </w:t>
      </w:r>
      <w:r w:rsidR="00FD508A" w:rsidRPr="00E600F8">
        <w:rPr>
          <w:lang w:val="en-US"/>
        </w:rPr>
        <w:t xml:space="preserve"> Hence, group </w:t>
      </w:r>
      <w:r w:rsidR="000C2759" w:rsidRPr="00E600F8">
        <w:rPr>
          <w:lang w:val="en-US"/>
        </w:rPr>
        <w:t>contexts are</w:t>
      </w:r>
      <w:r w:rsidR="00FD508A" w:rsidRPr="00E600F8">
        <w:rPr>
          <w:lang w:val="en-US"/>
        </w:rPr>
        <w:t xml:space="preserve"> a relevant but as yet understudied </w:t>
      </w:r>
      <w:r w:rsidR="00DB26FA" w:rsidRPr="00E600F8">
        <w:rPr>
          <w:lang w:val="en-US"/>
        </w:rPr>
        <w:t>variable</w:t>
      </w:r>
      <w:r w:rsidR="00FD508A" w:rsidRPr="00E600F8">
        <w:rPr>
          <w:lang w:val="en-US"/>
        </w:rPr>
        <w:t xml:space="preserve"> in adolescents’ </w:t>
      </w:r>
      <w:r w:rsidR="00F72376" w:rsidRPr="00E600F8">
        <w:rPr>
          <w:lang w:val="en-US"/>
        </w:rPr>
        <w:t>decision-making</w:t>
      </w:r>
      <w:r w:rsidR="00FD508A" w:rsidRPr="00E600F8">
        <w:rPr>
          <w:lang w:val="en-US"/>
        </w:rPr>
        <w:t xml:space="preserve">. </w:t>
      </w:r>
    </w:p>
    <w:p w14:paraId="7FA6CE78" w14:textId="634BAD0A" w:rsidR="002B799D" w:rsidRPr="00E600F8" w:rsidRDefault="00837C5C" w:rsidP="001F2611">
      <w:pPr>
        <w:spacing w:line="480" w:lineRule="auto"/>
        <w:ind w:firstLine="720"/>
        <w:jc w:val="both"/>
        <w:rPr>
          <w:lang w:val="en-US"/>
        </w:rPr>
      </w:pPr>
      <w:r w:rsidRPr="00E600F8">
        <w:rPr>
          <w:lang w:val="en-US"/>
        </w:rPr>
        <w:t xml:space="preserve">One of the few studies </w:t>
      </w:r>
      <w:r w:rsidR="0056437A" w:rsidRPr="00E600F8">
        <w:rPr>
          <w:lang w:val="en-US"/>
        </w:rPr>
        <w:t xml:space="preserve">examining group </w:t>
      </w:r>
      <w:r w:rsidR="00F72376" w:rsidRPr="00E600F8">
        <w:rPr>
          <w:lang w:val="en-US"/>
        </w:rPr>
        <w:t>decision-making</w:t>
      </w:r>
      <w:r w:rsidR="0056437A" w:rsidRPr="00E600F8">
        <w:rPr>
          <w:lang w:val="en-US"/>
        </w:rPr>
        <w:t xml:space="preserve"> in adolescence</w:t>
      </w:r>
      <w:r w:rsidRPr="00E600F8">
        <w:rPr>
          <w:lang w:val="en-US"/>
        </w:rPr>
        <w:t xml:space="preserve">, </w:t>
      </w:r>
      <w:r w:rsidR="001978FE" w:rsidRPr="00E600F8">
        <w:rPr>
          <w:lang w:val="en-US"/>
        </w:rPr>
        <w:t>by Haller and colleagues (2018)</w:t>
      </w:r>
      <w:r w:rsidR="00A05CFC" w:rsidRPr="00E600F8">
        <w:rPr>
          <w:lang w:val="en-US"/>
        </w:rPr>
        <w:t>,</w:t>
      </w:r>
      <w:r w:rsidRPr="00E600F8">
        <w:rPr>
          <w:lang w:val="en-US"/>
        </w:rPr>
        <w:t xml:space="preserve"> </w:t>
      </w:r>
      <w:r w:rsidR="00C92EDF" w:rsidRPr="00E600F8">
        <w:rPr>
          <w:lang w:val="en-US"/>
        </w:rPr>
        <w:t>investigated</w:t>
      </w:r>
      <w:r w:rsidR="004D7B0A" w:rsidRPr="00E600F8">
        <w:rPr>
          <w:lang w:val="en-US"/>
        </w:rPr>
        <w:t xml:space="preserve"> adolescents</w:t>
      </w:r>
      <w:r w:rsidR="0056437A" w:rsidRPr="00E600F8">
        <w:rPr>
          <w:lang w:val="en-US"/>
        </w:rPr>
        <w:t>’</w:t>
      </w:r>
      <w:r w:rsidR="004D7B0A" w:rsidRPr="00E600F8">
        <w:rPr>
          <w:lang w:val="en-US"/>
        </w:rPr>
        <w:t xml:space="preserve"> </w:t>
      </w:r>
      <w:r w:rsidR="00F72376" w:rsidRPr="00E600F8">
        <w:rPr>
          <w:lang w:val="en-US"/>
        </w:rPr>
        <w:t>decision-making</w:t>
      </w:r>
      <w:r w:rsidR="004D7B0A" w:rsidRPr="00E600F8">
        <w:rPr>
          <w:lang w:val="en-US"/>
        </w:rPr>
        <w:t xml:space="preserve"> in a perceptual </w:t>
      </w:r>
      <w:r w:rsidR="00B67BC9" w:rsidRPr="00E600F8">
        <w:rPr>
          <w:lang w:val="en-US"/>
        </w:rPr>
        <w:t>categorization</w:t>
      </w:r>
      <w:r w:rsidR="0056437A" w:rsidRPr="00E600F8">
        <w:rPr>
          <w:lang w:val="en-US"/>
        </w:rPr>
        <w:t xml:space="preserve"> task.</w:t>
      </w:r>
      <w:r w:rsidR="002824AD" w:rsidRPr="00E600F8">
        <w:rPr>
          <w:lang w:val="en-US"/>
        </w:rPr>
        <w:t xml:space="preserve"> P</w:t>
      </w:r>
      <w:r w:rsidRPr="00E600F8">
        <w:rPr>
          <w:lang w:val="en-US"/>
        </w:rPr>
        <w:t>erformance</w:t>
      </w:r>
      <w:r w:rsidR="002824AD" w:rsidRPr="00E600F8">
        <w:rPr>
          <w:lang w:val="en-US"/>
        </w:rPr>
        <w:t xml:space="preserve"> on the task</w:t>
      </w:r>
      <w:r w:rsidRPr="00E600F8">
        <w:rPr>
          <w:lang w:val="en-US"/>
        </w:rPr>
        <w:t xml:space="preserve"> was </w:t>
      </w:r>
      <w:r w:rsidR="003D3A96" w:rsidRPr="00E600F8">
        <w:rPr>
          <w:lang w:val="en-US"/>
        </w:rPr>
        <w:t>improved when decisions were made</w:t>
      </w:r>
      <w:r w:rsidR="0068537A" w:rsidRPr="00E600F8">
        <w:rPr>
          <w:lang w:val="en-US"/>
        </w:rPr>
        <w:t xml:space="preserve"> after discussion</w:t>
      </w:r>
      <w:r w:rsidR="003D3A96" w:rsidRPr="00E600F8">
        <w:rPr>
          <w:lang w:val="en-US"/>
        </w:rPr>
        <w:t xml:space="preserve"> </w:t>
      </w:r>
      <w:r w:rsidR="00AC7C43" w:rsidRPr="00E600F8">
        <w:rPr>
          <w:lang w:val="en-US"/>
        </w:rPr>
        <w:t>in a group</w:t>
      </w:r>
      <w:r w:rsidR="000C2759" w:rsidRPr="00E600F8">
        <w:rPr>
          <w:lang w:val="en-US"/>
        </w:rPr>
        <w:t xml:space="preserve"> </w:t>
      </w:r>
      <w:r w:rsidR="004D7B0A" w:rsidRPr="00E600F8">
        <w:rPr>
          <w:lang w:val="en-US"/>
        </w:rPr>
        <w:t>compared to</w:t>
      </w:r>
      <w:r w:rsidRPr="00E600F8">
        <w:rPr>
          <w:lang w:val="en-US"/>
        </w:rPr>
        <w:t xml:space="preserve"> when </w:t>
      </w:r>
      <w:r w:rsidR="000C2759" w:rsidRPr="00E600F8">
        <w:rPr>
          <w:lang w:val="en-US"/>
        </w:rPr>
        <w:t>the task was completed</w:t>
      </w:r>
      <w:r w:rsidR="004D7B0A" w:rsidRPr="00E600F8">
        <w:rPr>
          <w:lang w:val="en-US"/>
        </w:rPr>
        <w:t xml:space="preserve"> alone. </w:t>
      </w:r>
      <w:r w:rsidR="00A05CFC" w:rsidRPr="00E600F8">
        <w:rPr>
          <w:lang w:val="en-US"/>
        </w:rPr>
        <w:t>Further</w:t>
      </w:r>
      <w:r w:rsidR="004D7B0A" w:rsidRPr="00E600F8">
        <w:rPr>
          <w:lang w:val="en-US"/>
        </w:rPr>
        <w:t>,</w:t>
      </w:r>
      <w:r w:rsidR="003D3A96" w:rsidRPr="00E600F8">
        <w:rPr>
          <w:lang w:val="en-US"/>
        </w:rPr>
        <w:t xml:space="preserve"> adolescents who completed the task in groups exhibited similar</w:t>
      </w:r>
      <w:r w:rsidR="00D40A82" w:rsidRPr="00E600F8">
        <w:rPr>
          <w:lang w:val="en-US"/>
        </w:rPr>
        <w:t xml:space="preserve"> overall</w:t>
      </w:r>
      <w:r w:rsidR="003D3A96" w:rsidRPr="00E600F8">
        <w:rPr>
          <w:lang w:val="en-US"/>
        </w:rPr>
        <w:t xml:space="preserve"> accuracy to adult participants who also completed </w:t>
      </w:r>
      <w:r w:rsidR="003D3A96" w:rsidRPr="00E600F8">
        <w:rPr>
          <w:lang w:val="en-US"/>
        </w:rPr>
        <w:lastRenderedPageBreak/>
        <w:t xml:space="preserve">the task in groups. </w:t>
      </w:r>
      <w:r w:rsidR="000D7CEA" w:rsidRPr="00E600F8">
        <w:rPr>
          <w:lang w:val="en-US"/>
        </w:rPr>
        <w:t xml:space="preserve">Therefore, group conditions </w:t>
      </w:r>
      <w:r w:rsidR="00E171BE" w:rsidRPr="00E600F8">
        <w:rPr>
          <w:lang w:val="en-US"/>
        </w:rPr>
        <w:t xml:space="preserve">can facilitate optimal </w:t>
      </w:r>
      <w:r w:rsidR="00F72376" w:rsidRPr="00E600F8">
        <w:rPr>
          <w:lang w:val="en-US"/>
        </w:rPr>
        <w:t>decision-making</w:t>
      </w:r>
      <w:r w:rsidR="000D7CEA" w:rsidRPr="00E600F8">
        <w:rPr>
          <w:lang w:val="en-US"/>
        </w:rPr>
        <w:t xml:space="preserve"> in adolescence. </w:t>
      </w:r>
      <w:r w:rsidR="007B7164" w:rsidRPr="00E600F8">
        <w:rPr>
          <w:lang w:val="en-US"/>
        </w:rPr>
        <w:t>Selecting options with variable outcomes is not necessarily negative. In their</w:t>
      </w:r>
      <w:r w:rsidR="001F2611" w:rsidRPr="00E600F8">
        <w:rPr>
          <w:lang w:val="en-US"/>
        </w:rPr>
        <w:t xml:space="preserve"> 2017</w:t>
      </w:r>
      <w:r w:rsidR="007B7164" w:rsidRPr="00E600F8">
        <w:rPr>
          <w:lang w:val="en-US"/>
        </w:rPr>
        <w:t xml:space="preserve"> study, </w:t>
      </w:r>
      <w:r w:rsidR="001F2611" w:rsidRPr="00E600F8">
        <w:rPr>
          <w:lang w:val="en-US"/>
        </w:rPr>
        <w:t>McCormick</w:t>
      </w:r>
      <w:r w:rsidR="007B7164" w:rsidRPr="00E600F8">
        <w:rPr>
          <w:lang w:val="en-US"/>
        </w:rPr>
        <w:t xml:space="preserve"> and </w:t>
      </w:r>
      <w:r w:rsidR="001F2611" w:rsidRPr="00E600F8">
        <w:rPr>
          <w:lang w:val="en-US"/>
        </w:rPr>
        <w:t>Telzer</w:t>
      </w:r>
      <w:r w:rsidR="007B7164" w:rsidRPr="00E600F8">
        <w:rPr>
          <w:lang w:val="en-US"/>
        </w:rPr>
        <w:t xml:space="preserve"> found that </w:t>
      </w:r>
      <w:r w:rsidR="001F2611" w:rsidRPr="00E600F8">
        <w:rPr>
          <w:lang w:val="en-US"/>
        </w:rPr>
        <w:t xml:space="preserve">better </w:t>
      </w:r>
      <w:r w:rsidR="007B7164" w:rsidRPr="00E600F8">
        <w:rPr>
          <w:lang w:val="en-US"/>
        </w:rPr>
        <w:t>performance on the Balloon Analogue Risk Task (BART) was predicted by</w:t>
      </w:r>
      <w:r w:rsidR="001F2611" w:rsidRPr="00E600F8">
        <w:rPr>
          <w:lang w:val="en-US"/>
        </w:rPr>
        <w:t xml:space="preserve"> an interaction of risk taking and learning. </w:t>
      </w:r>
      <w:r w:rsidR="001501C7" w:rsidRPr="00E600F8">
        <w:rPr>
          <w:lang w:val="en-US"/>
        </w:rPr>
        <w:t xml:space="preserve">As such, </w:t>
      </w:r>
      <w:r w:rsidR="002B799D" w:rsidRPr="00E600F8">
        <w:rPr>
          <w:lang w:val="en-US"/>
        </w:rPr>
        <w:t xml:space="preserve">selecting </w:t>
      </w:r>
      <w:r w:rsidR="00EE4CD4" w:rsidRPr="00E600F8">
        <w:rPr>
          <w:lang w:val="en-US"/>
        </w:rPr>
        <w:t xml:space="preserve">options with </w:t>
      </w:r>
      <w:r w:rsidR="002B799D" w:rsidRPr="00E600F8">
        <w:rPr>
          <w:lang w:val="en-US"/>
        </w:rPr>
        <w:t>variable o</w:t>
      </w:r>
      <w:r w:rsidR="00EE4CD4" w:rsidRPr="00E600F8">
        <w:rPr>
          <w:lang w:val="en-US"/>
        </w:rPr>
        <w:t>utcomes</w:t>
      </w:r>
      <w:r w:rsidR="002B799D" w:rsidRPr="00E600F8">
        <w:rPr>
          <w:lang w:val="en-US"/>
        </w:rPr>
        <w:t xml:space="preserve"> may be more optimal </w:t>
      </w:r>
      <w:r w:rsidR="00EE4CD4" w:rsidRPr="00E600F8">
        <w:rPr>
          <w:lang w:val="en-US"/>
        </w:rPr>
        <w:t>in conditions of ambiguity</w:t>
      </w:r>
      <w:r w:rsidR="002B799D" w:rsidRPr="00E600F8">
        <w:rPr>
          <w:lang w:val="en-US"/>
        </w:rPr>
        <w:t>.</w:t>
      </w:r>
    </w:p>
    <w:p w14:paraId="403BE20A" w14:textId="16C95EDD" w:rsidR="0082692D" w:rsidRPr="00E600F8" w:rsidRDefault="003B4B69" w:rsidP="00991C9E">
      <w:pPr>
        <w:spacing w:line="480" w:lineRule="auto"/>
        <w:ind w:firstLine="720"/>
        <w:jc w:val="both"/>
        <w:rPr>
          <w:lang w:val="en-US"/>
        </w:rPr>
      </w:pPr>
      <w:r w:rsidRPr="00E600F8">
        <w:rPr>
          <w:lang w:val="en-US"/>
        </w:rPr>
        <w:t>T</w:t>
      </w:r>
      <w:r w:rsidR="00637326" w:rsidRPr="00E600F8">
        <w:rPr>
          <w:lang w:val="en-US"/>
        </w:rPr>
        <w:t>he present</w:t>
      </w:r>
      <w:r w:rsidR="0014726A" w:rsidRPr="00E600F8">
        <w:rPr>
          <w:lang w:val="en-US"/>
        </w:rPr>
        <w:t xml:space="preserve"> study</w:t>
      </w:r>
      <w:r w:rsidR="003338B9" w:rsidRPr="00E600F8">
        <w:rPr>
          <w:lang w:val="en-US"/>
        </w:rPr>
        <w:t xml:space="preserve"> aim</w:t>
      </w:r>
      <w:r w:rsidR="004E57D5" w:rsidRPr="00E600F8">
        <w:rPr>
          <w:lang w:val="en-US"/>
        </w:rPr>
        <w:t>s</w:t>
      </w:r>
      <w:r w:rsidR="0014726A" w:rsidRPr="00E600F8">
        <w:rPr>
          <w:lang w:val="en-US"/>
        </w:rPr>
        <w:t xml:space="preserve"> to capture a</w:t>
      </w:r>
      <w:r w:rsidR="004615B8" w:rsidRPr="00E600F8">
        <w:rPr>
          <w:lang w:val="en-US"/>
        </w:rPr>
        <w:t xml:space="preserve"> novel,</w:t>
      </w:r>
      <w:r w:rsidR="0014726A" w:rsidRPr="00E600F8">
        <w:rPr>
          <w:lang w:val="en-US"/>
        </w:rPr>
        <w:t xml:space="preserve"> naturalistic account of adolescents’</w:t>
      </w:r>
      <w:r w:rsidR="003338B9" w:rsidRPr="00E600F8">
        <w:rPr>
          <w:lang w:val="en-US"/>
        </w:rPr>
        <w:t xml:space="preserve"> </w:t>
      </w:r>
      <w:r w:rsidR="00F72376" w:rsidRPr="00E600F8">
        <w:rPr>
          <w:lang w:val="en-US"/>
        </w:rPr>
        <w:t>decision-making</w:t>
      </w:r>
      <w:r w:rsidR="003338B9" w:rsidRPr="00E600F8">
        <w:rPr>
          <w:lang w:val="en-US"/>
        </w:rPr>
        <w:t>. In light of recent developments in the literature, we combine</w:t>
      </w:r>
      <w:r w:rsidR="0014726A" w:rsidRPr="00E600F8">
        <w:rPr>
          <w:lang w:val="en-US"/>
        </w:rPr>
        <w:t xml:space="preserve"> </w:t>
      </w:r>
      <w:r w:rsidR="00A5189F" w:rsidRPr="00E600F8">
        <w:rPr>
          <w:lang w:val="en-US"/>
        </w:rPr>
        <w:t>ambiguity</w:t>
      </w:r>
      <w:r w:rsidR="0014726A" w:rsidRPr="00E600F8">
        <w:rPr>
          <w:lang w:val="en-US"/>
        </w:rPr>
        <w:t xml:space="preserve"> and </w:t>
      </w:r>
      <w:r w:rsidR="00680913" w:rsidRPr="00E600F8">
        <w:rPr>
          <w:lang w:val="en-US"/>
        </w:rPr>
        <w:t xml:space="preserve">group </w:t>
      </w:r>
      <w:r w:rsidR="00F72376" w:rsidRPr="00E600F8">
        <w:rPr>
          <w:lang w:val="en-US"/>
        </w:rPr>
        <w:t>decision-making</w:t>
      </w:r>
      <w:r w:rsidR="00266110" w:rsidRPr="00E600F8">
        <w:rPr>
          <w:lang w:val="en-US"/>
        </w:rPr>
        <w:t xml:space="preserve"> with</w:t>
      </w:r>
      <w:r w:rsidRPr="00E600F8">
        <w:rPr>
          <w:lang w:val="en-US"/>
        </w:rPr>
        <w:t xml:space="preserve"> a peer</w:t>
      </w:r>
      <w:r w:rsidR="00A5189F" w:rsidRPr="00E600F8">
        <w:rPr>
          <w:lang w:val="en-US"/>
        </w:rPr>
        <w:t xml:space="preserve"> </w:t>
      </w:r>
      <w:r w:rsidR="0014726A" w:rsidRPr="00E600F8">
        <w:rPr>
          <w:lang w:val="en-US"/>
        </w:rPr>
        <w:t>to reflect the conditions under which this population encounters r</w:t>
      </w:r>
      <w:r w:rsidR="000C2759" w:rsidRPr="00E600F8">
        <w:rPr>
          <w:lang w:val="en-US"/>
        </w:rPr>
        <w:t>eal world</w:t>
      </w:r>
      <w:r w:rsidR="0014726A" w:rsidRPr="00E600F8">
        <w:rPr>
          <w:lang w:val="en-US"/>
        </w:rPr>
        <w:t xml:space="preserve"> scenarios.  </w:t>
      </w:r>
    </w:p>
    <w:p w14:paraId="4BDA19E5" w14:textId="09204E6C" w:rsidR="00AF702D" w:rsidRPr="00E600F8" w:rsidRDefault="00AF702D" w:rsidP="00AF702D">
      <w:pPr>
        <w:spacing w:line="480" w:lineRule="auto"/>
        <w:jc w:val="both"/>
        <w:rPr>
          <w:b/>
          <w:lang w:val="en-US"/>
        </w:rPr>
      </w:pPr>
      <w:r w:rsidRPr="00E600F8">
        <w:rPr>
          <w:b/>
          <w:lang w:val="en-US"/>
        </w:rPr>
        <w:t>Study Overview</w:t>
      </w:r>
    </w:p>
    <w:p w14:paraId="30746E54" w14:textId="778C8E90" w:rsidR="00F74FD0" w:rsidRPr="00E600F8" w:rsidRDefault="00EE4E4C" w:rsidP="009608C6">
      <w:pPr>
        <w:spacing w:line="480" w:lineRule="auto"/>
        <w:ind w:firstLine="720"/>
        <w:jc w:val="both"/>
        <w:rPr>
          <w:bCs/>
          <w:lang w:val="en-US"/>
        </w:rPr>
      </w:pPr>
      <w:r w:rsidRPr="00E600F8">
        <w:rPr>
          <w:lang w:val="en-US"/>
        </w:rPr>
        <w:t xml:space="preserve">The primary aim of this study was to examine the interaction between situational ambiguity, group </w:t>
      </w:r>
      <w:r w:rsidR="00F72376" w:rsidRPr="00E600F8">
        <w:rPr>
          <w:lang w:val="en-US"/>
        </w:rPr>
        <w:t>decision-making</w:t>
      </w:r>
      <w:r w:rsidRPr="00E600F8">
        <w:rPr>
          <w:lang w:val="en-US"/>
        </w:rPr>
        <w:t xml:space="preserve"> and developmental factors.</w:t>
      </w:r>
      <w:r w:rsidR="00383E03" w:rsidRPr="00E600F8">
        <w:rPr>
          <w:lang w:val="en-US"/>
        </w:rPr>
        <w:t xml:space="preserve"> </w:t>
      </w:r>
      <w:r w:rsidR="003B4B69" w:rsidRPr="00E600F8">
        <w:rPr>
          <w:lang w:val="en-US"/>
        </w:rPr>
        <w:t>W</w:t>
      </w:r>
      <w:r w:rsidR="009608C6" w:rsidRPr="00E600F8">
        <w:rPr>
          <w:lang w:val="en-US"/>
        </w:rPr>
        <w:t>e</w:t>
      </w:r>
      <w:r w:rsidR="00383E03" w:rsidRPr="00E600F8">
        <w:rPr>
          <w:lang w:val="en-US"/>
        </w:rPr>
        <w:t xml:space="preserve"> first</w:t>
      </w:r>
      <w:r w:rsidR="009608C6" w:rsidRPr="00E600F8">
        <w:rPr>
          <w:lang w:val="en-US"/>
        </w:rPr>
        <w:t xml:space="preserve"> predict that </w:t>
      </w:r>
      <w:r w:rsidR="00F74FD0" w:rsidRPr="00E600F8">
        <w:rPr>
          <w:bCs/>
          <w:lang w:val="en-US"/>
        </w:rPr>
        <w:t xml:space="preserve">adolescents are more likely to </w:t>
      </w:r>
      <w:r w:rsidR="009608C6" w:rsidRPr="00E600F8">
        <w:rPr>
          <w:bCs/>
          <w:lang w:val="en-US"/>
        </w:rPr>
        <w:t xml:space="preserve">gamble in conditions of ambiguity, rather than risk </w:t>
      </w:r>
      <w:r w:rsidR="00F74FD0" w:rsidRPr="00E600F8">
        <w:rPr>
          <w:bCs/>
          <w:lang w:val="en-US"/>
        </w:rPr>
        <w:t>(</w:t>
      </w:r>
      <w:r w:rsidR="00326B6D" w:rsidRPr="00E600F8">
        <w:rPr>
          <w:b/>
          <w:bCs/>
          <w:lang w:val="en-US"/>
        </w:rPr>
        <w:t>Hypothesis 1</w:t>
      </w:r>
      <w:r w:rsidR="00326B6D" w:rsidRPr="00E600F8">
        <w:rPr>
          <w:bCs/>
          <w:lang w:val="en-US"/>
        </w:rPr>
        <w:t xml:space="preserve">, see </w:t>
      </w:r>
      <w:r w:rsidR="00F74FD0" w:rsidRPr="00E600F8">
        <w:rPr>
          <w:bCs/>
          <w:lang w:val="en-US"/>
        </w:rPr>
        <w:t xml:space="preserve">van den Bos &amp; Hertwig, 2017). </w:t>
      </w:r>
      <w:r w:rsidR="00B46438" w:rsidRPr="00E600F8">
        <w:rPr>
          <w:bCs/>
          <w:lang w:val="en-US"/>
        </w:rPr>
        <w:t>Whether the task was completed al</w:t>
      </w:r>
      <w:r w:rsidR="007D4060" w:rsidRPr="00E600F8">
        <w:rPr>
          <w:bCs/>
          <w:lang w:val="en-US"/>
        </w:rPr>
        <w:t xml:space="preserve">one or in </w:t>
      </w:r>
      <w:r w:rsidR="007D214D" w:rsidRPr="00E600F8">
        <w:rPr>
          <w:bCs/>
          <w:lang w:val="en-US"/>
        </w:rPr>
        <w:t>a group</w:t>
      </w:r>
      <w:r w:rsidR="007D4060" w:rsidRPr="00E600F8">
        <w:rPr>
          <w:bCs/>
          <w:lang w:val="en-US"/>
        </w:rPr>
        <w:t xml:space="preserve"> was manipulated</w:t>
      </w:r>
      <w:r w:rsidR="009E6F46" w:rsidRPr="00E600F8">
        <w:rPr>
          <w:bCs/>
          <w:lang w:val="en-US"/>
        </w:rPr>
        <w:t>,</w:t>
      </w:r>
      <w:r w:rsidR="007D4060" w:rsidRPr="00E600F8">
        <w:rPr>
          <w:bCs/>
          <w:lang w:val="en-US"/>
        </w:rPr>
        <w:t xml:space="preserve"> </w:t>
      </w:r>
      <w:r w:rsidR="00DC0769" w:rsidRPr="00E600F8">
        <w:rPr>
          <w:bCs/>
          <w:lang w:val="en-US"/>
        </w:rPr>
        <w:t>as</w:t>
      </w:r>
      <w:r w:rsidR="00573478" w:rsidRPr="00E600F8">
        <w:rPr>
          <w:bCs/>
          <w:lang w:val="en-US"/>
        </w:rPr>
        <w:t xml:space="preserve"> peers increase adolescents’ risk behavior across a breadth of risk-taking conditions (Albert et al., 2013). </w:t>
      </w:r>
      <w:r w:rsidR="00326B6D" w:rsidRPr="00E600F8">
        <w:rPr>
          <w:lang w:val="en-US"/>
        </w:rPr>
        <w:t xml:space="preserve">It was hypothesized that adolescents </w:t>
      </w:r>
      <w:r w:rsidR="002B3B9A" w:rsidRPr="00E600F8">
        <w:rPr>
          <w:lang w:val="en-US"/>
        </w:rPr>
        <w:t>making decisions in groups</w:t>
      </w:r>
      <w:r w:rsidR="00326B6D" w:rsidRPr="00E600F8">
        <w:rPr>
          <w:lang w:val="en-US"/>
        </w:rPr>
        <w:t xml:space="preserve"> </w:t>
      </w:r>
      <w:r w:rsidR="0040622B" w:rsidRPr="00E600F8">
        <w:rPr>
          <w:lang w:val="en-US"/>
        </w:rPr>
        <w:t xml:space="preserve">would </w:t>
      </w:r>
      <w:r w:rsidR="008E7B13" w:rsidRPr="00E600F8">
        <w:rPr>
          <w:lang w:val="en-US"/>
        </w:rPr>
        <w:t>gamble</w:t>
      </w:r>
      <w:r w:rsidR="0040622B" w:rsidRPr="00E600F8">
        <w:rPr>
          <w:lang w:val="en-US"/>
        </w:rPr>
        <w:t xml:space="preserve"> more </w:t>
      </w:r>
      <w:r w:rsidR="007857A1" w:rsidRPr="00E600F8">
        <w:rPr>
          <w:lang w:val="en-US"/>
        </w:rPr>
        <w:t>in both risk</w:t>
      </w:r>
      <w:r w:rsidR="008E7B13" w:rsidRPr="00E600F8">
        <w:rPr>
          <w:lang w:val="en-US"/>
        </w:rPr>
        <w:t xml:space="preserve"> and ambiguous conditions</w:t>
      </w:r>
      <w:r w:rsidR="00326B6D" w:rsidRPr="00E600F8">
        <w:rPr>
          <w:lang w:val="en-US"/>
        </w:rPr>
        <w:t xml:space="preserve"> than participants </w:t>
      </w:r>
      <w:r w:rsidR="002B3B9A" w:rsidRPr="00E600F8">
        <w:rPr>
          <w:lang w:val="en-US"/>
        </w:rPr>
        <w:t>making decisions</w:t>
      </w:r>
      <w:r w:rsidR="00326B6D" w:rsidRPr="00E600F8">
        <w:rPr>
          <w:lang w:val="en-US"/>
        </w:rPr>
        <w:t xml:space="preserve"> alone (</w:t>
      </w:r>
      <w:r w:rsidR="00326B6D" w:rsidRPr="00E600F8">
        <w:rPr>
          <w:b/>
          <w:lang w:val="en-US"/>
        </w:rPr>
        <w:t>Hypothesis 2)</w:t>
      </w:r>
      <w:r w:rsidR="00326B6D" w:rsidRPr="00E600F8">
        <w:rPr>
          <w:lang w:val="en-US"/>
        </w:rPr>
        <w:t xml:space="preserve">. </w:t>
      </w:r>
      <w:r w:rsidR="00451CD4" w:rsidRPr="00E600F8">
        <w:rPr>
          <w:bCs/>
          <w:lang w:val="en-US"/>
        </w:rPr>
        <w:t>A further re</w:t>
      </w:r>
      <w:r w:rsidR="009E6F46" w:rsidRPr="00E600F8">
        <w:rPr>
          <w:bCs/>
          <w:lang w:val="en-US"/>
        </w:rPr>
        <w:t>search question was whether group</w:t>
      </w:r>
      <w:r w:rsidR="00451CD4" w:rsidRPr="00E600F8">
        <w:rPr>
          <w:bCs/>
          <w:lang w:val="en-US"/>
        </w:rPr>
        <w:t>s of ad</w:t>
      </w:r>
      <w:r w:rsidR="00CE7789" w:rsidRPr="00E600F8">
        <w:rPr>
          <w:bCs/>
          <w:lang w:val="en-US"/>
        </w:rPr>
        <w:t>olescents who expressed greater-</w:t>
      </w:r>
      <w:r w:rsidR="00451CD4" w:rsidRPr="00E600F8">
        <w:rPr>
          <w:bCs/>
          <w:lang w:val="en-US"/>
        </w:rPr>
        <w:t>risk seeking attitudes would exh</w:t>
      </w:r>
      <w:r w:rsidR="0044362F" w:rsidRPr="00E600F8">
        <w:rPr>
          <w:bCs/>
          <w:lang w:val="en-US"/>
        </w:rPr>
        <w:t xml:space="preserve">ibit </w:t>
      </w:r>
      <w:r w:rsidR="003B4B69" w:rsidRPr="00E600F8">
        <w:rPr>
          <w:bCs/>
          <w:lang w:val="en-US"/>
        </w:rPr>
        <w:t>greater gambling</w:t>
      </w:r>
      <w:r w:rsidR="0044362F" w:rsidRPr="00E600F8">
        <w:rPr>
          <w:bCs/>
          <w:lang w:val="en-US"/>
        </w:rPr>
        <w:t xml:space="preserve"> behavio</w:t>
      </w:r>
      <w:r w:rsidR="009E6F46" w:rsidRPr="00E600F8">
        <w:rPr>
          <w:bCs/>
          <w:lang w:val="en-US"/>
        </w:rPr>
        <w:t>r than low risk seeking group</w:t>
      </w:r>
      <w:r w:rsidR="00451CD4" w:rsidRPr="00E600F8">
        <w:rPr>
          <w:bCs/>
          <w:lang w:val="en-US"/>
        </w:rPr>
        <w:t>s</w:t>
      </w:r>
      <w:r w:rsidR="00915B5F" w:rsidRPr="00E600F8">
        <w:rPr>
          <w:bCs/>
          <w:lang w:val="en-US"/>
        </w:rPr>
        <w:t xml:space="preserve"> (</w:t>
      </w:r>
      <w:r w:rsidR="009C43FE" w:rsidRPr="00E600F8">
        <w:rPr>
          <w:bCs/>
          <w:lang w:val="en-US"/>
        </w:rPr>
        <w:t xml:space="preserve">Centifanti </w:t>
      </w:r>
      <w:r w:rsidR="00FE4F45" w:rsidRPr="00E600F8">
        <w:rPr>
          <w:bCs/>
          <w:lang w:val="en-US"/>
        </w:rPr>
        <w:t>et al., 2014</w:t>
      </w:r>
      <w:r w:rsidR="00915B5F" w:rsidRPr="00E600F8">
        <w:rPr>
          <w:bCs/>
          <w:lang w:val="en-US"/>
        </w:rPr>
        <w:t>)</w:t>
      </w:r>
      <w:r w:rsidR="00451CD4" w:rsidRPr="00E600F8">
        <w:rPr>
          <w:bCs/>
          <w:lang w:val="en-US"/>
        </w:rPr>
        <w:t xml:space="preserve">. </w:t>
      </w:r>
    </w:p>
    <w:p w14:paraId="340C037A" w14:textId="18C5D205" w:rsidR="00ED06A4" w:rsidRPr="00E600F8" w:rsidRDefault="00B515BD" w:rsidP="00C74017">
      <w:pPr>
        <w:widowControl w:val="0"/>
        <w:autoSpaceDE w:val="0"/>
        <w:autoSpaceDN w:val="0"/>
        <w:adjustRightInd w:val="0"/>
        <w:spacing w:line="480" w:lineRule="auto"/>
        <w:ind w:firstLine="720"/>
        <w:jc w:val="both"/>
        <w:rPr>
          <w:lang w:val="en-US"/>
        </w:rPr>
      </w:pPr>
      <w:r w:rsidRPr="00E600F8">
        <w:rPr>
          <w:lang w:val="en-US"/>
        </w:rPr>
        <w:t xml:space="preserve">The current study makes a novel examination of the relationship between </w:t>
      </w:r>
      <w:r w:rsidR="00D65D1C" w:rsidRPr="00E600F8">
        <w:rPr>
          <w:lang w:val="en-US"/>
        </w:rPr>
        <w:t>variables</w:t>
      </w:r>
      <w:r w:rsidRPr="00E600F8">
        <w:rPr>
          <w:lang w:val="en-US"/>
        </w:rPr>
        <w:t xml:space="preserve"> specified in th</w:t>
      </w:r>
      <w:r w:rsidR="00597284" w:rsidRPr="00E600F8">
        <w:rPr>
          <w:lang w:val="en-US"/>
        </w:rPr>
        <w:t>e dual systems model to behavio</w:t>
      </w:r>
      <w:r w:rsidRPr="00E600F8">
        <w:rPr>
          <w:lang w:val="en-US"/>
        </w:rPr>
        <w:t xml:space="preserve">r </w:t>
      </w:r>
      <w:r w:rsidR="00387D59" w:rsidRPr="00E600F8">
        <w:rPr>
          <w:lang w:val="en-US"/>
        </w:rPr>
        <w:t>under</w:t>
      </w:r>
      <w:r w:rsidR="00087B4B" w:rsidRPr="00E600F8">
        <w:rPr>
          <w:lang w:val="en-US"/>
        </w:rPr>
        <w:t xml:space="preserve"> </w:t>
      </w:r>
      <w:r w:rsidR="00011AE3" w:rsidRPr="00E600F8">
        <w:rPr>
          <w:lang w:val="en-US"/>
        </w:rPr>
        <w:t>ambiguity</w:t>
      </w:r>
      <w:r w:rsidR="00377D0B" w:rsidRPr="00E600F8">
        <w:rPr>
          <w:lang w:val="en-US"/>
        </w:rPr>
        <w:t xml:space="preserve">. </w:t>
      </w:r>
      <w:r w:rsidR="00F31BB7" w:rsidRPr="00E600F8">
        <w:rPr>
          <w:bCs/>
          <w:lang w:val="en-US"/>
        </w:rPr>
        <w:t>I</w:t>
      </w:r>
      <w:r w:rsidRPr="00E600F8">
        <w:rPr>
          <w:bCs/>
          <w:lang w:val="en-US"/>
        </w:rPr>
        <w:t>t was predicted that</w:t>
      </w:r>
      <w:r w:rsidR="00EC42EB" w:rsidRPr="00E600F8">
        <w:rPr>
          <w:bCs/>
          <w:lang w:val="en-US"/>
        </w:rPr>
        <w:t xml:space="preserve"> a model consisting of </w:t>
      </w:r>
      <w:r w:rsidRPr="00E600F8">
        <w:rPr>
          <w:bCs/>
          <w:lang w:val="en-US"/>
        </w:rPr>
        <w:t>reward sensitivity</w:t>
      </w:r>
      <w:r w:rsidR="00EC42EB" w:rsidRPr="00E600F8">
        <w:rPr>
          <w:bCs/>
          <w:lang w:val="en-US"/>
        </w:rPr>
        <w:t>,</w:t>
      </w:r>
      <w:r w:rsidR="00401905" w:rsidRPr="00E600F8">
        <w:rPr>
          <w:bCs/>
          <w:lang w:val="en-US"/>
        </w:rPr>
        <w:t xml:space="preserve"> risk perception</w:t>
      </w:r>
      <w:r w:rsidRPr="00E600F8">
        <w:rPr>
          <w:bCs/>
          <w:lang w:val="en-US"/>
        </w:rPr>
        <w:t xml:space="preserve"> </w:t>
      </w:r>
      <w:r w:rsidR="00EC42EB" w:rsidRPr="00E600F8">
        <w:rPr>
          <w:bCs/>
          <w:lang w:val="en-US"/>
        </w:rPr>
        <w:t>and</w:t>
      </w:r>
      <w:r w:rsidRPr="00E600F8">
        <w:rPr>
          <w:bCs/>
          <w:lang w:val="en-US"/>
        </w:rPr>
        <w:t xml:space="preserve"> inhibitory control would </w:t>
      </w:r>
      <w:r w:rsidR="00EC42EB" w:rsidRPr="00E600F8">
        <w:rPr>
          <w:bCs/>
          <w:lang w:val="en-US"/>
        </w:rPr>
        <w:t>display a good fit to choices under these conditions</w:t>
      </w:r>
      <w:r w:rsidR="009E6F46" w:rsidRPr="00E600F8">
        <w:rPr>
          <w:bCs/>
          <w:lang w:val="en-US"/>
        </w:rPr>
        <w:t>, as had been shown for</w:t>
      </w:r>
      <w:r w:rsidR="00C74017" w:rsidRPr="00E600F8">
        <w:rPr>
          <w:bCs/>
          <w:lang w:val="en-US"/>
        </w:rPr>
        <w:t xml:space="preserve"> risk in previous studies</w:t>
      </w:r>
      <w:r w:rsidR="00BF2151" w:rsidRPr="00E600F8">
        <w:rPr>
          <w:bCs/>
          <w:lang w:val="en-US"/>
        </w:rPr>
        <w:t xml:space="preserve"> </w:t>
      </w:r>
      <w:r w:rsidR="00B23339" w:rsidRPr="00E600F8">
        <w:rPr>
          <w:bCs/>
          <w:lang w:val="en-US"/>
        </w:rPr>
        <w:t>(Duell et al., 2016</w:t>
      </w:r>
      <w:r w:rsidR="00BF2151" w:rsidRPr="00E600F8">
        <w:rPr>
          <w:bCs/>
          <w:lang w:val="en-US"/>
        </w:rPr>
        <w:t>)</w:t>
      </w:r>
      <w:r w:rsidRPr="00E600F8">
        <w:rPr>
          <w:bCs/>
          <w:lang w:val="en-US"/>
        </w:rPr>
        <w:t>.</w:t>
      </w:r>
      <w:r w:rsidR="00EC42EB" w:rsidRPr="00E600F8">
        <w:rPr>
          <w:bCs/>
          <w:lang w:val="en-US"/>
        </w:rPr>
        <w:t xml:space="preserve"> Specifically, it was predicted that reward sensitivity and risk perception </w:t>
      </w:r>
      <w:r w:rsidR="00A41A4C" w:rsidRPr="00E600F8">
        <w:rPr>
          <w:bCs/>
          <w:lang w:val="en-US"/>
        </w:rPr>
        <w:t xml:space="preserve">(i.e., </w:t>
      </w:r>
      <w:r w:rsidR="00A15991" w:rsidRPr="00E600F8">
        <w:rPr>
          <w:bCs/>
          <w:lang w:val="en-US"/>
        </w:rPr>
        <w:t xml:space="preserve">the </w:t>
      </w:r>
      <w:r w:rsidR="00A41A4C" w:rsidRPr="00E600F8">
        <w:rPr>
          <w:bCs/>
          <w:lang w:val="en-US"/>
        </w:rPr>
        <w:t xml:space="preserve">benefit </w:t>
      </w:r>
      <w:r w:rsidR="00A41A4C" w:rsidRPr="00E600F8">
        <w:rPr>
          <w:bCs/>
          <w:lang w:val="en-US"/>
        </w:rPr>
        <w:lastRenderedPageBreak/>
        <w:t xml:space="preserve">of </w:t>
      </w:r>
      <w:r w:rsidR="0040622B" w:rsidRPr="00E600F8">
        <w:rPr>
          <w:bCs/>
          <w:lang w:val="en-US"/>
        </w:rPr>
        <w:t xml:space="preserve">a </w:t>
      </w:r>
      <w:r w:rsidR="00A41A4C" w:rsidRPr="00E600F8">
        <w:rPr>
          <w:bCs/>
          <w:lang w:val="en-US"/>
        </w:rPr>
        <w:t>choice outweighs</w:t>
      </w:r>
      <w:r w:rsidR="0040622B" w:rsidRPr="00E600F8">
        <w:rPr>
          <w:bCs/>
          <w:lang w:val="en-US"/>
        </w:rPr>
        <w:t xml:space="preserve"> the</w:t>
      </w:r>
      <w:r w:rsidR="00A41A4C" w:rsidRPr="00E600F8">
        <w:rPr>
          <w:bCs/>
          <w:lang w:val="en-US"/>
        </w:rPr>
        <w:t xml:space="preserve"> risk) </w:t>
      </w:r>
      <w:r w:rsidR="00EC42EB" w:rsidRPr="00E600F8">
        <w:rPr>
          <w:bCs/>
          <w:lang w:val="en-US"/>
        </w:rPr>
        <w:t xml:space="preserve">would display a positive relationship to </w:t>
      </w:r>
      <w:r w:rsidR="00373D73" w:rsidRPr="00E600F8">
        <w:rPr>
          <w:bCs/>
          <w:lang w:val="en-US"/>
        </w:rPr>
        <w:t>gambling behavior</w:t>
      </w:r>
      <w:r w:rsidR="00EC42EB" w:rsidRPr="00E600F8">
        <w:rPr>
          <w:bCs/>
          <w:lang w:val="en-US"/>
        </w:rPr>
        <w:t xml:space="preserve">, whereas </w:t>
      </w:r>
      <w:r w:rsidR="00E54702" w:rsidRPr="00E600F8">
        <w:rPr>
          <w:bCs/>
          <w:lang w:val="en-US"/>
        </w:rPr>
        <w:t>inhibitory</w:t>
      </w:r>
      <w:r w:rsidR="00EC42EB" w:rsidRPr="00E600F8">
        <w:rPr>
          <w:bCs/>
          <w:lang w:val="en-US"/>
        </w:rPr>
        <w:t xml:space="preserve"> control would display a negative relationship to </w:t>
      </w:r>
      <w:r w:rsidR="00373D73" w:rsidRPr="00E600F8">
        <w:rPr>
          <w:bCs/>
          <w:lang w:val="en-US"/>
        </w:rPr>
        <w:t>gambling</w:t>
      </w:r>
      <w:r w:rsidR="00EC42EB" w:rsidRPr="00E600F8">
        <w:rPr>
          <w:bCs/>
          <w:lang w:val="en-US"/>
        </w:rPr>
        <w:t>.</w:t>
      </w:r>
      <w:r w:rsidR="00451765" w:rsidRPr="00E600F8">
        <w:rPr>
          <w:bCs/>
          <w:lang w:val="en-US"/>
        </w:rPr>
        <w:t xml:space="preserve"> Moreover, as </w:t>
      </w:r>
      <w:r w:rsidR="003C48FF" w:rsidRPr="00E600F8">
        <w:rPr>
          <w:bCs/>
          <w:lang w:val="en-US"/>
        </w:rPr>
        <w:t xml:space="preserve">age has been found to </w:t>
      </w:r>
      <w:r w:rsidR="00ED06A4" w:rsidRPr="00E600F8">
        <w:rPr>
          <w:bCs/>
          <w:lang w:val="en-US"/>
        </w:rPr>
        <w:t xml:space="preserve">predict risk-taking independently of </w:t>
      </w:r>
      <w:r w:rsidR="00A17518" w:rsidRPr="00E600F8">
        <w:rPr>
          <w:bCs/>
          <w:lang w:val="en-US"/>
        </w:rPr>
        <w:t>neurobiological factors</w:t>
      </w:r>
      <w:r w:rsidR="00ED06A4" w:rsidRPr="00E600F8">
        <w:rPr>
          <w:bCs/>
          <w:lang w:val="en-US"/>
        </w:rPr>
        <w:t xml:space="preserve"> (Duell et al., 2016), this variable was included as a p</w:t>
      </w:r>
      <w:r w:rsidR="003D43CB" w:rsidRPr="00E600F8">
        <w:rPr>
          <w:bCs/>
          <w:lang w:val="en-US"/>
        </w:rPr>
        <w:t xml:space="preserve">redictor of </w:t>
      </w:r>
      <w:r w:rsidR="00373D73" w:rsidRPr="00E600F8">
        <w:rPr>
          <w:bCs/>
          <w:lang w:val="en-US"/>
        </w:rPr>
        <w:t>gambling</w:t>
      </w:r>
      <w:r w:rsidR="003D43CB" w:rsidRPr="00E600F8">
        <w:rPr>
          <w:bCs/>
          <w:lang w:val="en-US"/>
        </w:rPr>
        <w:t xml:space="preserve"> behavio</w:t>
      </w:r>
      <w:r w:rsidR="00ED06A4" w:rsidRPr="00E600F8">
        <w:rPr>
          <w:bCs/>
          <w:lang w:val="en-US"/>
        </w:rPr>
        <w:t>r.</w:t>
      </w:r>
      <w:r w:rsidR="00C74017" w:rsidRPr="00E600F8">
        <w:rPr>
          <w:bCs/>
          <w:lang w:val="en-US"/>
        </w:rPr>
        <w:t xml:space="preserve"> </w:t>
      </w:r>
      <w:r w:rsidR="0040622B" w:rsidRPr="00E600F8">
        <w:rPr>
          <w:bCs/>
          <w:lang w:val="en-US"/>
        </w:rPr>
        <w:t xml:space="preserve">As such, </w:t>
      </w:r>
      <w:r w:rsidR="00C74017" w:rsidRPr="00E600F8">
        <w:rPr>
          <w:b/>
          <w:lang w:val="en-US"/>
        </w:rPr>
        <w:t>Hypothesis 3</w:t>
      </w:r>
      <w:r w:rsidR="00C74017" w:rsidRPr="00E600F8">
        <w:rPr>
          <w:lang w:val="en-US"/>
        </w:rPr>
        <w:t xml:space="preserve"> focused on developmental factors and stated that age, reward sensitivity, and risk perception </w:t>
      </w:r>
      <w:r w:rsidR="00C74017" w:rsidRPr="00E600F8">
        <w:rPr>
          <w:bCs/>
          <w:lang w:val="en-US"/>
        </w:rPr>
        <w:t xml:space="preserve">(i.e., benefit of choice outweighs risk) </w:t>
      </w:r>
      <w:r w:rsidR="00011AE3" w:rsidRPr="00E600F8">
        <w:rPr>
          <w:lang w:val="en-US"/>
        </w:rPr>
        <w:t>positively predict gambling choices</w:t>
      </w:r>
      <w:r w:rsidR="00C74017" w:rsidRPr="00E600F8">
        <w:rPr>
          <w:lang w:val="en-US"/>
        </w:rPr>
        <w:t xml:space="preserve">, while inhibitory control negatively predicts </w:t>
      </w:r>
      <w:r w:rsidR="00011AE3" w:rsidRPr="00E600F8">
        <w:rPr>
          <w:lang w:val="en-US"/>
        </w:rPr>
        <w:t>gambling choices</w:t>
      </w:r>
      <w:r w:rsidR="00C74017" w:rsidRPr="00E600F8">
        <w:rPr>
          <w:lang w:val="en-US"/>
        </w:rPr>
        <w:t xml:space="preserve">. We expected this to hold for conditions of a) </w:t>
      </w:r>
      <w:r w:rsidR="008E7B13" w:rsidRPr="00E600F8">
        <w:rPr>
          <w:lang w:val="en-US"/>
        </w:rPr>
        <w:t>ambiguity</w:t>
      </w:r>
      <w:r w:rsidR="00C74017" w:rsidRPr="00E600F8">
        <w:rPr>
          <w:lang w:val="en-US"/>
        </w:rPr>
        <w:t xml:space="preserve"> </w:t>
      </w:r>
      <w:r w:rsidR="008E7B13" w:rsidRPr="00E600F8">
        <w:rPr>
          <w:lang w:val="en-US"/>
        </w:rPr>
        <w:t xml:space="preserve">and b) </w:t>
      </w:r>
      <w:r w:rsidR="00C74017" w:rsidRPr="00E600F8">
        <w:rPr>
          <w:lang w:val="en-US"/>
        </w:rPr>
        <w:t>risk.</w:t>
      </w:r>
    </w:p>
    <w:p w14:paraId="56934085" w14:textId="48DE30CE" w:rsidR="00C74017" w:rsidRPr="00E600F8" w:rsidRDefault="009608C6" w:rsidP="00C74017">
      <w:pPr>
        <w:widowControl w:val="0"/>
        <w:autoSpaceDE w:val="0"/>
        <w:autoSpaceDN w:val="0"/>
        <w:adjustRightInd w:val="0"/>
        <w:spacing w:line="480" w:lineRule="auto"/>
        <w:ind w:firstLine="720"/>
        <w:jc w:val="both"/>
        <w:rPr>
          <w:lang w:val="en-US"/>
        </w:rPr>
      </w:pPr>
      <w:r w:rsidRPr="00E600F8">
        <w:rPr>
          <w:bCs/>
          <w:lang w:val="en-US"/>
        </w:rPr>
        <w:t>M</w:t>
      </w:r>
      <w:r w:rsidR="00C74017" w:rsidRPr="00E600F8">
        <w:rPr>
          <w:bCs/>
          <w:lang w:val="en-US"/>
        </w:rPr>
        <w:t xml:space="preserve">odels of adolescent risk behavior reflect statistics of antisocial and criminal behavior in youth (Steinberg, 2013). </w:t>
      </w:r>
      <w:r w:rsidR="004E6FE4" w:rsidRPr="00E600F8">
        <w:rPr>
          <w:lang w:val="en-US"/>
        </w:rPr>
        <w:t>Therefore,</w:t>
      </w:r>
      <w:r w:rsidR="00190453" w:rsidRPr="00E600F8">
        <w:rPr>
          <w:lang w:val="en-US"/>
        </w:rPr>
        <w:t xml:space="preserve"> it was predicted for</w:t>
      </w:r>
      <w:r w:rsidR="004E6FE4" w:rsidRPr="00E600F8">
        <w:rPr>
          <w:lang w:val="en-US"/>
        </w:rPr>
        <w:t xml:space="preserve"> </w:t>
      </w:r>
      <w:r w:rsidR="004E6FE4" w:rsidRPr="00E600F8">
        <w:rPr>
          <w:b/>
          <w:lang w:val="en-US"/>
        </w:rPr>
        <w:t>Hypothesis 4</w:t>
      </w:r>
      <w:r w:rsidR="00C74017" w:rsidRPr="00E600F8">
        <w:rPr>
          <w:lang w:val="en-US"/>
        </w:rPr>
        <w:t xml:space="preserve"> </w:t>
      </w:r>
      <w:r w:rsidR="00190453" w:rsidRPr="00E600F8">
        <w:rPr>
          <w:lang w:val="en-US"/>
        </w:rPr>
        <w:t>that</w:t>
      </w:r>
      <w:r w:rsidR="00C74017" w:rsidRPr="00E600F8">
        <w:rPr>
          <w:lang w:val="en-US"/>
        </w:rPr>
        <w:t xml:space="preserve"> antisocial risk ta</w:t>
      </w:r>
      <w:r w:rsidR="00190453" w:rsidRPr="00E600F8">
        <w:rPr>
          <w:lang w:val="en-US"/>
        </w:rPr>
        <w:t>king as measured by cheating would be</w:t>
      </w:r>
      <w:r w:rsidR="00C74017" w:rsidRPr="00E600F8">
        <w:rPr>
          <w:lang w:val="en-US"/>
        </w:rPr>
        <w:t xml:space="preserve"> predicted by the same </w:t>
      </w:r>
      <w:r w:rsidR="00190453" w:rsidRPr="00E600F8">
        <w:rPr>
          <w:lang w:val="en-US"/>
        </w:rPr>
        <w:t xml:space="preserve">developmental </w:t>
      </w:r>
      <w:r w:rsidR="00C74017" w:rsidRPr="00E600F8">
        <w:rPr>
          <w:lang w:val="en-US"/>
        </w:rPr>
        <w:t xml:space="preserve">variables </w:t>
      </w:r>
      <w:r w:rsidR="00190453" w:rsidRPr="00E600F8">
        <w:rPr>
          <w:lang w:val="en-US"/>
        </w:rPr>
        <w:t>of age, reward sensitivity, risk perception and inhibitory control.</w:t>
      </w:r>
    </w:p>
    <w:p w14:paraId="59C208B1" w14:textId="77777777" w:rsidR="00236F1F" w:rsidRPr="00E600F8" w:rsidRDefault="00236F1F" w:rsidP="008C3DDE">
      <w:pPr>
        <w:widowControl w:val="0"/>
        <w:autoSpaceDE w:val="0"/>
        <w:autoSpaceDN w:val="0"/>
        <w:adjustRightInd w:val="0"/>
        <w:spacing w:line="480" w:lineRule="auto"/>
        <w:ind w:firstLine="720"/>
        <w:jc w:val="center"/>
        <w:outlineLvl w:val="0"/>
        <w:rPr>
          <w:b/>
          <w:lang w:val="en-US"/>
        </w:rPr>
      </w:pPr>
      <w:r w:rsidRPr="00E600F8">
        <w:rPr>
          <w:b/>
          <w:lang w:val="en-US"/>
        </w:rPr>
        <w:t>Method</w:t>
      </w:r>
    </w:p>
    <w:p w14:paraId="03D46750" w14:textId="77777777" w:rsidR="00236F1F" w:rsidRPr="00E600F8" w:rsidRDefault="00236F1F" w:rsidP="008C3DDE">
      <w:pPr>
        <w:widowControl w:val="0"/>
        <w:autoSpaceDE w:val="0"/>
        <w:autoSpaceDN w:val="0"/>
        <w:adjustRightInd w:val="0"/>
        <w:spacing w:line="480" w:lineRule="auto"/>
        <w:jc w:val="both"/>
        <w:outlineLvl w:val="0"/>
        <w:rPr>
          <w:b/>
          <w:lang w:val="en-US"/>
        </w:rPr>
      </w:pPr>
      <w:r w:rsidRPr="00E600F8">
        <w:rPr>
          <w:b/>
          <w:lang w:val="en-US"/>
        </w:rPr>
        <w:t>Design</w:t>
      </w:r>
    </w:p>
    <w:p w14:paraId="068C28F4" w14:textId="476F2E80" w:rsidR="00236F1F" w:rsidRPr="00E600F8" w:rsidRDefault="00236F1F" w:rsidP="00236F1F">
      <w:pPr>
        <w:widowControl w:val="0"/>
        <w:autoSpaceDE w:val="0"/>
        <w:autoSpaceDN w:val="0"/>
        <w:adjustRightInd w:val="0"/>
        <w:spacing w:line="480" w:lineRule="auto"/>
        <w:ind w:firstLine="720"/>
        <w:jc w:val="both"/>
        <w:rPr>
          <w:lang w:val="en-US"/>
        </w:rPr>
      </w:pPr>
      <w:r w:rsidRPr="00E600F8">
        <w:rPr>
          <w:lang w:val="en-US"/>
        </w:rPr>
        <w:t>The present study used an experimental design to measure risk-related choices in adolescent male</w:t>
      </w:r>
      <w:r w:rsidR="001C55FE" w:rsidRPr="00E600F8">
        <w:rPr>
          <w:lang w:val="en-US"/>
        </w:rPr>
        <w:t>s. Risk</w:t>
      </w:r>
      <w:r w:rsidR="00225361" w:rsidRPr="00E600F8">
        <w:rPr>
          <w:lang w:val="en-US"/>
        </w:rPr>
        <w:t xml:space="preserve"> taking</w:t>
      </w:r>
      <w:r w:rsidR="001C55FE" w:rsidRPr="00E600F8">
        <w:rPr>
          <w:lang w:val="en-US"/>
        </w:rPr>
        <w:t xml:space="preserve"> was</w:t>
      </w:r>
      <w:r w:rsidR="005F623F" w:rsidRPr="00E600F8">
        <w:rPr>
          <w:lang w:val="en-US"/>
        </w:rPr>
        <w:t xml:space="preserve"> measured by</w:t>
      </w:r>
      <w:r w:rsidR="001C55FE" w:rsidRPr="00E600F8">
        <w:rPr>
          <w:lang w:val="en-US"/>
        </w:rPr>
        <w:t xml:space="preserve"> the</w:t>
      </w:r>
      <w:r w:rsidRPr="00E600F8">
        <w:rPr>
          <w:lang w:val="en-US"/>
        </w:rPr>
        <w:t xml:space="preserve"> proportion of </w:t>
      </w:r>
      <w:r w:rsidR="00A217ED" w:rsidRPr="00E600F8">
        <w:rPr>
          <w:lang w:val="en-US"/>
        </w:rPr>
        <w:t>choices made</w:t>
      </w:r>
      <w:r w:rsidRPr="00E600F8">
        <w:rPr>
          <w:lang w:val="en-US"/>
        </w:rPr>
        <w:t xml:space="preserve"> with the potential for high reward, but significantly greater chance for loss. This was chosen over a safe, non-risky option with a smaller reward in a computer-based task. The first dependent variable was proportion of these risk-related choices chosen in place of the safe option. The second dependent variable, cheating behavior, was measured after the virtual task by the number of unearned points participants awarded themselves from their performance on the computer-based task. </w:t>
      </w:r>
    </w:p>
    <w:p w14:paraId="14AC1CA2" w14:textId="79A3742A" w:rsidR="00FA6C09" w:rsidRPr="00E600F8" w:rsidRDefault="00236F1F" w:rsidP="00FA6C09">
      <w:pPr>
        <w:widowControl w:val="0"/>
        <w:autoSpaceDE w:val="0"/>
        <w:autoSpaceDN w:val="0"/>
        <w:adjustRightInd w:val="0"/>
        <w:spacing w:line="480" w:lineRule="auto"/>
        <w:ind w:firstLine="720"/>
        <w:jc w:val="both"/>
        <w:rPr>
          <w:lang w:val="en-US"/>
        </w:rPr>
      </w:pPr>
      <w:r w:rsidRPr="00E600F8">
        <w:rPr>
          <w:lang w:val="en-US"/>
        </w:rPr>
        <w:t>Two independent variables were manipulated which were 1) whether participants were provided with information about the outcome probabilities</w:t>
      </w:r>
      <w:r w:rsidR="005E3E86" w:rsidRPr="00E600F8">
        <w:rPr>
          <w:lang w:val="en-US"/>
        </w:rPr>
        <w:t xml:space="preserve"> (explicit vs ambiguous)</w:t>
      </w:r>
      <w:r w:rsidRPr="00E600F8">
        <w:rPr>
          <w:lang w:val="en-US"/>
        </w:rPr>
        <w:t xml:space="preserve">, and 2) whether the task was completed </w:t>
      </w:r>
      <w:r w:rsidR="001F1C34" w:rsidRPr="00E600F8">
        <w:rPr>
          <w:lang w:val="en-US"/>
        </w:rPr>
        <w:t>with</w:t>
      </w:r>
      <w:r w:rsidRPr="00E600F8">
        <w:rPr>
          <w:lang w:val="en-US"/>
        </w:rPr>
        <w:t xml:space="preserve"> a peer or alone. The independent variable of </w:t>
      </w:r>
      <w:r w:rsidR="00DC77D1" w:rsidRPr="00E600F8">
        <w:rPr>
          <w:lang w:val="en-US"/>
        </w:rPr>
        <w:t>risk condition</w:t>
      </w:r>
      <w:r w:rsidR="00F25177" w:rsidRPr="00E600F8">
        <w:rPr>
          <w:lang w:val="en-US"/>
        </w:rPr>
        <w:t xml:space="preserve"> </w:t>
      </w:r>
      <w:r w:rsidR="00F25177" w:rsidRPr="00E600F8">
        <w:rPr>
          <w:lang w:val="en-US"/>
        </w:rPr>
        <w:lastRenderedPageBreak/>
        <w:t>was a within-subject variable</w:t>
      </w:r>
      <w:r w:rsidR="00812401" w:rsidRPr="00E600F8">
        <w:rPr>
          <w:lang w:val="en-US"/>
        </w:rPr>
        <w:t>,</w:t>
      </w:r>
      <w:r w:rsidR="00F25177" w:rsidRPr="00E600F8">
        <w:rPr>
          <w:lang w:val="en-US"/>
        </w:rPr>
        <w:t xml:space="preserve"> as</w:t>
      </w:r>
      <w:r w:rsidRPr="00E600F8">
        <w:rPr>
          <w:lang w:val="en-US"/>
        </w:rPr>
        <w:t xml:space="preserve"> </w:t>
      </w:r>
      <w:r w:rsidR="00F25177" w:rsidRPr="00E600F8">
        <w:rPr>
          <w:lang w:val="en-US"/>
        </w:rPr>
        <w:t>i</w:t>
      </w:r>
      <w:r w:rsidR="007801AC" w:rsidRPr="00E600F8">
        <w:rPr>
          <w:lang w:val="en-US"/>
        </w:rPr>
        <w:t xml:space="preserve">ndividuals differ on the level to which they </w:t>
      </w:r>
      <w:r w:rsidR="001C55FE" w:rsidRPr="00E600F8">
        <w:rPr>
          <w:lang w:val="en-US"/>
        </w:rPr>
        <w:t>are risk-seeking</w:t>
      </w:r>
      <w:r w:rsidR="007801AC" w:rsidRPr="00E600F8">
        <w:rPr>
          <w:lang w:val="en-US"/>
        </w:rPr>
        <w:t xml:space="preserve"> (Duell et al., 2016)</w:t>
      </w:r>
      <w:r w:rsidR="00F25177" w:rsidRPr="00E600F8">
        <w:rPr>
          <w:lang w:val="en-US"/>
        </w:rPr>
        <w:t>. T</w:t>
      </w:r>
      <w:r w:rsidR="007801AC" w:rsidRPr="00E600F8">
        <w:rPr>
          <w:lang w:val="en-US"/>
        </w:rPr>
        <w:t>hus</w:t>
      </w:r>
      <w:r w:rsidR="00F25177" w:rsidRPr="00E600F8">
        <w:rPr>
          <w:lang w:val="en-US"/>
        </w:rPr>
        <w:t>,</w:t>
      </w:r>
      <w:r w:rsidR="007801AC" w:rsidRPr="00E600F8">
        <w:rPr>
          <w:lang w:val="en-US"/>
        </w:rPr>
        <w:t xml:space="preserve"> a within-subject design ensu</w:t>
      </w:r>
      <w:r w:rsidR="00692BB9" w:rsidRPr="00E600F8">
        <w:rPr>
          <w:lang w:val="en-US"/>
        </w:rPr>
        <w:t>red that differences in behavio</w:t>
      </w:r>
      <w:r w:rsidR="007801AC" w:rsidRPr="00E600F8">
        <w:rPr>
          <w:lang w:val="en-US"/>
        </w:rPr>
        <w:t xml:space="preserve">r </w:t>
      </w:r>
      <w:r w:rsidR="008A4E24" w:rsidRPr="00E600F8">
        <w:rPr>
          <w:lang w:val="en-US"/>
        </w:rPr>
        <w:t>between conditions of risk</w:t>
      </w:r>
      <w:r w:rsidR="00DF7074" w:rsidRPr="00E600F8">
        <w:rPr>
          <w:lang w:val="en-US"/>
        </w:rPr>
        <w:t xml:space="preserve"> and ambiguity</w:t>
      </w:r>
      <w:r w:rsidR="008A4E24" w:rsidRPr="00E600F8">
        <w:rPr>
          <w:lang w:val="en-US"/>
        </w:rPr>
        <w:t xml:space="preserve"> was a</w:t>
      </w:r>
      <w:r w:rsidR="007801AC" w:rsidRPr="00E600F8">
        <w:rPr>
          <w:lang w:val="en-US"/>
        </w:rPr>
        <w:t xml:space="preserve"> result of the experimental manipulation rather than individual-level differences. </w:t>
      </w:r>
      <w:r w:rsidR="00692BB9" w:rsidRPr="00E600F8">
        <w:rPr>
          <w:lang w:val="en-US"/>
        </w:rPr>
        <w:t>Further, a</w:t>
      </w:r>
      <w:r w:rsidR="00FA6C09" w:rsidRPr="00E600F8">
        <w:rPr>
          <w:lang w:val="en-US"/>
        </w:rPr>
        <w:t>s adolescents are sensitive towards posi</w:t>
      </w:r>
      <w:r w:rsidR="00956402" w:rsidRPr="00E600F8">
        <w:rPr>
          <w:lang w:val="en-US"/>
        </w:rPr>
        <w:t xml:space="preserve">tive and negative feedback (Cohen et al., 2010; </w:t>
      </w:r>
      <w:r w:rsidR="003126EF" w:rsidRPr="00E600F8">
        <w:rPr>
          <w:color w:val="000000" w:themeColor="text1"/>
          <w:lang w:val="en-US"/>
        </w:rPr>
        <w:t>Hauser, Iannaccone, Walitza, Brandeis, &amp; Brem</w:t>
      </w:r>
      <w:r w:rsidR="00956402" w:rsidRPr="00E600F8">
        <w:rPr>
          <w:lang w:val="en-US"/>
        </w:rPr>
        <w:t>.</w:t>
      </w:r>
      <w:r w:rsidR="003126EF" w:rsidRPr="00E600F8">
        <w:rPr>
          <w:lang w:val="en-US"/>
        </w:rPr>
        <w:t>, 2015</w:t>
      </w:r>
      <w:r w:rsidR="00FA6C09" w:rsidRPr="00E600F8">
        <w:rPr>
          <w:lang w:val="en-US"/>
        </w:rPr>
        <w:t xml:space="preserve">) we ensured that the order in which adolescents completed the Wheel of Fortune task was counterbalanced. As such, half of participants completed the ambiguity condition first and half completed the explicit condition first to mitigate the effect of past performance on subsequent choices. </w:t>
      </w:r>
    </w:p>
    <w:p w14:paraId="435D18A7" w14:textId="2DD33F45" w:rsidR="00236F1F" w:rsidRPr="00E600F8" w:rsidRDefault="00461B1D" w:rsidP="00637326">
      <w:pPr>
        <w:widowControl w:val="0"/>
        <w:autoSpaceDE w:val="0"/>
        <w:autoSpaceDN w:val="0"/>
        <w:adjustRightInd w:val="0"/>
        <w:spacing w:line="480" w:lineRule="auto"/>
        <w:ind w:firstLine="720"/>
        <w:jc w:val="both"/>
        <w:rPr>
          <w:lang w:val="en-US"/>
        </w:rPr>
      </w:pPr>
      <w:r w:rsidRPr="00E600F8">
        <w:rPr>
          <w:lang w:val="en-US"/>
        </w:rPr>
        <w:t>Whether decisions were made in groups</w:t>
      </w:r>
      <w:r w:rsidR="00236F1F" w:rsidRPr="00E600F8">
        <w:rPr>
          <w:lang w:val="en-US"/>
        </w:rPr>
        <w:t xml:space="preserve"> was a between-subject variable manipulated for the duration of the task. Participants were randomly allocated to one of the two conditions: either </w:t>
      </w:r>
      <w:r w:rsidRPr="00E600F8">
        <w:rPr>
          <w:lang w:val="en-US"/>
        </w:rPr>
        <w:t>group</w:t>
      </w:r>
      <w:r w:rsidR="009E6F46" w:rsidRPr="00E600F8">
        <w:rPr>
          <w:lang w:val="en-US"/>
        </w:rPr>
        <w:t>s</w:t>
      </w:r>
      <w:r w:rsidRPr="00E600F8">
        <w:rPr>
          <w:lang w:val="en-US"/>
        </w:rPr>
        <w:t xml:space="preserve"> </w:t>
      </w:r>
      <w:r w:rsidR="00236F1F" w:rsidRPr="00E600F8">
        <w:rPr>
          <w:lang w:val="en-US"/>
        </w:rPr>
        <w:t xml:space="preserve">or alone. </w:t>
      </w:r>
      <w:r w:rsidR="00637326" w:rsidRPr="00E600F8">
        <w:rPr>
          <w:lang w:val="en-US"/>
        </w:rPr>
        <w:t xml:space="preserve">In the </w:t>
      </w:r>
      <w:r w:rsidRPr="00E600F8">
        <w:rPr>
          <w:lang w:val="en-US"/>
        </w:rPr>
        <w:t xml:space="preserve">group </w:t>
      </w:r>
      <w:r w:rsidR="00637326" w:rsidRPr="00E600F8">
        <w:rPr>
          <w:lang w:val="en-US"/>
        </w:rPr>
        <w:t>condition, adolescents were allowed to discuss their decision with their peer prior to selecting their choice. This design was selected in order to permit</w:t>
      </w:r>
      <w:r w:rsidR="00FB300E" w:rsidRPr="00E600F8">
        <w:rPr>
          <w:lang w:val="en-US"/>
        </w:rPr>
        <w:t xml:space="preserve"> </w:t>
      </w:r>
      <w:r w:rsidR="00D13D63" w:rsidRPr="00E600F8">
        <w:rPr>
          <w:lang w:val="en-US"/>
        </w:rPr>
        <w:t>naturalistic interactions</w:t>
      </w:r>
      <w:r w:rsidR="00F06633" w:rsidRPr="00E600F8">
        <w:rPr>
          <w:lang w:val="en-US"/>
        </w:rPr>
        <w:t>,</w:t>
      </w:r>
      <w:r w:rsidR="00D13D63" w:rsidRPr="00E600F8">
        <w:rPr>
          <w:lang w:val="en-US"/>
        </w:rPr>
        <w:t xml:space="preserve"> where </w:t>
      </w:r>
      <w:r w:rsidR="00956402" w:rsidRPr="00E600F8">
        <w:rPr>
          <w:lang w:val="en-US"/>
        </w:rPr>
        <w:t>attitudes</w:t>
      </w:r>
      <w:r w:rsidR="00D13D63" w:rsidRPr="00E600F8">
        <w:rPr>
          <w:lang w:val="en-US"/>
        </w:rPr>
        <w:t xml:space="preserve"> </w:t>
      </w:r>
      <w:r w:rsidR="00637326" w:rsidRPr="00E600F8">
        <w:rPr>
          <w:lang w:val="en-US"/>
        </w:rPr>
        <w:t>could</w:t>
      </w:r>
      <w:r w:rsidR="00D13D63" w:rsidRPr="00E600F8">
        <w:rPr>
          <w:lang w:val="en-US"/>
        </w:rPr>
        <w:t xml:space="preserve"> be expressed whilst </w:t>
      </w:r>
      <w:r w:rsidR="00557B52" w:rsidRPr="00E600F8">
        <w:rPr>
          <w:lang w:val="en-US"/>
        </w:rPr>
        <w:t>engaging in a</w:t>
      </w:r>
      <w:r w:rsidR="00D13D63" w:rsidRPr="00E600F8">
        <w:rPr>
          <w:lang w:val="en-US"/>
        </w:rPr>
        <w:t xml:space="preserve"> common task (</w:t>
      </w:r>
      <w:r w:rsidR="003863D7" w:rsidRPr="00E600F8">
        <w:rPr>
          <w:lang w:val="en-US"/>
        </w:rPr>
        <w:t>Dishion</w:t>
      </w:r>
      <w:r w:rsidR="00D13D63" w:rsidRPr="00E600F8">
        <w:rPr>
          <w:lang w:val="en-US"/>
        </w:rPr>
        <w:t xml:space="preserve">, </w:t>
      </w:r>
      <w:r w:rsidR="00F837E9" w:rsidRPr="00E600F8">
        <w:rPr>
          <w:lang w:val="en-US"/>
        </w:rPr>
        <w:t>et al., 1995</w:t>
      </w:r>
      <w:r w:rsidR="00792E0D" w:rsidRPr="00E600F8">
        <w:rPr>
          <w:lang w:val="en-US"/>
        </w:rPr>
        <w:t>; Haller et al., 2018</w:t>
      </w:r>
      <w:r w:rsidR="00D13D63" w:rsidRPr="00E600F8">
        <w:rPr>
          <w:lang w:val="en-US"/>
        </w:rPr>
        <w:t xml:space="preserve">). </w:t>
      </w:r>
      <w:r w:rsidR="00236F1F" w:rsidRPr="00E600F8">
        <w:rPr>
          <w:lang w:val="en-US"/>
        </w:rPr>
        <w:t>Peers were selected</w:t>
      </w:r>
      <w:r w:rsidR="00B46EA3" w:rsidRPr="00E600F8">
        <w:rPr>
          <w:lang w:val="en-US"/>
        </w:rPr>
        <w:t xml:space="preserve"> by the participants</w:t>
      </w:r>
      <w:r w:rsidR="00B91E0F" w:rsidRPr="00E600F8">
        <w:rPr>
          <w:lang w:val="en-US"/>
        </w:rPr>
        <w:t>,</w:t>
      </w:r>
      <w:r w:rsidR="00236F1F" w:rsidRPr="00E600F8">
        <w:rPr>
          <w:lang w:val="en-US"/>
        </w:rPr>
        <w:t xml:space="preserve"> as past research examining risk behavior has utilized groups of peers that ar</w:t>
      </w:r>
      <w:r w:rsidR="00B2791A" w:rsidRPr="00E600F8">
        <w:rPr>
          <w:lang w:val="en-US"/>
        </w:rPr>
        <w:t>e familiar to one another (Gard</w:t>
      </w:r>
      <w:r w:rsidR="00236F1F" w:rsidRPr="00E600F8">
        <w:rPr>
          <w:lang w:val="en-US"/>
        </w:rPr>
        <w:t>ner &amp; Steinberg, 2005).</w:t>
      </w:r>
      <w:r w:rsidR="00FA0106" w:rsidRPr="00E600F8">
        <w:rPr>
          <w:lang w:val="en-US"/>
        </w:rPr>
        <w:t xml:space="preserve"> </w:t>
      </w:r>
    </w:p>
    <w:p w14:paraId="6587A997" w14:textId="09BF7677" w:rsidR="00236F1F" w:rsidRPr="00E600F8" w:rsidRDefault="00236F1F" w:rsidP="00236F1F">
      <w:pPr>
        <w:widowControl w:val="0"/>
        <w:autoSpaceDE w:val="0"/>
        <w:autoSpaceDN w:val="0"/>
        <w:adjustRightInd w:val="0"/>
        <w:spacing w:line="480" w:lineRule="auto"/>
        <w:ind w:firstLine="720"/>
        <w:jc w:val="both"/>
        <w:rPr>
          <w:lang w:val="en-US"/>
        </w:rPr>
      </w:pPr>
      <w:r w:rsidRPr="00E600F8">
        <w:rPr>
          <w:lang w:val="en-US"/>
        </w:rPr>
        <w:t>There were three further independent variables measured alongside the experimental manipulation, which were stable dispositions. These were risk perception and inhibitory control, which are measures of cognitive factors of the dual systems model, and</w:t>
      </w:r>
      <w:r w:rsidR="00423E1E" w:rsidRPr="00E600F8">
        <w:rPr>
          <w:lang w:val="en-US"/>
        </w:rPr>
        <w:t xml:space="preserve"> reward sensitivity, which is an affective factor. All variables</w:t>
      </w:r>
      <w:r w:rsidRPr="00E600F8">
        <w:rPr>
          <w:lang w:val="en-US"/>
        </w:rPr>
        <w:t xml:space="preserve"> have previously been used to predict risk behavior</w:t>
      </w:r>
      <w:r w:rsidR="00423E1E" w:rsidRPr="00E600F8">
        <w:rPr>
          <w:lang w:val="en-US"/>
        </w:rPr>
        <w:t xml:space="preserve"> in developmental samples</w:t>
      </w:r>
      <w:r w:rsidRPr="00E600F8">
        <w:rPr>
          <w:lang w:val="en-US"/>
        </w:rPr>
        <w:t xml:space="preserve"> (Duell et al., 2016).</w:t>
      </w:r>
    </w:p>
    <w:p w14:paraId="32979404" w14:textId="77777777" w:rsidR="00236F1F" w:rsidRPr="00E600F8" w:rsidRDefault="00236F1F" w:rsidP="008C3DDE">
      <w:pPr>
        <w:widowControl w:val="0"/>
        <w:autoSpaceDE w:val="0"/>
        <w:autoSpaceDN w:val="0"/>
        <w:adjustRightInd w:val="0"/>
        <w:spacing w:line="480" w:lineRule="auto"/>
        <w:jc w:val="both"/>
        <w:outlineLvl w:val="0"/>
        <w:rPr>
          <w:b/>
          <w:lang w:val="en-US"/>
        </w:rPr>
      </w:pPr>
      <w:r w:rsidRPr="00E600F8">
        <w:rPr>
          <w:b/>
          <w:lang w:val="en-US"/>
        </w:rPr>
        <w:t>Participants</w:t>
      </w:r>
    </w:p>
    <w:p w14:paraId="559B28CB" w14:textId="4440EB98" w:rsidR="00FF586A" w:rsidRPr="00E600F8" w:rsidRDefault="00236F1F" w:rsidP="00FF586A">
      <w:pPr>
        <w:widowControl w:val="0"/>
        <w:autoSpaceDE w:val="0"/>
        <w:autoSpaceDN w:val="0"/>
        <w:adjustRightInd w:val="0"/>
        <w:spacing w:line="480" w:lineRule="auto"/>
        <w:ind w:firstLine="720"/>
        <w:jc w:val="both"/>
        <w:rPr>
          <w:lang w:val="en-US"/>
        </w:rPr>
      </w:pPr>
      <w:r w:rsidRPr="00E600F8">
        <w:rPr>
          <w:lang w:val="en-US"/>
        </w:rPr>
        <w:t xml:space="preserve">Two hundred and eighteen </w:t>
      </w:r>
      <w:r w:rsidR="00AA24C5" w:rsidRPr="00E600F8">
        <w:rPr>
          <w:lang w:val="en-US"/>
        </w:rPr>
        <w:t xml:space="preserve">male </w:t>
      </w:r>
      <w:r w:rsidRPr="00E600F8">
        <w:rPr>
          <w:lang w:val="en-US"/>
        </w:rPr>
        <w:t xml:space="preserve">participants were recruited in the current study. The data of eight participants were excluded from the analysis due to conditions impeding their </w:t>
      </w:r>
      <w:r w:rsidRPr="00E600F8">
        <w:rPr>
          <w:lang w:val="en-US"/>
        </w:rPr>
        <w:lastRenderedPageBreak/>
        <w:t>understanding of task requirements, namely diagnosed autism, ADHD, or English comprehension issues as reported by the class teacher. Eight further participants did</w:t>
      </w:r>
      <w:r w:rsidR="00D474A0" w:rsidRPr="00E600F8">
        <w:rPr>
          <w:lang w:val="en-US"/>
        </w:rPr>
        <w:t xml:space="preserve"> not</w:t>
      </w:r>
      <w:r w:rsidRPr="00E600F8">
        <w:rPr>
          <w:lang w:val="en-US"/>
        </w:rPr>
        <w:t xml:space="preserve"> name a peer whom they wanted to participate with, as required for the study design, and their data was </w:t>
      </w:r>
      <w:r w:rsidR="009F3F65" w:rsidRPr="00E600F8">
        <w:rPr>
          <w:lang w:val="en-US"/>
        </w:rPr>
        <w:t xml:space="preserve">therefore </w:t>
      </w:r>
      <w:r w:rsidRPr="00E600F8">
        <w:rPr>
          <w:lang w:val="en-US"/>
        </w:rPr>
        <w:t>excluded. The final sample was hence composed of two hundred and two male adolescents aged between 12 to 1</w:t>
      </w:r>
      <w:r w:rsidR="00B91E0F" w:rsidRPr="00E600F8">
        <w:rPr>
          <w:lang w:val="en-US"/>
        </w:rPr>
        <w:t xml:space="preserve">5 </w:t>
      </w:r>
      <w:r w:rsidRPr="00E600F8">
        <w:rPr>
          <w:lang w:val="en-US"/>
        </w:rPr>
        <w:t>years (</w:t>
      </w:r>
      <w:r w:rsidRPr="00E600F8">
        <w:rPr>
          <w:i/>
          <w:lang w:val="en-US"/>
        </w:rPr>
        <w:t>M</w:t>
      </w:r>
      <w:r w:rsidRPr="00E600F8">
        <w:rPr>
          <w:lang w:val="en-US"/>
        </w:rPr>
        <w:t xml:space="preserve">=13.6, </w:t>
      </w:r>
      <w:r w:rsidRPr="00E600F8">
        <w:rPr>
          <w:i/>
          <w:lang w:val="en-US"/>
        </w:rPr>
        <w:t>SD</w:t>
      </w:r>
      <w:r w:rsidRPr="00E600F8">
        <w:rPr>
          <w:lang w:val="en-US"/>
        </w:rPr>
        <w:t xml:space="preserve">=0.9) to capture the period of early to mid-adolescence during which </w:t>
      </w:r>
      <w:r w:rsidR="004B3043" w:rsidRPr="00E600F8">
        <w:rPr>
          <w:lang w:val="en-US"/>
        </w:rPr>
        <w:t>the disparity between reward sensitivity and inhibi</w:t>
      </w:r>
      <w:r w:rsidR="00D55EB3" w:rsidRPr="00E600F8">
        <w:rPr>
          <w:lang w:val="en-US"/>
        </w:rPr>
        <w:t xml:space="preserve">tory control </w:t>
      </w:r>
      <w:r w:rsidR="00BA742D" w:rsidRPr="00E600F8">
        <w:rPr>
          <w:lang w:val="en-US"/>
        </w:rPr>
        <w:t xml:space="preserve">is </w:t>
      </w:r>
      <w:r w:rsidR="00AF68A1" w:rsidRPr="00E600F8">
        <w:rPr>
          <w:lang w:val="en-US"/>
        </w:rPr>
        <w:t>greatest</w:t>
      </w:r>
      <w:r w:rsidR="00D55EB3" w:rsidRPr="00E600F8">
        <w:rPr>
          <w:lang w:val="en-US"/>
        </w:rPr>
        <w:t xml:space="preserve"> (</w:t>
      </w:r>
      <w:r w:rsidR="00BE0041" w:rsidRPr="00E600F8">
        <w:rPr>
          <w:lang w:val="en-US"/>
        </w:rPr>
        <w:t xml:space="preserve">Spear, 2013; </w:t>
      </w:r>
      <w:r w:rsidR="00D55EB3" w:rsidRPr="00E600F8">
        <w:rPr>
          <w:lang w:val="en-US"/>
        </w:rPr>
        <w:t>Steinberg</w:t>
      </w:r>
      <w:r w:rsidRPr="00E600F8">
        <w:rPr>
          <w:lang w:val="en-US"/>
        </w:rPr>
        <w:t>, 201</w:t>
      </w:r>
      <w:r w:rsidR="004C22BB">
        <w:rPr>
          <w:lang w:val="en-US"/>
        </w:rPr>
        <w:t>0</w:t>
      </w:r>
      <w:r w:rsidRPr="00E600F8">
        <w:rPr>
          <w:lang w:val="en-US"/>
        </w:rPr>
        <w:t>).</w:t>
      </w:r>
      <w:r w:rsidR="007F6E5A" w:rsidRPr="00E600F8">
        <w:rPr>
          <w:lang w:val="en-US"/>
        </w:rPr>
        <w:t xml:space="preserve"> </w:t>
      </w:r>
    </w:p>
    <w:p w14:paraId="7AE3EEF5" w14:textId="3C78E410" w:rsidR="00236F1F" w:rsidRPr="00E600F8" w:rsidRDefault="00236F1F" w:rsidP="00FF586A">
      <w:pPr>
        <w:widowControl w:val="0"/>
        <w:autoSpaceDE w:val="0"/>
        <w:autoSpaceDN w:val="0"/>
        <w:adjustRightInd w:val="0"/>
        <w:spacing w:line="480" w:lineRule="auto"/>
        <w:ind w:firstLine="720"/>
        <w:jc w:val="both"/>
        <w:rPr>
          <w:lang w:val="en-US"/>
        </w:rPr>
      </w:pPr>
      <w:r w:rsidRPr="00E600F8">
        <w:rPr>
          <w:lang w:val="en-US"/>
        </w:rPr>
        <w:t xml:space="preserve">Participants were recruited from two London schools. The schools were average to slightly below average on student attainment in secondary level examinations (OfSTED, 2013). Recruitment took place from mixed ability tutor groups and therefore reflected students of varied academic ability. </w:t>
      </w:r>
    </w:p>
    <w:p w14:paraId="1553341A" w14:textId="77777777" w:rsidR="00236F1F" w:rsidRPr="00E600F8" w:rsidRDefault="00236F1F" w:rsidP="008C3DDE">
      <w:pPr>
        <w:widowControl w:val="0"/>
        <w:autoSpaceDE w:val="0"/>
        <w:autoSpaceDN w:val="0"/>
        <w:adjustRightInd w:val="0"/>
        <w:spacing w:line="480" w:lineRule="auto"/>
        <w:jc w:val="both"/>
        <w:outlineLvl w:val="0"/>
        <w:rPr>
          <w:b/>
          <w:lang w:val="en-US"/>
        </w:rPr>
      </w:pPr>
      <w:r w:rsidRPr="00E600F8">
        <w:rPr>
          <w:b/>
          <w:lang w:val="en-US"/>
        </w:rPr>
        <w:t>Materials</w:t>
      </w:r>
    </w:p>
    <w:p w14:paraId="3402901B" w14:textId="07B94BFF" w:rsidR="00236F1F" w:rsidRPr="00E600F8" w:rsidRDefault="00236F1F" w:rsidP="00B05CB2">
      <w:pPr>
        <w:widowControl w:val="0"/>
        <w:autoSpaceDE w:val="0"/>
        <w:autoSpaceDN w:val="0"/>
        <w:adjustRightInd w:val="0"/>
        <w:spacing w:line="480" w:lineRule="auto"/>
        <w:ind w:firstLine="720"/>
        <w:jc w:val="both"/>
        <w:rPr>
          <w:lang w:val="en-US"/>
        </w:rPr>
      </w:pPr>
      <w:r w:rsidRPr="00E600F8">
        <w:rPr>
          <w:b/>
          <w:lang w:val="en-US"/>
        </w:rPr>
        <w:t>Risk Behavior.</w:t>
      </w:r>
      <w:r w:rsidRPr="00E600F8">
        <w:rPr>
          <w:lang w:val="en-US"/>
        </w:rPr>
        <w:t xml:space="preserve"> The ‘Wheel of Fortune’ task (Ernst et al., 2004) was used to measure risk</w:t>
      </w:r>
      <w:r w:rsidR="00E74478" w:rsidRPr="00E600F8">
        <w:rPr>
          <w:lang w:val="en-US"/>
        </w:rPr>
        <w:t xml:space="preserve"> and ambiguity</w:t>
      </w:r>
      <w:r w:rsidRPr="00E600F8">
        <w:rPr>
          <w:lang w:val="en-US"/>
        </w:rPr>
        <w:t xml:space="preserve"> behavior. Participants are required to select one of two wheels to gain a certain number of points. One wheel represented the ‘safe’ choice, which participants could select for a 100% chance of gaining a modest number of points. In comparison, the risky wheel had a small chance of gaining a high number of points and a larger chance of gaining substantially fewer points. In the explicit risk condition participants could clearly see the probabilities associated with the high re</w:t>
      </w:r>
      <w:r w:rsidR="0046717D" w:rsidRPr="00E600F8">
        <w:rPr>
          <w:lang w:val="en-US"/>
        </w:rPr>
        <w:t xml:space="preserve">ward, which were 10%, 20%, 25% </w:t>
      </w:r>
      <w:r w:rsidRPr="00E600F8">
        <w:rPr>
          <w:lang w:val="en-US"/>
        </w:rPr>
        <w:t>or 30%. The ambiguity condition followed the same design as the explicit risk</w:t>
      </w:r>
      <w:r w:rsidR="0066617C" w:rsidRPr="00E600F8">
        <w:rPr>
          <w:lang w:val="en-US"/>
        </w:rPr>
        <w:t>,</w:t>
      </w:r>
      <w:r w:rsidR="00E36504" w:rsidRPr="00E600F8">
        <w:rPr>
          <w:lang w:val="en-US"/>
        </w:rPr>
        <w:t xml:space="preserve"> using the same series of trials</w:t>
      </w:r>
      <w:r w:rsidRPr="00E600F8">
        <w:rPr>
          <w:lang w:val="en-US"/>
        </w:rPr>
        <w:t xml:space="preserve"> and participants were presented with wheels with the same chance for hig</w:t>
      </w:r>
      <w:r w:rsidR="0046717D" w:rsidRPr="00E600F8">
        <w:rPr>
          <w:lang w:val="en-US"/>
        </w:rPr>
        <w:t xml:space="preserve">h reward, either 10%, 20%, 25% </w:t>
      </w:r>
      <w:r w:rsidRPr="00E600F8">
        <w:rPr>
          <w:lang w:val="en-US"/>
        </w:rPr>
        <w:t>or 30%. However, in these trials the wheel associated with risk was obstructed, preventing participants from knowing the probabilities involved in their decision (see Figure 1). Portions of the wheel that were occ</w:t>
      </w:r>
      <w:r w:rsidR="00EF7521" w:rsidRPr="00E600F8">
        <w:rPr>
          <w:lang w:val="en-US"/>
        </w:rPr>
        <w:t>luded were either 20%, 50%, or 8</w:t>
      </w:r>
      <w:r w:rsidRPr="00E600F8">
        <w:rPr>
          <w:lang w:val="en-US"/>
        </w:rPr>
        <w:t xml:space="preserve">0% as utilized in previous studies (van den Bos &amp; Hertwig, 2017). </w:t>
      </w:r>
      <w:r w:rsidR="00A808A2" w:rsidRPr="00E600F8">
        <w:rPr>
          <w:lang w:val="en-US"/>
        </w:rPr>
        <w:t xml:space="preserve">The number of points participants could score </w:t>
      </w:r>
      <w:r w:rsidR="00A808A2" w:rsidRPr="00E600F8">
        <w:rPr>
          <w:lang w:val="en-US"/>
        </w:rPr>
        <w:lastRenderedPageBreak/>
        <w:t xml:space="preserve">from </w:t>
      </w:r>
      <w:r w:rsidR="00E96024" w:rsidRPr="00E600F8">
        <w:rPr>
          <w:lang w:val="en-US"/>
        </w:rPr>
        <w:t xml:space="preserve">a </w:t>
      </w:r>
      <w:r w:rsidR="007B166F" w:rsidRPr="00E600F8">
        <w:rPr>
          <w:lang w:val="en-US"/>
        </w:rPr>
        <w:t>risk</w:t>
      </w:r>
      <w:r w:rsidR="00B920C3" w:rsidRPr="00E600F8">
        <w:rPr>
          <w:lang w:val="en-US"/>
        </w:rPr>
        <w:t xml:space="preserve"> decision</w:t>
      </w:r>
      <w:r w:rsidR="00F827D5" w:rsidRPr="00E600F8">
        <w:rPr>
          <w:lang w:val="en-US"/>
        </w:rPr>
        <w:t xml:space="preserve"> ranged between 0-25</w:t>
      </w:r>
      <w:r w:rsidR="00B920C3" w:rsidRPr="00E600F8">
        <w:rPr>
          <w:lang w:val="en-US"/>
        </w:rPr>
        <w:t xml:space="preserve">, whereas the number of points that could be gained from a ‘safe’ decision ranged </w:t>
      </w:r>
      <w:r w:rsidR="00E74478" w:rsidRPr="00E600F8">
        <w:rPr>
          <w:lang w:val="en-US"/>
        </w:rPr>
        <w:t>from</w:t>
      </w:r>
      <w:r w:rsidR="00A07CD9" w:rsidRPr="00E600F8">
        <w:rPr>
          <w:lang w:val="en-US"/>
        </w:rPr>
        <w:t xml:space="preserve"> 5-15</w:t>
      </w:r>
      <w:r w:rsidR="00281E9F" w:rsidRPr="00E600F8">
        <w:rPr>
          <w:lang w:val="en-US"/>
        </w:rPr>
        <w:t xml:space="preserve">. </w:t>
      </w:r>
      <w:r w:rsidR="008A4E24" w:rsidRPr="00E600F8">
        <w:rPr>
          <w:lang w:val="en-US"/>
        </w:rPr>
        <w:t>Two a</w:t>
      </w:r>
      <w:r w:rsidRPr="00E600F8">
        <w:rPr>
          <w:lang w:val="en-US"/>
        </w:rPr>
        <w:t>verage scores</w:t>
      </w:r>
      <w:r w:rsidR="008A4E24" w:rsidRPr="00E600F8">
        <w:rPr>
          <w:lang w:val="en-US"/>
        </w:rPr>
        <w:t xml:space="preserve"> were calculated</w:t>
      </w:r>
      <w:r w:rsidR="00E74478" w:rsidRPr="00E600F8">
        <w:rPr>
          <w:lang w:val="en-US"/>
        </w:rPr>
        <w:t>, one for conditions of</w:t>
      </w:r>
      <w:r w:rsidR="008A4E24" w:rsidRPr="00E600F8">
        <w:rPr>
          <w:lang w:val="en-US"/>
        </w:rPr>
        <w:t xml:space="preserve"> risk and one for</w:t>
      </w:r>
      <w:r w:rsidR="00E74478" w:rsidRPr="00E600F8">
        <w:rPr>
          <w:lang w:val="en-US"/>
        </w:rPr>
        <w:t xml:space="preserve"> conditions of ambiguity.</w:t>
      </w:r>
    </w:p>
    <w:p w14:paraId="633DF434" w14:textId="6DD46C0A" w:rsidR="00472A5E" w:rsidRPr="00E600F8" w:rsidRDefault="00472A5E" w:rsidP="00472A5E">
      <w:pPr>
        <w:widowControl w:val="0"/>
        <w:autoSpaceDE w:val="0"/>
        <w:autoSpaceDN w:val="0"/>
        <w:adjustRightInd w:val="0"/>
        <w:spacing w:line="480" w:lineRule="auto"/>
        <w:ind w:firstLine="720"/>
        <w:jc w:val="both"/>
        <w:rPr>
          <w:lang w:val="en-US"/>
        </w:rPr>
      </w:pPr>
      <w:r w:rsidRPr="00E600F8">
        <w:rPr>
          <w:b/>
          <w:lang w:val="en-US"/>
        </w:rPr>
        <w:t>Cheating Behavior.</w:t>
      </w:r>
      <w:r w:rsidRPr="00E600F8">
        <w:rPr>
          <w:lang w:val="en-US"/>
        </w:rPr>
        <w:t xml:space="preserve"> Cheating behavior was operationalized as the difference between actual and reported score on the Wheel of Fortune task. As performance was not monitored by the researcher, participants were able to falsify the scores they reported to acquire additional raffle tickets (Gabbiadini, Riva, Andrighetto, Volpato &amp; Bushman, 2014). Following the task, actual scores were calculated from the Qualtrics reports and compared to disclosed scores to determine whether cheating had occurred. </w:t>
      </w:r>
      <w:r w:rsidR="00F40366" w:rsidRPr="00E600F8">
        <w:rPr>
          <w:lang w:val="en-US"/>
        </w:rPr>
        <w:t>As the outcome of interest was whether or not participants had engaged in a rule-infraction, c</w:t>
      </w:r>
      <w:r w:rsidRPr="00E600F8">
        <w:rPr>
          <w:lang w:val="en-US"/>
        </w:rPr>
        <w:t xml:space="preserve">heating was coded as a dichotomous variable with ‘1’ denoting cheating and ‘0’ denoting no cheating. </w:t>
      </w:r>
    </w:p>
    <w:p w14:paraId="615F1A4C" w14:textId="2CDEBB58" w:rsidR="00236F1F" w:rsidRPr="00E600F8" w:rsidRDefault="00236F1F" w:rsidP="00236F1F">
      <w:pPr>
        <w:widowControl w:val="0"/>
        <w:autoSpaceDE w:val="0"/>
        <w:autoSpaceDN w:val="0"/>
        <w:adjustRightInd w:val="0"/>
        <w:spacing w:line="480" w:lineRule="auto"/>
        <w:ind w:firstLine="720"/>
        <w:jc w:val="both"/>
        <w:rPr>
          <w:lang w:val="en-US"/>
        </w:rPr>
      </w:pPr>
      <w:r w:rsidRPr="00E600F8">
        <w:rPr>
          <w:b/>
          <w:lang w:val="en-US"/>
        </w:rPr>
        <w:t>Risk Perception.</w:t>
      </w:r>
      <w:r w:rsidRPr="00E600F8">
        <w:rPr>
          <w:lang w:val="en-US"/>
        </w:rPr>
        <w:t xml:space="preserve"> The Benthin Risk Perception Measure (BRPM; Benthin, Slovic, &amp; Severson, 1993) is a measure of risk perception relative to reward. For example, participants are asked whether the benefits or risks of “riding in a car with someone that has been drinking” are greater. Scores are measured on a scale from 1 to 4 with 1 indicating risks being hig</w:t>
      </w:r>
      <w:r w:rsidR="00D4114E" w:rsidRPr="00E600F8">
        <w:rPr>
          <w:lang w:val="en-US"/>
        </w:rPr>
        <w:t>her than</w:t>
      </w:r>
      <w:r w:rsidRPr="00E600F8">
        <w:rPr>
          <w:lang w:val="en-US"/>
        </w:rPr>
        <w:t xml:space="preserve"> benefits, and 4 being benefits greater than risks. Thus, higher average scores indicate lower risk perception. Risk perception scores were calculated as mean scores of all items belonging to the scale. The measure demonstrated good internal reliability (</w:t>
      </w:r>
      <w:r w:rsidRPr="00E600F8">
        <w:rPr>
          <w:lang w:val="en-US"/>
        </w:rPr>
        <w:sym w:font="Symbol" w:char="F061"/>
      </w:r>
      <w:r w:rsidRPr="00E600F8">
        <w:rPr>
          <w:lang w:val="en-US"/>
        </w:rPr>
        <w:t xml:space="preserve"> = .74). </w:t>
      </w:r>
    </w:p>
    <w:p w14:paraId="1880C22F" w14:textId="6AB6841D" w:rsidR="00236F1F" w:rsidRPr="00E600F8" w:rsidRDefault="00236F1F" w:rsidP="00236F1F">
      <w:pPr>
        <w:widowControl w:val="0"/>
        <w:autoSpaceDE w:val="0"/>
        <w:autoSpaceDN w:val="0"/>
        <w:adjustRightInd w:val="0"/>
        <w:spacing w:line="480" w:lineRule="auto"/>
        <w:ind w:firstLine="720"/>
        <w:jc w:val="both"/>
        <w:rPr>
          <w:lang w:val="en-US"/>
        </w:rPr>
      </w:pPr>
      <w:r w:rsidRPr="00E600F8">
        <w:rPr>
          <w:b/>
          <w:lang w:val="en-US"/>
        </w:rPr>
        <w:t>Reward Sensitivity.</w:t>
      </w:r>
      <w:r w:rsidRPr="00E600F8">
        <w:rPr>
          <w:i/>
          <w:lang w:val="en-US"/>
        </w:rPr>
        <w:t xml:space="preserve"> </w:t>
      </w:r>
      <w:r w:rsidRPr="00E600F8">
        <w:rPr>
          <w:lang w:val="en-US"/>
        </w:rPr>
        <w:t>Reward sensitivity was assessed using a subscale of 12 items from the Zuckerman Sensation Seeking Scale (SSS; Zuckerman, Eysenck &amp; Eysenck, 1978). The questionnaire offers a series of true or false questions to assess an individual’s chance of engaging in acts to experience new and exc</w:t>
      </w:r>
      <w:r w:rsidR="0049319D" w:rsidRPr="00E600F8">
        <w:rPr>
          <w:lang w:val="en-US"/>
        </w:rPr>
        <w:t xml:space="preserve">iting sensations </w:t>
      </w:r>
      <w:r w:rsidRPr="00E600F8">
        <w:rPr>
          <w:lang w:val="en-US"/>
        </w:rPr>
        <w:t>such as “I like doin</w:t>
      </w:r>
      <w:r w:rsidR="00E40ADF" w:rsidRPr="00E600F8">
        <w:rPr>
          <w:lang w:val="en-US"/>
        </w:rPr>
        <w:t xml:space="preserve">g things for the thrill of it” </w:t>
      </w:r>
      <w:r w:rsidRPr="00E600F8">
        <w:rPr>
          <w:lang w:val="en-US"/>
        </w:rPr>
        <w:t>(Steinberg et al., 2008). Scores were coded as either 0 for ‘false’ or 1 for ‘true’. The scale showed acceptable reliability (</w:t>
      </w:r>
      <w:r w:rsidRPr="00E600F8">
        <w:rPr>
          <w:lang w:val="en-US"/>
        </w:rPr>
        <w:sym w:font="Symbol" w:char="F061"/>
      </w:r>
      <w:r w:rsidRPr="00E600F8">
        <w:rPr>
          <w:lang w:val="en-US"/>
        </w:rPr>
        <w:t xml:space="preserve">  = .62) in line with its use in previous studies (Duell et </w:t>
      </w:r>
      <w:r w:rsidRPr="00E600F8">
        <w:rPr>
          <w:lang w:val="en-US"/>
        </w:rPr>
        <w:lastRenderedPageBreak/>
        <w:t>al., 2016)</w:t>
      </w:r>
      <w:r w:rsidRPr="00E600F8">
        <w:rPr>
          <w:vertAlign w:val="superscript"/>
          <w:lang w:val="en-US"/>
        </w:rPr>
        <w:footnoteReference w:id="1"/>
      </w:r>
      <w:r w:rsidRPr="00E600F8">
        <w:rPr>
          <w:lang w:val="en-US"/>
        </w:rPr>
        <w:t>. Reward sensitivity scores were calculated as mean scores of the items belonging to it.</w:t>
      </w:r>
    </w:p>
    <w:p w14:paraId="1EA6401F" w14:textId="7F91265D" w:rsidR="00236F1F" w:rsidRPr="00E600F8" w:rsidRDefault="00601107" w:rsidP="00236F1F">
      <w:pPr>
        <w:widowControl w:val="0"/>
        <w:autoSpaceDE w:val="0"/>
        <w:autoSpaceDN w:val="0"/>
        <w:adjustRightInd w:val="0"/>
        <w:spacing w:line="480" w:lineRule="auto"/>
        <w:ind w:firstLine="720"/>
        <w:jc w:val="both"/>
        <w:rPr>
          <w:lang w:val="en-US"/>
        </w:rPr>
      </w:pPr>
      <w:r w:rsidRPr="00E600F8">
        <w:rPr>
          <w:b/>
          <w:lang w:val="en-US"/>
        </w:rPr>
        <w:t xml:space="preserve">Inhibitory </w:t>
      </w:r>
      <w:r w:rsidR="001B0573" w:rsidRPr="00E600F8">
        <w:rPr>
          <w:b/>
          <w:lang w:val="en-US"/>
        </w:rPr>
        <w:t>control.</w:t>
      </w:r>
      <w:r w:rsidR="00236F1F" w:rsidRPr="00E600F8">
        <w:rPr>
          <w:i/>
          <w:lang w:val="en-US"/>
        </w:rPr>
        <w:t xml:space="preserve"> </w:t>
      </w:r>
      <w:r w:rsidR="001B0573" w:rsidRPr="00E600F8">
        <w:rPr>
          <w:lang w:val="en-US"/>
        </w:rPr>
        <w:t>Inhibitory control</w:t>
      </w:r>
      <w:r w:rsidR="00236F1F" w:rsidRPr="00E600F8">
        <w:rPr>
          <w:lang w:val="en-US"/>
        </w:rPr>
        <w:t xml:space="preserve"> describes behaviors t</w:t>
      </w:r>
      <w:r w:rsidR="00DE7F27" w:rsidRPr="00E600F8">
        <w:rPr>
          <w:lang w:val="en-US"/>
        </w:rPr>
        <w:t>hat demonst</w:t>
      </w:r>
      <w:r w:rsidR="00FF28C4" w:rsidRPr="00E600F8">
        <w:rPr>
          <w:lang w:val="en-US"/>
        </w:rPr>
        <w:t>rate the</w:t>
      </w:r>
      <w:r w:rsidR="00236F1F" w:rsidRPr="00E600F8">
        <w:rPr>
          <w:lang w:val="en-US"/>
        </w:rPr>
        <w:t xml:space="preserve"> ability for forethought and control of </w:t>
      </w:r>
      <w:r w:rsidR="00FF28C4" w:rsidRPr="00E600F8">
        <w:rPr>
          <w:lang w:val="en-US"/>
        </w:rPr>
        <w:t xml:space="preserve">one’s </w:t>
      </w:r>
      <w:r w:rsidR="00236F1F" w:rsidRPr="00E600F8">
        <w:rPr>
          <w:lang w:val="en-US"/>
        </w:rPr>
        <w:t xml:space="preserve">actions. This measure was reverse coded from a subset of four items in the SSS, </w:t>
      </w:r>
      <w:r w:rsidR="009B670B" w:rsidRPr="00E600F8">
        <w:rPr>
          <w:lang w:val="en-US"/>
        </w:rPr>
        <w:t>with</w:t>
      </w:r>
      <w:r w:rsidR="00236F1F" w:rsidRPr="00E600F8">
        <w:rPr>
          <w:lang w:val="en-US"/>
        </w:rPr>
        <w:t xml:space="preserve"> higher scores denoted more </w:t>
      </w:r>
      <w:r w:rsidR="00C84471" w:rsidRPr="00E600F8">
        <w:rPr>
          <w:lang w:val="en-US"/>
        </w:rPr>
        <w:t xml:space="preserve">inhibitory </w:t>
      </w:r>
      <w:r w:rsidR="009B670B" w:rsidRPr="00E600F8">
        <w:rPr>
          <w:lang w:val="en-US"/>
        </w:rPr>
        <w:t>behaviors. An example</w:t>
      </w:r>
      <w:r w:rsidR="00236F1F" w:rsidRPr="00E600F8">
        <w:rPr>
          <w:lang w:val="en-US"/>
        </w:rPr>
        <w:t xml:space="preserve"> of the items included in this scale include “I tend to begin a new job without much advance planning on how I will do it”. The scale has shown acceptable internal reliability (</w:t>
      </w:r>
      <w:r w:rsidR="00236F1F" w:rsidRPr="00E600F8">
        <w:rPr>
          <w:lang w:val="en-US"/>
        </w:rPr>
        <w:sym w:font="Symbol" w:char="F061"/>
      </w:r>
      <w:r w:rsidR="00236F1F" w:rsidRPr="00E600F8">
        <w:rPr>
          <w:lang w:val="en-US"/>
        </w:rPr>
        <w:t xml:space="preserve"> = .58)</w:t>
      </w:r>
      <w:r w:rsidR="00236F1F" w:rsidRPr="00E600F8">
        <w:rPr>
          <w:vertAlign w:val="superscript"/>
          <w:lang w:val="en-US"/>
        </w:rPr>
        <w:t>2</w:t>
      </w:r>
      <w:r w:rsidR="00236F1F" w:rsidRPr="00E600F8">
        <w:rPr>
          <w:lang w:val="en-US"/>
        </w:rPr>
        <w:t xml:space="preserve">, consistent with its use in previous studies (Duell et al., 2016). Planning scores were calculated as mean scores of the items belonging to it. </w:t>
      </w:r>
    </w:p>
    <w:p w14:paraId="1211D38A" w14:textId="77777777" w:rsidR="00236F1F" w:rsidRPr="00E600F8" w:rsidRDefault="00236F1F" w:rsidP="008C3DDE">
      <w:pPr>
        <w:widowControl w:val="0"/>
        <w:autoSpaceDE w:val="0"/>
        <w:autoSpaceDN w:val="0"/>
        <w:adjustRightInd w:val="0"/>
        <w:spacing w:line="480" w:lineRule="auto"/>
        <w:jc w:val="both"/>
        <w:outlineLvl w:val="0"/>
        <w:rPr>
          <w:b/>
          <w:lang w:val="en-US"/>
        </w:rPr>
      </w:pPr>
      <w:r w:rsidRPr="00E600F8">
        <w:rPr>
          <w:b/>
          <w:lang w:val="en-US"/>
        </w:rPr>
        <w:t>Procedure</w:t>
      </w:r>
    </w:p>
    <w:p w14:paraId="6F287B17" w14:textId="59A4A159" w:rsidR="00A00142" w:rsidRPr="00E600F8" w:rsidRDefault="00236F1F" w:rsidP="00236F1F">
      <w:pPr>
        <w:widowControl w:val="0"/>
        <w:autoSpaceDE w:val="0"/>
        <w:autoSpaceDN w:val="0"/>
        <w:adjustRightInd w:val="0"/>
        <w:spacing w:line="480" w:lineRule="auto"/>
        <w:ind w:firstLine="720"/>
        <w:jc w:val="both"/>
        <w:rPr>
          <w:lang w:val="en-US"/>
        </w:rPr>
      </w:pPr>
      <w:r w:rsidRPr="00E600F8">
        <w:rPr>
          <w:lang w:val="en-US"/>
        </w:rPr>
        <w:t xml:space="preserve">After ethical approval was obtained and consent received from schools, parents and participants, data was collected within schools by a single male researcher. Upon arrival into the classroom participants were given a participant number and were asked to form pairs with a peer. </w:t>
      </w:r>
      <w:r w:rsidR="00BA03DF" w:rsidRPr="00E600F8">
        <w:rPr>
          <w:lang w:val="en-US"/>
        </w:rPr>
        <w:t>I</w:t>
      </w:r>
      <w:r w:rsidRPr="00E600F8">
        <w:rPr>
          <w:lang w:val="en-US"/>
        </w:rPr>
        <w:t>t was decided beforehand that 3/7 participants would be allocated to the alone condition while 4/7 participant</w:t>
      </w:r>
      <w:r w:rsidR="00F522E6" w:rsidRPr="00E600F8">
        <w:rPr>
          <w:lang w:val="en-US"/>
        </w:rPr>
        <w:t>s would be allocated to the group</w:t>
      </w:r>
      <w:r w:rsidRPr="00E600F8">
        <w:rPr>
          <w:lang w:val="en-US"/>
        </w:rPr>
        <w:t xml:space="preserve"> condition as the latter condition required less time to set up. This was to ensure that all participants in a class completed the task within the time allocated to the researcher.  </w:t>
      </w:r>
      <w:r w:rsidR="00F93B21" w:rsidRPr="00E600F8">
        <w:rPr>
          <w:lang w:val="en-US"/>
        </w:rPr>
        <w:t>One-hundred and eighteen</w:t>
      </w:r>
      <w:r w:rsidRPr="00E600F8">
        <w:rPr>
          <w:lang w:val="en-US"/>
        </w:rPr>
        <w:t xml:space="preserve"> participants thus completed the task with a peer and 8</w:t>
      </w:r>
      <w:r w:rsidR="00FF57F2" w:rsidRPr="00E600F8">
        <w:rPr>
          <w:lang w:val="en-US"/>
        </w:rPr>
        <w:t>4</w:t>
      </w:r>
      <w:r w:rsidRPr="00E600F8">
        <w:rPr>
          <w:lang w:val="en-US"/>
        </w:rPr>
        <w:t xml:space="preserve"> completed the task alone. </w:t>
      </w:r>
    </w:p>
    <w:p w14:paraId="50ED22FC" w14:textId="7B458180" w:rsidR="00236F1F" w:rsidRPr="00E600F8" w:rsidRDefault="00F31299" w:rsidP="00236F1F">
      <w:pPr>
        <w:widowControl w:val="0"/>
        <w:autoSpaceDE w:val="0"/>
        <w:autoSpaceDN w:val="0"/>
        <w:adjustRightInd w:val="0"/>
        <w:spacing w:line="480" w:lineRule="auto"/>
        <w:ind w:firstLine="720"/>
        <w:jc w:val="both"/>
        <w:rPr>
          <w:lang w:val="en-US"/>
        </w:rPr>
      </w:pPr>
      <w:r w:rsidRPr="00E600F8">
        <w:rPr>
          <w:lang w:val="en-US"/>
        </w:rPr>
        <w:t xml:space="preserve">One pair of participants were invited into </w:t>
      </w:r>
      <w:r w:rsidR="00B45648" w:rsidRPr="00E600F8">
        <w:rPr>
          <w:lang w:val="en-US"/>
        </w:rPr>
        <w:t>the research area</w:t>
      </w:r>
      <w:r w:rsidRPr="00E600F8">
        <w:rPr>
          <w:lang w:val="en-US"/>
        </w:rPr>
        <w:t xml:space="preserve"> at a time, where they were randomly allocated to complete the task either alone or</w:t>
      </w:r>
      <w:r w:rsidR="0057755F" w:rsidRPr="00E600F8">
        <w:rPr>
          <w:lang w:val="en-US"/>
        </w:rPr>
        <w:t xml:space="preserve"> in their group</w:t>
      </w:r>
      <w:r w:rsidRPr="00E600F8">
        <w:rPr>
          <w:lang w:val="en-US"/>
        </w:rPr>
        <w:t xml:space="preserve">. In the alone condition participants were led to computers in separate locations that prevented participants from seeing or hearing one another. </w:t>
      </w:r>
      <w:r w:rsidR="00236F1F" w:rsidRPr="00E600F8">
        <w:rPr>
          <w:lang w:val="en-US"/>
        </w:rPr>
        <w:t xml:space="preserve">In </w:t>
      </w:r>
      <w:r w:rsidR="0057755F" w:rsidRPr="00E600F8">
        <w:rPr>
          <w:lang w:val="en-US"/>
        </w:rPr>
        <w:t>the group</w:t>
      </w:r>
      <w:r w:rsidR="00236F1F" w:rsidRPr="00E600F8">
        <w:rPr>
          <w:lang w:val="en-US"/>
        </w:rPr>
        <w:t xml:space="preserve"> condition</w:t>
      </w:r>
      <w:r w:rsidR="005C0D6B" w:rsidRPr="00E600F8">
        <w:rPr>
          <w:lang w:val="en-US"/>
        </w:rPr>
        <w:t>,</w:t>
      </w:r>
      <w:r w:rsidR="00236F1F" w:rsidRPr="00E600F8">
        <w:rPr>
          <w:lang w:val="en-US"/>
        </w:rPr>
        <w:t xml:space="preserve"> participants shared a single computer and </w:t>
      </w:r>
      <w:r w:rsidR="00B65968" w:rsidRPr="00E600F8">
        <w:rPr>
          <w:lang w:val="en-US"/>
        </w:rPr>
        <w:t xml:space="preserve">were </w:t>
      </w:r>
      <w:r w:rsidR="00B61B30" w:rsidRPr="00E600F8">
        <w:rPr>
          <w:lang w:val="en-US"/>
        </w:rPr>
        <w:lastRenderedPageBreak/>
        <w:t xml:space="preserve">informed </w:t>
      </w:r>
      <w:r w:rsidR="005C0D6B" w:rsidRPr="00E600F8">
        <w:rPr>
          <w:lang w:val="en-US"/>
        </w:rPr>
        <w:t xml:space="preserve">that </w:t>
      </w:r>
      <w:r w:rsidR="00B61B30" w:rsidRPr="00E600F8">
        <w:rPr>
          <w:lang w:val="en-US"/>
        </w:rPr>
        <w:t xml:space="preserve">they were </w:t>
      </w:r>
      <w:r w:rsidR="00B65968" w:rsidRPr="00E600F8">
        <w:rPr>
          <w:lang w:val="en-US"/>
        </w:rPr>
        <w:t>allowed to discuss their decision</w:t>
      </w:r>
      <w:r w:rsidR="003874A6" w:rsidRPr="00E600F8">
        <w:rPr>
          <w:lang w:val="en-US"/>
        </w:rPr>
        <w:t>s for as long as they wanted</w:t>
      </w:r>
      <w:r w:rsidR="00B65968" w:rsidRPr="00E600F8">
        <w:rPr>
          <w:lang w:val="en-US"/>
        </w:rPr>
        <w:t xml:space="preserve"> before choosing </w:t>
      </w:r>
      <w:r w:rsidR="00B61B30" w:rsidRPr="00E600F8">
        <w:rPr>
          <w:lang w:val="en-US"/>
        </w:rPr>
        <w:t>an</w:t>
      </w:r>
      <w:r w:rsidR="00B65968" w:rsidRPr="00E600F8">
        <w:rPr>
          <w:lang w:val="en-US"/>
        </w:rPr>
        <w:t xml:space="preserve"> option</w:t>
      </w:r>
      <w:r w:rsidR="003874A6" w:rsidRPr="00E600F8">
        <w:rPr>
          <w:lang w:val="en-US"/>
        </w:rPr>
        <w:t xml:space="preserve"> (Haller et al., 2018)</w:t>
      </w:r>
      <w:r w:rsidR="00236F1F" w:rsidRPr="00E600F8">
        <w:rPr>
          <w:lang w:val="en-US"/>
        </w:rPr>
        <w:t>.</w:t>
      </w:r>
      <w:r w:rsidR="00B65968" w:rsidRPr="00E600F8">
        <w:rPr>
          <w:lang w:val="en-US"/>
        </w:rPr>
        <w:t xml:space="preserve"> For participants who completed the task in pairs, they were informed that they would each receive the total number of points accrued </w:t>
      </w:r>
      <w:r w:rsidR="00E50D13" w:rsidRPr="00E600F8">
        <w:rPr>
          <w:lang w:val="en-US"/>
        </w:rPr>
        <w:t>during</w:t>
      </w:r>
      <w:r w:rsidR="00B65968" w:rsidRPr="00E600F8">
        <w:rPr>
          <w:lang w:val="en-US"/>
        </w:rPr>
        <w:t xml:space="preserve"> the study. For example, if</w:t>
      </w:r>
      <w:r w:rsidR="00B61B30" w:rsidRPr="00E600F8">
        <w:rPr>
          <w:lang w:val="en-US"/>
        </w:rPr>
        <w:t xml:space="preserve"> the total score was 80</w:t>
      </w:r>
      <w:r w:rsidR="00B65968" w:rsidRPr="00E600F8">
        <w:rPr>
          <w:lang w:val="en-US"/>
        </w:rPr>
        <w:t xml:space="preserve">, both </w:t>
      </w:r>
      <w:r w:rsidR="00B61B30" w:rsidRPr="00E600F8">
        <w:rPr>
          <w:lang w:val="en-US"/>
        </w:rPr>
        <w:t>individuals</w:t>
      </w:r>
      <w:r w:rsidR="00E50D13" w:rsidRPr="00E600F8">
        <w:rPr>
          <w:lang w:val="en-US"/>
        </w:rPr>
        <w:t xml:space="preserve"> in the pair</w:t>
      </w:r>
      <w:r w:rsidR="00B65968" w:rsidRPr="00E600F8">
        <w:rPr>
          <w:lang w:val="en-US"/>
        </w:rPr>
        <w:t xml:space="preserve"> would receive this number of points. </w:t>
      </w:r>
      <w:r w:rsidR="00236F1F" w:rsidRPr="00E600F8">
        <w:rPr>
          <w:lang w:val="en-US"/>
        </w:rPr>
        <w:t xml:space="preserve">Participants then completed five rounds of both the risk and </w:t>
      </w:r>
      <w:r w:rsidR="0057755F" w:rsidRPr="00E600F8">
        <w:rPr>
          <w:lang w:val="en-US"/>
        </w:rPr>
        <w:t xml:space="preserve">ambiguity </w:t>
      </w:r>
      <w:r w:rsidR="00A23656" w:rsidRPr="00E600F8">
        <w:rPr>
          <w:lang w:val="en-US"/>
        </w:rPr>
        <w:t>condition</w:t>
      </w:r>
      <w:r w:rsidR="00236F1F" w:rsidRPr="00E600F8">
        <w:rPr>
          <w:lang w:val="en-US"/>
        </w:rPr>
        <w:t xml:space="preserve">s of the Wheel of Fortune task. </w:t>
      </w:r>
    </w:p>
    <w:p w14:paraId="3463ECD2" w14:textId="06AC1FD7" w:rsidR="00236F1F" w:rsidRPr="00E600F8" w:rsidRDefault="00236F1F" w:rsidP="00236F1F">
      <w:pPr>
        <w:widowControl w:val="0"/>
        <w:autoSpaceDE w:val="0"/>
        <w:autoSpaceDN w:val="0"/>
        <w:adjustRightInd w:val="0"/>
        <w:spacing w:line="480" w:lineRule="auto"/>
        <w:ind w:firstLine="720"/>
        <w:jc w:val="both"/>
        <w:rPr>
          <w:lang w:val="en-US"/>
        </w:rPr>
      </w:pPr>
      <w:r w:rsidRPr="00E600F8">
        <w:rPr>
          <w:lang w:val="en-US"/>
        </w:rPr>
        <w:t xml:space="preserve">Participants were asked to add their points throughout the task which would </w:t>
      </w:r>
      <w:r w:rsidR="004D5472" w:rsidRPr="00E600F8">
        <w:rPr>
          <w:lang w:val="en-US"/>
        </w:rPr>
        <w:t>be exchanged for raffle tickets</w:t>
      </w:r>
      <w:r w:rsidRPr="00E600F8">
        <w:rPr>
          <w:lang w:val="en-US"/>
        </w:rPr>
        <w:t xml:space="preserve">. They were told that the host software (Qualtrics; Qualtrics, 2017) could not calculate their score and they would have to do so themselves. At the end of the trial the researcher re-entered the room where participants reported their score, presenting the opportunity for them to falsify their score. </w:t>
      </w:r>
    </w:p>
    <w:p w14:paraId="788114DE" w14:textId="7F9FF113" w:rsidR="00236F1F" w:rsidRPr="00E600F8" w:rsidRDefault="006F2242" w:rsidP="00236F1F">
      <w:pPr>
        <w:widowControl w:val="0"/>
        <w:autoSpaceDE w:val="0"/>
        <w:autoSpaceDN w:val="0"/>
        <w:adjustRightInd w:val="0"/>
        <w:spacing w:line="480" w:lineRule="auto"/>
        <w:ind w:firstLine="720"/>
        <w:jc w:val="both"/>
        <w:rPr>
          <w:lang w:val="en-US"/>
        </w:rPr>
      </w:pPr>
      <w:r w:rsidRPr="00E600F8">
        <w:rPr>
          <w:lang w:val="en-US"/>
        </w:rPr>
        <w:t>P</w:t>
      </w:r>
      <w:r w:rsidR="00236F1F" w:rsidRPr="00E600F8">
        <w:rPr>
          <w:lang w:val="en-US"/>
        </w:rPr>
        <w:t>articipants were</w:t>
      </w:r>
      <w:r w:rsidRPr="00E600F8">
        <w:rPr>
          <w:lang w:val="en-US"/>
        </w:rPr>
        <w:t xml:space="preserve"> then</w:t>
      </w:r>
      <w:r w:rsidR="00236F1F" w:rsidRPr="00E600F8">
        <w:rPr>
          <w:lang w:val="en-US"/>
        </w:rPr>
        <w:t xml:space="preserve"> asked to complete a questionnaire</w:t>
      </w:r>
      <w:r w:rsidR="007E303B" w:rsidRPr="00E600F8">
        <w:rPr>
          <w:lang w:val="en-US"/>
        </w:rPr>
        <w:t xml:space="preserve"> alone, which was</w:t>
      </w:r>
      <w:r w:rsidR="00236F1F" w:rsidRPr="00E600F8">
        <w:rPr>
          <w:lang w:val="en-US"/>
        </w:rPr>
        <w:t xml:space="preserve"> comprised of demographic information, the BRPM and the SSS. At the end of the session participants were debriefed and thanked for their participation. In order to not unduly reward cheating behavior, all participants were entered into the raffle equally to award the prize at the conclusion of the study. </w:t>
      </w:r>
    </w:p>
    <w:p w14:paraId="0B0A8E06" w14:textId="77777777" w:rsidR="00236F1F" w:rsidRPr="00E600F8" w:rsidRDefault="00236F1F" w:rsidP="008C3DDE">
      <w:pPr>
        <w:widowControl w:val="0"/>
        <w:autoSpaceDE w:val="0"/>
        <w:autoSpaceDN w:val="0"/>
        <w:adjustRightInd w:val="0"/>
        <w:spacing w:line="480" w:lineRule="auto"/>
        <w:jc w:val="both"/>
        <w:outlineLvl w:val="0"/>
        <w:rPr>
          <w:b/>
          <w:lang w:val="en-US"/>
        </w:rPr>
      </w:pPr>
      <w:r w:rsidRPr="00E600F8">
        <w:rPr>
          <w:b/>
          <w:lang w:val="en-US"/>
        </w:rPr>
        <w:t>Data Analysis Plan</w:t>
      </w:r>
    </w:p>
    <w:p w14:paraId="54637884" w14:textId="0D78377B" w:rsidR="00213842" w:rsidRPr="00E600F8" w:rsidRDefault="005F32E3" w:rsidP="00236F1F">
      <w:pPr>
        <w:widowControl w:val="0"/>
        <w:autoSpaceDE w:val="0"/>
        <w:autoSpaceDN w:val="0"/>
        <w:adjustRightInd w:val="0"/>
        <w:spacing w:line="480" w:lineRule="auto"/>
        <w:ind w:firstLine="720"/>
        <w:jc w:val="both"/>
        <w:rPr>
          <w:lang w:val="en-US"/>
        </w:rPr>
      </w:pPr>
      <w:r w:rsidRPr="00E600F8">
        <w:rPr>
          <w:lang w:val="en-US"/>
        </w:rPr>
        <w:t>We first inspected the decisions being made, u</w:t>
      </w:r>
      <w:r w:rsidR="001F1C34" w:rsidRPr="00E600F8">
        <w:rPr>
          <w:lang w:val="en-US"/>
        </w:rPr>
        <w:t xml:space="preserve">nder </w:t>
      </w:r>
      <w:r w:rsidR="00B7673A" w:rsidRPr="00E600F8">
        <w:rPr>
          <w:lang w:val="en-US"/>
        </w:rPr>
        <w:t>risk</w:t>
      </w:r>
      <w:r w:rsidR="001F1C34" w:rsidRPr="00E600F8">
        <w:rPr>
          <w:lang w:val="en-US"/>
        </w:rPr>
        <w:t xml:space="preserve"> and ambigu</w:t>
      </w:r>
      <w:r w:rsidR="00B7673A" w:rsidRPr="00E600F8">
        <w:rPr>
          <w:lang w:val="en-US"/>
        </w:rPr>
        <w:t>ity</w:t>
      </w:r>
      <w:r w:rsidR="001F1C34" w:rsidRPr="00E600F8">
        <w:rPr>
          <w:lang w:val="en-US"/>
        </w:rPr>
        <w:t xml:space="preserve"> conditions</w:t>
      </w:r>
      <w:r w:rsidRPr="00E600F8">
        <w:rPr>
          <w:lang w:val="en-US"/>
        </w:rPr>
        <w:t>, and by pairs of adolescents (</w:t>
      </w:r>
      <w:r w:rsidR="001F1C34" w:rsidRPr="00E600F8">
        <w:rPr>
          <w:lang w:val="en-US"/>
        </w:rPr>
        <w:t>group</w:t>
      </w:r>
      <w:r w:rsidR="00DA4F4D" w:rsidRPr="00E600F8">
        <w:rPr>
          <w:lang w:val="en-US"/>
        </w:rPr>
        <w:t xml:space="preserve"> condition) and alone;</w:t>
      </w:r>
      <w:r w:rsidRPr="00E600F8">
        <w:rPr>
          <w:lang w:val="en-US"/>
        </w:rPr>
        <w:t xml:space="preserve"> we also inspected cheating behavior under the various experimental conditions. </w:t>
      </w:r>
    </w:p>
    <w:p w14:paraId="2EF73BF2" w14:textId="2A057C4B" w:rsidR="00236F1F" w:rsidRPr="00E600F8" w:rsidRDefault="002463B3" w:rsidP="00236F1F">
      <w:pPr>
        <w:widowControl w:val="0"/>
        <w:autoSpaceDE w:val="0"/>
        <w:autoSpaceDN w:val="0"/>
        <w:adjustRightInd w:val="0"/>
        <w:spacing w:line="480" w:lineRule="auto"/>
        <w:ind w:firstLine="720"/>
        <w:jc w:val="both"/>
        <w:rPr>
          <w:lang w:val="en-US"/>
        </w:rPr>
      </w:pPr>
      <w:r w:rsidRPr="00E600F8">
        <w:rPr>
          <w:lang w:val="en-US"/>
        </w:rPr>
        <w:t xml:space="preserve">To </w:t>
      </w:r>
      <w:r w:rsidR="00213842" w:rsidRPr="00E600F8">
        <w:rPr>
          <w:lang w:val="en-US"/>
        </w:rPr>
        <w:t xml:space="preserve">investigate the interplay of developmental factors on the individual level (age, </w:t>
      </w:r>
      <w:r w:rsidR="005B7996" w:rsidRPr="00E600F8">
        <w:rPr>
          <w:lang w:val="en-US"/>
        </w:rPr>
        <w:t xml:space="preserve">risk perception, reward sensitivity, and inhibitory control) with the experimental manipulation of </w:t>
      </w:r>
      <w:r w:rsidR="001F1C34" w:rsidRPr="00E600F8">
        <w:rPr>
          <w:lang w:val="en-US"/>
        </w:rPr>
        <w:t xml:space="preserve">group </w:t>
      </w:r>
      <w:r w:rsidR="00F72376" w:rsidRPr="00E600F8">
        <w:rPr>
          <w:lang w:val="en-US"/>
        </w:rPr>
        <w:t>decision-making</w:t>
      </w:r>
      <w:r w:rsidR="005B7996" w:rsidRPr="00E600F8">
        <w:rPr>
          <w:lang w:val="en-US"/>
        </w:rPr>
        <w:t>, we employed Hierarchical Linear Modelling (HLM</w:t>
      </w:r>
      <w:r w:rsidR="00180B3C" w:rsidRPr="00E600F8">
        <w:rPr>
          <w:lang w:val="en-US"/>
        </w:rPr>
        <w:t>, Raudenbush &amp; Bryk, 2002</w:t>
      </w:r>
      <w:r w:rsidR="005B7996" w:rsidRPr="00E600F8">
        <w:rPr>
          <w:lang w:val="en-US"/>
        </w:rPr>
        <w:t xml:space="preserve">): </w:t>
      </w:r>
      <w:r w:rsidR="00236F1F" w:rsidRPr="00E600F8">
        <w:rPr>
          <w:lang w:val="en-US"/>
        </w:rPr>
        <w:t xml:space="preserve">All 202 </w:t>
      </w:r>
      <w:r w:rsidR="00213842" w:rsidRPr="00E600F8">
        <w:rPr>
          <w:lang w:val="en-US"/>
        </w:rPr>
        <w:t xml:space="preserve">participants </w:t>
      </w:r>
      <w:r w:rsidR="00FF57F2" w:rsidRPr="00E600F8">
        <w:rPr>
          <w:lang w:val="en-US"/>
        </w:rPr>
        <w:t>were initially paired</w:t>
      </w:r>
      <w:r w:rsidR="00236F1F" w:rsidRPr="00E600F8">
        <w:rPr>
          <w:lang w:val="en-US"/>
        </w:rPr>
        <w:t xml:space="preserve"> with a peer, m</w:t>
      </w:r>
      <w:r w:rsidR="001F1C34" w:rsidRPr="00E600F8">
        <w:rPr>
          <w:lang w:val="en-US"/>
        </w:rPr>
        <w:t>eaning that there were 101 groups</w:t>
      </w:r>
      <w:r w:rsidR="00236F1F" w:rsidRPr="00E600F8">
        <w:rPr>
          <w:lang w:val="en-US"/>
        </w:rPr>
        <w:t xml:space="preserve">. </w:t>
      </w:r>
      <w:r w:rsidR="005F32E3" w:rsidRPr="00E600F8">
        <w:rPr>
          <w:lang w:val="en-US"/>
        </w:rPr>
        <w:t xml:space="preserve">As the two </w:t>
      </w:r>
      <w:r w:rsidR="00236F1F" w:rsidRPr="00E600F8">
        <w:rPr>
          <w:lang w:val="en-US"/>
        </w:rPr>
        <w:t xml:space="preserve">members of </w:t>
      </w:r>
      <w:r w:rsidR="00180B3C" w:rsidRPr="00E600F8">
        <w:rPr>
          <w:lang w:val="en-US"/>
        </w:rPr>
        <w:t>these</w:t>
      </w:r>
      <w:r w:rsidR="00236F1F" w:rsidRPr="00E600F8">
        <w:rPr>
          <w:lang w:val="en-US"/>
        </w:rPr>
        <w:t xml:space="preserve"> dyad</w:t>
      </w:r>
      <w:r w:rsidR="00180B3C" w:rsidRPr="00E600F8">
        <w:rPr>
          <w:lang w:val="en-US"/>
        </w:rPr>
        <w:t>s</w:t>
      </w:r>
      <w:r w:rsidR="00236F1F" w:rsidRPr="00E600F8">
        <w:rPr>
          <w:lang w:val="en-US"/>
        </w:rPr>
        <w:t xml:space="preserve"> </w:t>
      </w:r>
      <w:r w:rsidR="00180B3C" w:rsidRPr="00E600F8">
        <w:rPr>
          <w:lang w:val="en-US"/>
        </w:rPr>
        <w:t>were</w:t>
      </w:r>
      <w:r w:rsidR="00236F1F" w:rsidRPr="00E600F8">
        <w:rPr>
          <w:lang w:val="en-US"/>
        </w:rPr>
        <w:t xml:space="preserve"> not simply two independent individuals, and </w:t>
      </w:r>
      <w:r w:rsidR="00236F1F" w:rsidRPr="00E600F8">
        <w:rPr>
          <w:lang w:val="en-US"/>
        </w:rPr>
        <w:lastRenderedPageBreak/>
        <w:t>there is dependency of the data points they provide</w:t>
      </w:r>
      <w:r w:rsidR="00180B3C" w:rsidRPr="00E600F8">
        <w:rPr>
          <w:lang w:val="en-US"/>
        </w:rPr>
        <w:t>d</w:t>
      </w:r>
      <w:r w:rsidR="005F32E3" w:rsidRPr="00E600F8">
        <w:rPr>
          <w:lang w:val="en-US"/>
        </w:rPr>
        <w:t xml:space="preserve">, </w:t>
      </w:r>
      <w:r w:rsidR="005B7996" w:rsidRPr="00E600F8">
        <w:rPr>
          <w:lang w:val="en-US"/>
        </w:rPr>
        <w:t xml:space="preserve">HLM </w:t>
      </w:r>
      <w:r w:rsidR="00180B3C" w:rsidRPr="00E600F8">
        <w:rPr>
          <w:lang w:val="en-US"/>
        </w:rPr>
        <w:t>was the method of choice</w:t>
      </w:r>
      <w:r w:rsidR="005B7996" w:rsidRPr="00E600F8">
        <w:rPr>
          <w:lang w:val="en-US"/>
        </w:rPr>
        <w:t xml:space="preserve"> (</w:t>
      </w:r>
      <w:r w:rsidR="00180B3C" w:rsidRPr="00E600F8">
        <w:rPr>
          <w:lang w:val="en-US"/>
        </w:rPr>
        <w:t xml:space="preserve">see </w:t>
      </w:r>
      <w:r w:rsidR="005B7996" w:rsidRPr="00E600F8">
        <w:rPr>
          <w:lang w:val="en-US"/>
        </w:rPr>
        <w:t>Kenny, Kashy, &amp; Cook, 2006</w:t>
      </w:r>
      <w:r w:rsidR="00180B3C" w:rsidRPr="00E600F8">
        <w:rPr>
          <w:lang w:val="en-US"/>
        </w:rPr>
        <w:t xml:space="preserve"> for statistical background, </w:t>
      </w:r>
      <w:r w:rsidR="009C43FE" w:rsidRPr="00E600F8">
        <w:rPr>
          <w:lang w:val="en-US"/>
        </w:rPr>
        <w:t>Centifanti</w:t>
      </w:r>
      <w:r w:rsidR="005B7884" w:rsidRPr="00E600F8">
        <w:rPr>
          <w:lang w:val="en-US"/>
        </w:rPr>
        <w:t xml:space="preserve"> et al.</w:t>
      </w:r>
      <w:r w:rsidR="00236F1F" w:rsidRPr="00E600F8">
        <w:rPr>
          <w:lang w:val="en-US"/>
        </w:rPr>
        <w:t>, 2014</w:t>
      </w:r>
      <w:r w:rsidR="00180B3C" w:rsidRPr="00E600F8">
        <w:rPr>
          <w:lang w:val="en-US"/>
        </w:rPr>
        <w:t>, for an example of application in a similar experimental design, and Maas &amp; Hox, 2005 for sample size requirements</w:t>
      </w:r>
      <w:r w:rsidR="00236F1F" w:rsidRPr="00E600F8">
        <w:rPr>
          <w:lang w:val="en-US"/>
        </w:rPr>
        <w:t>)</w:t>
      </w:r>
      <w:r w:rsidR="005B7996" w:rsidRPr="00E600F8">
        <w:rPr>
          <w:lang w:val="en-US"/>
        </w:rPr>
        <w:t>.</w:t>
      </w:r>
      <w:r w:rsidR="00236F1F" w:rsidRPr="00E600F8">
        <w:rPr>
          <w:lang w:val="en-US"/>
        </w:rPr>
        <w:t xml:space="preserve"> We included two levels: 1) individ</w:t>
      </w:r>
      <w:r w:rsidR="001F1C34" w:rsidRPr="00E600F8">
        <w:rPr>
          <w:lang w:val="en-US"/>
        </w:rPr>
        <w:t>ual, 2) group</w:t>
      </w:r>
      <w:r w:rsidR="00236F1F" w:rsidRPr="00E600F8">
        <w:rPr>
          <w:lang w:val="en-US"/>
        </w:rPr>
        <w:t xml:space="preserve">. </w:t>
      </w:r>
    </w:p>
    <w:p w14:paraId="5DC37C7E" w14:textId="318E26F2" w:rsidR="00236F1F" w:rsidRPr="00E600F8" w:rsidRDefault="00236F1F" w:rsidP="00236F1F">
      <w:pPr>
        <w:widowControl w:val="0"/>
        <w:autoSpaceDE w:val="0"/>
        <w:autoSpaceDN w:val="0"/>
        <w:adjustRightInd w:val="0"/>
        <w:spacing w:line="480" w:lineRule="auto"/>
        <w:ind w:firstLine="720"/>
        <w:jc w:val="both"/>
        <w:rPr>
          <w:lang w:val="en-US"/>
        </w:rPr>
      </w:pPr>
      <w:r w:rsidRPr="00E600F8">
        <w:rPr>
          <w:lang w:val="en-US"/>
        </w:rPr>
        <w:t xml:space="preserve">As we considered three types of </w:t>
      </w:r>
      <w:r w:rsidR="002B617B" w:rsidRPr="00E600F8">
        <w:rPr>
          <w:lang w:val="en-US"/>
        </w:rPr>
        <w:t xml:space="preserve">behavior as outcomes – </w:t>
      </w:r>
      <w:r w:rsidR="001F1C34" w:rsidRPr="00E600F8">
        <w:rPr>
          <w:lang w:val="en-US"/>
        </w:rPr>
        <w:t>gambling</w:t>
      </w:r>
      <w:r w:rsidR="007D67A1" w:rsidRPr="00E600F8">
        <w:rPr>
          <w:lang w:val="en-US"/>
        </w:rPr>
        <w:t xml:space="preserve"> under</w:t>
      </w:r>
      <w:r w:rsidRPr="00E600F8">
        <w:rPr>
          <w:lang w:val="en-US"/>
        </w:rPr>
        <w:t xml:space="preserve"> risk, </w:t>
      </w:r>
      <w:r w:rsidR="001F1C34" w:rsidRPr="00E600F8">
        <w:rPr>
          <w:lang w:val="en-US"/>
        </w:rPr>
        <w:t>gambling under ambiguity</w:t>
      </w:r>
      <w:r w:rsidR="002B617B" w:rsidRPr="00E600F8">
        <w:rPr>
          <w:lang w:val="en-US"/>
        </w:rPr>
        <w:t>, and cheating – w</w:t>
      </w:r>
      <w:r w:rsidRPr="00E600F8">
        <w:rPr>
          <w:lang w:val="en-US"/>
        </w:rPr>
        <w:t>e performed HLM analyses separately for each of these behaviors. We employed the Maximum Likelihood Estimation algorithm, so that we could compare the fit of different models (Boedeker, 2017). We first estimated the null model (no predictors) as: Y</w:t>
      </w:r>
      <w:r w:rsidRPr="00E600F8">
        <w:rPr>
          <w:vertAlign w:val="subscript"/>
          <w:lang w:val="en-US"/>
        </w:rPr>
        <w:t>ij</w:t>
      </w:r>
      <w:r w:rsidRPr="00E600F8">
        <w:rPr>
          <w:lang w:val="en-US"/>
        </w:rPr>
        <w:t>=β</w:t>
      </w:r>
      <w:r w:rsidRPr="00E600F8">
        <w:rPr>
          <w:vertAlign w:val="subscript"/>
          <w:lang w:val="en-US"/>
        </w:rPr>
        <w:t>0</w:t>
      </w:r>
      <w:r w:rsidRPr="00E600F8">
        <w:rPr>
          <w:lang w:val="en-US"/>
        </w:rPr>
        <w:t>+u</w:t>
      </w:r>
      <w:r w:rsidRPr="00E600F8">
        <w:rPr>
          <w:vertAlign w:val="subscript"/>
          <w:lang w:val="en-US"/>
        </w:rPr>
        <w:t>0j</w:t>
      </w:r>
      <w:r w:rsidRPr="00E600F8">
        <w:rPr>
          <w:lang w:val="en-US"/>
        </w:rPr>
        <w:t>+e</w:t>
      </w:r>
      <w:r w:rsidRPr="00E600F8">
        <w:rPr>
          <w:vertAlign w:val="subscript"/>
          <w:lang w:val="en-US"/>
        </w:rPr>
        <w:t>ij</w:t>
      </w:r>
      <w:r w:rsidRPr="00E600F8">
        <w:rPr>
          <w:lang w:val="en-US"/>
        </w:rPr>
        <w:t>. In the second step, the full level 1 model (on individual level) was developed. As predictors we entered age (X</w:t>
      </w:r>
      <w:r w:rsidRPr="00E600F8">
        <w:rPr>
          <w:vertAlign w:val="subscript"/>
          <w:lang w:val="en-US"/>
        </w:rPr>
        <w:t>1</w:t>
      </w:r>
      <w:r w:rsidRPr="00E600F8">
        <w:rPr>
          <w:lang w:val="en-US"/>
        </w:rPr>
        <w:t>), risk perception (X</w:t>
      </w:r>
      <w:r w:rsidRPr="00E600F8">
        <w:rPr>
          <w:vertAlign w:val="subscript"/>
          <w:lang w:val="en-US"/>
        </w:rPr>
        <w:t>2</w:t>
      </w:r>
      <w:r w:rsidRPr="00E600F8">
        <w:rPr>
          <w:lang w:val="en-US"/>
        </w:rPr>
        <w:t>), reward sensitivity(X</w:t>
      </w:r>
      <w:r w:rsidRPr="00E600F8">
        <w:rPr>
          <w:vertAlign w:val="subscript"/>
          <w:lang w:val="en-US"/>
        </w:rPr>
        <w:t>3</w:t>
      </w:r>
      <w:r w:rsidRPr="00E600F8">
        <w:rPr>
          <w:lang w:val="en-US"/>
        </w:rPr>
        <w:t>), and inhibitory control(X</w:t>
      </w:r>
      <w:r w:rsidRPr="00E600F8">
        <w:rPr>
          <w:vertAlign w:val="subscript"/>
          <w:lang w:val="en-US"/>
        </w:rPr>
        <w:t>4</w:t>
      </w:r>
      <w:r w:rsidRPr="00E600F8">
        <w:rPr>
          <w:lang w:val="en-US"/>
        </w:rPr>
        <w:t>): Y</w:t>
      </w:r>
      <w:r w:rsidRPr="00E600F8">
        <w:rPr>
          <w:vertAlign w:val="subscript"/>
          <w:lang w:val="en-US"/>
        </w:rPr>
        <w:t>ij</w:t>
      </w:r>
      <w:r w:rsidRPr="00E600F8">
        <w:rPr>
          <w:lang w:val="en-US"/>
        </w:rPr>
        <w:t>=β</w:t>
      </w:r>
      <w:r w:rsidRPr="00E600F8">
        <w:rPr>
          <w:vertAlign w:val="subscript"/>
          <w:lang w:val="en-US"/>
        </w:rPr>
        <w:t>0j</w:t>
      </w:r>
      <w:r w:rsidRPr="00E600F8">
        <w:rPr>
          <w:lang w:val="en-US"/>
        </w:rPr>
        <w:t>+ β</w:t>
      </w:r>
      <w:r w:rsidRPr="00E600F8">
        <w:rPr>
          <w:vertAlign w:val="subscript"/>
          <w:lang w:val="en-US"/>
        </w:rPr>
        <w:t>1</w:t>
      </w:r>
      <w:r w:rsidRPr="00E600F8">
        <w:rPr>
          <w:lang w:val="en-US"/>
        </w:rPr>
        <w:t>X</w:t>
      </w:r>
      <w:r w:rsidRPr="00E600F8">
        <w:rPr>
          <w:vertAlign w:val="subscript"/>
          <w:lang w:val="en-US"/>
        </w:rPr>
        <w:t>1ij</w:t>
      </w:r>
      <w:r w:rsidRPr="00E600F8">
        <w:rPr>
          <w:lang w:val="en-US"/>
        </w:rPr>
        <w:t>+ β</w:t>
      </w:r>
      <w:r w:rsidRPr="00E600F8">
        <w:rPr>
          <w:vertAlign w:val="subscript"/>
          <w:lang w:val="en-US"/>
        </w:rPr>
        <w:t>2</w:t>
      </w:r>
      <w:r w:rsidRPr="00E600F8">
        <w:rPr>
          <w:lang w:val="en-US"/>
        </w:rPr>
        <w:t>X</w:t>
      </w:r>
      <w:r w:rsidRPr="00E600F8">
        <w:rPr>
          <w:vertAlign w:val="subscript"/>
          <w:lang w:val="en-US"/>
        </w:rPr>
        <w:t>2ij</w:t>
      </w:r>
      <w:r w:rsidRPr="00E600F8">
        <w:rPr>
          <w:lang w:val="en-US"/>
        </w:rPr>
        <w:t>+ β</w:t>
      </w:r>
      <w:r w:rsidRPr="00E600F8">
        <w:rPr>
          <w:vertAlign w:val="subscript"/>
          <w:lang w:val="en-US"/>
        </w:rPr>
        <w:t>3</w:t>
      </w:r>
      <w:r w:rsidRPr="00E600F8">
        <w:rPr>
          <w:lang w:val="en-US"/>
        </w:rPr>
        <w:t>X</w:t>
      </w:r>
      <w:r w:rsidRPr="00E600F8">
        <w:rPr>
          <w:vertAlign w:val="subscript"/>
          <w:lang w:val="en-US"/>
        </w:rPr>
        <w:t>3ij</w:t>
      </w:r>
      <w:r w:rsidRPr="00E600F8">
        <w:rPr>
          <w:lang w:val="en-US"/>
        </w:rPr>
        <w:t>+ β</w:t>
      </w:r>
      <w:r w:rsidRPr="00E600F8">
        <w:rPr>
          <w:vertAlign w:val="subscript"/>
          <w:lang w:val="en-US"/>
        </w:rPr>
        <w:t>4</w:t>
      </w:r>
      <w:r w:rsidRPr="00E600F8">
        <w:rPr>
          <w:lang w:val="en-US"/>
        </w:rPr>
        <w:t>X</w:t>
      </w:r>
      <w:r w:rsidRPr="00E600F8">
        <w:rPr>
          <w:vertAlign w:val="subscript"/>
          <w:lang w:val="en-US"/>
        </w:rPr>
        <w:t>4ij</w:t>
      </w:r>
      <w:r w:rsidRPr="00E600F8">
        <w:rPr>
          <w:lang w:val="en-US"/>
        </w:rPr>
        <w:t>+e</w:t>
      </w:r>
      <w:r w:rsidRPr="00E600F8">
        <w:rPr>
          <w:vertAlign w:val="subscript"/>
          <w:lang w:val="en-US"/>
        </w:rPr>
        <w:t>ij</w:t>
      </w:r>
      <w:r w:rsidRPr="00E600F8">
        <w:rPr>
          <w:lang w:val="en-US"/>
        </w:rPr>
        <w:t>. In the third step, we entered the variable ‘</w:t>
      </w:r>
      <w:r w:rsidR="006A0FC8" w:rsidRPr="00E600F8">
        <w:rPr>
          <w:lang w:val="en-US"/>
        </w:rPr>
        <w:t>g</w:t>
      </w:r>
      <w:r w:rsidR="00CB4ACA" w:rsidRPr="00E600F8">
        <w:rPr>
          <w:lang w:val="en-US"/>
        </w:rPr>
        <w:t>roup membership</w:t>
      </w:r>
      <w:r w:rsidR="005B7996" w:rsidRPr="00E600F8">
        <w:rPr>
          <w:lang w:val="en-US"/>
        </w:rPr>
        <w:t xml:space="preserve">’ as </w:t>
      </w:r>
      <w:r w:rsidR="00E569B8" w:rsidRPr="00E600F8">
        <w:rPr>
          <w:lang w:val="en-US"/>
        </w:rPr>
        <w:t xml:space="preserve">a </w:t>
      </w:r>
      <w:r w:rsidRPr="00E600F8">
        <w:rPr>
          <w:lang w:val="en-US"/>
        </w:rPr>
        <w:t xml:space="preserve">predictor (whether the task was completed alone or </w:t>
      </w:r>
      <w:r w:rsidR="006A0FC8" w:rsidRPr="00E600F8">
        <w:rPr>
          <w:lang w:val="en-US"/>
        </w:rPr>
        <w:t>in a group</w:t>
      </w:r>
      <w:r w:rsidRPr="00E600F8">
        <w:rPr>
          <w:lang w:val="en-US"/>
        </w:rPr>
        <w:t>, Z</w:t>
      </w:r>
      <w:r w:rsidRPr="00E600F8">
        <w:rPr>
          <w:vertAlign w:val="subscript"/>
          <w:lang w:val="en-US"/>
        </w:rPr>
        <w:t>1</w:t>
      </w:r>
      <w:r w:rsidRPr="00E600F8">
        <w:rPr>
          <w:lang w:val="en-US"/>
        </w:rPr>
        <w:t>): β</w:t>
      </w:r>
      <w:r w:rsidRPr="00E600F8">
        <w:rPr>
          <w:vertAlign w:val="subscript"/>
          <w:lang w:val="en-US"/>
        </w:rPr>
        <w:t>0j</w:t>
      </w:r>
      <w:r w:rsidRPr="00E600F8">
        <w:rPr>
          <w:lang w:val="en-US"/>
        </w:rPr>
        <w:t>= β</w:t>
      </w:r>
      <w:r w:rsidRPr="00E600F8">
        <w:rPr>
          <w:vertAlign w:val="subscript"/>
          <w:lang w:val="en-US"/>
        </w:rPr>
        <w:t>0</w:t>
      </w:r>
      <w:r w:rsidRPr="00E600F8">
        <w:rPr>
          <w:lang w:val="en-US"/>
        </w:rPr>
        <w:t>+ β</w:t>
      </w:r>
      <w:r w:rsidRPr="00E600F8">
        <w:rPr>
          <w:vertAlign w:val="subscript"/>
          <w:lang w:val="en-US"/>
        </w:rPr>
        <w:t>5</w:t>
      </w:r>
      <w:r w:rsidRPr="00E600F8">
        <w:rPr>
          <w:lang w:val="en-US"/>
        </w:rPr>
        <w:t>Z</w:t>
      </w:r>
      <w:r w:rsidRPr="00E600F8">
        <w:rPr>
          <w:vertAlign w:val="subscript"/>
          <w:lang w:val="en-US"/>
        </w:rPr>
        <w:t>1</w:t>
      </w:r>
      <w:r w:rsidRPr="00E600F8">
        <w:rPr>
          <w:lang w:val="en-US"/>
        </w:rPr>
        <w:t>+ u</w:t>
      </w:r>
      <w:r w:rsidRPr="00E600F8">
        <w:rPr>
          <w:vertAlign w:val="subscript"/>
          <w:lang w:val="en-US"/>
        </w:rPr>
        <w:t>0j</w:t>
      </w:r>
      <w:r w:rsidRPr="00E600F8">
        <w:rPr>
          <w:lang w:val="en-US"/>
        </w:rPr>
        <w:t xml:space="preserve">. Finally, we entered risk perception </w:t>
      </w:r>
      <w:r w:rsidR="00E569B8" w:rsidRPr="00E600F8">
        <w:rPr>
          <w:lang w:val="en-US"/>
        </w:rPr>
        <w:t>with</w:t>
      </w:r>
      <w:r w:rsidRPr="00E600F8">
        <w:rPr>
          <w:lang w:val="en-US"/>
        </w:rPr>
        <w:t>in the dyad as level 2 predictor. We performed grand mean centering for the four predictors on individual level and group mean centering for risk perception on dyad level before entering t</w:t>
      </w:r>
      <w:r w:rsidR="004B417D" w:rsidRPr="00E600F8">
        <w:rPr>
          <w:lang w:val="en-US"/>
        </w:rPr>
        <w:t>hese variables into the models.</w:t>
      </w:r>
      <w:r w:rsidRPr="00E600F8">
        <w:rPr>
          <w:lang w:val="en-US"/>
        </w:rPr>
        <w:t xml:space="preserve"> The Mixed Procedure in SP</w:t>
      </w:r>
      <w:r w:rsidR="00B17242" w:rsidRPr="00E600F8">
        <w:rPr>
          <w:lang w:val="en-US"/>
        </w:rPr>
        <w:t>SS (see Peugh &amp; Enders, 2005,</w:t>
      </w:r>
      <w:r w:rsidRPr="00E600F8">
        <w:rPr>
          <w:lang w:val="en-US"/>
        </w:rPr>
        <w:t xml:space="preserve"> Ringdal, 2018) was used for data analysis. </w:t>
      </w:r>
    </w:p>
    <w:p w14:paraId="42E753C0" w14:textId="73669601" w:rsidR="00236F1F" w:rsidRPr="00E600F8" w:rsidRDefault="00236F1F" w:rsidP="008C3DDE">
      <w:pPr>
        <w:widowControl w:val="0"/>
        <w:autoSpaceDE w:val="0"/>
        <w:autoSpaceDN w:val="0"/>
        <w:adjustRightInd w:val="0"/>
        <w:spacing w:line="480" w:lineRule="auto"/>
        <w:jc w:val="center"/>
        <w:outlineLvl w:val="0"/>
        <w:rPr>
          <w:b/>
          <w:lang w:val="en-US"/>
        </w:rPr>
      </w:pPr>
      <w:r w:rsidRPr="00E600F8">
        <w:rPr>
          <w:b/>
          <w:lang w:val="en-US"/>
        </w:rPr>
        <w:t>Results</w:t>
      </w:r>
    </w:p>
    <w:p w14:paraId="63C64065" w14:textId="1B50C857" w:rsidR="00236F1F" w:rsidRPr="00E600F8" w:rsidRDefault="00236F1F" w:rsidP="00B17242">
      <w:pPr>
        <w:widowControl w:val="0"/>
        <w:autoSpaceDE w:val="0"/>
        <w:autoSpaceDN w:val="0"/>
        <w:adjustRightInd w:val="0"/>
        <w:spacing w:line="480" w:lineRule="auto"/>
        <w:ind w:firstLine="720"/>
        <w:jc w:val="both"/>
        <w:rPr>
          <w:lang w:val="en-US"/>
        </w:rPr>
      </w:pPr>
      <w:r w:rsidRPr="00E600F8">
        <w:rPr>
          <w:lang w:val="en-US"/>
        </w:rPr>
        <w:t>Adolescents chose a peer who was similar to themselves in age (</w:t>
      </w:r>
      <w:r w:rsidRPr="00E600F8">
        <w:rPr>
          <w:i/>
          <w:lang w:val="en-US"/>
        </w:rPr>
        <w:t>r</w:t>
      </w:r>
      <w:r w:rsidRPr="00E600F8">
        <w:rPr>
          <w:lang w:val="en-US"/>
        </w:rPr>
        <w:t xml:space="preserve">=.84, </w:t>
      </w:r>
      <w:r w:rsidRPr="00E600F8">
        <w:rPr>
          <w:i/>
          <w:lang w:val="en-US"/>
        </w:rPr>
        <w:t>p</w:t>
      </w:r>
      <w:r w:rsidRPr="00E600F8">
        <w:rPr>
          <w:lang w:val="en-US"/>
        </w:rPr>
        <w:t>&lt;.001), risk perception (</w:t>
      </w:r>
      <w:r w:rsidRPr="00E600F8">
        <w:rPr>
          <w:i/>
          <w:lang w:val="en-US"/>
        </w:rPr>
        <w:t>r</w:t>
      </w:r>
      <w:r w:rsidRPr="00E600F8">
        <w:rPr>
          <w:lang w:val="en-US"/>
        </w:rPr>
        <w:t xml:space="preserve">=.59, </w:t>
      </w:r>
      <w:r w:rsidRPr="00E600F8">
        <w:rPr>
          <w:i/>
          <w:lang w:val="en-US"/>
        </w:rPr>
        <w:t>p</w:t>
      </w:r>
      <w:r w:rsidRPr="00E600F8">
        <w:rPr>
          <w:lang w:val="en-US"/>
        </w:rPr>
        <w:t>&lt;.001) and reward sensitivity (</w:t>
      </w:r>
      <w:r w:rsidRPr="00E600F8">
        <w:rPr>
          <w:i/>
          <w:lang w:val="en-US"/>
        </w:rPr>
        <w:t>r</w:t>
      </w:r>
      <w:r w:rsidRPr="00E600F8">
        <w:rPr>
          <w:lang w:val="en-US"/>
        </w:rPr>
        <w:t xml:space="preserve">=.42, </w:t>
      </w:r>
      <w:r w:rsidRPr="00E600F8">
        <w:rPr>
          <w:i/>
          <w:lang w:val="en-US"/>
        </w:rPr>
        <w:t>p</w:t>
      </w:r>
      <w:r w:rsidRPr="00E600F8">
        <w:rPr>
          <w:lang w:val="en-US"/>
        </w:rPr>
        <w:t>&lt;.001)</w:t>
      </w:r>
      <w:r w:rsidR="00D36B58" w:rsidRPr="00E600F8">
        <w:rPr>
          <w:lang w:val="en-US"/>
        </w:rPr>
        <w:t xml:space="preserve">, but did not share </w:t>
      </w:r>
      <w:r w:rsidRPr="00E600F8">
        <w:rPr>
          <w:lang w:val="en-US"/>
        </w:rPr>
        <w:t>similar levels of inhibitory control (</w:t>
      </w:r>
      <w:r w:rsidRPr="00E600F8">
        <w:rPr>
          <w:i/>
          <w:lang w:val="en-US"/>
        </w:rPr>
        <w:t>r</w:t>
      </w:r>
      <w:r w:rsidRPr="00E600F8">
        <w:rPr>
          <w:lang w:val="en-US"/>
        </w:rPr>
        <w:t xml:space="preserve">=.03, </w:t>
      </w:r>
      <w:r w:rsidRPr="00E600F8">
        <w:rPr>
          <w:i/>
          <w:lang w:val="en-US"/>
        </w:rPr>
        <w:t>p</w:t>
      </w:r>
      <w:r w:rsidRPr="00E600F8">
        <w:rPr>
          <w:lang w:val="en-US"/>
        </w:rPr>
        <w:t>=.787).</w:t>
      </w:r>
      <w:r w:rsidR="00844F40" w:rsidRPr="00E600F8">
        <w:rPr>
          <w:lang w:val="en-US"/>
        </w:rPr>
        <w:t xml:space="preserve"> </w:t>
      </w:r>
    </w:p>
    <w:p w14:paraId="47A15E53" w14:textId="0E5B0930" w:rsidR="00236F1F" w:rsidRPr="00E600F8" w:rsidRDefault="00236F1F" w:rsidP="00534FA5">
      <w:pPr>
        <w:widowControl w:val="0"/>
        <w:autoSpaceDE w:val="0"/>
        <w:autoSpaceDN w:val="0"/>
        <w:adjustRightInd w:val="0"/>
        <w:spacing w:line="480" w:lineRule="auto"/>
        <w:ind w:firstLine="720"/>
        <w:jc w:val="both"/>
        <w:rPr>
          <w:lang w:val="en-US"/>
        </w:rPr>
      </w:pPr>
      <w:r w:rsidRPr="00E600F8">
        <w:rPr>
          <w:lang w:val="en-US"/>
        </w:rPr>
        <w:t xml:space="preserve">The descriptive data indicated that overall adolescents </w:t>
      </w:r>
      <w:r w:rsidR="0065601B" w:rsidRPr="00E600F8">
        <w:rPr>
          <w:lang w:val="en-US"/>
        </w:rPr>
        <w:t>gambled</w:t>
      </w:r>
      <w:r w:rsidRPr="00E600F8">
        <w:rPr>
          <w:lang w:val="en-US"/>
        </w:rPr>
        <w:t xml:space="preserve"> more </w:t>
      </w:r>
      <w:r w:rsidR="0065601B" w:rsidRPr="00E600F8">
        <w:rPr>
          <w:lang w:val="en-US"/>
        </w:rPr>
        <w:t>on wheels</w:t>
      </w:r>
      <w:r w:rsidRPr="00E600F8">
        <w:rPr>
          <w:lang w:val="en-US"/>
        </w:rPr>
        <w:t xml:space="preserve"> when probabilities were unknown rather than explicit</w:t>
      </w:r>
      <w:r w:rsidR="008F257D" w:rsidRPr="00E600F8">
        <w:rPr>
          <w:lang w:val="en-US"/>
        </w:rPr>
        <w:t xml:space="preserve"> (see Table 1</w:t>
      </w:r>
      <w:r w:rsidR="00B013E1">
        <w:rPr>
          <w:lang w:val="en-US"/>
        </w:rPr>
        <w:t>, which also shows correlations between variables</w:t>
      </w:r>
      <w:r w:rsidR="008F257D" w:rsidRPr="00E600F8">
        <w:rPr>
          <w:lang w:val="en-US"/>
        </w:rPr>
        <w:t>)</w:t>
      </w:r>
      <w:r w:rsidRPr="00E600F8">
        <w:rPr>
          <w:lang w:val="en-US"/>
        </w:rPr>
        <w:t>.</w:t>
      </w:r>
      <w:r w:rsidR="005E080C" w:rsidRPr="00E600F8">
        <w:rPr>
          <w:lang w:val="en-US"/>
        </w:rPr>
        <w:t xml:space="preserve"> </w:t>
      </w:r>
      <w:r w:rsidR="0065601B" w:rsidRPr="00E600F8">
        <w:rPr>
          <w:lang w:val="en-US"/>
        </w:rPr>
        <w:t>Gambling d</w:t>
      </w:r>
      <w:r w:rsidRPr="00E600F8">
        <w:rPr>
          <w:lang w:val="en-US"/>
        </w:rPr>
        <w:t xml:space="preserve">ecisions were </w:t>
      </w:r>
      <w:r w:rsidR="0065601B" w:rsidRPr="00E600F8">
        <w:rPr>
          <w:lang w:val="en-US"/>
        </w:rPr>
        <w:t>more frequent in the</w:t>
      </w:r>
      <w:r w:rsidRPr="00E600F8">
        <w:rPr>
          <w:lang w:val="en-US"/>
        </w:rPr>
        <w:t xml:space="preserve"> ambiguous </w:t>
      </w:r>
      <w:r w:rsidR="0065601B" w:rsidRPr="00E600F8">
        <w:rPr>
          <w:lang w:val="en-US"/>
        </w:rPr>
        <w:t>condition</w:t>
      </w:r>
      <w:r w:rsidRPr="00E600F8">
        <w:rPr>
          <w:lang w:val="en-US"/>
        </w:rPr>
        <w:t xml:space="preserve"> (</w:t>
      </w:r>
      <w:r w:rsidRPr="00E600F8">
        <w:rPr>
          <w:i/>
          <w:lang w:val="en-US"/>
        </w:rPr>
        <w:t>M</w:t>
      </w:r>
      <w:r w:rsidR="00493ACD" w:rsidRPr="00E600F8">
        <w:rPr>
          <w:lang w:val="en-US"/>
        </w:rPr>
        <w:t>=0.58</w:t>
      </w:r>
      <w:r w:rsidRPr="00E600F8">
        <w:rPr>
          <w:lang w:val="en-US"/>
        </w:rPr>
        <w:t xml:space="preserve">, </w:t>
      </w:r>
      <w:r w:rsidRPr="00E600F8">
        <w:rPr>
          <w:i/>
          <w:lang w:val="en-US"/>
        </w:rPr>
        <w:t>SD</w:t>
      </w:r>
      <w:r w:rsidRPr="00E600F8">
        <w:rPr>
          <w:lang w:val="en-US"/>
        </w:rPr>
        <w:t xml:space="preserve">=0.25) than </w:t>
      </w:r>
      <w:r w:rsidR="0065601B" w:rsidRPr="00E600F8">
        <w:rPr>
          <w:lang w:val="en-US"/>
        </w:rPr>
        <w:t xml:space="preserve">the </w:t>
      </w:r>
      <w:r w:rsidRPr="00E600F8">
        <w:rPr>
          <w:lang w:val="en-US"/>
        </w:rPr>
        <w:t xml:space="preserve">explicit </w:t>
      </w:r>
      <w:r w:rsidR="0065601B" w:rsidRPr="00E600F8">
        <w:rPr>
          <w:lang w:val="en-US"/>
        </w:rPr>
        <w:t>condition</w:t>
      </w:r>
      <w:r w:rsidRPr="00E600F8">
        <w:rPr>
          <w:lang w:val="en-US"/>
        </w:rPr>
        <w:t xml:space="preserve"> (</w:t>
      </w:r>
      <w:r w:rsidRPr="00E600F8">
        <w:rPr>
          <w:i/>
          <w:lang w:val="en-US"/>
        </w:rPr>
        <w:t>M</w:t>
      </w:r>
      <w:r w:rsidR="00493ACD" w:rsidRPr="00E600F8">
        <w:rPr>
          <w:lang w:val="en-US"/>
        </w:rPr>
        <w:t>=0.52</w:t>
      </w:r>
      <w:r w:rsidRPr="00E600F8">
        <w:rPr>
          <w:lang w:val="en-US"/>
        </w:rPr>
        <w:t xml:space="preserve">, </w:t>
      </w:r>
      <w:r w:rsidRPr="00E600F8">
        <w:rPr>
          <w:i/>
          <w:lang w:val="en-US"/>
        </w:rPr>
        <w:t>SD</w:t>
      </w:r>
      <w:r w:rsidRPr="00E600F8">
        <w:rPr>
          <w:lang w:val="en-US"/>
        </w:rPr>
        <w:t>=0.28), as shown by a paired-</w:t>
      </w:r>
      <w:r w:rsidRPr="00E600F8">
        <w:rPr>
          <w:lang w:val="en-US"/>
        </w:rPr>
        <w:lastRenderedPageBreak/>
        <w:t xml:space="preserve">samples t-test: </w:t>
      </w:r>
      <w:r w:rsidRPr="00E600F8">
        <w:rPr>
          <w:i/>
          <w:lang w:val="en-US"/>
        </w:rPr>
        <w:t>t</w:t>
      </w:r>
      <w:r w:rsidRPr="00E600F8">
        <w:rPr>
          <w:lang w:val="en-US"/>
        </w:rPr>
        <w:t xml:space="preserve">(142)=2.10, </w:t>
      </w:r>
      <w:r w:rsidRPr="00E600F8">
        <w:rPr>
          <w:i/>
          <w:lang w:val="en-US"/>
        </w:rPr>
        <w:t>p</w:t>
      </w:r>
      <w:r w:rsidRPr="00E600F8">
        <w:rPr>
          <w:lang w:val="en-US"/>
        </w:rPr>
        <w:t>=.038</w:t>
      </w:r>
      <w:r w:rsidR="008E2C42" w:rsidRPr="00E600F8">
        <w:rPr>
          <w:lang w:val="en-US"/>
        </w:rPr>
        <w:t xml:space="preserve"> (see Figure 2)</w:t>
      </w:r>
      <w:r w:rsidRPr="00E600F8">
        <w:rPr>
          <w:lang w:val="en-US"/>
        </w:rPr>
        <w:t xml:space="preserve">. </w:t>
      </w:r>
      <w:r w:rsidR="00534FA5" w:rsidRPr="00E600F8">
        <w:rPr>
          <w:lang w:val="en-US"/>
        </w:rPr>
        <w:t xml:space="preserve">In the </w:t>
      </w:r>
      <w:r w:rsidR="0037180E" w:rsidRPr="00E600F8">
        <w:rPr>
          <w:lang w:val="en-US"/>
        </w:rPr>
        <w:t>risk</w:t>
      </w:r>
      <w:r w:rsidR="00534FA5" w:rsidRPr="00E600F8">
        <w:rPr>
          <w:lang w:val="en-US"/>
        </w:rPr>
        <w:t xml:space="preserve"> condition</w:t>
      </w:r>
      <w:r w:rsidR="0037180E" w:rsidRPr="00E600F8">
        <w:rPr>
          <w:lang w:val="en-US"/>
        </w:rPr>
        <w:t>,</w:t>
      </w:r>
      <w:r w:rsidR="00534FA5" w:rsidRPr="00E600F8">
        <w:rPr>
          <w:lang w:val="en-US"/>
        </w:rPr>
        <w:t xml:space="preserve"> gambling</w:t>
      </w:r>
      <w:r w:rsidR="0037180E" w:rsidRPr="00E600F8">
        <w:rPr>
          <w:lang w:val="en-US"/>
        </w:rPr>
        <w:t xml:space="preserve"> decisions made in </w:t>
      </w:r>
      <w:r w:rsidR="003A0F1B">
        <w:rPr>
          <w:lang w:val="en-US"/>
        </w:rPr>
        <w:t>groups</w:t>
      </w:r>
      <w:r w:rsidR="0037180E" w:rsidRPr="00E600F8">
        <w:rPr>
          <w:lang w:val="en-US"/>
        </w:rPr>
        <w:t xml:space="preserve"> (</w:t>
      </w:r>
      <w:r w:rsidR="0037180E" w:rsidRPr="00E600F8">
        <w:rPr>
          <w:i/>
          <w:lang w:val="en-US"/>
        </w:rPr>
        <w:t>M</w:t>
      </w:r>
      <w:r w:rsidR="0037180E" w:rsidRPr="00E600F8">
        <w:rPr>
          <w:lang w:val="en-US"/>
        </w:rPr>
        <w:t xml:space="preserve">=0.54, </w:t>
      </w:r>
      <w:r w:rsidR="0037180E" w:rsidRPr="00E600F8">
        <w:rPr>
          <w:i/>
          <w:lang w:val="en-US"/>
        </w:rPr>
        <w:t>SD</w:t>
      </w:r>
      <w:r w:rsidR="0037180E" w:rsidRPr="00E600F8">
        <w:rPr>
          <w:lang w:val="en-US"/>
        </w:rPr>
        <w:t xml:space="preserve">=0.28) were not significantly </w:t>
      </w:r>
      <w:r w:rsidR="00534FA5" w:rsidRPr="00E600F8">
        <w:rPr>
          <w:lang w:val="en-US"/>
        </w:rPr>
        <w:t xml:space="preserve">higher </w:t>
      </w:r>
      <w:r w:rsidR="0037180E" w:rsidRPr="00E600F8">
        <w:rPr>
          <w:lang w:val="en-US"/>
        </w:rPr>
        <w:t xml:space="preserve">than </w:t>
      </w:r>
      <w:r w:rsidR="00015E85" w:rsidRPr="00E600F8">
        <w:rPr>
          <w:lang w:val="en-US"/>
        </w:rPr>
        <w:t xml:space="preserve">gambling </w:t>
      </w:r>
      <w:r w:rsidR="0037180E" w:rsidRPr="00E600F8">
        <w:rPr>
          <w:lang w:val="en-US"/>
        </w:rPr>
        <w:t>decisions made alone (</w:t>
      </w:r>
      <w:r w:rsidR="0037180E" w:rsidRPr="00E600F8">
        <w:rPr>
          <w:i/>
          <w:lang w:val="en-US"/>
        </w:rPr>
        <w:t>M</w:t>
      </w:r>
      <w:r w:rsidR="0037180E" w:rsidRPr="00E600F8">
        <w:rPr>
          <w:lang w:val="en-US"/>
        </w:rPr>
        <w:t xml:space="preserve">=0.54, </w:t>
      </w:r>
      <w:r w:rsidR="0037180E" w:rsidRPr="00E600F8">
        <w:rPr>
          <w:i/>
          <w:lang w:val="en-US"/>
        </w:rPr>
        <w:t>SD</w:t>
      </w:r>
      <w:r w:rsidR="0037180E" w:rsidRPr="00E600F8">
        <w:rPr>
          <w:lang w:val="en-US"/>
        </w:rPr>
        <w:t xml:space="preserve">=0.28): </w:t>
      </w:r>
      <w:r w:rsidR="0037180E" w:rsidRPr="00E600F8">
        <w:rPr>
          <w:i/>
          <w:lang w:val="en-US"/>
        </w:rPr>
        <w:t>t</w:t>
      </w:r>
      <w:r w:rsidR="0037180E" w:rsidRPr="00E600F8">
        <w:rPr>
          <w:lang w:val="en-US"/>
        </w:rPr>
        <w:t xml:space="preserve">(141)=0.94, </w:t>
      </w:r>
      <w:r w:rsidR="0037180E" w:rsidRPr="00E600F8">
        <w:rPr>
          <w:i/>
          <w:lang w:val="en-US"/>
        </w:rPr>
        <w:t>p</w:t>
      </w:r>
      <w:r w:rsidR="0037180E" w:rsidRPr="00E600F8">
        <w:rPr>
          <w:lang w:val="en-US"/>
        </w:rPr>
        <w:t xml:space="preserve">=.350, two-tailed. However, under </w:t>
      </w:r>
      <w:r w:rsidR="00534FA5" w:rsidRPr="00E600F8">
        <w:rPr>
          <w:lang w:val="en-US"/>
        </w:rPr>
        <w:t>ambiguity</w:t>
      </w:r>
      <w:r w:rsidR="0037180E" w:rsidRPr="00E600F8">
        <w:rPr>
          <w:lang w:val="en-US"/>
        </w:rPr>
        <w:t xml:space="preserve">, </w:t>
      </w:r>
      <w:r w:rsidR="00534FA5" w:rsidRPr="00E600F8">
        <w:rPr>
          <w:lang w:val="en-US"/>
        </w:rPr>
        <w:t xml:space="preserve">gambling </w:t>
      </w:r>
      <w:r w:rsidR="0037180E" w:rsidRPr="00E600F8">
        <w:rPr>
          <w:lang w:val="en-US"/>
        </w:rPr>
        <w:t xml:space="preserve">decisions made in </w:t>
      </w:r>
      <w:r w:rsidR="003A0F1B">
        <w:rPr>
          <w:lang w:val="en-US"/>
        </w:rPr>
        <w:t>groups</w:t>
      </w:r>
      <w:r w:rsidR="0037180E" w:rsidRPr="00E600F8">
        <w:rPr>
          <w:lang w:val="en-US"/>
        </w:rPr>
        <w:t xml:space="preserve"> (</w:t>
      </w:r>
      <w:r w:rsidR="0037180E" w:rsidRPr="00E600F8">
        <w:rPr>
          <w:i/>
          <w:lang w:val="en-US"/>
        </w:rPr>
        <w:t>M</w:t>
      </w:r>
      <w:r w:rsidR="0037180E" w:rsidRPr="00E600F8">
        <w:rPr>
          <w:lang w:val="en-US"/>
        </w:rPr>
        <w:t xml:space="preserve">=0.61, </w:t>
      </w:r>
      <w:r w:rsidR="0037180E" w:rsidRPr="00E600F8">
        <w:rPr>
          <w:i/>
          <w:lang w:val="en-US"/>
        </w:rPr>
        <w:t>SD</w:t>
      </w:r>
      <w:r w:rsidR="0037180E" w:rsidRPr="00E600F8">
        <w:rPr>
          <w:lang w:val="en-US"/>
        </w:rPr>
        <w:t xml:space="preserve">=0.23) were significantly </w:t>
      </w:r>
      <w:r w:rsidR="00534FA5" w:rsidRPr="00E600F8">
        <w:rPr>
          <w:lang w:val="en-US"/>
        </w:rPr>
        <w:t>higher</w:t>
      </w:r>
      <w:r w:rsidR="0037180E" w:rsidRPr="00E600F8">
        <w:rPr>
          <w:lang w:val="en-US"/>
        </w:rPr>
        <w:t xml:space="preserve"> than </w:t>
      </w:r>
      <w:r w:rsidR="00015E85" w:rsidRPr="00E600F8">
        <w:rPr>
          <w:lang w:val="en-US"/>
        </w:rPr>
        <w:t xml:space="preserve">gambling </w:t>
      </w:r>
      <w:r w:rsidR="0037180E" w:rsidRPr="00E600F8">
        <w:rPr>
          <w:lang w:val="en-US"/>
        </w:rPr>
        <w:t>decisions made alone (</w:t>
      </w:r>
      <w:r w:rsidR="0037180E" w:rsidRPr="00E600F8">
        <w:rPr>
          <w:i/>
          <w:lang w:val="en-US"/>
        </w:rPr>
        <w:t>M</w:t>
      </w:r>
      <w:r w:rsidR="0037180E" w:rsidRPr="00E600F8">
        <w:rPr>
          <w:lang w:val="en-US"/>
        </w:rPr>
        <w:t xml:space="preserve">=0.52, </w:t>
      </w:r>
      <w:r w:rsidR="0037180E" w:rsidRPr="00E600F8">
        <w:rPr>
          <w:i/>
          <w:lang w:val="en-US"/>
        </w:rPr>
        <w:t>SD</w:t>
      </w:r>
      <w:r w:rsidR="0037180E" w:rsidRPr="00E600F8">
        <w:rPr>
          <w:lang w:val="en-US"/>
        </w:rPr>
        <w:t xml:space="preserve">=0.26): </w:t>
      </w:r>
      <w:r w:rsidR="0037180E" w:rsidRPr="00E600F8">
        <w:rPr>
          <w:i/>
          <w:lang w:val="en-US"/>
        </w:rPr>
        <w:t>t</w:t>
      </w:r>
      <w:r w:rsidR="0037180E" w:rsidRPr="00E600F8">
        <w:rPr>
          <w:lang w:val="en-US"/>
        </w:rPr>
        <w:t xml:space="preserve">(141)=2.15, </w:t>
      </w:r>
      <w:r w:rsidR="0037180E" w:rsidRPr="00E600F8">
        <w:rPr>
          <w:i/>
          <w:lang w:val="en-US"/>
        </w:rPr>
        <w:t>p</w:t>
      </w:r>
      <w:r w:rsidR="0037180E" w:rsidRPr="00E600F8">
        <w:rPr>
          <w:lang w:val="en-US"/>
        </w:rPr>
        <w:t xml:space="preserve">=.033, two-tailed. </w:t>
      </w:r>
      <w:r w:rsidR="005E10F2" w:rsidRPr="00E600F8">
        <w:rPr>
          <w:lang w:val="en-US"/>
        </w:rPr>
        <w:t>Regarding cheating, 69 (59.5%) of the reported scores were correct, and 47 (40.5%) were reported as higher than they actually were (i.e., cheating).</w:t>
      </w:r>
      <w:r w:rsidR="00B42CB3" w:rsidRPr="00E600F8">
        <w:rPr>
          <w:rStyle w:val="FootnoteReference"/>
          <w:lang w:val="en-US"/>
        </w:rPr>
        <w:footnoteReference w:customMarkFollows="1" w:id="2"/>
        <w:t>3</w:t>
      </w:r>
      <w:r w:rsidRPr="00E600F8">
        <w:rPr>
          <w:lang w:val="en-US"/>
        </w:rPr>
        <w:t xml:space="preserve"> Participants who completed the task in </w:t>
      </w:r>
      <w:r w:rsidR="003C6591">
        <w:rPr>
          <w:lang w:val="en-US"/>
        </w:rPr>
        <w:t>groups</w:t>
      </w:r>
      <w:r w:rsidRPr="00E600F8">
        <w:rPr>
          <w:lang w:val="en-US"/>
        </w:rPr>
        <w:t xml:space="preserve"> did not cheat more often than those who completed the task </w:t>
      </w:r>
      <w:r w:rsidR="00AC6E69" w:rsidRPr="00E600F8">
        <w:rPr>
          <w:lang w:val="en-US"/>
        </w:rPr>
        <w:t>alone</w:t>
      </w:r>
      <w:r w:rsidRPr="00E600F8">
        <w:rPr>
          <w:lang w:val="en-US"/>
        </w:rPr>
        <w:t xml:space="preserve">: </w:t>
      </w:r>
      <w:r w:rsidRPr="00E600F8">
        <w:rPr>
          <w:i/>
          <w:lang w:val="en-US"/>
        </w:rPr>
        <w:t>χ</w:t>
      </w:r>
      <w:r w:rsidRPr="00E600F8">
        <w:rPr>
          <w:vertAlign w:val="superscript"/>
          <w:lang w:val="en-US"/>
        </w:rPr>
        <w:t>2</w:t>
      </w:r>
      <w:r w:rsidRPr="00E600F8">
        <w:rPr>
          <w:lang w:val="en-US"/>
        </w:rPr>
        <w:t xml:space="preserve">(1)=0.13, </w:t>
      </w:r>
      <w:r w:rsidRPr="00E600F8">
        <w:rPr>
          <w:i/>
          <w:lang w:val="en-US"/>
        </w:rPr>
        <w:t>p</w:t>
      </w:r>
      <w:r w:rsidRPr="00E600F8">
        <w:rPr>
          <w:lang w:val="en-US"/>
        </w:rPr>
        <w:t xml:space="preserve">=.723. </w:t>
      </w:r>
    </w:p>
    <w:p w14:paraId="3F5C23F4" w14:textId="4D654C3D" w:rsidR="006266D2" w:rsidRPr="00E600F8" w:rsidRDefault="006544E3" w:rsidP="00D41400">
      <w:pPr>
        <w:widowControl w:val="0"/>
        <w:autoSpaceDE w:val="0"/>
        <w:autoSpaceDN w:val="0"/>
        <w:adjustRightInd w:val="0"/>
        <w:spacing w:line="480" w:lineRule="auto"/>
        <w:ind w:firstLine="720"/>
        <w:jc w:val="both"/>
        <w:rPr>
          <w:lang w:val="en-US"/>
        </w:rPr>
      </w:pPr>
      <w:r w:rsidRPr="00E600F8">
        <w:rPr>
          <w:lang w:val="en-US"/>
        </w:rPr>
        <w:t>Intraclass correlatio</w:t>
      </w:r>
      <w:r w:rsidR="00DE4547" w:rsidRPr="00E600F8">
        <w:rPr>
          <w:lang w:val="en-US"/>
        </w:rPr>
        <w:t>ns</w:t>
      </w:r>
      <w:r w:rsidR="00D41400" w:rsidRPr="00E600F8">
        <w:rPr>
          <w:lang w:val="en-US"/>
        </w:rPr>
        <w:t xml:space="preserve"> (ICCs)</w:t>
      </w:r>
      <w:r w:rsidR="00DE4547" w:rsidRPr="00E600F8">
        <w:rPr>
          <w:lang w:val="en-US"/>
        </w:rPr>
        <w:t xml:space="preserve"> for the null models</w:t>
      </w:r>
      <w:r w:rsidR="006A4684" w:rsidRPr="00E600F8">
        <w:rPr>
          <w:lang w:val="en-US"/>
        </w:rPr>
        <w:t xml:space="preserve"> predicting risk behavio</w:t>
      </w:r>
      <w:r w:rsidR="00CB1BE3" w:rsidRPr="00E600F8">
        <w:rPr>
          <w:lang w:val="en-US"/>
        </w:rPr>
        <w:t>r</w:t>
      </w:r>
      <w:r w:rsidR="00DE4547" w:rsidRPr="00E600F8">
        <w:rPr>
          <w:lang w:val="en-US"/>
        </w:rPr>
        <w:t xml:space="preserve"> were </w:t>
      </w:r>
      <w:r w:rsidR="001A7434" w:rsidRPr="00E600F8">
        <w:rPr>
          <w:i/>
          <w:lang w:val="en-US"/>
        </w:rPr>
        <w:t>ρ</w:t>
      </w:r>
      <w:r w:rsidR="001A7434" w:rsidRPr="00E600F8">
        <w:rPr>
          <w:lang w:val="en-US"/>
        </w:rPr>
        <w:t>=</w:t>
      </w:r>
      <w:r w:rsidR="006A4684" w:rsidRPr="00E600F8">
        <w:rPr>
          <w:lang w:val="en-US"/>
        </w:rPr>
        <w:t>.633</w:t>
      </w:r>
      <w:r w:rsidR="00BC2E51" w:rsidRPr="00E600F8">
        <w:rPr>
          <w:lang w:val="en-US"/>
        </w:rPr>
        <w:t xml:space="preserve"> (ambiguity</w:t>
      </w:r>
      <w:r w:rsidRPr="00E600F8">
        <w:rPr>
          <w:lang w:val="en-US"/>
        </w:rPr>
        <w:t xml:space="preserve">), </w:t>
      </w:r>
      <w:r w:rsidR="001A7434" w:rsidRPr="00E600F8">
        <w:rPr>
          <w:i/>
          <w:lang w:val="en-US"/>
        </w:rPr>
        <w:t>ρ</w:t>
      </w:r>
      <w:r w:rsidR="001A7434" w:rsidRPr="00E600F8">
        <w:rPr>
          <w:lang w:val="en-US"/>
        </w:rPr>
        <w:t>=</w:t>
      </w:r>
      <w:r w:rsidR="006A4684" w:rsidRPr="00E600F8">
        <w:rPr>
          <w:lang w:val="en-US"/>
        </w:rPr>
        <w:t>.612</w:t>
      </w:r>
      <w:r w:rsidR="00BC2E51" w:rsidRPr="00E600F8">
        <w:rPr>
          <w:lang w:val="en-US"/>
        </w:rPr>
        <w:t xml:space="preserve"> (</w:t>
      </w:r>
      <w:r w:rsidR="00DE4547" w:rsidRPr="00E600F8">
        <w:rPr>
          <w:lang w:val="en-US"/>
        </w:rPr>
        <w:t xml:space="preserve">risk) and </w:t>
      </w:r>
      <w:r w:rsidR="001A7434" w:rsidRPr="00E600F8">
        <w:rPr>
          <w:i/>
          <w:lang w:val="en-US"/>
        </w:rPr>
        <w:t>ρ</w:t>
      </w:r>
      <w:r w:rsidR="001A7434" w:rsidRPr="00E600F8">
        <w:rPr>
          <w:lang w:val="en-US"/>
        </w:rPr>
        <w:t>=</w:t>
      </w:r>
      <w:r w:rsidR="006A4684" w:rsidRPr="00E600F8">
        <w:rPr>
          <w:lang w:val="en-US"/>
        </w:rPr>
        <w:t>.592</w:t>
      </w:r>
      <w:r w:rsidR="000F186C" w:rsidRPr="00E600F8">
        <w:rPr>
          <w:lang w:val="en-US"/>
        </w:rPr>
        <w:t xml:space="preserve"> (cheating)</w:t>
      </w:r>
      <w:r w:rsidR="00464C30" w:rsidRPr="00E600F8">
        <w:rPr>
          <w:lang w:val="en-US"/>
        </w:rPr>
        <w:t xml:space="preserve">. </w:t>
      </w:r>
      <w:r w:rsidR="00A947DE" w:rsidRPr="00E600F8">
        <w:rPr>
          <w:lang w:val="en-US"/>
        </w:rPr>
        <w:t xml:space="preserve">These indicate that </w:t>
      </w:r>
      <w:r w:rsidR="000F0C0B" w:rsidRPr="00E600F8">
        <w:rPr>
          <w:lang w:val="en-US"/>
        </w:rPr>
        <w:t xml:space="preserve">a large proportion </w:t>
      </w:r>
      <w:r w:rsidR="004B5691" w:rsidRPr="00E600F8">
        <w:rPr>
          <w:lang w:val="en-US"/>
        </w:rPr>
        <w:t xml:space="preserve">of the variance in risk behavior stems from variation between dyads (i.e., level 2 units) </w:t>
      </w:r>
      <w:r w:rsidR="00A947DE" w:rsidRPr="00E600F8">
        <w:rPr>
          <w:lang w:val="en-US"/>
        </w:rPr>
        <w:t xml:space="preserve">and hence supported the need for HLM to be used in the data analysis. </w:t>
      </w:r>
      <w:r w:rsidR="00F701FB" w:rsidRPr="00E600F8">
        <w:rPr>
          <w:lang w:val="en-US"/>
        </w:rPr>
        <w:t xml:space="preserve">Table 2 </w:t>
      </w:r>
      <w:r w:rsidR="00086D3D" w:rsidRPr="00E600F8">
        <w:rPr>
          <w:lang w:val="en-US"/>
        </w:rPr>
        <w:t>presents the HLM models.</w:t>
      </w:r>
      <w:r w:rsidR="001C7B6A" w:rsidRPr="00E600F8">
        <w:rPr>
          <w:lang w:val="en-US"/>
        </w:rPr>
        <w:t xml:space="preserve"> For all outcome variables – </w:t>
      </w:r>
      <w:r w:rsidR="006866A3" w:rsidRPr="00E600F8">
        <w:rPr>
          <w:lang w:val="en-US"/>
        </w:rPr>
        <w:t>gambling</w:t>
      </w:r>
      <w:r w:rsidR="001C7B6A" w:rsidRPr="00E600F8">
        <w:rPr>
          <w:lang w:val="en-US"/>
        </w:rPr>
        <w:t xml:space="preserve"> </w:t>
      </w:r>
      <w:r w:rsidR="00387D94" w:rsidRPr="00E600F8">
        <w:rPr>
          <w:lang w:val="en-US"/>
        </w:rPr>
        <w:t>in the</w:t>
      </w:r>
      <w:r w:rsidR="001C7B6A" w:rsidRPr="00E600F8">
        <w:rPr>
          <w:lang w:val="en-US"/>
        </w:rPr>
        <w:t xml:space="preserve"> ambiguous </w:t>
      </w:r>
      <w:r w:rsidR="006866A3" w:rsidRPr="00E600F8">
        <w:rPr>
          <w:lang w:val="en-US"/>
        </w:rPr>
        <w:t>condition</w:t>
      </w:r>
      <w:r w:rsidR="00387D94" w:rsidRPr="00E600F8">
        <w:rPr>
          <w:lang w:val="en-US"/>
        </w:rPr>
        <w:t xml:space="preserve"> </w:t>
      </w:r>
      <w:r w:rsidR="001C7B6A" w:rsidRPr="00E600F8">
        <w:rPr>
          <w:lang w:val="en-US"/>
        </w:rPr>
        <w:t xml:space="preserve">(Table 2a), </w:t>
      </w:r>
      <w:r w:rsidR="00387D94" w:rsidRPr="00E600F8">
        <w:rPr>
          <w:lang w:val="en-US"/>
        </w:rPr>
        <w:t>gambling in</w:t>
      </w:r>
      <w:r w:rsidR="001C7B6A" w:rsidRPr="00E600F8">
        <w:rPr>
          <w:lang w:val="en-US"/>
        </w:rPr>
        <w:t xml:space="preserve"> </w:t>
      </w:r>
      <w:r w:rsidR="00387D94" w:rsidRPr="00E600F8">
        <w:rPr>
          <w:lang w:val="en-US"/>
        </w:rPr>
        <w:t>the</w:t>
      </w:r>
      <w:r w:rsidR="001C7B6A" w:rsidRPr="00E600F8">
        <w:rPr>
          <w:lang w:val="en-US"/>
        </w:rPr>
        <w:t xml:space="preserve"> risk</w:t>
      </w:r>
      <w:r w:rsidR="00387D94" w:rsidRPr="00E600F8">
        <w:rPr>
          <w:lang w:val="en-US"/>
        </w:rPr>
        <w:t xml:space="preserve"> condition</w:t>
      </w:r>
      <w:r w:rsidR="001C7B6A" w:rsidRPr="00E600F8">
        <w:rPr>
          <w:lang w:val="en-US"/>
        </w:rPr>
        <w:t xml:space="preserve"> (Table 2b), and cheating</w:t>
      </w:r>
      <w:r w:rsidR="008D4737" w:rsidRPr="00E600F8">
        <w:rPr>
          <w:lang w:val="en-US"/>
        </w:rPr>
        <w:t xml:space="preserve"> (Table 2c)</w:t>
      </w:r>
      <w:r w:rsidR="001C7B6A" w:rsidRPr="00E600F8">
        <w:rPr>
          <w:lang w:val="en-US"/>
        </w:rPr>
        <w:t xml:space="preserve"> – we first entered the level 1 predictors (age</w:t>
      </w:r>
      <w:r w:rsidR="008D4737" w:rsidRPr="00E600F8">
        <w:rPr>
          <w:lang w:val="en-US"/>
        </w:rPr>
        <w:t>, risk perception, reward sensitivity, and inhibitory control</w:t>
      </w:r>
      <w:r w:rsidR="001C7B6A" w:rsidRPr="00E600F8">
        <w:rPr>
          <w:lang w:val="en-US"/>
        </w:rPr>
        <w:t xml:space="preserve">) in Model 1, and then added the level 2 predictor </w:t>
      </w:r>
      <w:r w:rsidR="000A281D" w:rsidRPr="00E600F8">
        <w:rPr>
          <w:lang w:val="en-US"/>
        </w:rPr>
        <w:t>g</w:t>
      </w:r>
      <w:r w:rsidR="00CB4ACA" w:rsidRPr="00E600F8">
        <w:rPr>
          <w:lang w:val="en-US"/>
        </w:rPr>
        <w:t>roup membership</w:t>
      </w:r>
      <w:r w:rsidR="001C7B6A" w:rsidRPr="00E600F8">
        <w:rPr>
          <w:lang w:val="en-US"/>
        </w:rPr>
        <w:t xml:space="preserve"> in Model 2. </w:t>
      </w:r>
    </w:p>
    <w:p w14:paraId="13D8032E" w14:textId="67127D23" w:rsidR="006266D2" w:rsidRPr="00E600F8" w:rsidRDefault="00387D94">
      <w:pPr>
        <w:widowControl w:val="0"/>
        <w:autoSpaceDE w:val="0"/>
        <w:autoSpaceDN w:val="0"/>
        <w:adjustRightInd w:val="0"/>
        <w:spacing w:line="480" w:lineRule="auto"/>
        <w:ind w:firstLine="720"/>
        <w:jc w:val="both"/>
        <w:rPr>
          <w:lang w:val="en-US"/>
        </w:rPr>
      </w:pPr>
      <w:r w:rsidRPr="00E600F8">
        <w:rPr>
          <w:lang w:val="en-US"/>
        </w:rPr>
        <w:t>Gambling</w:t>
      </w:r>
      <w:r w:rsidR="008D4737" w:rsidRPr="00E600F8">
        <w:rPr>
          <w:lang w:val="en-US"/>
        </w:rPr>
        <w:t xml:space="preserve"> </w:t>
      </w:r>
      <w:r w:rsidRPr="00E600F8">
        <w:rPr>
          <w:lang w:val="en-US"/>
        </w:rPr>
        <w:t>in the</w:t>
      </w:r>
      <w:r w:rsidR="008D4737" w:rsidRPr="00E600F8">
        <w:rPr>
          <w:lang w:val="en-US"/>
        </w:rPr>
        <w:t xml:space="preserve"> ambiguous </w:t>
      </w:r>
      <w:r w:rsidRPr="00E600F8">
        <w:rPr>
          <w:lang w:val="en-US"/>
        </w:rPr>
        <w:t>condition</w:t>
      </w:r>
      <w:r w:rsidR="008D4737" w:rsidRPr="00E600F8">
        <w:rPr>
          <w:lang w:val="en-US"/>
        </w:rPr>
        <w:t xml:space="preserve"> (Table 2a, Model 1) was significantly predicted by participants’ age: The older the adolescents, hence approaching mid-adolescence, the more </w:t>
      </w:r>
      <w:r w:rsidR="0089143B">
        <w:rPr>
          <w:lang w:val="en-US"/>
        </w:rPr>
        <w:t>often they gambled</w:t>
      </w:r>
      <w:r w:rsidR="008D4737" w:rsidRPr="00E600F8">
        <w:rPr>
          <w:lang w:val="en-US"/>
        </w:rPr>
        <w:t xml:space="preserve">. None of the developmental dispositions </w:t>
      </w:r>
      <w:r w:rsidR="00F02692" w:rsidRPr="00E600F8">
        <w:rPr>
          <w:lang w:val="en-US"/>
        </w:rPr>
        <w:t xml:space="preserve">significantly predicted </w:t>
      </w:r>
      <w:r w:rsidRPr="00E600F8">
        <w:rPr>
          <w:lang w:val="en-US"/>
        </w:rPr>
        <w:t>gambling</w:t>
      </w:r>
      <w:r w:rsidR="00F02692" w:rsidRPr="00E600F8">
        <w:rPr>
          <w:lang w:val="en-US"/>
        </w:rPr>
        <w:t xml:space="preserve"> under ambiguity</w:t>
      </w:r>
      <w:r w:rsidR="00BF445F" w:rsidRPr="00E600F8">
        <w:rPr>
          <w:lang w:val="en-US"/>
        </w:rPr>
        <w:t>.</w:t>
      </w:r>
      <w:r w:rsidR="008D4737" w:rsidRPr="00E600F8">
        <w:rPr>
          <w:lang w:val="en-US"/>
        </w:rPr>
        <w:t xml:space="preserve"> As </w:t>
      </w:r>
      <w:r w:rsidR="000A281D" w:rsidRPr="00E600F8">
        <w:rPr>
          <w:lang w:val="en-US"/>
        </w:rPr>
        <w:t>gro</w:t>
      </w:r>
      <w:r w:rsidR="00CB4ACA" w:rsidRPr="00E600F8">
        <w:rPr>
          <w:lang w:val="en-US"/>
        </w:rPr>
        <w:t>up membership</w:t>
      </w:r>
      <w:r w:rsidR="008D4737" w:rsidRPr="00E600F8">
        <w:rPr>
          <w:lang w:val="en-US"/>
        </w:rPr>
        <w:t xml:space="preserve"> was added as predictor in Model 2, the model fit (-2LL) improved (</w:t>
      </w:r>
      <w:r w:rsidR="008D4737" w:rsidRPr="00E600F8">
        <w:rPr>
          <w:i/>
          <w:lang w:val="en-US"/>
        </w:rPr>
        <w:t>p</w:t>
      </w:r>
      <w:r w:rsidR="00F02692" w:rsidRPr="00E600F8">
        <w:rPr>
          <w:i/>
          <w:lang w:val="en-US"/>
        </w:rPr>
        <w:t xml:space="preserve"> </w:t>
      </w:r>
      <w:r w:rsidR="008D4737" w:rsidRPr="00E600F8">
        <w:rPr>
          <w:lang w:val="en-US"/>
        </w:rPr>
        <w:t>&lt;</w:t>
      </w:r>
      <w:r w:rsidR="00F02692" w:rsidRPr="00E600F8">
        <w:rPr>
          <w:lang w:val="en-US"/>
        </w:rPr>
        <w:t xml:space="preserve"> </w:t>
      </w:r>
      <w:r w:rsidR="008D4737" w:rsidRPr="00E600F8">
        <w:rPr>
          <w:lang w:val="en-US"/>
        </w:rPr>
        <w:t xml:space="preserve">.01): </w:t>
      </w:r>
      <w:r w:rsidR="000A281D" w:rsidRPr="00E600F8">
        <w:rPr>
          <w:lang w:val="en-US"/>
        </w:rPr>
        <w:t>Gambling was more frequent</w:t>
      </w:r>
      <w:r w:rsidR="008D4737" w:rsidRPr="00E600F8">
        <w:rPr>
          <w:lang w:val="en-US"/>
        </w:rPr>
        <w:t xml:space="preserve"> </w:t>
      </w:r>
      <w:r w:rsidR="000A281D" w:rsidRPr="00E600F8">
        <w:rPr>
          <w:lang w:val="en-US"/>
        </w:rPr>
        <w:t>when decisions were made in groups</w:t>
      </w:r>
      <w:r w:rsidR="008D4737" w:rsidRPr="00E600F8">
        <w:rPr>
          <w:lang w:val="en-US"/>
        </w:rPr>
        <w:t xml:space="preserve"> compared to </w:t>
      </w:r>
      <w:r w:rsidR="000A281D" w:rsidRPr="00E600F8">
        <w:rPr>
          <w:lang w:val="en-US"/>
        </w:rPr>
        <w:t>those made</w:t>
      </w:r>
      <w:r w:rsidR="008D4737" w:rsidRPr="00E600F8">
        <w:rPr>
          <w:lang w:val="en-US"/>
        </w:rPr>
        <w:t xml:space="preserve"> alone. </w:t>
      </w:r>
      <w:r w:rsidR="006266D2" w:rsidRPr="00E600F8">
        <w:rPr>
          <w:lang w:val="en-US"/>
        </w:rPr>
        <w:t xml:space="preserve">A third model which included only age and </w:t>
      </w:r>
      <w:r w:rsidR="007C29B1" w:rsidRPr="00E600F8">
        <w:rPr>
          <w:lang w:val="en-US"/>
        </w:rPr>
        <w:t>g</w:t>
      </w:r>
      <w:r w:rsidR="00CB4ACA" w:rsidRPr="00E600F8">
        <w:rPr>
          <w:lang w:val="en-US"/>
        </w:rPr>
        <w:t>roup membership</w:t>
      </w:r>
      <w:r w:rsidR="006266D2" w:rsidRPr="00E600F8">
        <w:rPr>
          <w:lang w:val="en-US"/>
        </w:rPr>
        <w:t xml:space="preserve"> </w:t>
      </w:r>
      <w:r w:rsidR="006266D2" w:rsidRPr="00E600F8">
        <w:rPr>
          <w:lang w:val="en-US"/>
        </w:rPr>
        <w:lastRenderedPageBreak/>
        <w:t>as predictors had the best fit, which was significantly better than Model 1</w:t>
      </w:r>
      <w:r w:rsidR="008D4737" w:rsidRPr="00E600F8">
        <w:rPr>
          <w:lang w:val="en-US"/>
        </w:rPr>
        <w:t xml:space="preserve"> </w:t>
      </w:r>
      <w:r w:rsidR="006266D2" w:rsidRPr="00E600F8">
        <w:rPr>
          <w:lang w:val="en-US"/>
        </w:rPr>
        <w:t>(</w:t>
      </w:r>
      <w:r w:rsidR="006266D2" w:rsidRPr="00E600F8">
        <w:rPr>
          <w:i/>
          <w:lang w:val="en-US"/>
        </w:rPr>
        <w:t>p</w:t>
      </w:r>
      <w:r w:rsidR="00F02692" w:rsidRPr="00E600F8">
        <w:rPr>
          <w:i/>
          <w:lang w:val="en-US"/>
        </w:rPr>
        <w:t xml:space="preserve"> </w:t>
      </w:r>
      <w:r w:rsidR="006266D2" w:rsidRPr="00E600F8">
        <w:rPr>
          <w:lang w:val="en-US"/>
        </w:rPr>
        <w:t>&lt;</w:t>
      </w:r>
      <w:r w:rsidR="00F02692" w:rsidRPr="00E600F8">
        <w:rPr>
          <w:lang w:val="en-US"/>
        </w:rPr>
        <w:t xml:space="preserve"> </w:t>
      </w:r>
      <w:r w:rsidR="006266D2" w:rsidRPr="00E600F8">
        <w:rPr>
          <w:lang w:val="en-US"/>
        </w:rPr>
        <w:t xml:space="preserve">.05). </w:t>
      </w:r>
      <w:r w:rsidR="00372780" w:rsidRPr="00E600F8">
        <w:rPr>
          <w:lang w:val="en-US"/>
        </w:rPr>
        <w:t xml:space="preserve">Finally, risk perception on the </w:t>
      </w:r>
      <w:r w:rsidR="007C29B1" w:rsidRPr="00E600F8">
        <w:rPr>
          <w:lang w:val="en-US"/>
        </w:rPr>
        <w:t>group</w:t>
      </w:r>
      <w:r w:rsidR="00372780" w:rsidRPr="00E600F8">
        <w:rPr>
          <w:lang w:val="en-US"/>
        </w:rPr>
        <w:t xml:space="preserve"> level was entered into a fourth model</w:t>
      </w:r>
      <w:r w:rsidR="001D3EAF" w:rsidRPr="00E600F8">
        <w:rPr>
          <w:lang w:val="en-US"/>
        </w:rPr>
        <w:t xml:space="preserve"> alongside age and </w:t>
      </w:r>
      <w:r w:rsidR="00CB4ACA" w:rsidRPr="00E600F8">
        <w:rPr>
          <w:lang w:val="en-US"/>
        </w:rPr>
        <w:t>group membership</w:t>
      </w:r>
      <w:r w:rsidR="00372780" w:rsidRPr="00E600F8">
        <w:rPr>
          <w:lang w:val="en-US"/>
        </w:rPr>
        <w:t>. This did not improve the model fit</w:t>
      </w:r>
      <w:r w:rsidR="0044045C" w:rsidRPr="00E600F8">
        <w:rPr>
          <w:lang w:val="en-US"/>
        </w:rPr>
        <w:t xml:space="preserve"> (</w:t>
      </w:r>
      <w:r w:rsidR="0044045C" w:rsidRPr="00E600F8">
        <w:rPr>
          <w:i/>
          <w:lang w:val="en-US"/>
        </w:rPr>
        <w:t>p</w:t>
      </w:r>
      <w:r w:rsidR="00F02692" w:rsidRPr="00E600F8">
        <w:rPr>
          <w:i/>
          <w:lang w:val="en-US"/>
        </w:rPr>
        <w:t xml:space="preserve"> </w:t>
      </w:r>
      <w:r w:rsidR="0044045C" w:rsidRPr="00E600F8">
        <w:rPr>
          <w:lang w:val="en-US"/>
        </w:rPr>
        <w:t>&gt;</w:t>
      </w:r>
      <w:r w:rsidR="00F02692" w:rsidRPr="00E600F8">
        <w:rPr>
          <w:lang w:val="en-US"/>
        </w:rPr>
        <w:t xml:space="preserve"> </w:t>
      </w:r>
      <w:r w:rsidR="0044045C" w:rsidRPr="00E600F8">
        <w:rPr>
          <w:lang w:val="en-US"/>
        </w:rPr>
        <w:t>.05)</w:t>
      </w:r>
      <w:r w:rsidR="00372780" w:rsidRPr="00E600F8">
        <w:rPr>
          <w:lang w:val="en-US"/>
        </w:rPr>
        <w:t>, nor was this variable a significant predictor (</w:t>
      </w:r>
      <w:r w:rsidR="00372780" w:rsidRPr="00E600F8">
        <w:rPr>
          <w:i/>
          <w:lang w:val="en-US"/>
        </w:rPr>
        <w:t xml:space="preserve">p </w:t>
      </w:r>
      <w:r w:rsidR="00372780" w:rsidRPr="00E600F8">
        <w:rPr>
          <w:lang w:val="en-US"/>
        </w:rPr>
        <w:t xml:space="preserve">= </w:t>
      </w:r>
      <w:r w:rsidR="001D3EAF" w:rsidRPr="00E600F8">
        <w:rPr>
          <w:lang w:val="en-US"/>
        </w:rPr>
        <w:t>.855</w:t>
      </w:r>
      <w:r w:rsidR="00372780" w:rsidRPr="00E600F8">
        <w:rPr>
          <w:lang w:val="en-US"/>
        </w:rPr>
        <w:t>).</w:t>
      </w:r>
    </w:p>
    <w:p w14:paraId="4B55336B" w14:textId="75188C64" w:rsidR="006266D2" w:rsidRPr="00E600F8" w:rsidRDefault="004E1DF6">
      <w:pPr>
        <w:widowControl w:val="0"/>
        <w:autoSpaceDE w:val="0"/>
        <w:autoSpaceDN w:val="0"/>
        <w:adjustRightInd w:val="0"/>
        <w:spacing w:line="480" w:lineRule="auto"/>
        <w:ind w:firstLine="720"/>
        <w:jc w:val="both"/>
        <w:rPr>
          <w:lang w:val="en-US"/>
        </w:rPr>
      </w:pPr>
      <w:r w:rsidRPr="00E600F8">
        <w:rPr>
          <w:lang w:val="en-US"/>
        </w:rPr>
        <w:t>Gambling</w:t>
      </w:r>
      <w:r w:rsidR="006266D2" w:rsidRPr="00E600F8">
        <w:rPr>
          <w:lang w:val="en-US"/>
        </w:rPr>
        <w:t xml:space="preserve"> under risk (Table 2b) was not significantly predicted by any of the proposed predictors. Cheating (Table 2c) was significantly predicted only by age: The older the participants, the less they cheated.</w:t>
      </w:r>
    </w:p>
    <w:p w14:paraId="3A78D3C5" w14:textId="1AD59617" w:rsidR="009D1BC0" w:rsidRPr="00E600F8" w:rsidRDefault="006266D2">
      <w:pPr>
        <w:widowControl w:val="0"/>
        <w:autoSpaceDE w:val="0"/>
        <w:autoSpaceDN w:val="0"/>
        <w:adjustRightInd w:val="0"/>
        <w:spacing w:line="480" w:lineRule="auto"/>
        <w:ind w:firstLine="720"/>
        <w:jc w:val="both"/>
        <w:rPr>
          <w:lang w:val="en-US"/>
        </w:rPr>
      </w:pPr>
      <w:r w:rsidRPr="00E600F8">
        <w:rPr>
          <w:lang w:val="en-US"/>
        </w:rPr>
        <w:t xml:space="preserve">It is also noteworthy that the intercept in all models differs significantly from zero. For all outcomes, zero marks no </w:t>
      </w:r>
      <w:r w:rsidR="007160BB" w:rsidRPr="00E600F8">
        <w:rPr>
          <w:lang w:val="en-US"/>
        </w:rPr>
        <w:t>gambling</w:t>
      </w:r>
      <w:r w:rsidR="00D65734" w:rsidRPr="00E600F8">
        <w:rPr>
          <w:lang w:val="en-US"/>
        </w:rPr>
        <w:t xml:space="preserve">. This underlines that adolescents significantly engaged in </w:t>
      </w:r>
      <w:r w:rsidR="007160BB" w:rsidRPr="00E600F8">
        <w:rPr>
          <w:lang w:val="en-US"/>
        </w:rPr>
        <w:t>gambling</w:t>
      </w:r>
      <w:r w:rsidR="00D65734" w:rsidRPr="00E600F8">
        <w:rPr>
          <w:lang w:val="en-US"/>
        </w:rPr>
        <w:t xml:space="preserve"> behavior. </w:t>
      </w:r>
    </w:p>
    <w:p w14:paraId="1F66FA98" w14:textId="5C2B1C27" w:rsidR="003A00A5" w:rsidRPr="00E600F8" w:rsidRDefault="00997ED4" w:rsidP="008C3DDE">
      <w:pPr>
        <w:spacing w:line="480" w:lineRule="auto"/>
        <w:jc w:val="center"/>
        <w:outlineLvl w:val="0"/>
        <w:rPr>
          <w:b/>
          <w:lang w:val="en-US"/>
        </w:rPr>
      </w:pPr>
      <w:r w:rsidRPr="00E600F8">
        <w:rPr>
          <w:b/>
          <w:lang w:val="en-US"/>
        </w:rPr>
        <w:t>Discussion</w:t>
      </w:r>
    </w:p>
    <w:p w14:paraId="60F4A763" w14:textId="2E4B1520" w:rsidR="0023788C" w:rsidRPr="00E600F8" w:rsidRDefault="0000372B" w:rsidP="0023788C">
      <w:pPr>
        <w:spacing w:line="480" w:lineRule="auto"/>
        <w:ind w:firstLine="720"/>
        <w:jc w:val="both"/>
        <w:rPr>
          <w:lang w:val="en-US"/>
        </w:rPr>
      </w:pPr>
      <w:r w:rsidRPr="00E600F8">
        <w:rPr>
          <w:lang w:val="en-US"/>
        </w:rPr>
        <w:t>The current study investigate</w:t>
      </w:r>
      <w:r w:rsidR="0055759D" w:rsidRPr="00E600F8">
        <w:rPr>
          <w:lang w:val="en-US"/>
        </w:rPr>
        <w:t>d</w:t>
      </w:r>
      <w:r w:rsidRPr="00E600F8">
        <w:rPr>
          <w:lang w:val="en-US"/>
        </w:rPr>
        <w:t xml:space="preserve"> </w:t>
      </w:r>
      <w:r w:rsidR="00435DAC" w:rsidRPr="00E600F8">
        <w:rPr>
          <w:lang w:val="en-US"/>
        </w:rPr>
        <w:t>early-adolescent males’</w:t>
      </w:r>
      <w:r w:rsidR="00061611" w:rsidRPr="00E600F8">
        <w:rPr>
          <w:lang w:val="en-US"/>
        </w:rPr>
        <w:t xml:space="preserve"> responses in an economic </w:t>
      </w:r>
      <w:r w:rsidR="00F72376" w:rsidRPr="00E600F8">
        <w:rPr>
          <w:lang w:val="en-US"/>
        </w:rPr>
        <w:t>decision-making</w:t>
      </w:r>
      <w:r w:rsidR="00061611" w:rsidRPr="00E600F8">
        <w:rPr>
          <w:lang w:val="en-US"/>
        </w:rPr>
        <w:t xml:space="preserve"> task</w:t>
      </w:r>
      <w:r w:rsidRPr="00E600F8">
        <w:rPr>
          <w:lang w:val="en-US"/>
        </w:rPr>
        <w:t xml:space="preserve"> </w:t>
      </w:r>
      <w:r w:rsidR="00061611" w:rsidRPr="00E600F8">
        <w:rPr>
          <w:lang w:val="en-US"/>
        </w:rPr>
        <w:t xml:space="preserve">which </w:t>
      </w:r>
      <w:r w:rsidR="00B97A39" w:rsidRPr="00E600F8">
        <w:rPr>
          <w:lang w:val="en-US"/>
        </w:rPr>
        <w:t>varied</w:t>
      </w:r>
      <w:r w:rsidRPr="00E600F8">
        <w:rPr>
          <w:lang w:val="en-US"/>
        </w:rPr>
        <w:t xml:space="preserve"> whether probabilities were </w:t>
      </w:r>
      <w:r w:rsidR="00A94D01" w:rsidRPr="00E600F8">
        <w:rPr>
          <w:lang w:val="en-US"/>
        </w:rPr>
        <w:t xml:space="preserve">made </w:t>
      </w:r>
      <w:r w:rsidRPr="00E600F8">
        <w:rPr>
          <w:lang w:val="en-US"/>
        </w:rPr>
        <w:t xml:space="preserve">explicit or ambiguous. </w:t>
      </w:r>
      <w:r w:rsidR="00FE585C" w:rsidRPr="00E600F8">
        <w:rPr>
          <w:lang w:val="en-US"/>
        </w:rPr>
        <w:t>P</w:t>
      </w:r>
      <w:r w:rsidR="00102C68" w:rsidRPr="00E600F8">
        <w:rPr>
          <w:lang w:val="en-US"/>
        </w:rPr>
        <w:t xml:space="preserve">articipants </w:t>
      </w:r>
      <w:r w:rsidR="00787D7C" w:rsidRPr="00E600F8">
        <w:rPr>
          <w:lang w:val="en-US"/>
        </w:rPr>
        <w:t xml:space="preserve">demonstrated higher </w:t>
      </w:r>
      <w:r w:rsidR="00BB191A" w:rsidRPr="00E600F8">
        <w:rPr>
          <w:lang w:val="en-US"/>
        </w:rPr>
        <w:t xml:space="preserve">levels of </w:t>
      </w:r>
      <w:r w:rsidR="00AB3405" w:rsidRPr="00E600F8">
        <w:rPr>
          <w:lang w:val="en-US"/>
        </w:rPr>
        <w:t>gambling behavior</w:t>
      </w:r>
      <w:r w:rsidR="00C71EDB" w:rsidRPr="00E600F8">
        <w:rPr>
          <w:lang w:val="en-US"/>
        </w:rPr>
        <w:t xml:space="preserve"> </w:t>
      </w:r>
      <w:r w:rsidR="00C407E9" w:rsidRPr="00E600F8">
        <w:rPr>
          <w:lang w:val="en-US"/>
        </w:rPr>
        <w:t>when probability distributions</w:t>
      </w:r>
      <w:r w:rsidR="00436818" w:rsidRPr="00E600F8">
        <w:rPr>
          <w:lang w:val="en-US"/>
        </w:rPr>
        <w:t xml:space="preserve"> involved in the option</w:t>
      </w:r>
      <w:r w:rsidR="00AB3405" w:rsidRPr="00E600F8">
        <w:rPr>
          <w:lang w:val="en-US"/>
        </w:rPr>
        <w:t xml:space="preserve"> with the variable outcome</w:t>
      </w:r>
      <w:r w:rsidR="00102C68" w:rsidRPr="00E600F8">
        <w:rPr>
          <w:lang w:val="en-US"/>
        </w:rPr>
        <w:t xml:space="preserve"> were unknown to them than when these were </w:t>
      </w:r>
      <w:r w:rsidR="00C407E9" w:rsidRPr="00E600F8">
        <w:rPr>
          <w:lang w:val="en-US"/>
        </w:rPr>
        <w:t>available</w:t>
      </w:r>
      <w:r w:rsidR="001D343E" w:rsidRPr="00E600F8">
        <w:rPr>
          <w:lang w:val="en-US"/>
        </w:rPr>
        <w:t>, supporting</w:t>
      </w:r>
      <w:r w:rsidRPr="00E600F8">
        <w:rPr>
          <w:lang w:val="en-US"/>
        </w:rPr>
        <w:t xml:space="preserve"> </w:t>
      </w:r>
      <w:r w:rsidR="001843D9" w:rsidRPr="00E600F8">
        <w:rPr>
          <w:lang w:val="en-US"/>
        </w:rPr>
        <w:t>H</w:t>
      </w:r>
      <w:r w:rsidRPr="00E600F8">
        <w:rPr>
          <w:lang w:val="en-US"/>
        </w:rPr>
        <w:t>ypothesis 1</w:t>
      </w:r>
      <w:r w:rsidR="009857D2" w:rsidRPr="00E600F8">
        <w:rPr>
          <w:lang w:val="en-US"/>
        </w:rPr>
        <w:t>.</w:t>
      </w:r>
      <w:r w:rsidR="00FD6C84" w:rsidRPr="00E600F8">
        <w:rPr>
          <w:lang w:val="en-US"/>
        </w:rPr>
        <w:t xml:space="preserve"> This finding is consistent with previous literature which has examined differences in developmental </w:t>
      </w:r>
      <w:r w:rsidR="00F72376" w:rsidRPr="00E600F8">
        <w:rPr>
          <w:lang w:val="en-US"/>
        </w:rPr>
        <w:t>decision-making</w:t>
      </w:r>
      <w:r w:rsidR="00FD6C84" w:rsidRPr="00E600F8">
        <w:rPr>
          <w:lang w:val="en-US"/>
        </w:rPr>
        <w:t xml:space="preserve"> between conditions</w:t>
      </w:r>
      <w:r w:rsidR="00061611" w:rsidRPr="00E600F8">
        <w:rPr>
          <w:lang w:val="en-US"/>
        </w:rPr>
        <w:t xml:space="preserve"> of risk and ambiguity</w:t>
      </w:r>
      <w:r w:rsidR="00FD6C84" w:rsidRPr="00E600F8">
        <w:rPr>
          <w:lang w:val="en-US"/>
        </w:rPr>
        <w:t xml:space="preserve"> (Osmont et al., 2017; van den Bos &amp; Hertwig, 2017).</w:t>
      </w:r>
      <w:r w:rsidR="009857D2" w:rsidRPr="00E600F8">
        <w:rPr>
          <w:lang w:val="en-US"/>
        </w:rPr>
        <w:t xml:space="preserve"> </w:t>
      </w:r>
      <w:r w:rsidR="000F3CF7" w:rsidRPr="00E600F8">
        <w:rPr>
          <w:lang w:val="en-US"/>
        </w:rPr>
        <w:t xml:space="preserve">The present study also manipulated whether participants completed the task </w:t>
      </w:r>
      <w:r w:rsidR="00061611" w:rsidRPr="00E600F8">
        <w:rPr>
          <w:lang w:val="en-US"/>
        </w:rPr>
        <w:t>within a group,</w:t>
      </w:r>
      <w:r w:rsidR="000F3CF7" w:rsidRPr="00E600F8">
        <w:rPr>
          <w:lang w:val="en-US"/>
        </w:rPr>
        <w:t xml:space="preserve"> to examine whether this </w:t>
      </w:r>
      <w:r w:rsidR="006C326D" w:rsidRPr="00E600F8">
        <w:rPr>
          <w:lang w:val="en-US"/>
        </w:rPr>
        <w:t>influenced</w:t>
      </w:r>
      <w:r w:rsidR="000F3CF7" w:rsidRPr="00E600F8">
        <w:rPr>
          <w:lang w:val="en-US"/>
        </w:rPr>
        <w:t xml:space="preserve"> </w:t>
      </w:r>
      <w:r w:rsidR="00F72376" w:rsidRPr="00E600F8">
        <w:rPr>
          <w:lang w:val="en-US"/>
        </w:rPr>
        <w:t>decision-making</w:t>
      </w:r>
      <w:r w:rsidR="000F3CF7" w:rsidRPr="00E600F8">
        <w:rPr>
          <w:lang w:val="en-US"/>
        </w:rPr>
        <w:t xml:space="preserve">. Hypothesis 2 was supported as </w:t>
      </w:r>
      <w:r w:rsidR="00BB3ACC" w:rsidRPr="00E600F8">
        <w:rPr>
          <w:lang w:val="en-US"/>
        </w:rPr>
        <w:t xml:space="preserve">group </w:t>
      </w:r>
      <w:r w:rsidR="00F72376" w:rsidRPr="00E600F8">
        <w:rPr>
          <w:lang w:val="en-US"/>
        </w:rPr>
        <w:t>decision-making</w:t>
      </w:r>
      <w:r w:rsidR="000F3CF7" w:rsidRPr="00E600F8">
        <w:rPr>
          <w:lang w:val="en-US"/>
        </w:rPr>
        <w:t xml:space="preserve"> did increase </w:t>
      </w:r>
      <w:r w:rsidR="00943414" w:rsidRPr="00E600F8">
        <w:rPr>
          <w:lang w:val="en-US"/>
        </w:rPr>
        <w:t>gambling</w:t>
      </w:r>
      <w:r w:rsidR="000F3CF7" w:rsidRPr="00E600F8">
        <w:rPr>
          <w:lang w:val="en-US"/>
        </w:rPr>
        <w:t xml:space="preserve"> behaviors</w:t>
      </w:r>
      <w:r w:rsidR="00943414" w:rsidRPr="00E600F8">
        <w:rPr>
          <w:lang w:val="en-US"/>
        </w:rPr>
        <w:t xml:space="preserve"> under conditions of ambiguity and this</w:t>
      </w:r>
      <w:r w:rsidR="000F3CF7" w:rsidRPr="00E600F8">
        <w:rPr>
          <w:lang w:val="en-US"/>
        </w:rPr>
        <w:t xml:space="preserve"> </w:t>
      </w:r>
      <w:r w:rsidR="00B97A39" w:rsidRPr="00E600F8">
        <w:rPr>
          <w:lang w:val="en-US"/>
        </w:rPr>
        <w:t>significantly improved the model fit</w:t>
      </w:r>
      <w:r w:rsidR="000F3CF7" w:rsidRPr="00E600F8">
        <w:rPr>
          <w:lang w:val="en-US"/>
        </w:rPr>
        <w:t xml:space="preserve">. </w:t>
      </w:r>
    </w:p>
    <w:p w14:paraId="6DEA846A" w14:textId="7EFED17B" w:rsidR="009514DB" w:rsidRPr="00E600F8" w:rsidRDefault="00FB26CF" w:rsidP="009514DB">
      <w:pPr>
        <w:widowControl w:val="0"/>
        <w:autoSpaceDE w:val="0"/>
        <w:autoSpaceDN w:val="0"/>
        <w:adjustRightInd w:val="0"/>
        <w:spacing w:line="480" w:lineRule="auto"/>
        <w:ind w:firstLine="720"/>
        <w:jc w:val="both"/>
        <w:rPr>
          <w:lang w:val="en-US"/>
        </w:rPr>
      </w:pPr>
      <w:r w:rsidRPr="00E600F8">
        <w:rPr>
          <w:lang w:val="en-US"/>
        </w:rPr>
        <w:t xml:space="preserve">The current study </w:t>
      </w:r>
      <w:r w:rsidR="006C326D" w:rsidRPr="00E600F8">
        <w:rPr>
          <w:lang w:val="en-US"/>
        </w:rPr>
        <w:t>also</w:t>
      </w:r>
      <w:r w:rsidRPr="00E600F8">
        <w:rPr>
          <w:lang w:val="en-US"/>
        </w:rPr>
        <w:t xml:space="preserve"> </w:t>
      </w:r>
      <w:r w:rsidR="006C326D" w:rsidRPr="00E600F8">
        <w:rPr>
          <w:lang w:val="en-US"/>
        </w:rPr>
        <w:t>examined</w:t>
      </w:r>
      <w:r w:rsidR="00472878" w:rsidRPr="00E600F8">
        <w:rPr>
          <w:lang w:val="en-US"/>
        </w:rPr>
        <w:t xml:space="preserve"> the</w:t>
      </w:r>
      <w:r w:rsidRPr="00E600F8">
        <w:rPr>
          <w:lang w:val="en-US"/>
        </w:rPr>
        <w:t xml:space="preserve"> relationship between factors </w:t>
      </w:r>
      <w:r w:rsidR="00624D2C" w:rsidRPr="00E600F8">
        <w:rPr>
          <w:lang w:val="en-US"/>
        </w:rPr>
        <w:t>identified</w:t>
      </w:r>
      <w:r w:rsidRPr="00E600F8">
        <w:rPr>
          <w:lang w:val="en-US"/>
        </w:rPr>
        <w:t xml:space="preserve"> in the dual systems model and choices under </w:t>
      </w:r>
      <w:r w:rsidR="00666961" w:rsidRPr="00E600F8">
        <w:rPr>
          <w:lang w:val="en-US"/>
        </w:rPr>
        <w:t>ambiguity</w:t>
      </w:r>
      <w:r w:rsidRPr="00E600F8">
        <w:rPr>
          <w:lang w:val="en-US"/>
        </w:rPr>
        <w:t>.</w:t>
      </w:r>
      <w:r w:rsidR="00961021" w:rsidRPr="00E600F8">
        <w:rPr>
          <w:lang w:val="en-US"/>
        </w:rPr>
        <w:t xml:space="preserve"> </w:t>
      </w:r>
      <w:r w:rsidR="00396A6D" w:rsidRPr="00E600F8">
        <w:rPr>
          <w:lang w:val="en-US"/>
        </w:rPr>
        <w:t xml:space="preserve">These dispositions did not make a significant contribution to a model predicting </w:t>
      </w:r>
      <w:r w:rsidR="00666961" w:rsidRPr="00E600F8">
        <w:rPr>
          <w:lang w:val="en-US"/>
        </w:rPr>
        <w:t xml:space="preserve">decisions </w:t>
      </w:r>
      <w:r w:rsidR="00396A6D" w:rsidRPr="00E600F8">
        <w:rPr>
          <w:lang w:val="en-US"/>
        </w:rPr>
        <w:t xml:space="preserve">under ambiguity, and thus </w:t>
      </w:r>
      <w:r w:rsidR="00A475BE" w:rsidRPr="00E600F8">
        <w:rPr>
          <w:lang w:val="en-US"/>
        </w:rPr>
        <w:t>H</w:t>
      </w:r>
      <w:r w:rsidR="00337023" w:rsidRPr="00E600F8">
        <w:rPr>
          <w:lang w:val="en-US"/>
        </w:rPr>
        <w:t>ypothesis 3</w:t>
      </w:r>
      <w:r w:rsidR="00717558" w:rsidRPr="00E600F8">
        <w:rPr>
          <w:lang w:val="en-US"/>
        </w:rPr>
        <w:t>a</w:t>
      </w:r>
      <w:r w:rsidR="00396A6D" w:rsidRPr="00E600F8">
        <w:rPr>
          <w:lang w:val="en-US"/>
        </w:rPr>
        <w:t xml:space="preserve"> was </w:t>
      </w:r>
      <w:r w:rsidR="00396A6D" w:rsidRPr="00E600F8">
        <w:rPr>
          <w:lang w:val="en-US"/>
        </w:rPr>
        <w:lastRenderedPageBreak/>
        <w:t xml:space="preserve">rejected. However, a model comprised of age and </w:t>
      </w:r>
      <w:r w:rsidR="00CB4ACA" w:rsidRPr="00E600F8">
        <w:rPr>
          <w:lang w:val="en-US"/>
        </w:rPr>
        <w:t>group membership</w:t>
      </w:r>
      <w:r w:rsidR="00396A6D" w:rsidRPr="00E600F8">
        <w:rPr>
          <w:lang w:val="en-US"/>
        </w:rPr>
        <w:t xml:space="preserve"> </w:t>
      </w:r>
      <w:r w:rsidR="00AF0DC9" w:rsidRPr="00E600F8">
        <w:rPr>
          <w:lang w:val="en-US"/>
        </w:rPr>
        <w:t>displayed</w:t>
      </w:r>
      <w:r w:rsidR="000D33DD" w:rsidRPr="00E600F8">
        <w:rPr>
          <w:lang w:val="en-US"/>
        </w:rPr>
        <w:t xml:space="preserve"> a significantly</w:t>
      </w:r>
      <w:r w:rsidR="00396A6D" w:rsidRPr="00E600F8">
        <w:rPr>
          <w:lang w:val="en-US"/>
        </w:rPr>
        <w:t xml:space="preserve"> </w:t>
      </w:r>
      <w:r w:rsidR="00AF0DC9" w:rsidRPr="00E600F8">
        <w:rPr>
          <w:lang w:val="en-US"/>
        </w:rPr>
        <w:t>better</w:t>
      </w:r>
      <w:r w:rsidR="00396A6D" w:rsidRPr="00E600F8">
        <w:rPr>
          <w:lang w:val="en-US"/>
        </w:rPr>
        <w:t xml:space="preserve"> fit to </w:t>
      </w:r>
      <w:r w:rsidR="00666961" w:rsidRPr="00E600F8">
        <w:rPr>
          <w:lang w:val="en-US"/>
        </w:rPr>
        <w:t xml:space="preserve">choices </w:t>
      </w:r>
      <w:r w:rsidR="00396A6D" w:rsidRPr="00E600F8">
        <w:rPr>
          <w:lang w:val="en-US"/>
        </w:rPr>
        <w:t>under ambiguity</w:t>
      </w:r>
      <w:r w:rsidR="00AF0DC9" w:rsidRPr="00E600F8">
        <w:rPr>
          <w:lang w:val="en-US"/>
        </w:rPr>
        <w:t xml:space="preserve">, thus </w:t>
      </w:r>
      <w:r w:rsidR="00337023" w:rsidRPr="00E600F8">
        <w:rPr>
          <w:lang w:val="en-US"/>
        </w:rPr>
        <w:t>providing a novel insight into</w:t>
      </w:r>
      <w:r w:rsidR="00AF0DC9" w:rsidRPr="00E600F8">
        <w:rPr>
          <w:lang w:val="en-US"/>
        </w:rPr>
        <w:t xml:space="preserve"> key factors in this context of </w:t>
      </w:r>
      <w:r w:rsidR="00F72376" w:rsidRPr="00E600F8">
        <w:rPr>
          <w:lang w:val="en-US"/>
        </w:rPr>
        <w:t>decision-making</w:t>
      </w:r>
      <w:r w:rsidR="00396A6D" w:rsidRPr="00E600F8">
        <w:rPr>
          <w:lang w:val="en-US"/>
        </w:rPr>
        <w:t>.</w:t>
      </w:r>
      <w:r w:rsidR="00377D62" w:rsidRPr="00E600F8">
        <w:rPr>
          <w:lang w:val="en-US"/>
        </w:rPr>
        <w:t xml:space="preserve"> None of the variables in the model predicted choices under risk, and thus </w:t>
      </w:r>
      <w:r w:rsidR="00717558" w:rsidRPr="00E600F8">
        <w:rPr>
          <w:lang w:val="en-US"/>
        </w:rPr>
        <w:t>Hypothesis 3b</w:t>
      </w:r>
      <w:r w:rsidR="00377D62" w:rsidRPr="00E600F8">
        <w:rPr>
          <w:lang w:val="en-US"/>
        </w:rPr>
        <w:t xml:space="preserve"> was rejected.</w:t>
      </w:r>
      <w:r w:rsidR="00396A6D" w:rsidRPr="00E600F8">
        <w:rPr>
          <w:lang w:val="en-US"/>
        </w:rPr>
        <w:t xml:space="preserve"> </w:t>
      </w:r>
    </w:p>
    <w:p w14:paraId="1D07529D" w14:textId="63BD571C" w:rsidR="009F4BAD" w:rsidRPr="00E600F8" w:rsidRDefault="0084386E" w:rsidP="00C450AF">
      <w:pPr>
        <w:widowControl w:val="0"/>
        <w:autoSpaceDE w:val="0"/>
        <w:autoSpaceDN w:val="0"/>
        <w:adjustRightInd w:val="0"/>
        <w:spacing w:line="480" w:lineRule="auto"/>
        <w:ind w:firstLine="720"/>
        <w:jc w:val="both"/>
        <w:rPr>
          <w:lang w:val="en-US"/>
        </w:rPr>
      </w:pPr>
      <w:r w:rsidRPr="00E600F8">
        <w:rPr>
          <w:lang w:val="en-US"/>
        </w:rPr>
        <w:t>A further goal</w:t>
      </w:r>
      <w:r w:rsidR="00FF0048" w:rsidRPr="00E600F8">
        <w:rPr>
          <w:lang w:val="en-US"/>
        </w:rPr>
        <w:t xml:space="preserve"> of this investigation</w:t>
      </w:r>
      <w:r w:rsidRPr="00E600F8">
        <w:rPr>
          <w:lang w:val="en-US"/>
        </w:rPr>
        <w:t xml:space="preserve"> was to examine the variables that contribute towards an additional measure of risk-related behavior: cheating. </w:t>
      </w:r>
      <w:r w:rsidR="00C450AF" w:rsidRPr="00E600F8">
        <w:rPr>
          <w:lang w:val="en-US"/>
        </w:rPr>
        <w:t xml:space="preserve">Age was a significant negative predictor of cheating behavior, </w:t>
      </w:r>
      <w:r w:rsidR="0069267D" w:rsidRPr="00E600F8">
        <w:rPr>
          <w:lang w:val="en-US"/>
        </w:rPr>
        <w:t xml:space="preserve">whereas </w:t>
      </w:r>
      <w:r w:rsidR="006150BA" w:rsidRPr="00E600F8">
        <w:rPr>
          <w:lang w:val="en-US"/>
        </w:rPr>
        <w:t>group membership</w:t>
      </w:r>
      <w:r w:rsidR="0069267D" w:rsidRPr="00E600F8">
        <w:rPr>
          <w:lang w:val="en-US"/>
        </w:rPr>
        <w:t xml:space="preserve"> was not significant in this model</w:t>
      </w:r>
      <w:r w:rsidR="001C414C" w:rsidRPr="00E600F8">
        <w:rPr>
          <w:lang w:val="en-US"/>
        </w:rPr>
        <w:t>, hence Hypothesis 4 was rejected</w:t>
      </w:r>
      <w:r w:rsidR="00DD601A" w:rsidRPr="00E600F8">
        <w:rPr>
          <w:lang w:val="en-US"/>
        </w:rPr>
        <w:t xml:space="preserve">. </w:t>
      </w:r>
      <w:r w:rsidR="00472878" w:rsidRPr="00E600F8">
        <w:rPr>
          <w:lang w:val="en-US"/>
        </w:rPr>
        <w:t>Together, these findings provide an insight into</w:t>
      </w:r>
      <w:r w:rsidR="00443D13" w:rsidRPr="00E600F8">
        <w:rPr>
          <w:lang w:val="en-US"/>
        </w:rPr>
        <w:t xml:space="preserve"> the</w:t>
      </w:r>
      <w:r w:rsidR="00567968" w:rsidRPr="00E600F8">
        <w:rPr>
          <w:lang w:val="en-US"/>
        </w:rPr>
        <w:t xml:space="preserve"> relationship between</w:t>
      </w:r>
      <w:r w:rsidR="00472878" w:rsidRPr="00E600F8">
        <w:rPr>
          <w:lang w:val="en-US"/>
        </w:rPr>
        <w:t xml:space="preserve"> </w:t>
      </w:r>
      <w:r w:rsidR="00A46176" w:rsidRPr="00E600F8">
        <w:rPr>
          <w:lang w:val="en-US"/>
        </w:rPr>
        <w:t>situational</w:t>
      </w:r>
      <w:r w:rsidR="00472878" w:rsidRPr="00E600F8">
        <w:rPr>
          <w:lang w:val="en-US"/>
        </w:rPr>
        <w:t xml:space="preserve">, social and </w:t>
      </w:r>
      <w:r w:rsidR="00A46176" w:rsidRPr="00E600F8">
        <w:rPr>
          <w:lang w:val="en-US"/>
        </w:rPr>
        <w:t>developmental</w:t>
      </w:r>
      <w:r w:rsidR="00472878" w:rsidRPr="00E600F8">
        <w:rPr>
          <w:lang w:val="en-US"/>
        </w:rPr>
        <w:t xml:space="preserve"> factors in adolescent males’ </w:t>
      </w:r>
      <w:r w:rsidR="00F72376" w:rsidRPr="00E600F8">
        <w:rPr>
          <w:lang w:val="en-US"/>
        </w:rPr>
        <w:t>decision-making</w:t>
      </w:r>
      <w:r w:rsidR="00472878" w:rsidRPr="00E600F8">
        <w:rPr>
          <w:lang w:val="en-US"/>
        </w:rPr>
        <w:t>.</w:t>
      </w:r>
    </w:p>
    <w:p w14:paraId="1E96C71B" w14:textId="473ADC3B" w:rsidR="00302A6C" w:rsidRPr="00E600F8" w:rsidRDefault="009F4BAD" w:rsidP="008C3DDE">
      <w:pPr>
        <w:spacing w:line="480" w:lineRule="auto"/>
        <w:jc w:val="both"/>
        <w:outlineLvl w:val="0"/>
        <w:rPr>
          <w:b/>
          <w:lang w:val="en-US"/>
        </w:rPr>
      </w:pPr>
      <w:r w:rsidRPr="00E600F8">
        <w:rPr>
          <w:b/>
          <w:lang w:val="en-US"/>
        </w:rPr>
        <w:t>Ambiguity and Risk</w:t>
      </w:r>
      <w:r w:rsidR="001C4C94" w:rsidRPr="00E600F8">
        <w:rPr>
          <w:b/>
          <w:lang w:val="en-US"/>
        </w:rPr>
        <w:t xml:space="preserve"> in Adolescence</w:t>
      </w:r>
      <w:r w:rsidR="003A1BEE" w:rsidRPr="00E600F8">
        <w:rPr>
          <w:b/>
          <w:lang w:val="en-US"/>
        </w:rPr>
        <w:t xml:space="preserve"> </w:t>
      </w:r>
    </w:p>
    <w:p w14:paraId="72A56EF8" w14:textId="767260DF" w:rsidR="008D365B" w:rsidRPr="00E600F8" w:rsidRDefault="004F148A" w:rsidP="00EC7A97">
      <w:pPr>
        <w:widowControl w:val="0"/>
        <w:autoSpaceDE w:val="0"/>
        <w:autoSpaceDN w:val="0"/>
        <w:adjustRightInd w:val="0"/>
        <w:spacing w:line="480" w:lineRule="auto"/>
        <w:ind w:firstLine="720"/>
        <w:jc w:val="both"/>
        <w:rPr>
          <w:lang w:val="en-US"/>
        </w:rPr>
      </w:pPr>
      <w:r w:rsidRPr="00E600F8">
        <w:rPr>
          <w:lang w:val="en-US"/>
        </w:rPr>
        <w:t>Adolescence is a p</w:t>
      </w:r>
      <w:r w:rsidR="008D5E9D" w:rsidRPr="00E600F8">
        <w:rPr>
          <w:lang w:val="en-US"/>
        </w:rPr>
        <w:t>eriod of increased risk behavio</w:t>
      </w:r>
      <w:r w:rsidRPr="00E600F8">
        <w:rPr>
          <w:lang w:val="en-US"/>
        </w:rPr>
        <w:t>r both within and outside of laboratory conditions (</w:t>
      </w:r>
      <w:r w:rsidR="001C106C" w:rsidRPr="00E600F8">
        <w:rPr>
          <w:lang w:val="en-US"/>
        </w:rPr>
        <w:t>Arnett, 1992; Defoe et al., 2015</w:t>
      </w:r>
      <w:r w:rsidRPr="00E600F8">
        <w:rPr>
          <w:lang w:val="en-US"/>
        </w:rPr>
        <w:t xml:space="preserve">). </w:t>
      </w:r>
      <w:r w:rsidR="008D365B" w:rsidRPr="00E600F8">
        <w:rPr>
          <w:lang w:val="en-US"/>
        </w:rPr>
        <w:t>That adolescent males are more likely to gamble in conditions of ambiguity suggests that reckless behavior in this population may not be a maladaptive behavior as traditionally suggested (Romer et al., 2017). Pursuing ambiguous outcomes allows adolescents to collect information about the probabilities involved in novel scenarios, contributing to their experiential knowledge (Crone &amp; Dahl, 2012).</w:t>
      </w:r>
      <w:r w:rsidR="00D713B9" w:rsidRPr="00E600F8">
        <w:rPr>
          <w:lang w:val="en-US"/>
        </w:rPr>
        <w:t xml:space="preserve"> The ‘Lifespan Wisdom Model’ argues that by engaging in behaviors when the likelihood of a negative outcome is unknown, adolescents are able to develop an understanding of their environment and the probability of scenarios yielding positive or negative outcomes (Romer et al., 2017). </w:t>
      </w:r>
      <w:r w:rsidR="008D365B" w:rsidRPr="00E600F8">
        <w:rPr>
          <w:lang w:val="en-US"/>
        </w:rPr>
        <w:t xml:space="preserve"> </w:t>
      </w:r>
      <w:r w:rsidR="007B5D56" w:rsidRPr="00E600F8">
        <w:rPr>
          <w:lang w:val="en-US"/>
        </w:rPr>
        <w:t>Indeed, neuroimaging research has found that areas responsible for monitoring performance feedback exhibit higher levels of activation in conditions of ambiguity compared to risk (Blankenstein et al., 2018).</w:t>
      </w:r>
      <w:r w:rsidR="008D365B" w:rsidRPr="00E600F8">
        <w:rPr>
          <w:lang w:val="en-US"/>
        </w:rPr>
        <w:t xml:space="preserve"> The present study makes a novel addition to the literature by suggesting that </w:t>
      </w:r>
      <w:r w:rsidR="00D713B9" w:rsidRPr="00E600F8">
        <w:rPr>
          <w:lang w:val="en-US"/>
        </w:rPr>
        <w:t>tolerance to</w:t>
      </w:r>
      <w:r w:rsidR="008D365B" w:rsidRPr="00E600F8">
        <w:rPr>
          <w:lang w:val="en-US"/>
        </w:rPr>
        <w:t xml:space="preserve"> ambiguity increases towards ‘middle adolescence’</w:t>
      </w:r>
      <w:r w:rsidR="00EC7A97" w:rsidRPr="00E600F8">
        <w:rPr>
          <w:lang w:val="en-US"/>
        </w:rPr>
        <w:t>.</w:t>
      </w:r>
      <w:r w:rsidR="008D365B" w:rsidRPr="00E600F8">
        <w:rPr>
          <w:lang w:val="en-US"/>
        </w:rPr>
        <w:t xml:space="preserve"> </w:t>
      </w:r>
      <w:r w:rsidR="00EC7A97" w:rsidRPr="00E600F8">
        <w:rPr>
          <w:lang w:val="en-US"/>
        </w:rPr>
        <w:t xml:space="preserve">This finding is consistent with trends of exploration in the Lifespan Wisdom Model and </w:t>
      </w:r>
      <w:r w:rsidR="008D365B" w:rsidRPr="00E600F8">
        <w:rPr>
          <w:lang w:val="en-US"/>
        </w:rPr>
        <w:t xml:space="preserve">reflects the age at </w:t>
      </w:r>
      <w:r w:rsidR="008D365B" w:rsidRPr="00E600F8">
        <w:rPr>
          <w:lang w:val="en-US"/>
        </w:rPr>
        <w:lastRenderedPageBreak/>
        <w:t>which the greatest levels of real</w:t>
      </w:r>
      <w:r w:rsidR="00FF48DC">
        <w:rPr>
          <w:lang w:val="en-US"/>
        </w:rPr>
        <w:t>-</w:t>
      </w:r>
      <w:r w:rsidR="008D365B" w:rsidRPr="00E600F8">
        <w:rPr>
          <w:lang w:val="en-US"/>
        </w:rPr>
        <w:t>world reckless behaviors are observed (</w:t>
      </w:r>
      <w:r w:rsidR="008D365B" w:rsidRPr="00E600F8">
        <w:rPr>
          <w:color w:val="000000" w:themeColor="text1"/>
          <w:lang w:val="en-US"/>
        </w:rPr>
        <w:t xml:space="preserve">Arnett, 1992; Gittes, &amp; </w:t>
      </w:r>
      <w:r w:rsidR="008D365B" w:rsidRPr="00E600F8">
        <w:rPr>
          <w:lang w:val="en-US"/>
        </w:rPr>
        <w:t>Irwin, 1993; Jonah, 1986</w:t>
      </w:r>
      <w:r w:rsidR="00EC7A97" w:rsidRPr="00E600F8">
        <w:rPr>
          <w:lang w:val="en-US"/>
        </w:rPr>
        <w:t>; Romer et al., 2017</w:t>
      </w:r>
      <w:r w:rsidR="008D365B" w:rsidRPr="00E600F8">
        <w:rPr>
          <w:lang w:val="en-US"/>
        </w:rPr>
        <w:t xml:space="preserve">). </w:t>
      </w:r>
      <w:r w:rsidR="00EC7A97" w:rsidRPr="00E600F8">
        <w:rPr>
          <w:lang w:val="en-US"/>
        </w:rPr>
        <w:t>While this study did not measure exploration, t</w:t>
      </w:r>
      <w:r w:rsidR="008D365B" w:rsidRPr="00E600F8">
        <w:rPr>
          <w:lang w:val="en-US"/>
        </w:rPr>
        <w:t xml:space="preserve">he trend to gamble more under ambiguity as individuals mature may serve the need for adolescents to develop a reliable experiential framework to guide future decisions </w:t>
      </w:r>
      <w:r w:rsidR="00C521BA" w:rsidRPr="00E600F8">
        <w:rPr>
          <w:lang w:val="en-US"/>
        </w:rPr>
        <w:t xml:space="preserve">in later life </w:t>
      </w:r>
      <w:r w:rsidR="008D365B" w:rsidRPr="00E600F8">
        <w:rPr>
          <w:lang w:val="en-US"/>
        </w:rPr>
        <w:t>(Blankenstein et al., 2018). Hence, in unfamiliar situations where the probabilities of a decision leading to either a positive or negative outcome are unknown, older adolescents are increasingly likely to gamble in order to establish this novel understanding.</w:t>
      </w:r>
    </w:p>
    <w:p w14:paraId="26E7BBBF" w14:textId="2CCE0555" w:rsidR="00C02E69" w:rsidRPr="00E600F8" w:rsidRDefault="003D2EB2" w:rsidP="00F90E10">
      <w:pPr>
        <w:widowControl w:val="0"/>
        <w:autoSpaceDE w:val="0"/>
        <w:autoSpaceDN w:val="0"/>
        <w:adjustRightInd w:val="0"/>
        <w:spacing w:line="480" w:lineRule="auto"/>
        <w:ind w:firstLine="720"/>
        <w:jc w:val="both"/>
        <w:rPr>
          <w:lang w:val="en-US"/>
        </w:rPr>
      </w:pPr>
      <w:r w:rsidRPr="00E600F8">
        <w:rPr>
          <w:lang w:val="en-US"/>
        </w:rPr>
        <w:t>In support of this view</w:t>
      </w:r>
      <w:r w:rsidR="00304341" w:rsidRPr="00E600F8">
        <w:rPr>
          <w:lang w:val="en-US"/>
        </w:rPr>
        <w:t>,</w:t>
      </w:r>
      <w:r w:rsidR="007A3972" w:rsidRPr="00E600F8">
        <w:rPr>
          <w:lang w:val="en-US"/>
        </w:rPr>
        <w:t xml:space="preserve"> there were significant differences between the predictors for </w:t>
      </w:r>
      <w:r w:rsidR="00575E81" w:rsidRPr="00E600F8">
        <w:rPr>
          <w:lang w:val="en-US"/>
        </w:rPr>
        <w:t>decisions</w:t>
      </w:r>
      <w:r w:rsidR="007A3972" w:rsidRPr="00E600F8">
        <w:rPr>
          <w:lang w:val="en-US"/>
        </w:rPr>
        <w:t xml:space="preserve"> under ambiguity and cheating </w:t>
      </w:r>
      <w:r w:rsidR="007D38DE" w:rsidRPr="00E600F8">
        <w:rPr>
          <w:lang w:val="en-US"/>
        </w:rPr>
        <w:t>behavior</w:t>
      </w:r>
      <w:r w:rsidR="007A3972" w:rsidRPr="00E600F8">
        <w:rPr>
          <w:lang w:val="en-US"/>
        </w:rPr>
        <w:t xml:space="preserve">. </w:t>
      </w:r>
      <w:r w:rsidR="00304341" w:rsidRPr="00E600F8">
        <w:rPr>
          <w:lang w:val="en-US"/>
        </w:rPr>
        <w:t xml:space="preserve">This suggests that factors associated with heightened </w:t>
      </w:r>
      <w:r w:rsidR="00E56B5A" w:rsidRPr="00E600F8">
        <w:rPr>
          <w:lang w:val="en-US"/>
        </w:rPr>
        <w:t>recklessness</w:t>
      </w:r>
      <w:r w:rsidR="00304341" w:rsidRPr="00E600F8">
        <w:rPr>
          <w:lang w:val="en-US"/>
        </w:rPr>
        <w:t xml:space="preserve"> in adolescen</w:t>
      </w:r>
      <w:r w:rsidR="00E56B5A" w:rsidRPr="00E600F8">
        <w:rPr>
          <w:lang w:val="en-US"/>
        </w:rPr>
        <w:t xml:space="preserve">ts do not promote negative </w:t>
      </w:r>
      <w:r w:rsidR="00304341" w:rsidRPr="00E600F8">
        <w:rPr>
          <w:lang w:val="en-US"/>
        </w:rPr>
        <w:t>behavi</w:t>
      </w:r>
      <w:r w:rsidR="00747339" w:rsidRPr="00E600F8">
        <w:rPr>
          <w:lang w:val="en-US"/>
        </w:rPr>
        <w:t>ors,</w:t>
      </w:r>
      <w:r w:rsidR="00A15295" w:rsidRPr="00E600F8">
        <w:rPr>
          <w:lang w:val="en-US"/>
        </w:rPr>
        <w:t xml:space="preserve"> and that antisocial actions are not merely an excess of typical risk behavior in adolescence. </w:t>
      </w:r>
      <w:r w:rsidR="00CB3D8E" w:rsidRPr="00E600F8">
        <w:rPr>
          <w:lang w:val="en-US"/>
        </w:rPr>
        <w:t xml:space="preserve">Rather, persistently antisocial behavior in adolescents reflects only a </w:t>
      </w:r>
      <w:r w:rsidR="00DF07CD" w:rsidRPr="00E600F8">
        <w:rPr>
          <w:lang w:val="en-US"/>
        </w:rPr>
        <w:t>subsample of this population (Moffitt, 1993</w:t>
      </w:r>
      <w:r w:rsidR="00CB3D8E" w:rsidRPr="00E600F8">
        <w:rPr>
          <w:lang w:val="en-US"/>
        </w:rPr>
        <w:t xml:space="preserve">). As such, the present study </w:t>
      </w:r>
      <w:r w:rsidR="00FF5AEF" w:rsidRPr="00E600F8">
        <w:rPr>
          <w:lang w:val="en-US"/>
        </w:rPr>
        <w:t xml:space="preserve">is consistent with the growing body of literature that suggests risk behavior in adolescence </w:t>
      </w:r>
      <w:r w:rsidR="00EB69C0" w:rsidRPr="00E600F8">
        <w:rPr>
          <w:lang w:val="en-US"/>
        </w:rPr>
        <w:t>can have</w:t>
      </w:r>
      <w:r w:rsidR="00FF5AEF" w:rsidRPr="00E600F8">
        <w:rPr>
          <w:lang w:val="en-US"/>
        </w:rPr>
        <w:t xml:space="preserve"> a beneficial role within the lifespan</w:t>
      </w:r>
      <w:r w:rsidR="00FF51D8" w:rsidRPr="00E600F8">
        <w:rPr>
          <w:lang w:val="en-US"/>
        </w:rPr>
        <w:t xml:space="preserve"> (Romer et al. 2017)</w:t>
      </w:r>
      <w:r w:rsidR="00FF5AEF" w:rsidRPr="00E600F8">
        <w:rPr>
          <w:lang w:val="en-US"/>
        </w:rPr>
        <w:t>.</w:t>
      </w:r>
    </w:p>
    <w:p w14:paraId="0C029586" w14:textId="77777777" w:rsidR="00BA2546" w:rsidRPr="00E600F8" w:rsidRDefault="008A415F" w:rsidP="00F90E10">
      <w:pPr>
        <w:widowControl w:val="0"/>
        <w:autoSpaceDE w:val="0"/>
        <w:autoSpaceDN w:val="0"/>
        <w:adjustRightInd w:val="0"/>
        <w:spacing w:line="480" w:lineRule="auto"/>
        <w:jc w:val="both"/>
        <w:rPr>
          <w:lang w:val="en-US"/>
        </w:rPr>
      </w:pPr>
      <w:r w:rsidRPr="00E600F8">
        <w:rPr>
          <w:b/>
          <w:lang w:val="en-US"/>
        </w:rPr>
        <w:t>Risk</w:t>
      </w:r>
      <w:r w:rsidR="00155DA4" w:rsidRPr="00E600F8">
        <w:rPr>
          <w:b/>
          <w:lang w:val="en-US"/>
        </w:rPr>
        <w:t>-Taking</w:t>
      </w:r>
      <w:r w:rsidRPr="00E600F8">
        <w:rPr>
          <w:b/>
          <w:lang w:val="en-US"/>
        </w:rPr>
        <w:t xml:space="preserve"> Under Ambiguity and Peer </w:t>
      </w:r>
      <w:r w:rsidR="00B97F48" w:rsidRPr="00E600F8">
        <w:rPr>
          <w:b/>
          <w:lang w:val="en-US"/>
        </w:rPr>
        <w:t>Influence</w:t>
      </w:r>
    </w:p>
    <w:p w14:paraId="038FBD66" w14:textId="7F34D2D8" w:rsidR="00BA2546" w:rsidRPr="00E600F8" w:rsidRDefault="00023EB8" w:rsidP="00F90E10">
      <w:pPr>
        <w:widowControl w:val="0"/>
        <w:autoSpaceDE w:val="0"/>
        <w:autoSpaceDN w:val="0"/>
        <w:adjustRightInd w:val="0"/>
        <w:spacing w:line="480" w:lineRule="auto"/>
        <w:ind w:firstLine="720"/>
        <w:jc w:val="both"/>
        <w:rPr>
          <w:lang w:val="en-US"/>
        </w:rPr>
      </w:pPr>
      <w:r w:rsidRPr="00E600F8">
        <w:rPr>
          <w:lang w:val="en-US"/>
        </w:rPr>
        <w:t>This is the first study to demonstrate</w:t>
      </w:r>
      <w:r w:rsidR="0036212F" w:rsidRPr="00E600F8">
        <w:rPr>
          <w:lang w:val="en-US"/>
        </w:rPr>
        <w:t xml:space="preserve"> that</w:t>
      </w:r>
      <w:r w:rsidR="00110F0F" w:rsidRPr="00E600F8">
        <w:rPr>
          <w:lang w:val="en-US"/>
        </w:rPr>
        <w:t xml:space="preserve"> </w:t>
      </w:r>
      <w:r w:rsidR="00443D13" w:rsidRPr="00E600F8">
        <w:rPr>
          <w:lang w:val="en-US"/>
        </w:rPr>
        <w:t>peers</w:t>
      </w:r>
      <w:r w:rsidR="0036212F" w:rsidRPr="00E600F8">
        <w:rPr>
          <w:lang w:val="en-US"/>
        </w:rPr>
        <w:t xml:space="preserve"> accentuate</w:t>
      </w:r>
      <w:r w:rsidR="00443D13" w:rsidRPr="00E600F8">
        <w:rPr>
          <w:lang w:val="en-US"/>
        </w:rPr>
        <w:t xml:space="preserve"> risk</w:t>
      </w:r>
      <w:r w:rsidR="00155DA4" w:rsidRPr="00E600F8">
        <w:rPr>
          <w:lang w:val="en-US"/>
        </w:rPr>
        <w:t xml:space="preserve"> behavio</w:t>
      </w:r>
      <w:r w:rsidR="00110F0F" w:rsidRPr="00E600F8">
        <w:rPr>
          <w:lang w:val="en-US"/>
        </w:rPr>
        <w:t>r w</w:t>
      </w:r>
      <w:r w:rsidR="00CB67C2" w:rsidRPr="00E600F8">
        <w:rPr>
          <w:lang w:val="en-US"/>
        </w:rPr>
        <w:t xml:space="preserve">hen </w:t>
      </w:r>
      <w:r w:rsidR="00443D13" w:rsidRPr="00E600F8">
        <w:rPr>
          <w:lang w:val="en-US"/>
        </w:rPr>
        <w:t>adolescents</w:t>
      </w:r>
      <w:r w:rsidR="00CB67C2" w:rsidRPr="00E600F8">
        <w:rPr>
          <w:lang w:val="en-US"/>
        </w:rPr>
        <w:t xml:space="preserve"> encounter </w:t>
      </w:r>
      <w:r w:rsidR="00544A57" w:rsidRPr="00E600F8">
        <w:rPr>
          <w:lang w:val="en-US"/>
        </w:rPr>
        <w:t>conditions of ambiguous risk</w:t>
      </w:r>
      <w:r w:rsidR="00110F0F" w:rsidRPr="00E600F8">
        <w:rPr>
          <w:lang w:val="en-US"/>
        </w:rPr>
        <w:t xml:space="preserve">. </w:t>
      </w:r>
      <w:r w:rsidR="000418C6" w:rsidRPr="00E600F8">
        <w:rPr>
          <w:lang w:val="en-US"/>
        </w:rPr>
        <w:t>Unlike previous experimental paradigms (e.g. O’Brien et al., 2011) participants were encouraged to complete the t</w:t>
      </w:r>
      <w:r w:rsidR="00C707B5" w:rsidRPr="00E600F8">
        <w:rPr>
          <w:lang w:val="en-US"/>
        </w:rPr>
        <w:t>ask together, rather than have one participant observe</w:t>
      </w:r>
      <w:r w:rsidR="000418C6" w:rsidRPr="00E600F8">
        <w:rPr>
          <w:lang w:val="en-US"/>
        </w:rPr>
        <w:t xml:space="preserve"> neutrally. This design was chosen to capture </w:t>
      </w:r>
      <w:r w:rsidR="00F6788D" w:rsidRPr="00E600F8">
        <w:rPr>
          <w:lang w:val="en-US"/>
        </w:rPr>
        <w:t xml:space="preserve">an ecologically valid </w:t>
      </w:r>
      <w:r w:rsidR="009E3F08" w:rsidRPr="00E600F8">
        <w:rPr>
          <w:lang w:val="en-US"/>
        </w:rPr>
        <w:t xml:space="preserve">account of adolescent </w:t>
      </w:r>
      <w:r w:rsidR="00F72376" w:rsidRPr="00E600F8">
        <w:rPr>
          <w:lang w:val="en-US"/>
        </w:rPr>
        <w:t>decision-making</w:t>
      </w:r>
      <w:r w:rsidR="009E3F08" w:rsidRPr="00E600F8">
        <w:rPr>
          <w:lang w:val="en-US"/>
        </w:rPr>
        <w:t>, where p</w:t>
      </w:r>
      <w:r w:rsidR="009E5CB6" w:rsidRPr="00E600F8">
        <w:rPr>
          <w:lang w:val="en-US"/>
        </w:rPr>
        <w:t>eers are active in the decision</w:t>
      </w:r>
      <w:r w:rsidR="009E3F08" w:rsidRPr="00E600F8">
        <w:rPr>
          <w:lang w:val="en-US"/>
        </w:rPr>
        <w:t xml:space="preserve"> process</w:t>
      </w:r>
      <w:r w:rsidR="00CF310F" w:rsidRPr="00E600F8">
        <w:rPr>
          <w:lang w:val="en-US"/>
        </w:rPr>
        <w:t xml:space="preserve"> (</w:t>
      </w:r>
      <w:r w:rsidR="00F36DE5" w:rsidRPr="00E600F8">
        <w:rPr>
          <w:lang w:val="en-US"/>
        </w:rPr>
        <w:t xml:space="preserve">Haller et al., 2018; </w:t>
      </w:r>
      <w:r w:rsidR="00CF310F" w:rsidRPr="00E600F8">
        <w:rPr>
          <w:lang w:val="en-US"/>
        </w:rPr>
        <w:t>Knoll et al., 2015)</w:t>
      </w:r>
      <w:r w:rsidR="00F36DE5" w:rsidRPr="00E600F8">
        <w:rPr>
          <w:lang w:val="en-US"/>
        </w:rPr>
        <w:t xml:space="preserve">. </w:t>
      </w:r>
    </w:p>
    <w:p w14:paraId="51374C1E" w14:textId="29E1EF44" w:rsidR="00BA2546" w:rsidRPr="00E600F8" w:rsidRDefault="00AA1817" w:rsidP="00F90E10">
      <w:pPr>
        <w:widowControl w:val="0"/>
        <w:autoSpaceDE w:val="0"/>
        <w:autoSpaceDN w:val="0"/>
        <w:adjustRightInd w:val="0"/>
        <w:spacing w:line="480" w:lineRule="auto"/>
        <w:ind w:firstLine="720"/>
        <w:jc w:val="both"/>
        <w:rPr>
          <w:lang w:val="en-US"/>
        </w:rPr>
      </w:pPr>
      <w:r w:rsidRPr="00E600F8">
        <w:rPr>
          <w:lang w:val="en-US"/>
        </w:rPr>
        <w:t>Notably</w:t>
      </w:r>
      <w:r w:rsidR="00CA69C0" w:rsidRPr="00E600F8">
        <w:rPr>
          <w:lang w:val="en-US"/>
        </w:rPr>
        <w:t>, risk</w:t>
      </w:r>
      <w:r w:rsidR="00BF50E1" w:rsidRPr="00E600F8">
        <w:rPr>
          <w:lang w:val="en-US"/>
        </w:rPr>
        <w:t xml:space="preserve"> attitudes within groups</w:t>
      </w:r>
      <w:r w:rsidR="000418C6" w:rsidRPr="00E600F8">
        <w:rPr>
          <w:lang w:val="en-US"/>
        </w:rPr>
        <w:t xml:space="preserve"> d</w:t>
      </w:r>
      <w:r w:rsidR="00CA69C0" w:rsidRPr="00E600F8">
        <w:rPr>
          <w:lang w:val="en-US"/>
        </w:rPr>
        <w:t xml:space="preserve">id not interact with </w:t>
      </w:r>
      <w:r w:rsidR="009E5CB6" w:rsidRPr="00E600F8">
        <w:rPr>
          <w:lang w:val="en-US"/>
        </w:rPr>
        <w:t>the number of ambiguous choices made</w:t>
      </w:r>
      <w:r w:rsidR="000418C6" w:rsidRPr="00E600F8">
        <w:rPr>
          <w:lang w:val="en-US"/>
        </w:rPr>
        <w:t>, meaning</w:t>
      </w:r>
      <w:r w:rsidR="00C707B5" w:rsidRPr="00E600F8">
        <w:rPr>
          <w:lang w:val="en-US"/>
        </w:rPr>
        <w:t xml:space="preserve"> pairs</w:t>
      </w:r>
      <w:r w:rsidR="000418C6" w:rsidRPr="00E600F8">
        <w:rPr>
          <w:lang w:val="en-US"/>
        </w:rPr>
        <w:t xml:space="preserve"> that scored higher on dispositions related to risk taking </w:t>
      </w:r>
      <w:r w:rsidR="00BF50E1" w:rsidRPr="00E600F8">
        <w:rPr>
          <w:lang w:val="en-US"/>
        </w:rPr>
        <w:t>performed no differently to group</w:t>
      </w:r>
      <w:r w:rsidR="000418C6" w:rsidRPr="00E600F8">
        <w:rPr>
          <w:lang w:val="en-US"/>
        </w:rPr>
        <w:t xml:space="preserve">s scoring low on these measures. This is noteworthy as it suggests that </w:t>
      </w:r>
      <w:r w:rsidR="00BF50E1" w:rsidRPr="00E600F8">
        <w:rPr>
          <w:lang w:val="en-US"/>
        </w:rPr>
        <w:t>making decisions in groups</w:t>
      </w:r>
      <w:r w:rsidR="009E5CB6" w:rsidRPr="00E600F8">
        <w:rPr>
          <w:lang w:val="en-US"/>
        </w:rPr>
        <w:t xml:space="preserve"> increased gambling</w:t>
      </w:r>
      <w:r w:rsidR="000418C6" w:rsidRPr="00E600F8">
        <w:rPr>
          <w:lang w:val="en-US"/>
        </w:rPr>
        <w:t xml:space="preserve"> behavior un</w:t>
      </w:r>
      <w:r w:rsidR="009E5CB6" w:rsidRPr="00E600F8">
        <w:rPr>
          <w:lang w:val="en-US"/>
        </w:rPr>
        <w:t>der conditions of ambiguity</w:t>
      </w:r>
      <w:r w:rsidR="000418C6" w:rsidRPr="00E600F8">
        <w:rPr>
          <w:lang w:val="en-US"/>
        </w:rPr>
        <w:t xml:space="preserve"> </w:t>
      </w:r>
      <w:r w:rsidR="000418C6" w:rsidRPr="00E600F8">
        <w:rPr>
          <w:lang w:val="en-US"/>
        </w:rPr>
        <w:lastRenderedPageBreak/>
        <w:t>regardless of risk attitudes.</w:t>
      </w:r>
      <w:r w:rsidR="00A819E5" w:rsidRPr="00E600F8">
        <w:rPr>
          <w:lang w:val="en-US"/>
        </w:rPr>
        <w:t xml:space="preserve"> Consistent with this, Blank</w:t>
      </w:r>
      <w:r w:rsidR="002847F5" w:rsidRPr="00E600F8">
        <w:rPr>
          <w:lang w:val="en-US"/>
        </w:rPr>
        <w:t>en</w:t>
      </w:r>
      <w:r w:rsidR="00A819E5" w:rsidRPr="00E600F8">
        <w:rPr>
          <w:lang w:val="en-US"/>
        </w:rPr>
        <w:t xml:space="preserve">stein et al. (2016) found that </w:t>
      </w:r>
      <w:r w:rsidR="00420534" w:rsidRPr="00E600F8">
        <w:rPr>
          <w:lang w:val="en-US"/>
        </w:rPr>
        <w:t>providing</w:t>
      </w:r>
      <w:r w:rsidR="00A819E5" w:rsidRPr="00E600F8">
        <w:rPr>
          <w:lang w:val="en-US"/>
        </w:rPr>
        <w:t xml:space="preserve"> adolescents</w:t>
      </w:r>
      <w:r w:rsidR="00420534" w:rsidRPr="00E600F8">
        <w:rPr>
          <w:lang w:val="en-US"/>
        </w:rPr>
        <w:t xml:space="preserve"> with</w:t>
      </w:r>
      <w:r w:rsidR="00A819E5" w:rsidRPr="00E600F8">
        <w:rPr>
          <w:lang w:val="en-US"/>
        </w:rPr>
        <w:t xml:space="preserve"> information about an anonymous peer’s</w:t>
      </w:r>
      <w:r w:rsidR="00A733A1" w:rsidRPr="00E600F8">
        <w:rPr>
          <w:lang w:val="en-US"/>
        </w:rPr>
        <w:t xml:space="preserve"> prior</w:t>
      </w:r>
      <w:r w:rsidR="00A819E5" w:rsidRPr="00E600F8">
        <w:rPr>
          <w:lang w:val="en-US"/>
        </w:rPr>
        <w:t xml:space="preserve"> decision (</w:t>
      </w:r>
      <w:r w:rsidR="001D504E" w:rsidRPr="00E600F8">
        <w:rPr>
          <w:lang w:val="en-US"/>
        </w:rPr>
        <w:t xml:space="preserve">thereby </w:t>
      </w:r>
      <w:r w:rsidR="00A819E5" w:rsidRPr="00E600F8">
        <w:rPr>
          <w:lang w:val="en-US"/>
        </w:rPr>
        <w:t>indicating their risk</w:t>
      </w:r>
      <w:r w:rsidR="00182A10" w:rsidRPr="00E600F8">
        <w:rPr>
          <w:lang w:val="en-US"/>
        </w:rPr>
        <w:t xml:space="preserve"> attitude) did not increase gambling</w:t>
      </w:r>
      <w:r w:rsidR="00A819E5" w:rsidRPr="00E600F8">
        <w:rPr>
          <w:lang w:val="en-US"/>
        </w:rPr>
        <w:t xml:space="preserve"> behavior under conditions of ambiguity. The present study</w:t>
      </w:r>
      <w:r w:rsidR="001D504E" w:rsidRPr="00E600F8">
        <w:rPr>
          <w:lang w:val="en-US"/>
        </w:rPr>
        <w:t xml:space="preserve"> builds on this work by suggesting</w:t>
      </w:r>
      <w:r w:rsidR="00A819E5" w:rsidRPr="00E600F8">
        <w:rPr>
          <w:lang w:val="en-US"/>
        </w:rPr>
        <w:t xml:space="preserve"> that peers do increase</w:t>
      </w:r>
      <w:r w:rsidR="0049280D" w:rsidRPr="00E600F8">
        <w:rPr>
          <w:lang w:val="en-US"/>
        </w:rPr>
        <w:t xml:space="preserve"> the likelihood adolescents will gamble </w:t>
      </w:r>
      <w:r w:rsidR="00182A10" w:rsidRPr="00E600F8">
        <w:rPr>
          <w:lang w:val="en-US"/>
        </w:rPr>
        <w:t>in conditions of</w:t>
      </w:r>
      <w:r w:rsidR="001D504E" w:rsidRPr="00E600F8">
        <w:rPr>
          <w:lang w:val="en-US"/>
        </w:rPr>
        <w:t xml:space="preserve"> ambiguity,</w:t>
      </w:r>
      <w:r w:rsidR="00A819E5" w:rsidRPr="00E600F8">
        <w:rPr>
          <w:lang w:val="en-US"/>
        </w:rPr>
        <w:t xml:space="preserve"> </w:t>
      </w:r>
      <w:r w:rsidR="001D504E" w:rsidRPr="00E600F8">
        <w:rPr>
          <w:lang w:val="en-US"/>
        </w:rPr>
        <w:t xml:space="preserve">but this is independent from </w:t>
      </w:r>
      <w:r w:rsidR="00CA1CD5" w:rsidRPr="00E600F8">
        <w:rPr>
          <w:lang w:val="en-US"/>
        </w:rPr>
        <w:t xml:space="preserve">the </w:t>
      </w:r>
      <w:r w:rsidR="001D504E" w:rsidRPr="00E600F8">
        <w:rPr>
          <w:lang w:val="en-US"/>
        </w:rPr>
        <w:t xml:space="preserve">risk attitudes that peers express. </w:t>
      </w:r>
    </w:p>
    <w:p w14:paraId="2CA78E91" w14:textId="6C623E37" w:rsidR="00BA2546" w:rsidRPr="00E600F8" w:rsidRDefault="00EE35C3" w:rsidP="00BF50E1">
      <w:pPr>
        <w:widowControl w:val="0"/>
        <w:autoSpaceDE w:val="0"/>
        <w:autoSpaceDN w:val="0"/>
        <w:adjustRightInd w:val="0"/>
        <w:spacing w:line="480" w:lineRule="auto"/>
        <w:ind w:firstLine="720"/>
        <w:jc w:val="both"/>
        <w:rPr>
          <w:lang w:val="en-US"/>
        </w:rPr>
      </w:pPr>
      <w:r w:rsidRPr="00E600F8">
        <w:rPr>
          <w:lang w:val="en-US"/>
        </w:rPr>
        <w:t xml:space="preserve">The current study is the first to examine the impact of group contexts on adolescents’ </w:t>
      </w:r>
      <w:r w:rsidR="00F72376" w:rsidRPr="00E600F8">
        <w:rPr>
          <w:lang w:val="en-US"/>
        </w:rPr>
        <w:t>decision-making</w:t>
      </w:r>
      <w:r w:rsidRPr="00E600F8">
        <w:rPr>
          <w:lang w:val="en-US"/>
        </w:rPr>
        <w:t>. Previous studies have utilized ‘static’ peers who either observe (</w:t>
      </w:r>
      <w:r w:rsidR="00A733A1" w:rsidRPr="00E600F8">
        <w:rPr>
          <w:lang w:val="en-US"/>
        </w:rPr>
        <w:t>Smith et al., 2014</w:t>
      </w:r>
      <w:r w:rsidRPr="00E600F8">
        <w:rPr>
          <w:lang w:val="en-US"/>
        </w:rPr>
        <w:t xml:space="preserve">) or express a </w:t>
      </w:r>
      <w:r w:rsidR="004D7E14" w:rsidRPr="00E600F8">
        <w:rPr>
          <w:lang w:val="en-US"/>
        </w:rPr>
        <w:t>fixed</w:t>
      </w:r>
      <w:r w:rsidRPr="00E600F8">
        <w:rPr>
          <w:lang w:val="en-US"/>
        </w:rPr>
        <w:t xml:space="preserve"> view (Centifanti et al., 2014; Knoll et al., 2015) in risk scenarios. However, this is limited in capturing the full dynamic of peer influence, </w:t>
      </w:r>
      <w:r w:rsidR="00482088" w:rsidRPr="00E600F8">
        <w:rPr>
          <w:lang w:val="en-US"/>
        </w:rPr>
        <w:t xml:space="preserve">where there is </w:t>
      </w:r>
      <w:r w:rsidR="00225579" w:rsidRPr="00E600F8">
        <w:rPr>
          <w:lang w:val="en-US"/>
        </w:rPr>
        <w:t xml:space="preserve">often </w:t>
      </w:r>
      <w:r w:rsidR="00482088" w:rsidRPr="00E600F8">
        <w:rPr>
          <w:lang w:val="en-US"/>
        </w:rPr>
        <w:t xml:space="preserve">discussion </w:t>
      </w:r>
      <w:r w:rsidR="00377957" w:rsidRPr="00E600F8">
        <w:rPr>
          <w:lang w:val="en-US"/>
        </w:rPr>
        <w:t>that precede the decision to engage</w:t>
      </w:r>
      <w:r w:rsidR="00A733A1" w:rsidRPr="00E600F8">
        <w:rPr>
          <w:lang w:val="en-US"/>
        </w:rPr>
        <w:t xml:space="preserve"> in</w:t>
      </w:r>
      <w:r w:rsidR="00377957" w:rsidRPr="00E600F8">
        <w:rPr>
          <w:lang w:val="en-US"/>
        </w:rPr>
        <w:t xml:space="preserve"> or avoid</w:t>
      </w:r>
      <w:r w:rsidR="00403D80" w:rsidRPr="00E600F8">
        <w:rPr>
          <w:lang w:val="en-US"/>
        </w:rPr>
        <w:t xml:space="preserve"> an action. </w:t>
      </w:r>
      <w:r w:rsidR="0081059A" w:rsidRPr="00E600F8">
        <w:rPr>
          <w:lang w:val="en-US"/>
        </w:rPr>
        <w:t xml:space="preserve">In </w:t>
      </w:r>
      <w:r w:rsidR="00914FD3" w:rsidRPr="00E600F8">
        <w:rPr>
          <w:lang w:val="en-US"/>
        </w:rPr>
        <w:t xml:space="preserve">a study where interactions between peers were recorded, Dishion and colleagues (1995) found that discussions with a peer who endorsed rule-breaking and substance misuse were associated with a subsequent increase in the participants’ reporting of those behaviors. Group </w:t>
      </w:r>
      <w:r w:rsidR="00F72376" w:rsidRPr="00E600F8">
        <w:rPr>
          <w:lang w:val="en-US"/>
        </w:rPr>
        <w:t>decision-making</w:t>
      </w:r>
      <w:r w:rsidR="00914FD3" w:rsidRPr="00E600F8">
        <w:rPr>
          <w:lang w:val="en-US"/>
        </w:rPr>
        <w:t xml:space="preserve"> is not necessarily a negative feature, though, as adolescents’ performance can be improved by consulting with a peer (Haller et al., 2018). </w:t>
      </w:r>
      <w:r w:rsidR="00BF50E1" w:rsidRPr="00E600F8">
        <w:rPr>
          <w:lang w:val="en-US"/>
        </w:rPr>
        <w:t xml:space="preserve">As it has been suggested that ambiguity tolerance may have adaptive properties in adolescence (Romer et al., 2017), </w:t>
      </w:r>
      <w:r w:rsidR="00914FD3" w:rsidRPr="00E600F8">
        <w:rPr>
          <w:lang w:val="en-US"/>
        </w:rPr>
        <w:t>the increased rate of gambling when encountering ambiguous scenarios</w:t>
      </w:r>
      <w:r w:rsidR="00A063B5" w:rsidRPr="00E600F8">
        <w:rPr>
          <w:lang w:val="en-US"/>
        </w:rPr>
        <w:t xml:space="preserve"> with a peer</w:t>
      </w:r>
      <w:r w:rsidR="00BF50E1" w:rsidRPr="00E600F8">
        <w:rPr>
          <w:lang w:val="en-US"/>
        </w:rPr>
        <w:t xml:space="preserve"> may be</w:t>
      </w:r>
      <w:r w:rsidR="00914FD3" w:rsidRPr="00E600F8">
        <w:rPr>
          <w:lang w:val="en-US"/>
        </w:rPr>
        <w:t xml:space="preserve"> optimal at this point of the lifespan. </w:t>
      </w:r>
      <w:r w:rsidR="00A733A1" w:rsidRPr="00E600F8">
        <w:rPr>
          <w:lang w:val="en-US"/>
        </w:rPr>
        <w:t xml:space="preserve">Future research should seek to explicitly </w:t>
      </w:r>
      <w:r w:rsidR="00BF50E1" w:rsidRPr="00E600F8">
        <w:rPr>
          <w:lang w:val="en-US"/>
        </w:rPr>
        <w:t>examine whether ambiguity tolerance</w:t>
      </w:r>
      <w:r w:rsidR="00A733A1" w:rsidRPr="00E600F8">
        <w:rPr>
          <w:lang w:val="en-US"/>
        </w:rPr>
        <w:t xml:space="preserve"> can </w:t>
      </w:r>
      <w:r w:rsidR="00BF50E1" w:rsidRPr="00E600F8">
        <w:rPr>
          <w:lang w:val="en-US"/>
        </w:rPr>
        <w:t>lead to</w:t>
      </w:r>
      <w:r w:rsidR="00A733A1" w:rsidRPr="00E600F8">
        <w:rPr>
          <w:lang w:val="en-US"/>
        </w:rPr>
        <w:t xml:space="preserve"> adaptive </w:t>
      </w:r>
      <w:r w:rsidR="00BF50E1" w:rsidRPr="00E600F8">
        <w:rPr>
          <w:lang w:val="en-US"/>
        </w:rPr>
        <w:t xml:space="preserve">outcomes </w:t>
      </w:r>
      <w:r w:rsidR="00A733A1" w:rsidRPr="00E600F8">
        <w:rPr>
          <w:lang w:val="en-US"/>
        </w:rPr>
        <w:t xml:space="preserve">in adolescence and whether peers can facilitate more optimal </w:t>
      </w:r>
      <w:r w:rsidR="00F72376" w:rsidRPr="00E600F8">
        <w:rPr>
          <w:lang w:val="en-US"/>
        </w:rPr>
        <w:t>decision-making</w:t>
      </w:r>
      <w:r w:rsidR="00A733A1" w:rsidRPr="00E600F8">
        <w:rPr>
          <w:lang w:val="en-US"/>
        </w:rPr>
        <w:t xml:space="preserve"> under conditions of ambiguity. </w:t>
      </w:r>
    </w:p>
    <w:p w14:paraId="5ECED6F1" w14:textId="77777777" w:rsidR="00BA2546" w:rsidRPr="00E600F8" w:rsidRDefault="00CE3EEB" w:rsidP="00F90E10">
      <w:pPr>
        <w:widowControl w:val="0"/>
        <w:autoSpaceDE w:val="0"/>
        <w:autoSpaceDN w:val="0"/>
        <w:adjustRightInd w:val="0"/>
        <w:spacing w:line="480" w:lineRule="auto"/>
        <w:jc w:val="both"/>
        <w:rPr>
          <w:lang w:val="en-US"/>
        </w:rPr>
      </w:pPr>
      <w:r w:rsidRPr="00E600F8">
        <w:rPr>
          <w:b/>
          <w:lang w:val="en-US"/>
        </w:rPr>
        <w:t>Risk Taking Under Ambiguity and The Dual Systems Model</w:t>
      </w:r>
    </w:p>
    <w:p w14:paraId="15094D89" w14:textId="6D6A07B9" w:rsidR="00BA2546" w:rsidRPr="00E600F8" w:rsidRDefault="00CE3EEB" w:rsidP="00F90E10">
      <w:pPr>
        <w:widowControl w:val="0"/>
        <w:autoSpaceDE w:val="0"/>
        <w:autoSpaceDN w:val="0"/>
        <w:adjustRightInd w:val="0"/>
        <w:spacing w:line="480" w:lineRule="auto"/>
        <w:ind w:firstLine="720"/>
        <w:jc w:val="both"/>
        <w:rPr>
          <w:lang w:val="en-US"/>
        </w:rPr>
      </w:pPr>
      <w:r w:rsidRPr="00E600F8">
        <w:rPr>
          <w:lang w:val="en-US"/>
        </w:rPr>
        <w:t xml:space="preserve">The present study contributes to the recent debates </w:t>
      </w:r>
      <w:r w:rsidR="005306AC" w:rsidRPr="00E600F8">
        <w:rPr>
          <w:lang w:val="en-US"/>
        </w:rPr>
        <w:t>surrounding</w:t>
      </w:r>
      <w:r w:rsidRPr="00E600F8">
        <w:rPr>
          <w:lang w:val="en-US"/>
        </w:rPr>
        <w:t xml:space="preserve"> the utility of the dual systems model in accounting for risk behavior in adolesce</w:t>
      </w:r>
      <w:r w:rsidR="00CD655A" w:rsidRPr="00E600F8">
        <w:rPr>
          <w:lang w:val="en-US"/>
        </w:rPr>
        <w:t>nce (</w:t>
      </w:r>
      <w:r w:rsidR="00A02520" w:rsidRPr="00E600F8">
        <w:rPr>
          <w:lang w:val="en-US"/>
        </w:rPr>
        <w:t>Pf</w:t>
      </w:r>
      <w:r w:rsidR="00375FFB" w:rsidRPr="00E600F8">
        <w:rPr>
          <w:lang w:val="en-US"/>
        </w:rPr>
        <w:t>eifer &amp; Allen, 2012</w:t>
      </w:r>
      <w:r w:rsidRPr="00E600F8">
        <w:rPr>
          <w:lang w:val="en-US"/>
        </w:rPr>
        <w:t xml:space="preserve">). </w:t>
      </w:r>
      <w:r w:rsidR="00CD655A" w:rsidRPr="00E600F8">
        <w:rPr>
          <w:lang w:val="en-US"/>
        </w:rPr>
        <w:t>We did not find evidence for the link between dispositions highl</w:t>
      </w:r>
      <w:r w:rsidR="00375FFB" w:rsidRPr="00E600F8">
        <w:rPr>
          <w:lang w:val="en-US"/>
        </w:rPr>
        <w:t>ighted by this model (</w:t>
      </w:r>
      <w:r w:rsidR="00BB0517" w:rsidRPr="00E600F8">
        <w:rPr>
          <w:lang w:val="en-US"/>
        </w:rPr>
        <w:t xml:space="preserve">risk perception, </w:t>
      </w:r>
      <w:r w:rsidR="00375FFB" w:rsidRPr="00E600F8">
        <w:rPr>
          <w:lang w:val="en-US"/>
        </w:rPr>
        <w:lastRenderedPageBreak/>
        <w:t xml:space="preserve">reward sensitivity </w:t>
      </w:r>
      <w:r w:rsidR="00CD655A" w:rsidRPr="00E600F8">
        <w:rPr>
          <w:lang w:val="en-US"/>
        </w:rPr>
        <w:t xml:space="preserve">and inhibitory control) and </w:t>
      </w:r>
      <w:r w:rsidR="00F72376" w:rsidRPr="00E600F8">
        <w:rPr>
          <w:lang w:val="en-US"/>
        </w:rPr>
        <w:t>decision-making</w:t>
      </w:r>
      <w:r w:rsidR="00CD655A" w:rsidRPr="00E600F8">
        <w:rPr>
          <w:lang w:val="en-US"/>
        </w:rPr>
        <w:t xml:space="preserve"> under ambiguity. </w:t>
      </w:r>
      <w:r w:rsidR="00375FFB" w:rsidRPr="00E600F8">
        <w:rPr>
          <w:lang w:val="en-US"/>
        </w:rPr>
        <w:t>Critics hold that the prediction</w:t>
      </w:r>
      <w:r w:rsidR="005306AC" w:rsidRPr="00E600F8">
        <w:rPr>
          <w:lang w:val="en-US"/>
        </w:rPr>
        <w:t>s of the dual systems model</w:t>
      </w:r>
      <w:r w:rsidR="00375FFB" w:rsidRPr="00E600F8">
        <w:rPr>
          <w:lang w:val="en-US"/>
        </w:rPr>
        <w:t xml:space="preserve"> are too broad to adequately capture the </w:t>
      </w:r>
      <w:r w:rsidR="005306AC" w:rsidRPr="00E600F8">
        <w:rPr>
          <w:lang w:val="en-US"/>
        </w:rPr>
        <w:t>complexities of risk behavio</w:t>
      </w:r>
      <w:r w:rsidR="006A58DB" w:rsidRPr="00E600F8">
        <w:rPr>
          <w:lang w:val="en-US"/>
        </w:rPr>
        <w:t>r</w:t>
      </w:r>
      <w:r w:rsidR="00243272" w:rsidRPr="00E600F8">
        <w:rPr>
          <w:lang w:val="en-US"/>
        </w:rPr>
        <w:t xml:space="preserve"> (Pfeifer &amp; Allen, 2012)</w:t>
      </w:r>
      <w:r w:rsidR="006A58DB" w:rsidRPr="00E600F8">
        <w:rPr>
          <w:lang w:val="en-US"/>
        </w:rPr>
        <w:t xml:space="preserve">. </w:t>
      </w:r>
      <w:r w:rsidR="008B7A26" w:rsidRPr="00E600F8">
        <w:rPr>
          <w:lang w:val="en-US"/>
        </w:rPr>
        <w:t xml:space="preserve">Indeed, in rich </w:t>
      </w:r>
      <w:r w:rsidR="00243272" w:rsidRPr="00E600F8">
        <w:rPr>
          <w:lang w:val="en-US"/>
        </w:rPr>
        <w:t>decision</w:t>
      </w:r>
      <w:r w:rsidR="009E19A9" w:rsidRPr="00E600F8">
        <w:rPr>
          <w:lang w:val="en-US"/>
        </w:rPr>
        <w:t>-</w:t>
      </w:r>
      <w:r w:rsidR="008B7A26" w:rsidRPr="00E600F8">
        <w:rPr>
          <w:lang w:val="en-US"/>
        </w:rPr>
        <w:t xml:space="preserve">making scenarios such as </w:t>
      </w:r>
      <w:r w:rsidR="005306AC" w:rsidRPr="00E600F8">
        <w:rPr>
          <w:lang w:val="en-US"/>
        </w:rPr>
        <w:t>that</w:t>
      </w:r>
      <w:r w:rsidR="008B7A26" w:rsidRPr="00E600F8">
        <w:rPr>
          <w:lang w:val="en-US"/>
        </w:rPr>
        <w:t xml:space="preserve"> utilized in the present study, relying only on the imbalance between reward sensitivity and inhibitory control neglects the </w:t>
      </w:r>
      <w:r w:rsidR="008A77D4" w:rsidRPr="00E600F8">
        <w:rPr>
          <w:lang w:val="en-US"/>
        </w:rPr>
        <w:t xml:space="preserve">range of situational factors that can either promote or </w:t>
      </w:r>
      <w:r w:rsidR="002C2F80" w:rsidRPr="00E600F8">
        <w:rPr>
          <w:lang w:val="en-US"/>
        </w:rPr>
        <w:t xml:space="preserve">discourage </w:t>
      </w:r>
      <w:r w:rsidR="0055421B" w:rsidRPr="00E600F8">
        <w:rPr>
          <w:lang w:val="en-US"/>
        </w:rPr>
        <w:t>risky behaviors</w:t>
      </w:r>
      <w:r w:rsidR="005306AC" w:rsidRPr="00E600F8">
        <w:rPr>
          <w:lang w:val="en-US"/>
        </w:rPr>
        <w:t xml:space="preserve"> (Defoe et al., 2015</w:t>
      </w:r>
      <w:r w:rsidR="004C3E2B" w:rsidRPr="00E600F8">
        <w:rPr>
          <w:lang w:val="en-US"/>
        </w:rPr>
        <w:t>; Figner &amp; Weber, 2011</w:t>
      </w:r>
      <w:r w:rsidR="00205661" w:rsidRPr="00E600F8">
        <w:rPr>
          <w:lang w:val="en-US"/>
        </w:rPr>
        <w:t>).</w:t>
      </w:r>
      <w:r w:rsidR="00871FF7" w:rsidRPr="00E600F8">
        <w:rPr>
          <w:lang w:val="en-US"/>
        </w:rPr>
        <w:t xml:space="preserve"> </w:t>
      </w:r>
    </w:p>
    <w:p w14:paraId="6FC47E00" w14:textId="77777777" w:rsidR="00BA2546" w:rsidRPr="00E600F8" w:rsidRDefault="00827B5E" w:rsidP="00F90E10">
      <w:pPr>
        <w:widowControl w:val="0"/>
        <w:autoSpaceDE w:val="0"/>
        <w:autoSpaceDN w:val="0"/>
        <w:adjustRightInd w:val="0"/>
        <w:spacing w:line="480" w:lineRule="auto"/>
        <w:jc w:val="both"/>
        <w:rPr>
          <w:lang w:val="en-US"/>
        </w:rPr>
      </w:pPr>
      <w:r w:rsidRPr="00E600F8">
        <w:rPr>
          <w:b/>
          <w:lang w:val="en-US"/>
        </w:rPr>
        <w:t>Limitations, Future Research and Implications</w:t>
      </w:r>
    </w:p>
    <w:p w14:paraId="075D943E" w14:textId="5E469BEC" w:rsidR="00B74F00" w:rsidRPr="005F4CAF" w:rsidRDefault="00D074C9" w:rsidP="00F90E10">
      <w:pPr>
        <w:widowControl w:val="0"/>
        <w:autoSpaceDE w:val="0"/>
        <w:autoSpaceDN w:val="0"/>
        <w:adjustRightInd w:val="0"/>
        <w:spacing w:line="480" w:lineRule="auto"/>
        <w:ind w:firstLine="720"/>
        <w:jc w:val="both"/>
        <w:rPr>
          <w:lang w:val="en-US"/>
        </w:rPr>
      </w:pPr>
      <w:r w:rsidRPr="00E600F8">
        <w:rPr>
          <w:lang w:val="en-US"/>
        </w:rPr>
        <w:t>There are important</w:t>
      </w:r>
      <w:r w:rsidR="00670C8D" w:rsidRPr="00E600F8">
        <w:rPr>
          <w:lang w:val="en-US"/>
        </w:rPr>
        <w:t xml:space="preserve"> </w:t>
      </w:r>
      <w:r w:rsidR="00AB1ACB" w:rsidRPr="00E600F8">
        <w:rPr>
          <w:lang w:val="en-US"/>
        </w:rPr>
        <w:t>limitation</w:t>
      </w:r>
      <w:r w:rsidRPr="00E600F8">
        <w:rPr>
          <w:lang w:val="en-US"/>
        </w:rPr>
        <w:t>s</w:t>
      </w:r>
      <w:r w:rsidR="00AB1ACB" w:rsidRPr="00E600F8">
        <w:rPr>
          <w:lang w:val="en-US"/>
        </w:rPr>
        <w:t xml:space="preserve"> </w:t>
      </w:r>
      <w:r w:rsidRPr="00E600F8">
        <w:rPr>
          <w:lang w:val="en-US"/>
        </w:rPr>
        <w:t>that must be considered with</w:t>
      </w:r>
      <w:r w:rsidR="00670C8D" w:rsidRPr="00E600F8">
        <w:rPr>
          <w:lang w:val="en-US"/>
        </w:rPr>
        <w:t xml:space="preserve"> the </w:t>
      </w:r>
      <w:r w:rsidR="00AB1ACB" w:rsidRPr="00E600F8">
        <w:rPr>
          <w:lang w:val="en-US"/>
        </w:rPr>
        <w:t>present study</w:t>
      </w:r>
      <w:r w:rsidRPr="00E600F8">
        <w:rPr>
          <w:lang w:val="en-US"/>
        </w:rPr>
        <w:t xml:space="preserve">. One </w:t>
      </w:r>
      <w:r w:rsidR="002831AB" w:rsidRPr="00E600F8">
        <w:rPr>
          <w:lang w:val="en-US"/>
        </w:rPr>
        <w:t>criticism</w:t>
      </w:r>
      <w:r w:rsidR="00670C8D" w:rsidRPr="00E600F8">
        <w:rPr>
          <w:lang w:val="en-US"/>
        </w:rPr>
        <w:t xml:space="preserve"> </w:t>
      </w:r>
      <w:r w:rsidRPr="00E600F8">
        <w:rPr>
          <w:lang w:val="en-US"/>
        </w:rPr>
        <w:t>is</w:t>
      </w:r>
      <w:r w:rsidR="00670C8D" w:rsidRPr="00E600F8">
        <w:rPr>
          <w:lang w:val="en-US"/>
        </w:rPr>
        <w:t xml:space="preserve"> that</w:t>
      </w:r>
      <w:r w:rsidR="00E41F08" w:rsidRPr="00E600F8">
        <w:rPr>
          <w:lang w:val="en-US"/>
        </w:rPr>
        <w:t xml:space="preserve"> the measures of inhibitory control and reward sensitivity were imperfect due to the low level of the Cronbach’s alpha </w:t>
      </w:r>
      <w:r w:rsidR="00670C8D" w:rsidRPr="00E600F8">
        <w:rPr>
          <w:lang w:val="en-US"/>
        </w:rPr>
        <w:t>(Peters</w:t>
      </w:r>
      <w:r w:rsidR="00E41F08" w:rsidRPr="00E600F8">
        <w:rPr>
          <w:lang w:val="en-US"/>
        </w:rPr>
        <w:t>on, 1994)</w:t>
      </w:r>
      <w:r w:rsidR="00670C8D" w:rsidRPr="00E600F8">
        <w:rPr>
          <w:lang w:val="en-US"/>
        </w:rPr>
        <w:t xml:space="preserve">. </w:t>
      </w:r>
      <w:r w:rsidR="00672F49" w:rsidRPr="00E600F8">
        <w:rPr>
          <w:lang w:val="en-US"/>
        </w:rPr>
        <w:t>It is important to note that the sample recruited were of the lower age boundary utilized in previous studies using these scales (Defoe et al., 2015). Therefore, the scale</w:t>
      </w:r>
      <w:r w:rsidR="002E0933" w:rsidRPr="00E600F8">
        <w:rPr>
          <w:lang w:val="en-US"/>
        </w:rPr>
        <w:t>s</w:t>
      </w:r>
      <w:r w:rsidR="00672F49" w:rsidRPr="00E600F8">
        <w:rPr>
          <w:lang w:val="en-US"/>
        </w:rPr>
        <w:t xml:space="preserve"> </w:t>
      </w:r>
      <w:r w:rsidR="00E41F08" w:rsidRPr="00E600F8">
        <w:rPr>
          <w:lang w:val="en-US"/>
        </w:rPr>
        <w:t>may not</w:t>
      </w:r>
      <w:r w:rsidR="00672F49" w:rsidRPr="00E600F8">
        <w:rPr>
          <w:lang w:val="en-US"/>
        </w:rPr>
        <w:t xml:space="preserve"> capture these dispositions in a younger cohort. Nevertheless, both scales demonstrated the expected pattern</w:t>
      </w:r>
      <w:r w:rsidR="009E19A9" w:rsidRPr="00E600F8">
        <w:rPr>
          <w:lang w:val="en-US"/>
        </w:rPr>
        <w:t xml:space="preserve"> of relationships</w:t>
      </w:r>
      <w:r w:rsidR="00672F49" w:rsidRPr="00E600F8">
        <w:rPr>
          <w:lang w:val="en-US"/>
        </w:rPr>
        <w:t xml:space="preserve"> to risk-related behavior, and reliability was consistent with previous studies (Duell et al., 2016), which made their inclusion in the current </w:t>
      </w:r>
      <w:r w:rsidR="00105437" w:rsidRPr="00E600F8">
        <w:rPr>
          <w:lang w:val="en-US"/>
        </w:rPr>
        <w:t>study</w:t>
      </w:r>
      <w:r w:rsidR="00672F49" w:rsidRPr="00E600F8">
        <w:rPr>
          <w:lang w:val="en-US"/>
        </w:rPr>
        <w:t xml:space="preserve"> informative. </w:t>
      </w:r>
      <w:r w:rsidR="00B74F00" w:rsidRPr="00E600F8">
        <w:rPr>
          <w:lang w:val="en-US"/>
        </w:rPr>
        <w:t xml:space="preserve">As peer interactions were unscripted, this </w:t>
      </w:r>
      <w:r w:rsidR="00EB172B" w:rsidRPr="00E600F8">
        <w:rPr>
          <w:lang w:val="en-US"/>
        </w:rPr>
        <w:t xml:space="preserve">introduced a certain amount of noise into the data. </w:t>
      </w:r>
      <w:r w:rsidR="00B74F00" w:rsidRPr="00E600F8">
        <w:rPr>
          <w:lang w:val="en-US"/>
        </w:rPr>
        <w:t xml:space="preserve">However, </w:t>
      </w:r>
      <w:r w:rsidR="002831AB" w:rsidRPr="00E600F8">
        <w:rPr>
          <w:lang w:val="en-US"/>
        </w:rPr>
        <w:t xml:space="preserve">this method was consistent with previous research (Haller et al., 2018) and </w:t>
      </w:r>
      <w:r w:rsidR="00EB172B" w:rsidRPr="00E600F8">
        <w:rPr>
          <w:lang w:val="en-US"/>
        </w:rPr>
        <w:t>was selected to allow</w:t>
      </w:r>
      <w:r w:rsidR="002831AB" w:rsidRPr="00E600F8">
        <w:rPr>
          <w:lang w:val="en-US"/>
        </w:rPr>
        <w:t xml:space="preserve"> for naturalistic interactions</w:t>
      </w:r>
      <w:r w:rsidR="00EB172B" w:rsidRPr="00E600F8">
        <w:rPr>
          <w:lang w:val="en-US"/>
        </w:rPr>
        <w:t xml:space="preserve"> reflective of the real conditions with which adolescents encounter </w:t>
      </w:r>
      <w:r w:rsidR="0013458E" w:rsidRPr="00E600F8">
        <w:rPr>
          <w:lang w:val="en-US"/>
        </w:rPr>
        <w:t xml:space="preserve">risk and ambiguous </w:t>
      </w:r>
      <w:r w:rsidR="00EB172B" w:rsidRPr="00E600F8">
        <w:rPr>
          <w:lang w:val="en-US"/>
        </w:rPr>
        <w:t>scenarios</w:t>
      </w:r>
      <w:r w:rsidR="002831AB" w:rsidRPr="00E600F8">
        <w:rPr>
          <w:lang w:val="en-US"/>
        </w:rPr>
        <w:t>.</w:t>
      </w:r>
      <w:r w:rsidR="00B74F00" w:rsidRPr="00E600F8">
        <w:rPr>
          <w:lang w:val="en-US"/>
        </w:rPr>
        <w:t xml:space="preserve"> Nevertheless, future research cou</w:t>
      </w:r>
      <w:r w:rsidR="003146A7" w:rsidRPr="00E600F8">
        <w:rPr>
          <w:lang w:val="en-US"/>
        </w:rPr>
        <w:t>ld code interactions within group</w:t>
      </w:r>
      <w:r w:rsidR="00B74F00" w:rsidRPr="00E600F8">
        <w:rPr>
          <w:lang w:val="en-US"/>
        </w:rPr>
        <w:t xml:space="preserve">s for a more </w:t>
      </w:r>
      <w:r w:rsidR="00B74F00" w:rsidRPr="005F4CAF">
        <w:rPr>
          <w:lang w:val="en-US"/>
        </w:rPr>
        <w:t xml:space="preserve">precise understanding </w:t>
      </w:r>
      <w:r w:rsidR="002831AB" w:rsidRPr="005F4CAF">
        <w:rPr>
          <w:lang w:val="en-US"/>
        </w:rPr>
        <w:t xml:space="preserve">of how </w:t>
      </w:r>
      <w:r w:rsidR="003146A7" w:rsidRPr="005F4CAF">
        <w:rPr>
          <w:lang w:val="en-US"/>
        </w:rPr>
        <w:t>these</w:t>
      </w:r>
      <w:r w:rsidR="002831AB" w:rsidRPr="005F4CAF">
        <w:rPr>
          <w:lang w:val="en-US"/>
        </w:rPr>
        <w:t xml:space="preserve"> decisions were</w:t>
      </w:r>
      <w:r w:rsidR="00B74F00" w:rsidRPr="005F4CAF">
        <w:rPr>
          <w:lang w:val="en-US"/>
        </w:rPr>
        <w:t xml:space="preserve"> made</w:t>
      </w:r>
      <w:r w:rsidR="0081059A" w:rsidRPr="005F4CAF">
        <w:rPr>
          <w:lang w:val="en-US"/>
        </w:rPr>
        <w:t xml:space="preserve"> (Dishion et al., 1995)</w:t>
      </w:r>
      <w:r w:rsidR="00B74F00" w:rsidRPr="005F4CAF">
        <w:rPr>
          <w:lang w:val="en-US"/>
        </w:rPr>
        <w:t xml:space="preserve">. </w:t>
      </w:r>
    </w:p>
    <w:p w14:paraId="55D8A704" w14:textId="772C0150" w:rsidR="00F417D8" w:rsidRPr="005F4CAF" w:rsidRDefault="00F417D8" w:rsidP="00F90E10">
      <w:pPr>
        <w:widowControl w:val="0"/>
        <w:autoSpaceDE w:val="0"/>
        <w:autoSpaceDN w:val="0"/>
        <w:adjustRightInd w:val="0"/>
        <w:spacing w:line="480" w:lineRule="auto"/>
        <w:ind w:firstLine="720"/>
        <w:jc w:val="both"/>
        <w:rPr>
          <w:lang w:val="en-US"/>
        </w:rPr>
      </w:pPr>
      <w:r w:rsidRPr="005F4CAF">
        <w:rPr>
          <w:lang w:val="en-US"/>
        </w:rPr>
        <w:t>A further limitation is that the order with which the Wheel of Fortune task and questionnaire measures</w:t>
      </w:r>
      <w:r w:rsidR="00642FC4" w:rsidRPr="005F4CAF">
        <w:rPr>
          <w:lang w:val="en-US"/>
        </w:rPr>
        <w:t xml:space="preserve"> were administered</w:t>
      </w:r>
      <w:r w:rsidRPr="005F4CAF">
        <w:rPr>
          <w:lang w:val="en-US"/>
        </w:rPr>
        <w:t xml:space="preserve"> was not counterbalanced. As a number of the questionnaire measures made reference to scenarios related to risk, we did not want </w:t>
      </w:r>
      <w:r w:rsidR="00642FC4" w:rsidRPr="005F4CAF">
        <w:rPr>
          <w:lang w:val="en-US"/>
        </w:rPr>
        <w:t>participants</w:t>
      </w:r>
      <w:r w:rsidRPr="005F4CAF">
        <w:rPr>
          <w:lang w:val="en-US"/>
        </w:rPr>
        <w:t xml:space="preserve">’ performance to be affected by prior consideration of their own risk attitudes. Nevertheless, future research should seek to improve on this design. </w:t>
      </w:r>
      <w:r w:rsidR="00EE6506">
        <w:rPr>
          <w:lang w:val="en-US"/>
        </w:rPr>
        <w:t>Moreover, f</w:t>
      </w:r>
      <w:r w:rsidR="00642FC4" w:rsidRPr="005F4CAF">
        <w:rPr>
          <w:lang w:val="en-US"/>
        </w:rPr>
        <w:t xml:space="preserve">uture research </w:t>
      </w:r>
      <w:r w:rsidR="00642FC4" w:rsidRPr="005F4CAF">
        <w:rPr>
          <w:lang w:val="en-US"/>
        </w:rPr>
        <w:lastRenderedPageBreak/>
        <w:t>should also seek to incorporate a sample of female adolescents</w:t>
      </w:r>
      <w:r w:rsidR="001B15A7" w:rsidRPr="005F4CAF">
        <w:rPr>
          <w:lang w:val="en-US"/>
        </w:rPr>
        <w:t xml:space="preserve"> and older adolescents, to further elucidate how risk and ambiguity tolerance develop at this point in the lifespan.</w:t>
      </w:r>
    </w:p>
    <w:p w14:paraId="4B930E27" w14:textId="496E1744" w:rsidR="00F274EE" w:rsidRPr="005F4CAF" w:rsidRDefault="004F7685" w:rsidP="00BA2546">
      <w:pPr>
        <w:widowControl w:val="0"/>
        <w:autoSpaceDE w:val="0"/>
        <w:autoSpaceDN w:val="0"/>
        <w:adjustRightInd w:val="0"/>
        <w:spacing w:line="480" w:lineRule="auto"/>
        <w:ind w:firstLine="720"/>
        <w:jc w:val="both"/>
        <w:rPr>
          <w:lang w:val="en-US"/>
        </w:rPr>
      </w:pPr>
      <w:r w:rsidRPr="005F4CAF">
        <w:rPr>
          <w:lang w:val="en-US"/>
        </w:rPr>
        <w:t xml:space="preserve">This study adds to the growing body of literature suggesting that adolescents </w:t>
      </w:r>
      <w:r w:rsidR="0074764C" w:rsidRPr="005F4CAF">
        <w:rPr>
          <w:lang w:val="en-US"/>
        </w:rPr>
        <w:t>gamble</w:t>
      </w:r>
      <w:r w:rsidRPr="005F4CAF">
        <w:rPr>
          <w:lang w:val="en-US"/>
        </w:rPr>
        <w:t xml:space="preserve"> in</w:t>
      </w:r>
      <w:r w:rsidRPr="00E600F8">
        <w:rPr>
          <w:lang w:val="en-US"/>
        </w:rPr>
        <w:t xml:space="preserve"> ambiguous situations, but </w:t>
      </w:r>
      <w:r w:rsidR="00D60A93" w:rsidRPr="00E600F8">
        <w:rPr>
          <w:lang w:val="en-US"/>
        </w:rPr>
        <w:t>this behavio</w:t>
      </w:r>
      <w:r w:rsidR="006545A9" w:rsidRPr="00E600F8">
        <w:rPr>
          <w:lang w:val="en-US"/>
        </w:rPr>
        <w:t>r is reduced when</w:t>
      </w:r>
      <w:r w:rsidR="00FA5166" w:rsidRPr="00E600F8">
        <w:rPr>
          <w:lang w:val="en-US"/>
        </w:rPr>
        <w:t xml:space="preserve"> risks are </w:t>
      </w:r>
      <w:r w:rsidR="005C095B" w:rsidRPr="00E600F8">
        <w:rPr>
          <w:lang w:val="en-US"/>
        </w:rPr>
        <w:t xml:space="preserve">explicit. </w:t>
      </w:r>
      <w:r w:rsidR="006D2A89" w:rsidRPr="00E600F8">
        <w:rPr>
          <w:lang w:val="en-US"/>
        </w:rPr>
        <w:t>This research has implications for real-world settings, as</w:t>
      </w:r>
      <w:r w:rsidR="005D53DF" w:rsidRPr="00E600F8">
        <w:rPr>
          <w:lang w:val="en-US"/>
        </w:rPr>
        <w:t xml:space="preserve"> it suggests the conditions under which this population are more likely to engage in r</w:t>
      </w:r>
      <w:r w:rsidR="004E61D7" w:rsidRPr="00E600F8">
        <w:rPr>
          <w:lang w:val="en-US"/>
        </w:rPr>
        <w:t>eckless</w:t>
      </w:r>
      <w:r w:rsidR="005D53DF" w:rsidRPr="00E600F8">
        <w:rPr>
          <w:lang w:val="en-US"/>
        </w:rPr>
        <w:t xml:space="preserve"> behavior. In order to minimize the risk of hazardous behavior</w:t>
      </w:r>
      <w:r w:rsidR="008B635C" w:rsidRPr="00E600F8">
        <w:rPr>
          <w:lang w:val="en-US"/>
        </w:rPr>
        <w:t>s</w:t>
      </w:r>
      <w:r w:rsidR="005D53DF" w:rsidRPr="00E600F8">
        <w:rPr>
          <w:lang w:val="en-US"/>
        </w:rPr>
        <w:t xml:space="preserve">, </w:t>
      </w:r>
      <w:r w:rsidR="003146A7" w:rsidRPr="00E600F8">
        <w:rPr>
          <w:lang w:val="en-US"/>
        </w:rPr>
        <w:t>youth</w:t>
      </w:r>
      <w:r w:rsidR="006C3035" w:rsidRPr="00E600F8">
        <w:rPr>
          <w:lang w:val="en-US"/>
        </w:rPr>
        <w:t xml:space="preserve"> programs</w:t>
      </w:r>
      <w:r w:rsidR="005D53DF" w:rsidRPr="00E600F8">
        <w:rPr>
          <w:lang w:val="en-US"/>
        </w:rPr>
        <w:t xml:space="preserve"> should</w:t>
      </w:r>
      <w:r w:rsidR="00F274EE" w:rsidRPr="00E600F8">
        <w:rPr>
          <w:lang w:val="en-US"/>
        </w:rPr>
        <w:t xml:space="preserve"> seek to develop adolescents’ understanding of the likelihood of risks occurring, thereby reducing the ambiguity associated with these situations. For example, education programs that highlight the risks associated with privacy on social </w:t>
      </w:r>
      <w:r w:rsidR="00F274EE" w:rsidRPr="005F4CAF">
        <w:rPr>
          <w:lang w:val="en-US"/>
        </w:rPr>
        <w:t>networking sites have been associated with a reduction in the frequency of unsafe online behaviors (Vanderhoven, Schellens &amp; Valcke, 2013).</w:t>
      </w:r>
    </w:p>
    <w:p w14:paraId="00719148" w14:textId="74D6FA87" w:rsidR="00215CEE" w:rsidRPr="005F4CAF" w:rsidRDefault="00E11336" w:rsidP="00E11336">
      <w:pPr>
        <w:widowControl w:val="0"/>
        <w:autoSpaceDE w:val="0"/>
        <w:autoSpaceDN w:val="0"/>
        <w:adjustRightInd w:val="0"/>
        <w:spacing w:line="480" w:lineRule="auto"/>
        <w:ind w:firstLine="720"/>
        <w:jc w:val="both"/>
        <w:rPr>
          <w:lang w:val="en-US"/>
        </w:rPr>
      </w:pPr>
      <w:r w:rsidRPr="005F4CAF">
        <w:rPr>
          <w:lang w:val="en-US"/>
        </w:rPr>
        <w:t>Th</w:t>
      </w:r>
      <w:r w:rsidR="00BE57C1" w:rsidRPr="005F4CAF">
        <w:rPr>
          <w:lang w:val="en-US"/>
        </w:rPr>
        <w:t>ese findings</w:t>
      </w:r>
      <w:r w:rsidRPr="005F4CAF">
        <w:rPr>
          <w:lang w:val="en-US"/>
        </w:rPr>
        <w:t xml:space="preserve"> can be applied to interventions aimed at reducing specific risk behaviors, such as gambling. By informing adolescents about the probabilities involved in these potentially negative behaviors, the present research suggests that the </w:t>
      </w:r>
      <w:r w:rsidR="00866DE7" w:rsidRPr="005F4CAF">
        <w:rPr>
          <w:lang w:val="en-US"/>
        </w:rPr>
        <w:t>likelihood</w:t>
      </w:r>
      <w:r w:rsidRPr="005F4CAF">
        <w:rPr>
          <w:lang w:val="en-US"/>
        </w:rPr>
        <w:t xml:space="preserve"> of adolescents engaging in these behaviors will be reduced. Consistent with this, educational interventions </w:t>
      </w:r>
      <w:r w:rsidR="00215CEE" w:rsidRPr="005F4CAF">
        <w:rPr>
          <w:lang w:val="en-US"/>
        </w:rPr>
        <w:t>that</w:t>
      </w:r>
      <w:r w:rsidRPr="005F4CAF">
        <w:rPr>
          <w:lang w:val="en-US"/>
        </w:rPr>
        <w:t xml:space="preserve"> inform adolescents about the probabilities involved in gambling have been found to be an effective strategy at reducing gambling behaviors in this population</w:t>
      </w:r>
      <w:r w:rsidR="00215CEE" w:rsidRPr="005F4CAF">
        <w:rPr>
          <w:lang w:val="en-US"/>
        </w:rPr>
        <w:t xml:space="preserve"> (Donati, Primi &amp; Chiesi, 2014).</w:t>
      </w:r>
    </w:p>
    <w:p w14:paraId="37106DA5" w14:textId="33C7B8C1" w:rsidR="00827B5E" w:rsidRPr="00E600F8" w:rsidRDefault="00827B5E" w:rsidP="008C3DDE">
      <w:pPr>
        <w:widowControl w:val="0"/>
        <w:autoSpaceDE w:val="0"/>
        <w:autoSpaceDN w:val="0"/>
        <w:adjustRightInd w:val="0"/>
        <w:spacing w:line="480" w:lineRule="auto"/>
        <w:jc w:val="both"/>
        <w:outlineLvl w:val="0"/>
        <w:rPr>
          <w:lang w:val="en-US"/>
        </w:rPr>
      </w:pPr>
      <w:r w:rsidRPr="005F4CAF">
        <w:rPr>
          <w:b/>
          <w:lang w:val="en-US"/>
        </w:rPr>
        <w:t>Conclusion</w:t>
      </w:r>
    </w:p>
    <w:p w14:paraId="1D0A15D4" w14:textId="35FA3B4E" w:rsidR="00B147C7" w:rsidRPr="00E600F8" w:rsidRDefault="00827B5E" w:rsidP="0002111E">
      <w:pPr>
        <w:widowControl w:val="0"/>
        <w:autoSpaceDE w:val="0"/>
        <w:autoSpaceDN w:val="0"/>
        <w:adjustRightInd w:val="0"/>
        <w:spacing w:line="480" w:lineRule="auto"/>
        <w:ind w:firstLine="720"/>
        <w:jc w:val="both"/>
        <w:rPr>
          <w:lang w:val="en-US"/>
        </w:rPr>
      </w:pPr>
      <w:r w:rsidRPr="00E600F8">
        <w:rPr>
          <w:lang w:val="en-US"/>
        </w:rPr>
        <w:t>In sum, the current study has suggested that adolescent risk taking may be more appropriately defined by a likelihood to</w:t>
      </w:r>
      <w:r w:rsidR="00395E04" w:rsidRPr="00E600F8">
        <w:rPr>
          <w:lang w:val="en-US"/>
        </w:rPr>
        <w:t xml:space="preserve"> </w:t>
      </w:r>
      <w:r w:rsidR="002831AB" w:rsidRPr="00E600F8">
        <w:rPr>
          <w:lang w:val="en-US"/>
        </w:rPr>
        <w:t>gamble</w:t>
      </w:r>
      <w:r w:rsidRPr="00E600F8">
        <w:rPr>
          <w:lang w:val="en-US"/>
        </w:rPr>
        <w:t xml:space="preserve"> under conditions of </w:t>
      </w:r>
      <w:r w:rsidR="002831AB" w:rsidRPr="00E600F8">
        <w:rPr>
          <w:lang w:val="en-US"/>
        </w:rPr>
        <w:t>ambiguity</w:t>
      </w:r>
      <w:r w:rsidRPr="00E600F8">
        <w:rPr>
          <w:lang w:val="en-US"/>
        </w:rPr>
        <w:t>. This is a challenge to previous work suggesting risk behavi</w:t>
      </w:r>
      <w:r w:rsidR="00395E04" w:rsidRPr="00E600F8">
        <w:rPr>
          <w:lang w:val="en-US"/>
        </w:rPr>
        <w:t>o</w:t>
      </w:r>
      <w:r w:rsidRPr="00E600F8">
        <w:rPr>
          <w:lang w:val="en-US"/>
        </w:rPr>
        <w:t>rs in this population occur despite an awareness of the likelihood of a negati</w:t>
      </w:r>
      <w:r w:rsidR="002831AB" w:rsidRPr="00E600F8">
        <w:rPr>
          <w:lang w:val="en-US"/>
        </w:rPr>
        <w:t>ve outcome occurring. These</w:t>
      </w:r>
      <w:r w:rsidRPr="00E600F8">
        <w:rPr>
          <w:lang w:val="en-US"/>
        </w:rPr>
        <w:t xml:space="preserve"> choices are </w:t>
      </w:r>
      <w:r w:rsidR="00A16F1A" w:rsidRPr="00E600F8">
        <w:rPr>
          <w:lang w:val="en-US"/>
        </w:rPr>
        <w:t>linked to</w:t>
      </w:r>
      <w:r w:rsidR="00F6078C" w:rsidRPr="00E600F8">
        <w:rPr>
          <w:lang w:val="en-US"/>
        </w:rPr>
        <w:t xml:space="preserve"> social influence during</w:t>
      </w:r>
      <w:r w:rsidR="00D448B5" w:rsidRPr="00E600F8">
        <w:rPr>
          <w:lang w:val="en-US"/>
        </w:rPr>
        <w:t xml:space="preserve"> </w:t>
      </w:r>
      <w:r w:rsidR="00F72376" w:rsidRPr="00E600F8">
        <w:rPr>
          <w:lang w:val="en-US"/>
        </w:rPr>
        <w:t>decision-making</w:t>
      </w:r>
      <w:r w:rsidR="00D448B5" w:rsidRPr="00E600F8">
        <w:rPr>
          <w:lang w:val="en-US"/>
        </w:rPr>
        <w:t xml:space="preserve"> and adolescents were more likely to </w:t>
      </w:r>
      <w:r w:rsidR="002831AB" w:rsidRPr="00E600F8">
        <w:rPr>
          <w:lang w:val="en-US"/>
        </w:rPr>
        <w:t>gamble</w:t>
      </w:r>
      <w:r w:rsidR="00D448B5" w:rsidRPr="00E600F8">
        <w:rPr>
          <w:lang w:val="en-US"/>
        </w:rPr>
        <w:t xml:space="preserve"> under ambiguity when decisions were made </w:t>
      </w:r>
      <w:r w:rsidR="002831AB" w:rsidRPr="00E600F8">
        <w:rPr>
          <w:lang w:val="en-US"/>
        </w:rPr>
        <w:t>in groups</w:t>
      </w:r>
      <w:r w:rsidR="00D448B5" w:rsidRPr="00E600F8">
        <w:rPr>
          <w:lang w:val="en-US"/>
        </w:rPr>
        <w:t xml:space="preserve">. </w:t>
      </w:r>
      <w:r w:rsidR="00800E66" w:rsidRPr="00E600F8">
        <w:rPr>
          <w:lang w:val="en-US"/>
        </w:rPr>
        <w:t>Moreover, this</w:t>
      </w:r>
      <w:r w:rsidRPr="00E600F8">
        <w:rPr>
          <w:lang w:val="en-US"/>
        </w:rPr>
        <w:t xml:space="preserve"> investigation has suggested </w:t>
      </w:r>
      <w:r w:rsidR="00555ECF" w:rsidRPr="00E600F8">
        <w:rPr>
          <w:lang w:val="en-US"/>
        </w:rPr>
        <w:t>that</w:t>
      </w:r>
      <w:r w:rsidR="00CC6983" w:rsidRPr="00E600F8">
        <w:rPr>
          <w:lang w:val="en-US"/>
        </w:rPr>
        <w:t xml:space="preserve"> there is </w:t>
      </w:r>
      <w:r w:rsidR="00CC6983" w:rsidRPr="00E600F8">
        <w:rPr>
          <w:lang w:val="en-US"/>
        </w:rPr>
        <w:lastRenderedPageBreak/>
        <w:t xml:space="preserve">an important distinction between </w:t>
      </w:r>
      <w:r w:rsidR="002831AB" w:rsidRPr="00E600F8">
        <w:rPr>
          <w:lang w:val="en-US"/>
        </w:rPr>
        <w:t xml:space="preserve">normative </w:t>
      </w:r>
      <w:r w:rsidR="00F72376" w:rsidRPr="00E600F8">
        <w:rPr>
          <w:lang w:val="en-US"/>
        </w:rPr>
        <w:t>decision-making</w:t>
      </w:r>
      <w:r w:rsidR="00CC6983" w:rsidRPr="00E600F8">
        <w:rPr>
          <w:lang w:val="en-US"/>
        </w:rPr>
        <w:t xml:space="preserve"> and antisocial</w:t>
      </w:r>
      <w:r w:rsidR="00555ECF" w:rsidRPr="00E600F8">
        <w:rPr>
          <w:lang w:val="en-US"/>
        </w:rPr>
        <w:t xml:space="preserve"> </w:t>
      </w:r>
      <w:r w:rsidR="00F72376" w:rsidRPr="00E600F8">
        <w:rPr>
          <w:lang w:val="en-US"/>
        </w:rPr>
        <w:t>decision-making</w:t>
      </w:r>
      <w:r w:rsidRPr="00E600F8">
        <w:rPr>
          <w:lang w:val="en-US"/>
        </w:rPr>
        <w:t>.</w:t>
      </w:r>
      <w:r w:rsidR="0002111E" w:rsidRPr="00E600F8">
        <w:rPr>
          <w:lang w:val="en-US"/>
        </w:rPr>
        <w:t xml:space="preserve"> Differentiating between conditions under which adolescents are more likely to gamble with variable outcomes can provide insight into the adaptive properties of these decisions, whils</w:t>
      </w:r>
      <w:r w:rsidR="00D55134" w:rsidRPr="00E600F8">
        <w:rPr>
          <w:lang w:val="en-US"/>
        </w:rPr>
        <w:t>t re</w:t>
      </w:r>
      <w:r w:rsidR="00530193" w:rsidRPr="00E600F8">
        <w:rPr>
          <w:lang w:val="en-US"/>
        </w:rPr>
        <w:t>cognizing the potential for these</w:t>
      </w:r>
      <w:r w:rsidR="00D55134" w:rsidRPr="00E600F8">
        <w:rPr>
          <w:lang w:val="en-US"/>
        </w:rPr>
        <w:t xml:space="preserve"> </w:t>
      </w:r>
      <w:r w:rsidR="00525A80" w:rsidRPr="00E600F8">
        <w:rPr>
          <w:lang w:val="en-US"/>
        </w:rPr>
        <w:t>behavior</w:t>
      </w:r>
      <w:r w:rsidR="00530193" w:rsidRPr="00E600F8">
        <w:rPr>
          <w:lang w:val="en-US"/>
        </w:rPr>
        <w:t>s</w:t>
      </w:r>
      <w:r w:rsidR="00D55134" w:rsidRPr="00E600F8">
        <w:rPr>
          <w:lang w:val="en-US"/>
        </w:rPr>
        <w:t xml:space="preserve"> to lead to negative outcomes.</w:t>
      </w:r>
    </w:p>
    <w:p w14:paraId="648D3597" w14:textId="2055559B" w:rsidR="006C301C" w:rsidRPr="00E600F8" w:rsidRDefault="006C301C" w:rsidP="00AE4677">
      <w:pPr>
        <w:widowControl w:val="0"/>
        <w:autoSpaceDE w:val="0"/>
        <w:autoSpaceDN w:val="0"/>
        <w:adjustRightInd w:val="0"/>
        <w:spacing w:line="480" w:lineRule="auto"/>
        <w:outlineLvl w:val="0"/>
        <w:rPr>
          <w:b/>
          <w:color w:val="000000" w:themeColor="text1"/>
          <w:lang w:val="en-US"/>
        </w:rPr>
      </w:pPr>
    </w:p>
    <w:p w14:paraId="04C1EB30" w14:textId="621CEB54" w:rsidR="0076288B" w:rsidRPr="00E600F8" w:rsidRDefault="0076288B" w:rsidP="00AE4677">
      <w:pPr>
        <w:widowControl w:val="0"/>
        <w:autoSpaceDE w:val="0"/>
        <w:autoSpaceDN w:val="0"/>
        <w:adjustRightInd w:val="0"/>
        <w:spacing w:line="480" w:lineRule="auto"/>
        <w:outlineLvl w:val="0"/>
        <w:rPr>
          <w:b/>
          <w:color w:val="000000" w:themeColor="text1"/>
          <w:lang w:val="en-US"/>
        </w:rPr>
      </w:pPr>
    </w:p>
    <w:p w14:paraId="0A7CE4B6" w14:textId="745EE2DF"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77326D29" w14:textId="6492AA50"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699CB8F8" w14:textId="3C70F03D"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53BD2E73" w14:textId="1BABC6E6"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27FA2638" w14:textId="429902D1"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030DE8EA" w14:textId="47AD1C71"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5729072C" w14:textId="5C0517F2"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4A748D82" w14:textId="746591F5"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779D6D1F" w14:textId="6D7027AF"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02AF544C" w14:textId="1B41947E"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3DEA780C" w14:textId="670C3FC5"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5BF7597B" w14:textId="3B30B99F"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574DDEDA" w14:textId="616B4615"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6B6C7B41" w14:textId="3BC14E78"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01EC3421" w14:textId="5D9883FE"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3F0C9559" w14:textId="60CA3B4A"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49517C6B" w14:textId="561EFC59"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7DC3B640" w14:textId="58339FDF"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4F891A22" w14:textId="59BC684F"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2BFA965C" w14:textId="77777777" w:rsidR="00341FBB" w:rsidRPr="00E600F8" w:rsidRDefault="00341FBB" w:rsidP="00AE4677">
      <w:pPr>
        <w:widowControl w:val="0"/>
        <w:autoSpaceDE w:val="0"/>
        <w:autoSpaceDN w:val="0"/>
        <w:adjustRightInd w:val="0"/>
        <w:spacing w:line="480" w:lineRule="auto"/>
        <w:outlineLvl w:val="0"/>
        <w:rPr>
          <w:b/>
          <w:color w:val="000000" w:themeColor="text1"/>
          <w:lang w:val="en-US"/>
        </w:rPr>
      </w:pPr>
    </w:p>
    <w:p w14:paraId="77928D7B" w14:textId="77777777" w:rsidR="00F973F0" w:rsidRPr="00E600F8" w:rsidRDefault="00F973F0" w:rsidP="008C3DDE">
      <w:pPr>
        <w:widowControl w:val="0"/>
        <w:autoSpaceDE w:val="0"/>
        <w:autoSpaceDN w:val="0"/>
        <w:adjustRightInd w:val="0"/>
        <w:spacing w:line="480" w:lineRule="auto"/>
        <w:jc w:val="center"/>
        <w:outlineLvl w:val="0"/>
        <w:rPr>
          <w:b/>
          <w:color w:val="000000" w:themeColor="text1"/>
          <w:lang w:val="en-US"/>
        </w:rPr>
      </w:pPr>
      <w:r w:rsidRPr="00E600F8">
        <w:rPr>
          <w:b/>
          <w:color w:val="000000" w:themeColor="text1"/>
          <w:lang w:val="en-US"/>
        </w:rPr>
        <w:t>References</w:t>
      </w:r>
    </w:p>
    <w:p w14:paraId="665F897D"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Albert, D., Chein, J., &amp; Steinberg, L. (2013). The teenage brain: Peer influences on adolescent decision making. </w:t>
      </w:r>
      <w:r w:rsidRPr="00E600F8">
        <w:rPr>
          <w:i/>
          <w:iCs/>
          <w:color w:val="000000" w:themeColor="text1"/>
          <w:shd w:val="clear" w:color="auto" w:fill="FFFFFF"/>
          <w:lang w:val="en-US"/>
        </w:rPr>
        <w:t>Current Directions in Psychological Science</w:t>
      </w:r>
      <w:r w:rsidRPr="00E600F8">
        <w:rPr>
          <w:color w:val="000000" w:themeColor="text1"/>
          <w:shd w:val="clear" w:color="auto" w:fill="FFFFFF"/>
          <w:lang w:val="en-US"/>
        </w:rPr>
        <w:t>, </w:t>
      </w:r>
      <w:r w:rsidRPr="00E600F8">
        <w:rPr>
          <w:i/>
          <w:iCs/>
          <w:color w:val="000000" w:themeColor="text1"/>
          <w:shd w:val="clear" w:color="auto" w:fill="FFFFFF"/>
          <w:lang w:val="en-US"/>
        </w:rPr>
        <w:t>22</w:t>
      </w:r>
      <w:r w:rsidRPr="00E600F8">
        <w:rPr>
          <w:color w:val="000000" w:themeColor="text1"/>
          <w:shd w:val="clear" w:color="auto" w:fill="FFFFFF"/>
          <w:lang w:val="en-US"/>
        </w:rPr>
        <w:t>(2), 114-120. doi:  </w:t>
      </w:r>
      <w:hyperlink r:id="rId10" w:tgtFrame="pmc_ext" w:history="1">
        <w:r w:rsidRPr="00E600F8">
          <w:rPr>
            <w:rStyle w:val="Hyperlink"/>
            <w:color w:val="000000" w:themeColor="text1"/>
            <w:u w:val="none"/>
            <w:shd w:val="clear" w:color="auto" w:fill="FFFFFF"/>
            <w:lang w:val="en-US"/>
          </w:rPr>
          <w:t>10.1177/0963721412471347</w:t>
        </w:r>
      </w:hyperlink>
    </w:p>
    <w:p w14:paraId="7A2A5BF8" w14:textId="0AF80B0C" w:rsidR="00F973F0" w:rsidRPr="00E600F8" w:rsidRDefault="00F973F0" w:rsidP="00F973F0">
      <w:pPr>
        <w:spacing w:line="480" w:lineRule="auto"/>
        <w:ind w:left="284" w:hanging="284"/>
        <w:jc w:val="both"/>
        <w:rPr>
          <w:rStyle w:val="Hyperlink"/>
          <w:color w:val="000000" w:themeColor="text1"/>
          <w:u w:val="none"/>
          <w:shd w:val="clear" w:color="auto" w:fill="FFFFFF"/>
          <w:lang w:val="en-US"/>
        </w:rPr>
      </w:pPr>
      <w:r w:rsidRPr="00E600F8">
        <w:rPr>
          <w:color w:val="000000" w:themeColor="text1"/>
          <w:shd w:val="clear" w:color="auto" w:fill="FFFFFF"/>
          <w:lang w:val="en-US"/>
        </w:rPr>
        <w:t>Arnett, J. (1992). Reckless behavior in adolescence: A developmental perspective. </w:t>
      </w:r>
      <w:r w:rsidRPr="00E600F8">
        <w:rPr>
          <w:i/>
          <w:iCs/>
          <w:color w:val="000000" w:themeColor="text1"/>
          <w:shd w:val="clear" w:color="auto" w:fill="FFFFFF"/>
          <w:lang w:val="en-US"/>
        </w:rPr>
        <w:t>Developmental Review</w:t>
      </w:r>
      <w:r w:rsidRPr="00E600F8">
        <w:rPr>
          <w:color w:val="000000" w:themeColor="text1"/>
          <w:shd w:val="clear" w:color="auto" w:fill="FFFFFF"/>
          <w:lang w:val="en-US"/>
        </w:rPr>
        <w:t>, </w:t>
      </w:r>
      <w:r w:rsidRPr="00E600F8">
        <w:rPr>
          <w:i/>
          <w:iCs/>
          <w:color w:val="000000" w:themeColor="text1"/>
          <w:shd w:val="clear" w:color="auto" w:fill="FFFFFF"/>
          <w:lang w:val="en-US"/>
        </w:rPr>
        <w:t>12</w:t>
      </w:r>
      <w:r w:rsidRPr="00E600F8">
        <w:rPr>
          <w:color w:val="000000" w:themeColor="text1"/>
          <w:shd w:val="clear" w:color="auto" w:fill="FFFFFF"/>
          <w:lang w:val="en-US"/>
        </w:rPr>
        <w:t>(4), 339-373. doi:</w:t>
      </w:r>
      <w:r w:rsidRPr="00E600F8">
        <w:rPr>
          <w:rStyle w:val="Hyperlink"/>
          <w:color w:val="000000" w:themeColor="text1"/>
          <w:u w:val="none"/>
          <w:lang w:val="en-US"/>
        </w:rPr>
        <w:t xml:space="preserve"> </w:t>
      </w:r>
      <w:hyperlink r:id="rId11" w:tgtFrame="_blank" w:tooltip="Persistent link using digital object identifier" w:history="1">
        <w:r w:rsidRPr="00E600F8">
          <w:rPr>
            <w:rStyle w:val="Hyperlink"/>
            <w:color w:val="000000" w:themeColor="text1"/>
            <w:u w:val="none"/>
            <w:shd w:val="clear" w:color="auto" w:fill="FFFFFF"/>
            <w:lang w:val="en-US"/>
          </w:rPr>
          <w:t>10.1016/0273-2297(92)90013-R</w:t>
        </w:r>
      </w:hyperlink>
    </w:p>
    <w:p w14:paraId="68CC8D38" w14:textId="63D2AE72" w:rsidR="0010273E" w:rsidRPr="00E600F8" w:rsidRDefault="0010273E" w:rsidP="0010273E">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Barkley-Levenson, E., &amp; Galván, A. (2014). Neural representation of expected value in the adolescent brain. </w:t>
      </w:r>
      <w:r w:rsidRPr="00E600F8">
        <w:rPr>
          <w:i/>
          <w:iCs/>
          <w:color w:val="000000" w:themeColor="text1"/>
          <w:shd w:val="clear" w:color="auto" w:fill="FFFFFF"/>
          <w:lang w:val="en-US"/>
        </w:rPr>
        <w:t>Proceedings of the National Academy of Sciences</w:t>
      </w:r>
      <w:r w:rsidRPr="00E600F8">
        <w:rPr>
          <w:color w:val="000000" w:themeColor="text1"/>
          <w:shd w:val="clear" w:color="auto" w:fill="FFFFFF"/>
          <w:lang w:val="en-US"/>
        </w:rPr>
        <w:t>, </w:t>
      </w:r>
      <w:r w:rsidRPr="00E600F8">
        <w:rPr>
          <w:i/>
          <w:iCs/>
          <w:color w:val="000000" w:themeColor="text1"/>
          <w:shd w:val="clear" w:color="auto" w:fill="FFFFFF"/>
          <w:lang w:val="en-US"/>
        </w:rPr>
        <w:t>111</w:t>
      </w:r>
      <w:r w:rsidRPr="00E600F8">
        <w:rPr>
          <w:color w:val="000000" w:themeColor="text1"/>
          <w:shd w:val="clear" w:color="auto" w:fill="FFFFFF"/>
          <w:lang w:val="en-US"/>
        </w:rPr>
        <w:t>(4), 1646-1651.</w:t>
      </w:r>
    </w:p>
    <w:p w14:paraId="461737F3" w14:textId="77777777" w:rsidR="00F973F0" w:rsidRPr="00E600F8" w:rsidRDefault="00F973F0" w:rsidP="00F973F0">
      <w:pPr>
        <w:spacing w:line="480" w:lineRule="auto"/>
        <w:ind w:left="284" w:hanging="284"/>
        <w:jc w:val="both"/>
        <w:rPr>
          <w:color w:val="000000" w:themeColor="text1"/>
          <w:lang w:val="en-US"/>
        </w:rPr>
      </w:pPr>
      <w:r w:rsidRPr="00E600F8">
        <w:rPr>
          <w:color w:val="000000" w:themeColor="text1"/>
          <w:lang w:val="en-US"/>
        </w:rPr>
        <w:t xml:space="preserve">Benthin. A., Slovic, P., &amp; Severson. H. (1993). A psychometric study of adolescent risk perception. </w:t>
      </w:r>
      <w:r w:rsidRPr="00E600F8">
        <w:rPr>
          <w:i/>
          <w:color w:val="000000" w:themeColor="text1"/>
          <w:lang w:val="en-US"/>
        </w:rPr>
        <w:t>Journal of Adolescence, 16</w:t>
      </w:r>
      <w:r w:rsidRPr="00E600F8">
        <w:rPr>
          <w:color w:val="000000" w:themeColor="text1"/>
          <w:lang w:val="en-US"/>
        </w:rPr>
        <w:t xml:space="preserve">, 153-168. doi: </w:t>
      </w:r>
      <w:hyperlink r:id="rId12" w:history="1">
        <w:r w:rsidRPr="00E600F8">
          <w:rPr>
            <w:rStyle w:val="Hyperlink"/>
            <w:color w:val="000000" w:themeColor="text1"/>
            <w:u w:val="none"/>
            <w:lang w:val="en-US"/>
          </w:rPr>
          <w:t>10.1006/jado.1993.1014</w:t>
        </w:r>
      </w:hyperlink>
    </w:p>
    <w:p w14:paraId="03CA2CB0" w14:textId="4052961B"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Blank</w:t>
      </w:r>
      <w:r w:rsidR="002847F5" w:rsidRPr="00E600F8">
        <w:rPr>
          <w:color w:val="000000" w:themeColor="text1"/>
          <w:shd w:val="clear" w:color="auto" w:fill="FFFFFF"/>
          <w:lang w:val="en-US"/>
        </w:rPr>
        <w:t>en</w:t>
      </w:r>
      <w:r w:rsidRPr="00E600F8">
        <w:rPr>
          <w:color w:val="000000" w:themeColor="text1"/>
          <w:shd w:val="clear" w:color="auto" w:fill="FFFFFF"/>
          <w:lang w:val="en-US"/>
        </w:rPr>
        <w:t xml:space="preserve">stein, N. E., Crone, E., van den Bos, W., &amp; van Duijenvoorde, A. (2016). Dealing with uncertainty: Testing risk- and ambiguity-attitudes across adolescence. </w:t>
      </w:r>
      <w:r w:rsidRPr="00E600F8">
        <w:rPr>
          <w:i/>
          <w:color w:val="000000" w:themeColor="text1"/>
          <w:shd w:val="clear" w:color="auto" w:fill="FFFFFF"/>
          <w:lang w:val="en-US"/>
        </w:rPr>
        <w:t xml:space="preserve">Developmental Neuropsychology, 41, </w:t>
      </w:r>
      <w:r w:rsidRPr="00E600F8">
        <w:rPr>
          <w:color w:val="000000" w:themeColor="text1"/>
          <w:shd w:val="clear" w:color="auto" w:fill="FFFFFF"/>
          <w:lang w:val="en-US"/>
        </w:rPr>
        <w:t>77-92. doi: 10.1080/87565641.2016.1158265</w:t>
      </w:r>
    </w:p>
    <w:p w14:paraId="1BCBD74D" w14:textId="4F64A20C" w:rsidR="00AC1E7B" w:rsidRPr="00E600F8" w:rsidRDefault="00AC1E7B" w:rsidP="00AC1E7B">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Blankenstein, N. E., Schreuders, E., Peper, J. S., Crone, E. A., &amp; van Duijvenvoorde, A. C. K. (2018). Individual differences in risk-taking tendencies modulate the neural processing of risky and ambiguous decision-making in adolescence. </w:t>
      </w:r>
      <w:r w:rsidRPr="00E600F8">
        <w:rPr>
          <w:i/>
          <w:iCs/>
          <w:color w:val="000000" w:themeColor="text1"/>
          <w:shd w:val="clear" w:color="auto" w:fill="FFFFFF"/>
          <w:lang w:val="en-US"/>
        </w:rPr>
        <w:t>NeuroImage</w:t>
      </w:r>
      <w:r w:rsidRPr="00E600F8">
        <w:rPr>
          <w:color w:val="000000" w:themeColor="text1"/>
          <w:shd w:val="clear" w:color="auto" w:fill="FFFFFF"/>
          <w:lang w:val="en-US"/>
        </w:rPr>
        <w:t>, </w:t>
      </w:r>
      <w:r w:rsidRPr="00E600F8">
        <w:rPr>
          <w:i/>
          <w:iCs/>
          <w:color w:val="000000" w:themeColor="text1"/>
          <w:shd w:val="clear" w:color="auto" w:fill="FFFFFF"/>
          <w:lang w:val="en-US"/>
        </w:rPr>
        <w:t>172</w:t>
      </w:r>
      <w:r w:rsidRPr="00E600F8">
        <w:rPr>
          <w:color w:val="000000" w:themeColor="text1"/>
          <w:shd w:val="clear" w:color="auto" w:fill="FFFFFF"/>
          <w:lang w:val="en-US"/>
        </w:rPr>
        <w:t>, 663-673.</w:t>
      </w:r>
      <w:r w:rsidR="00517632" w:rsidRPr="00E600F8">
        <w:rPr>
          <w:color w:val="000000" w:themeColor="text1"/>
          <w:shd w:val="clear" w:color="auto" w:fill="FFFFFF"/>
          <w:lang w:val="en-US"/>
        </w:rPr>
        <w:t xml:space="preserve"> doi: 10.1016/j.neuroimage.2018.01.085 </w:t>
      </w:r>
    </w:p>
    <w:p w14:paraId="7E211362"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 xml:space="preserve">Boedeker, P. (2017). Hierarchical Linear Modelling with Maximum Likelihood, Restricted Maximum Likelihood, and Fully Bayesian Estimation. </w:t>
      </w:r>
      <w:r w:rsidRPr="00E600F8">
        <w:rPr>
          <w:i/>
          <w:color w:val="000000" w:themeColor="text1"/>
          <w:shd w:val="clear" w:color="auto" w:fill="FFFFFF"/>
          <w:lang w:val="en-US"/>
        </w:rPr>
        <w:t xml:space="preserve">Practical Assessment, Research and Evaluation, 22, </w:t>
      </w:r>
      <w:r w:rsidRPr="00E600F8">
        <w:rPr>
          <w:color w:val="000000" w:themeColor="text1"/>
          <w:shd w:val="clear" w:color="auto" w:fill="FFFFFF"/>
          <w:lang w:val="en-US"/>
        </w:rPr>
        <w:t xml:space="preserve">1-19. </w:t>
      </w:r>
    </w:p>
    <w:p w14:paraId="55F18053" w14:textId="3C019319"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Braams, B. R., van Duijvenvoorde, A. C., Peper, J. S., &amp; Crone, E. A. (2015). Longitudinal changes in adolescent risk-taking: a comprehensive study of neural responses to rewards, pubertal development, and risk-taking behavior. </w:t>
      </w:r>
      <w:r w:rsidRPr="00E600F8">
        <w:rPr>
          <w:i/>
          <w:iCs/>
          <w:color w:val="000000" w:themeColor="text1"/>
          <w:shd w:val="clear" w:color="auto" w:fill="FFFFFF"/>
          <w:lang w:val="en-US"/>
        </w:rPr>
        <w:t>Journal of Neuroscience</w:t>
      </w:r>
      <w:r w:rsidRPr="00E600F8">
        <w:rPr>
          <w:color w:val="000000" w:themeColor="text1"/>
          <w:shd w:val="clear" w:color="auto" w:fill="FFFFFF"/>
          <w:lang w:val="en-US"/>
        </w:rPr>
        <w:t>, </w:t>
      </w:r>
      <w:r w:rsidRPr="00E600F8">
        <w:rPr>
          <w:i/>
          <w:iCs/>
          <w:color w:val="000000" w:themeColor="text1"/>
          <w:shd w:val="clear" w:color="auto" w:fill="FFFFFF"/>
          <w:lang w:val="en-US"/>
        </w:rPr>
        <w:t>35</w:t>
      </w:r>
      <w:r w:rsidRPr="00E600F8">
        <w:rPr>
          <w:color w:val="000000" w:themeColor="text1"/>
          <w:shd w:val="clear" w:color="auto" w:fill="FFFFFF"/>
          <w:lang w:val="en-US"/>
        </w:rPr>
        <w:t>(18), 7226-7238. doi: 10.1523/JNEUROSCI.4764-14.2015</w:t>
      </w:r>
    </w:p>
    <w:p w14:paraId="23750B63" w14:textId="27FF1929" w:rsidR="00CD3663" w:rsidRPr="00E600F8" w:rsidRDefault="00CD3663" w:rsidP="00CD3663">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lastRenderedPageBreak/>
        <w:t>Burnett, S., Bault, N., Coricelli, G., &amp; Blakemore, S. J. (2010). Adolescents’ heightened risk-seeking in a probabilistic gambling task. </w:t>
      </w:r>
      <w:r w:rsidRPr="00E600F8">
        <w:rPr>
          <w:i/>
          <w:iCs/>
          <w:color w:val="000000" w:themeColor="text1"/>
          <w:shd w:val="clear" w:color="auto" w:fill="FFFFFF"/>
          <w:lang w:val="en-US"/>
        </w:rPr>
        <w:t>Cognitive Development</w:t>
      </w:r>
      <w:r w:rsidRPr="00E600F8">
        <w:rPr>
          <w:color w:val="000000" w:themeColor="text1"/>
          <w:shd w:val="clear" w:color="auto" w:fill="FFFFFF"/>
          <w:lang w:val="en-US"/>
        </w:rPr>
        <w:t>, </w:t>
      </w:r>
      <w:r w:rsidRPr="00E600F8">
        <w:rPr>
          <w:i/>
          <w:iCs/>
          <w:color w:val="000000" w:themeColor="text1"/>
          <w:shd w:val="clear" w:color="auto" w:fill="FFFFFF"/>
          <w:lang w:val="en-US"/>
        </w:rPr>
        <w:t>25</w:t>
      </w:r>
      <w:r w:rsidRPr="00E600F8">
        <w:rPr>
          <w:color w:val="000000" w:themeColor="text1"/>
          <w:shd w:val="clear" w:color="auto" w:fill="FFFFFF"/>
          <w:lang w:val="en-US"/>
        </w:rPr>
        <w:t>(2), 183-196.</w:t>
      </w:r>
    </w:p>
    <w:p w14:paraId="43028EA9" w14:textId="61C9EA0A" w:rsidR="00065B1A" w:rsidRPr="00E600F8" w:rsidRDefault="00310F67" w:rsidP="00310F67">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Byrnes, J. P., Miller, D. C., &amp; Schafer, W. D. (1999). Gender differences in risk taking: a meta-analysis. </w:t>
      </w:r>
      <w:r w:rsidRPr="00E600F8">
        <w:rPr>
          <w:i/>
          <w:iCs/>
          <w:color w:val="000000" w:themeColor="text1"/>
          <w:shd w:val="clear" w:color="auto" w:fill="FFFFFF"/>
          <w:lang w:val="en-US"/>
        </w:rPr>
        <w:t>Psychological Bulletin</w:t>
      </w:r>
      <w:r w:rsidRPr="00E600F8">
        <w:rPr>
          <w:color w:val="000000" w:themeColor="text1"/>
          <w:shd w:val="clear" w:color="auto" w:fill="FFFFFF"/>
          <w:lang w:val="en-US"/>
        </w:rPr>
        <w:t>, </w:t>
      </w:r>
      <w:r w:rsidRPr="00E600F8">
        <w:rPr>
          <w:i/>
          <w:iCs/>
          <w:color w:val="000000" w:themeColor="text1"/>
          <w:shd w:val="clear" w:color="auto" w:fill="FFFFFF"/>
          <w:lang w:val="en-US"/>
        </w:rPr>
        <w:t>125</w:t>
      </w:r>
      <w:r w:rsidRPr="00E600F8">
        <w:rPr>
          <w:color w:val="000000" w:themeColor="text1"/>
          <w:shd w:val="clear" w:color="auto" w:fill="FFFFFF"/>
          <w:lang w:val="en-US"/>
        </w:rPr>
        <w:t>(3), 367-383.</w:t>
      </w:r>
    </w:p>
    <w:p w14:paraId="2CD4D562" w14:textId="77777777" w:rsidR="00F973F0" w:rsidRPr="00E600F8" w:rsidRDefault="00F973F0" w:rsidP="00F973F0">
      <w:pPr>
        <w:widowControl w:val="0"/>
        <w:autoSpaceDE w:val="0"/>
        <w:autoSpaceDN w:val="0"/>
        <w:adjustRightInd w:val="0"/>
        <w:spacing w:line="480" w:lineRule="auto"/>
        <w:ind w:left="284" w:hanging="284"/>
        <w:jc w:val="both"/>
        <w:rPr>
          <w:rStyle w:val="Hyperlink"/>
          <w:color w:val="000000" w:themeColor="text1"/>
          <w:u w:val="none"/>
          <w:lang w:val="en-US"/>
        </w:rPr>
      </w:pPr>
      <w:r w:rsidRPr="00E600F8">
        <w:rPr>
          <w:color w:val="000000" w:themeColor="text1"/>
          <w:lang w:val="en-US"/>
        </w:rPr>
        <w:t xml:space="preserve">Casey, B. J., Getz, S., &amp; Galvan, A. (2008) The adolescent brain. </w:t>
      </w:r>
      <w:r w:rsidRPr="00E600F8">
        <w:rPr>
          <w:i/>
          <w:color w:val="000000" w:themeColor="text1"/>
          <w:lang w:val="en-US"/>
        </w:rPr>
        <w:t xml:space="preserve">Developmental Review, 28(1), </w:t>
      </w:r>
      <w:r w:rsidRPr="00E600F8">
        <w:rPr>
          <w:color w:val="000000" w:themeColor="text1"/>
          <w:lang w:val="en-US"/>
        </w:rPr>
        <w:t xml:space="preserve">62–77. doi: </w:t>
      </w:r>
      <w:hyperlink r:id="rId13" w:history="1">
        <w:r w:rsidRPr="00E600F8">
          <w:rPr>
            <w:rStyle w:val="Hyperlink"/>
            <w:color w:val="000000" w:themeColor="text1"/>
            <w:u w:val="none"/>
            <w:lang w:val="en-US"/>
          </w:rPr>
          <w:t>10.1016/j.dr.2007.08.003</w:t>
        </w:r>
      </w:hyperlink>
    </w:p>
    <w:p w14:paraId="4B5052F0" w14:textId="1D631B81" w:rsidR="00DF24BA" w:rsidRPr="00E600F8" w:rsidRDefault="00DF24BA" w:rsidP="00DF24BA">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Cauffman, E., Shulman, E. P., Steinberg, L., Claus, E., Banich, M. T., Graham, S., &amp; Woolard, J. (2010). Age differences in affective decision making as indexed by performance on the Iowa Gambling Task. </w:t>
      </w:r>
      <w:r w:rsidRPr="00E600F8">
        <w:rPr>
          <w:i/>
          <w:iCs/>
          <w:color w:val="000000" w:themeColor="text1"/>
          <w:lang w:val="en-US"/>
        </w:rPr>
        <w:t>Developmental Psychology</w:t>
      </w:r>
      <w:r w:rsidRPr="00E600F8">
        <w:rPr>
          <w:color w:val="000000" w:themeColor="text1"/>
          <w:lang w:val="en-US"/>
        </w:rPr>
        <w:t>, </w:t>
      </w:r>
      <w:r w:rsidRPr="00E600F8">
        <w:rPr>
          <w:i/>
          <w:iCs/>
          <w:color w:val="000000" w:themeColor="text1"/>
          <w:lang w:val="en-US"/>
        </w:rPr>
        <w:t>46</w:t>
      </w:r>
      <w:r w:rsidRPr="00E600F8">
        <w:rPr>
          <w:color w:val="000000" w:themeColor="text1"/>
          <w:lang w:val="en-US"/>
        </w:rPr>
        <w:t>(1), 193-207. doi: 10.1037/a0016128</w:t>
      </w:r>
    </w:p>
    <w:p w14:paraId="46588AAF" w14:textId="5850D9D8" w:rsidR="00F973F0" w:rsidRPr="00E600F8" w:rsidRDefault="009C43FE" w:rsidP="00F973F0">
      <w:pPr>
        <w:spacing w:line="480" w:lineRule="auto"/>
        <w:ind w:left="284" w:hanging="284"/>
        <w:jc w:val="both"/>
        <w:rPr>
          <w:color w:val="000000" w:themeColor="text1"/>
          <w:lang w:val="en-US"/>
        </w:rPr>
      </w:pPr>
      <w:r w:rsidRPr="00E600F8">
        <w:rPr>
          <w:color w:val="000000" w:themeColor="text1"/>
          <w:lang w:val="en-US"/>
        </w:rPr>
        <w:t>Centifanti</w:t>
      </w:r>
      <w:r w:rsidR="00F973F0" w:rsidRPr="00E600F8">
        <w:rPr>
          <w:color w:val="000000" w:themeColor="text1"/>
          <w:lang w:val="en-US"/>
        </w:rPr>
        <w:t xml:space="preserve">, L. C. M., Modecki, K., MacLellan, S., &amp; Gowling, H. (2014). Driving under the influence of risky peers: An experimental study of adolescent risk taking. </w:t>
      </w:r>
      <w:r w:rsidR="00F973F0" w:rsidRPr="00E600F8">
        <w:rPr>
          <w:i/>
          <w:color w:val="000000" w:themeColor="text1"/>
          <w:lang w:val="en-US"/>
        </w:rPr>
        <w:t xml:space="preserve">Journal of Research on Adolescence, 26, </w:t>
      </w:r>
      <w:r w:rsidR="00F973F0" w:rsidRPr="00E600F8">
        <w:rPr>
          <w:color w:val="000000" w:themeColor="text1"/>
          <w:lang w:val="en-US"/>
        </w:rPr>
        <w:t>207-222. doi: 10.1111/jora.12187</w:t>
      </w:r>
    </w:p>
    <w:p w14:paraId="22E11AD8" w14:textId="2262FAD4" w:rsidR="00D5749C" w:rsidRPr="00E600F8" w:rsidRDefault="00D5749C" w:rsidP="00D5749C">
      <w:pPr>
        <w:spacing w:line="480" w:lineRule="auto"/>
        <w:ind w:left="284" w:hanging="284"/>
        <w:jc w:val="both"/>
        <w:rPr>
          <w:color w:val="000000" w:themeColor="text1"/>
          <w:lang w:val="en-US"/>
        </w:rPr>
      </w:pPr>
      <w:r w:rsidRPr="00E600F8">
        <w:rPr>
          <w:color w:val="000000" w:themeColor="text1"/>
          <w:lang w:val="en-US"/>
        </w:rPr>
        <w:t>Cohen, J. R., Asarnow, R. F., Sabb, F. W., Bilder, R. M., Bookheimer, S. Y., Knowlton, B. J., &amp; Poldrack, R. A. (2010). A unique adolescent response to reward prediction errors. </w:t>
      </w:r>
      <w:r w:rsidRPr="00E600F8">
        <w:rPr>
          <w:i/>
          <w:iCs/>
          <w:color w:val="000000" w:themeColor="text1"/>
          <w:lang w:val="en-US"/>
        </w:rPr>
        <w:t>Nature Neuroscience</w:t>
      </w:r>
      <w:r w:rsidRPr="00E600F8">
        <w:rPr>
          <w:color w:val="000000" w:themeColor="text1"/>
          <w:lang w:val="en-US"/>
        </w:rPr>
        <w:t>, </w:t>
      </w:r>
      <w:r w:rsidRPr="00E600F8">
        <w:rPr>
          <w:i/>
          <w:iCs/>
          <w:color w:val="000000" w:themeColor="text1"/>
          <w:lang w:val="en-US"/>
        </w:rPr>
        <w:t>13</w:t>
      </w:r>
      <w:r w:rsidRPr="00E600F8">
        <w:rPr>
          <w:color w:val="000000" w:themeColor="text1"/>
          <w:lang w:val="en-US"/>
        </w:rPr>
        <w:t>(6), 669</w:t>
      </w:r>
      <w:r w:rsidR="009E6CFE" w:rsidRPr="00E600F8">
        <w:rPr>
          <w:color w:val="000000" w:themeColor="text1"/>
          <w:lang w:val="en-US"/>
        </w:rPr>
        <w:t>-671</w:t>
      </w:r>
      <w:r w:rsidRPr="00E600F8">
        <w:rPr>
          <w:color w:val="000000" w:themeColor="text1"/>
          <w:lang w:val="en-US"/>
        </w:rPr>
        <w:t>.</w:t>
      </w:r>
    </w:p>
    <w:p w14:paraId="7DA31158" w14:textId="4667E77A" w:rsidR="003D0369" w:rsidRPr="00E600F8" w:rsidRDefault="003D0369" w:rsidP="003D0369">
      <w:pPr>
        <w:spacing w:line="480" w:lineRule="auto"/>
        <w:ind w:left="284" w:hanging="284"/>
        <w:jc w:val="both"/>
        <w:rPr>
          <w:color w:val="000000" w:themeColor="text1"/>
          <w:lang w:val="en-US"/>
        </w:rPr>
      </w:pPr>
      <w:r w:rsidRPr="00E600F8">
        <w:rPr>
          <w:color w:val="000000" w:themeColor="text1"/>
          <w:lang w:val="en-US"/>
        </w:rPr>
        <w:t>Crone, E. A., &amp; Dahl, R. E. (2012). Understanding adolescence as a period of social–affective engagement and goal flexibility. </w:t>
      </w:r>
      <w:r w:rsidRPr="00E600F8">
        <w:rPr>
          <w:i/>
          <w:iCs/>
          <w:color w:val="000000" w:themeColor="text1"/>
          <w:lang w:val="en-US"/>
        </w:rPr>
        <w:t>Nature Reviews Neuroscience</w:t>
      </w:r>
      <w:r w:rsidRPr="00E600F8">
        <w:rPr>
          <w:color w:val="000000" w:themeColor="text1"/>
          <w:lang w:val="en-US"/>
        </w:rPr>
        <w:t>, </w:t>
      </w:r>
      <w:r w:rsidRPr="00E600F8">
        <w:rPr>
          <w:i/>
          <w:iCs/>
          <w:color w:val="000000" w:themeColor="text1"/>
          <w:lang w:val="en-US"/>
        </w:rPr>
        <w:t>13</w:t>
      </w:r>
      <w:r w:rsidRPr="00E600F8">
        <w:rPr>
          <w:color w:val="000000" w:themeColor="text1"/>
          <w:lang w:val="en-US"/>
        </w:rPr>
        <w:t>(9), 636-650.</w:t>
      </w:r>
      <w:r w:rsidR="00517632" w:rsidRPr="00E600F8">
        <w:rPr>
          <w:color w:val="000000" w:themeColor="text1"/>
          <w:lang w:val="en-US"/>
        </w:rPr>
        <w:t xml:space="preserve"> doi: 10.1038/nrn3313</w:t>
      </w:r>
    </w:p>
    <w:p w14:paraId="1B2814A8" w14:textId="060111AE" w:rsidR="00585D0D" w:rsidRPr="00E600F8" w:rsidRDefault="00585D0D" w:rsidP="003D0369">
      <w:pPr>
        <w:spacing w:line="480" w:lineRule="auto"/>
        <w:ind w:left="284" w:hanging="284"/>
        <w:jc w:val="both"/>
        <w:rPr>
          <w:color w:val="000000" w:themeColor="text1"/>
          <w:lang w:val="en-US"/>
        </w:rPr>
      </w:pPr>
      <w:r w:rsidRPr="00E600F8">
        <w:rPr>
          <w:color w:val="000000" w:themeColor="text1"/>
          <w:lang w:val="en-US"/>
        </w:rPr>
        <w:t>de Macks, Z. A. O., Moor, B. G., Overgaauw, S., Güroğlu, B., Dahl, R. E., &amp; Crone, E. A. (2011). Testosterone levels correspond with increased ventral striatum activation in response to monetary rewards in adolescents. </w:t>
      </w:r>
      <w:r w:rsidRPr="00E600F8">
        <w:rPr>
          <w:i/>
          <w:iCs/>
          <w:color w:val="000000" w:themeColor="text1"/>
          <w:lang w:val="en-US"/>
        </w:rPr>
        <w:t>Developmental Cognitive Neuroscience</w:t>
      </w:r>
      <w:r w:rsidRPr="00E600F8">
        <w:rPr>
          <w:color w:val="000000" w:themeColor="text1"/>
          <w:lang w:val="en-US"/>
        </w:rPr>
        <w:t>, </w:t>
      </w:r>
      <w:r w:rsidRPr="00E600F8">
        <w:rPr>
          <w:i/>
          <w:iCs/>
          <w:color w:val="000000" w:themeColor="text1"/>
          <w:lang w:val="en-US"/>
        </w:rPr>
        <w:t>1</w:t>
      </w:r>
      <w:r w:rsidRPr="00E600F8">
        <w:rPr>
          <w:color w:val="000000" w:themeColor="text1"/>
          <w:lang w:val="en-US"/>
        </w:rPr>
        <w:t>(4), 506-516.</w:t>
      </w:r>
      <w:r w:rsidR="00F368CF" w:rsidRPr="00E600F8">
        <w:rPr>
          <w:color w:val="000000" w:themeColor="text1"/>
          <w:lang w:val="en-US"/>
        </w:rPr>
        <w:t xml:space="preserve"> doi: 10.1016/j.dcn.2011.06.003</w:t>
      </w:r>
    </w:p>
    <w:p w14:paraId="55952906"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Defoe, I. N., Dubas, J. S., Figner, B., &amp; van Aken, M. A. (2015). A meta-analysis on age differences in risky decision making: Adolescents versus children and adults</w:t>
      </w:r>
      <w:r w:rsidRPr="00E600F8">
        <w:rPr>
          <w:i/>
          <w:color w:val="000000" w:themeColor="text1"/>
          <w:lang w:val="en-US"/>
        </w:rPr>
        <w:t>. Psychological Bulletin, 141(1)</w:t>
      </w:r>
      <w:r w:rsidRPr="00E600F8">
        <w:rPr>
          <w:color w:val="000000" w:themeColor="text1"/>
          <w:lang w:val="en-US"/>
        </w:rPr>
        <w:t xml:space="preserve">, 48–84. doi:10.1037/a0038088 </w:t>
      </w:r>
    </w:p>
    <w:p w14:paraId="2A50B943" w14:textId="1A8B778B" w:rsidR="00D23D94" w:rsidRPr="00E600F8" w:rsidRDefault="00D23D94" w:rsidP="00800425">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lastRenderedPageBreak/>
        <w:t>Dishion, T. J., Capaldi, D., Spracklen, K. M., &amp; Li, F. (1995). Peer ecology of male adolescent drug use. </w:t>
      </w:r>
      <w:r w:rsidRPr="00E600F8">
        <w:rPr>
          <w:i/>
          <w:iCs/>
          <w:color w:val="000000" w:themeColor="text1"/>
          <w:lang w:val="en-US"/>
        </w:rPr>
        <w:t>Development and Psychopathology</w:t>
      </w:r>
      <w:r w:rsidRPr="00E600F8">
        <w:rPr>
          <w:color w:val="000000" w:themeColor="text1"/>
          <w:lang w:val="en-US"/>
        </w:rPr>
        <w:t>, </w:t>
      </w:r>
      <w:r w:rsidRPr="00E600F8">
        <w:rPr>
          <w:i/>
          <w:iCs/>
          <w:color w:val="000000" w:themeColor="text1"/>
          <w:lang w:val="en-US"/>
        </w:rPr>
        <w:t>7</w:t>
      </w:r>
      <w:r w:rsidRPr="00E600F8">
        <w:rPr>
          <w:color w:val="000000" w:themeColor="text1"/>
          <w:lang w:val="en-US"/>
        </w:rPr>
        <w:t>(4), 803-824.</w:t>
      </w:r>
      <w:r w:rsidR="00800425" w:rsidRPr="00E600F8">
        <w:rPr>
          <w:color w:val="000000" w:themeColor="text1"/>
          <w:lang w:val="en-US"/>
        </w:rPr>
        <w:t xml:space="preserve"> doi: 10.1017/S0954579400006854</w:t>
      </w:r>
    </w:p>
    <w:p w14:paraId="7375D03B" w14:textId="1311C3A2" w:rsidR="00283E7E" w:rsidRPr="00E600F8" w:rsidRDefault="00283E7E" w:rsidP="00283E7E">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Donati, M. A., Primi, C., &amp; Chiesi, F. (2014). Prevention of problematic gambling behavior among adolescents: Testing the efficacy of an integrative intervention. </w:t>
      </w:r>
      <w:r w:rsidRPr="00E600F8">
        <w:rPr>
          <w:i/>
          <w:iCs/>
          <w:color w:val="000000" w:themeColor="text1"/>
          <w:lang w:val="en-US"/>
        </w:rPr>
        <w:t>Journal of Gambling Studies</w:t>
      </w:r>
      <w:r w:rsidRPr="00E600F8">
        <w:rPr>
          <w:color w:val="000000" w:themeColor="text1"/>
          <w:lang w:val="en-US"/>
        </w:rPr>
        <w:t>, </w:t>
      </w:r>
      <w:r w:rsidRPr="00E600F8">
        <w:rPr>
          <w:i/>
          <w:iCs/>
          <w:color w:val="000000" w:themeColor="text1"/>
          <w:lang w:val="en-US"/>
        </w:rPr>
        <w:t>30</w:t>
      </w:r>
      <w:r w:rsidRPr="00E600F8">
        <w:rPr>
          <w:color w:val="000000" w:themeColor="text1"/>
          <w:lang w:val="en-US"/>
        </w:rPr>
        <w:t>(4), 803-818.</w:t>
      </w:r>
    </w:p>
    <w:p w14:paraId="5653A0D2" w14:textId="63EA59A5" w:rsidR="00F973F0" w:rsidRPr="00E600F8" w:rsidRDefault="00F973F0" w:rsidP="00F973F0">
      <w:pPr>
        <w:spacing w:line="480" w:lineRule="auto"/>
        <w:ind w:left="284" w:hanging="284"/>
        <w:jc w:val="both"/>
        <w:rPr>
          <w:rStyle w:val="Hyperlink"/>
          <w:color w:val="000000" w:themeColor="text1"/>
          <w:u w:val="none"/>
          <w:shd w:val="clear" w:color="auto" w:fill="FFFFFF"/>
          <w:lang w:val="en-US"/>
        </w:rPr>
      </w:pPr>
      <w:r w:rsidRPr="00E600F8">
        <w:rPr>
          <w:color w:val="000000" w:themeColor="text1"/>
          <w:shd w:val="clear" w:color="auto" w:fill="FFFFFF"/>
          <w:lang w:val="en-US"/>
        </w:rPr>
        <w:t>Duell, N., Steinberg, L., Chein, J., Al-Hassan, S.M., Bacchini, D., Lei, C., Chaudhary, N., Di Giunta, L., Dodge, K.A., Fanti, K.A. &amp; Lansford, J.E. (2016). Interaction of reward seeking and self-regulation in the prediction of risk taking: A cross-national test of the dual systems model.</w:t>
      </w:r>
      <w:r w:rsidRPr="00E600F8">
        <w:rPr>
          <w:rStyle w:val="apple-converted-space"/>
          <w:color w:val="000000" w:themeColor="text1"/>
          <w:shd w:val="clear" w:color="auto" w:fill="FFFFFF"/>
          <w:lang w:val="en-US"/>
        </w:rPr>
        <w:t> </w:t>
      </w:r>
      <w:r w:rsidRPr="00E600F8">
        <w:rPr>
          <w:i/>
          <w:iCs/>
          <w:color w:val="000000" w:themeColor="text1"/>
          <w:shd w:val="clear" w:color="auto" w:fill="FFFFFF"/>
          <w:lang w:val="en-US"/>
        </w:rPr>
        <w:t>Developmental Psychology</w:t>
      </w:r>
      <w:r w:rsidRPr="00E600F8">
        <w:rPr>
          <w:color w:val="000000" w:themeColor="text1"/>
          <w:shd w:val="clear" w:color="auto" w:fill="FFFFFF"/>
          <w:lang w:val="en-US"/>
        </w:rPr>
        <w:t>,</w:t>
      </w:r>
      <w:r w:rsidRPr="00E600F8">
        <w:rPr>
          <w:rStyle w:val="apple-converted-space"/>
          <w:color w:val="000000" w:themeColor="text1"/>
          <w:shd w:val="clear" w:color="auto" w:fill="FFFFFF"/>
          <w:lang w:val="en-US"/>
        </w:rPr>
        <w:t> </w:t>
      </w:r>
      <w:r w:rsidRPr="00E600F8">
        <w:rPr>
          <w:i/>
          <w:iCs/>
          <w:color w:val="000000" w:themeColor="text1"/>
          <w:shd w:val="clear" w:color="auto" w:fill="FFFFFF"/>
          <w:lang w:val="en-US"/>
        </w:rPr>
        <w:t>52</w:t>
      </w:r>
      <w:r w:rsidRPr="00E600F8">
        <w:rPr>
          <w:color w:val="000000" w:themeColor="text1"/>
          <w:shd w:val="clear" w:color="auto" w:fill="FFFFFF"/>
          <w:lang w:val="en-US"/>
        </w:rPr>
        <w:t xml:space="preserve">(10), 1593-1605. doi: </w:t>
      </w:r>
      <w:hyperlink r:id="rId14" w:history="1">
        <w:r w:rsidRPr="00E600F8">
          <w:rPr>
            <w:rStyle w:val="Hyperlink"/>
            <w:color w:val="000000" w:themeColor="text1"/>
            <w:u w:val="none"/>
            <w:shd w:val="clear" w:color="auto" w:fill="FFFFFF"/>
            <w:lang w:val="en-US"/>
          </w:rPr>
          <w:t>10.1037/dev0000152</w:t>
        </w:r>
      </w:hyperlink>
    </w:p>
    <w:p w14:paraId="307DF4B2" w14:textId="7BA07437" w:rsidR="00EA6FDB" w:rsidRPr="00E600F8" w:rsidRDefault="00EA6FDB" w:rsidP="00F973F0">
      <w:pPr>
        <w:spacing w:line="480" w:lineRule="auto"/>
        <w:ind w:left="284" w:hanging="284"/>
        <w:jc w:val="both"/>
        <w:rPr>
          <w:rStyle w:val="Hyperlink"/>
          <w:color w:val="000000" w:themeColor="text1"/>
          <w:u w:val="none"/>
          <w:shd w:val="clear" w:color="auto" w:fill="FFFFFF"/>
          <w:lang w:val="en-US"/>
        </w:rPr>
      </w:pPr>
      <w:r w:rsidRPr="00E600F8">
        <w:rPr>
          <w:color w:val="000000" w:themeColor="text1"/>
          <w:shd w:val="clear" w:color="auto" w:fill="FFFFFF"/>
          <w:lang w:val="en-US"/>
        </w:rPr>
        <w:t>Dunn, B. D., Dalgleish, T., &amp; Lawrence, A. D. (2006). The somatic marker hypothesis: A critical evaluation. </w:t>
      </w:r>
      <w:r w:rsidRPr="00E600F8">
        <w:rPr>
          <w:i/>
          <w:iCs/>
          <w:color w:val="000000" w:themeColor="text1"/>
          <w:shd w:val="clear" w:color="auto" w:fill="FFFFFF"/>
          <w:lang w:val="en-US"/>
        </w:rPr>
        <w:t>Neuroscience &amp; Biobehavioral Reviews</w:t>
      </w:r>
      <w:r w:rsidRPr="00E600F8">
        <w:rPr>
          <w:color w:val="000000" w:themeColor="text1"/>
          <w:shd w:val="clear" w:color="auto" w:fill="FFFFFF"/>
          <w:lang w:val="en-US"/>
        </w:rPr>
        <w:t>, </w:t>
      </w:r>
      <w:r w:rsidRPr="00E600F8">
        <w:rPr>
          <w:i/>
          <w:iCs/>
          <w:color w:val="000000" w:themeColor="text1"/>
          <w:shd w:val="clear" w:color="auto" w:fill="FFFFFF"/>
          <w:lang w:val="en-US"/>
        </w:rPr>
        <w:t>30</w:t>
      </w:r>
      <w:r w:rsidRPr="00E600F8">
        <w:rPr>
          <w:color w:val="000000" w:themeColor="text1"/>
          <w:shd w:val="clear" w:color="auto" w:fill="FFFFFF"/>
          <w:lang w:val="en-US"/>
        </w:rPr>
        <w:t>(2), 239-271.</w:t>
      </w:r>
      <w:r w:rsidR="00F368CF" w:rsidRPr="00E600F8">
        <w:rPr>
          <w:color w:val="000000" w:themeColor="text1"/>
          <w:shd w:val="clear" w:color="auto" w:fill="FFFFFF"/>
          <w:lang w:val="en-US"/>
        </w:rPr>
        <w:t xml:space="preserve"> doi: 10.1016/j.neubiorev.2005.07.001</w:t>
      </w:r>
    </w:p>
    <w:p w14:paraId="53C75385" w14:textId="6D25FED6" w:rsidR="00217737" w:rsidRPr="00E600F8" w:rsidRDefault="00217737" w:rsidP="00217737">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Eaton, D. K., Kann, L., Kinchen, S., Shanklin, S., Flint, K. H., Hawkins, J., ... &amp; Whittle, L. (2012). Youth risk behavior surveillance—United States, 2011. </w:t>
      </w:r>
      <w:r w:rsidRPr="00E600F8">
        <w:rPr>
          <w:i/>
          <w:iCs/>
          <w:color w:val="000000" w:themeColor="text1"/>
          <w:shd w:val="clear" w:color="auto" w:fill="FFFFFF"/>
          <w:lang w:val="en-US"/>
        </w:rPr>
        <w:t>Morbidity and Mortality Weekly Report: Surveillance Summaries</w:t>
      </w:r>
      <w:r w:rsidRPr="00E600F8">
        <w:rPr>
          <w:color w:val="000000" w:themeColor="text1"/>
          <w:shd w:val="clear" w:color="auto" w:fill="FFFFFF"/>
          <w:lang w:val="en-US"/>
        </w:rPr>
        <w:t>, </w:t>
      </w:r>
      <w:r w:rsidRPr="00E600F8">
        <w:rPr>
          <w:i/>
          <w:iCs/>
          <w:color w:val="000000" w:themeColor="text1"/>
          <w:shd w:val="clear" w:color="auto" w:fill="FFFFFF"/>
          <w:lang w:val="en-US"/>
        </w:rPr>
        <w:t>61</w:t>
      </w:r>
      <w:r w:rsidRPr="00E600F8">
        <w:rPr>
          <w:color w:val="000000" w:themeColor="text1"/>
          <w:shd w:val="clear" w:color="auto" w:fill="FFFFFF"/>
          <w:lang w:val="en-US"/>
        </w:rPr>
        <w:t>(4), 1-162.</w:t>
      </w:r>
    </w:p>
    <w:p w14:paraId="76A9A4EB" w14:textId="77777777" w:rsidR="00F973F0" w:rsidRPr="00E600F8" w:rsidRDefault="00F973F0" w:rsidP="00F973F0">
      <w:pPr>
        <w:spacing w:line="480" w:lineRule="auto"/>
        <w:ind w:left="284" w:hanging="284"/>
        <w:jc w:val="both"/>
        <w:rPr>
          <w:color w:val="000000" w:themeColor="text1"/>
          <w:lang w:val="en-US"/>
        </w:rPr>
      </w:pPr>
      <w:r w:rsidRPr="00E600F8">
        <w:rPr>
          <w:color w:val="000000" w:themeColor="text1"/>
          <w:lang w:val="en-US"/>
        </w:rPr>
        <w:t xml:space="preserve">Ernst, M., Nelson, E. E., McClure, E. B., Monk, C. S., Munson, S., Eshel. N., Zarahn, E., Leibenluft, E., Zametkin, A., Towbin, K., Blair, J., Charney, D., &amp; Pine, D. S. (2004). Choice selection and reward anticipation: An fMRI study. </w:t>
      </w:r>
      <w:r w:rsidRPr="00E600F8">
        <w:rPr>
          <w:i/>
          <w:color w:val="000000" w:themeColor="text1"/>
          <w:lang w:val="en-US"/>
        </w:rPr>
        <w:t>Neuropsychologia, 42(12</w:t>
      </w:r>
      <w:r w:rsidRPr="00E600F8">
        <w:rPr>
          <w:color w:val="000000" w:themeColor="text1"/>
          <w:lang w:val="en-US"/>
        </w:rPr>
        <w:t xml:space="preserve">), 1585–97. doi: </w:t>
      </w:r>
      <w:hyperlink r:id="rId15" w:history="1">
        <w:r w:rsidRPr="00E600F8">
          <w:rPr>
            <w:rStyle w:val="Hyperlink"/>
            <w:color w:val="000000" w:themeColor="text1"/>
            <w:u w:val="none"/>
            <w:lang w:val="en-US"/>
          </w:rPr>
          <w:t>10.1016/j.neuropsychologia.2004.05.011</w:t>
        </w:r>
      </w:hyperlink>
    </w:p>
    <w:p w14:paraId="6528D157"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lang w:val="en-US"/>
        </w:rPr>
        <w:t xml:space="preserve">Gabbiadini, A., Riva, P., Andrighetto, L., Volpato, C., &amp; Bushman B. J. (2014). Interactive effect of moral disengagement and violent video games on self-control, cheating and aggression. </w:t>
      </w:r>
      <w:r w:rsidRPr="00E600F8">
        <w:rPr>
          <w:i/>
          <w:color w:val="000000" w:themeColor="text1"/>
          <w:lang w:val="en-US"/>
        </w:rPr>
        <w:t>Social Psychological and Personality Science, 5(4),</w:t>
      </w:r>
      <w:r w:rsidRPr="00E600F8">
        <w:rPr>
          <w:color w:val="000000" w:themeColor="text1"/>
          <w:lang w:val="en-US"/>
        </w:rPr>
        <w:t xml:space="preserve"> 451-458. doi: </w:t>
      </w:r>
      <w:hyperlink r:id="rId16" w:tgtFrame="_blank" w:history="1">
        <w:r w:rsidRPr="00E600F8">
          <w:rPr>
            <w:rStyle w:val="Hyperlink"/>
            <w:color w:val="000000" w:themeColor="text1"/>
            <w:u w:val="none"/>
            <w:lang w:val="en-US"/>
          </w:rPr>
          <w:t>10.1177/1948550613509286</w:t>
        </w:r>
      </w:hyperlink>
    </w:p>
    <w:p w14:paraId="69F3EE1D" w14:textId="77777777" w:rsidR="00F973F0" w:rsidRPr="00E600F8" w:rsidRDefault="00F973F0" w:rsidP="00F973F0">
      <w:pPr>
        <w:spacing w:line="480" w:lineRule="auto"/>
        <w:ind w:left="284" w:hanging="284"/>
        <w:jc w:val="both"/>
        <w:rPr>
          <w:rStyle w:val="Hyperlink"/>
          <w:color w:val="000000" w:themeColor="text1"/>
          <w:u w:val="none"/>
          <w:lang w:val="en-US"/>
        </w:rPr>
      </w:pPr>
      <w:r w:rsidRPr="00E600F8">
        <w:rPr>
          <w:color w:val="000000" w:themeColor="text1"/>
          <w:lang w:val="en-US"/>
        </w:rPr>
        <w:lastRenderedPageBreak/>
        <w:t xml:space="preserve">Gardner. M., &amp; Steinberg. L. (2005). Peer influence on risk taking, risk preference, and risky decision making in adolescence and adulthood: An experimental study. </w:t>
      </w:r>
      <w:r w:rsidRPr="00E600F8">
        <w:rPr>
          <w:i/>
          <w:color w:val="000000" w:themeColor="text1"/>
          <w:lang w:val="en-US"/>
        </w:rPr>
        <w:t>Developmental Psychology, 41(4),</w:t>
      </w:r>
      <w:r w:rsidRPr="00E600F8">
        <w:rPr>
          <w:color w:val="000000" w:themeColor="text1"/>
          <w:lang w:val="en-US"/>
        </w:rPr>
        <w:t xml:space="preserve"> 625-635. doi: </w:t>
      </w:r>
      <w:hyperlink r:id="rId17" w:history="1">
        <w:r w:rsidRPr="00E600F8">
          <w:rPr>
            <w:rStyle w:val="Hyperlink"/>
            <w:color w:val="000000" w:themeColor="text1"/>
            <w:u w:val="none"/>
            <w:lang w:val="en-US"/>
          </w:rPr>
          <w:t>10.1037/0012-1649.41.4.625</w:t>
        </w:r>
      </w:hyperlink>
    </w:p>
    <w:p w14:paraId="1DF437D0" w14:textId="00914BC7" w:rsidR="000F4D09" w:rsidRPr="00E600F8" w:rsidRDefault="000F4D09" w:rsidP="000F4D09">
      <w:pPr>
        <w:spacing w:line="480" w:lineRule="auto"/>
        <w:ind w:left="284" w:hanging="284"/>
        <w:jc w:val="both"/>
        <w:rPr>
          <w:color w:val="000000" w:themeColor="text1"/>
          <w:lang w:val="en-US"/>
        </w:rPr>
      </w:pPr>
      <w:r w:rsidRPr="00E600F8">
        <w:rPr>
          <w:color w:val="000000" w:themeColor="text1"/>
          <w:lang w:val="en-US"/>
        </w:rPr>
        <w:t xml:space="preserve">Gittes, E. B., &amp; Irwin, C. E. (1993). Sexually transmitted diseases in adolescents. </w:t>
      </w:r>
      <w:r w:rsidRPr="00E600F8">
        <w:rPr>
          <w:i/>
          <w:color w:val="000000" w:themeColor="text1"/>
          <w:lang w:val="en-US"/>
        </w:rPr>
        <w:t xml:space="preserve">Pediatric Review, 14, </w:t>
      </w:r>
      <w:r w:rsidRPr="00E600F8">
        <w:rPr>
          <w:color w:val="000000" w:themeColor="text1"/>
          <w:lang w:val="en-US"/>
        </w:rPr>
        <w:t>180-189.</w:t>
      </w:r>
    </w:p>
    <w:p w14:paraId="7EEF4AA1" w14:textId="086A4F2F" w:rsidR="00E92394" w:rsidRPr="00E600F8" w:rsidRDefault="00E92394" w:rsidP="003126EF">
      <w:pPr>
        <w:spacing w:line="480" w:lineRule="auto"/>
        <w:ind w:left="284" w:hanging="284"/>
        <w:jc w:val="both"/>
        <w:rPr>
          <w:color w:val="000000" w:themeColor="text1"/>
          <w:lang w:val="en-US"/>
        </w:rPr>
      </w:pPr>
      <w:r w:rsidRPr="00E600F8">
        <w:rPr>
          <w:color w:val="000000" w:themeColor="text1"/>
          <w:lang w:val="en-US"/>
        </w:rPr>
        <w:t>Haller, S. P., Bang, D., Bahrami, B., &amp; Lau, J. Y. (2018). Group decision-making is optimal in adolescence. </w:t>
      </w:r>
      <w:r w:rsidRPr="00E600F8">
        <w:rPr>
          <w:i/>
          <w:iCs/>
          <w:color w:val="000000" w:themeColor="text1"/>
          <w:lang w:val="en-US"/>
        </w:rPr>
        <w:t>Scientific Reports</w:t>
      </w:r>
      <w:r w:rsidRPr="00E600F8">
        <w:rPr>
          <w:color w:val="000000" w:themeColor="text1"/>
          <w:lang w:val="en-US"/>
        </w:rPr>
        <w:t>, </w:t>
      </w:r>
      <w:r w:rsidRPr="00E600F8">
        <w:rPr>
          <w:i/>
          <w:iCs/>
          <w:color w:val="000000" w:themeColor="text1"/>
          <w:lang w:val="en-US"/>
        </w:rPr>
        <w:t>8</w:t>
      </w:r>
      <w:r w:rsidRPr="00E600F8">
        <w:rPr>
          <w:color w:val="000000" w:themeColor="text1"/>
          <w:lang w:val="en-US"/>
        </w:rPr>
        <w:t>(1), 15565.</w:t>
      </w:r>
      <w:r w:rsidR="00A64D6D" w:rsidRPr="00E600F8">
        <w:rPr>
          <w:color w:val="000000" w:themeColor="text1"/>
          <w:lang w:val="en-US"/>
        </w:rPr>
        <w:t xml:space="preserve"> doi: 10.1038/s41598-018-33557-x</w:t>
      </w:r>
    </w:p>
    <w:p w14:paraId="622E80C0" w14:textId="5C77E73F" w:rsidR="003126EF" w:rsidRPr="00E600F8" w:rsidRDefault="003126EF" w:rsidP="003126EF">
      <w:pPr>
        <w:spacing w:line="480" w:lineRule="auto"/>
        <w:ind w:left="284" w:hanging="284"/>
        <w:jc w:val="both"/>
        <w:rPr>
          <w:color w:val="000000" w:themeColor="text1"/>
          <w:lang w:val="en-US"/>
        </w:rPr>
      </w:pPr>
      <w:r w:rsidRPr="00E600F8">
        <w:rPr>
          <w:color w:val="000000" w:themeColor="text1"/>
          <w:lang w:val="en-US"/>
        </w:rPr>
        <w:t>Hauser, T. U., Iannaccone, R., Walitza, S., Brandeis, D., &amp; Brem, S. (2015). Cognitive flexibility in adolescence: neural and behavioral mechanisms of reward prediction error processing in adaptive decision making during development. </w:t>
      </w:r>
      <w:r w:rsidRPr="00E600F8">
        <w:rPr>
          <w:i/>
          <w:iCs/>
          <w:color w:val="000000" w:themeColor="text1"/>
          <w:lang w:val="en-US"/>
        </w:rPr>
        <w:t>Neuroimage</w:t>
      </w:r>
      <w:r w:rsidRPr="00E600F8">
        <w:rPr>
          <w:color w:val="000000" w:themeColor="text1"/>
          <w:lang w:val="en-US"/>
        </w:rPr>
        <w:t>, </w:t>
      </w:r>
      <w:r w:rsidRPr="00E600F8">
        <w:rPr>
          <w:i/>
          <w:iCs/>
          <w:color w:val="000000" w:themeColor="text1"/>
          <w:lang w:val="en-US"/>
        </w:rPr>
        <w:t>104</w:t>
      </w:r>
      <w:r w:rsidRPr="00E600F8">
        <w:rPr>
          <w:color w:val="000000" w:themeColor="text1"/>
          <w:lang w:val="en-US"/>
        </w:rPr>
        <w:t>, 347-354.</w:t>
      </w:r>
    </w:p>
    <w:p w14:paraId="33164A07" w14:textId="48D91DAA" w:rsidR="00CC3D8B" w:rsidRPr="00E600F8" w:rsidRDefault="00CC3D8B" w:rsidP="00CC3D8B">
      <w:pPr>
        <w:spacing w:line="480" w:lineRule="auto"/>
        <w:ind w:left="284" w:hanging="284"/>
        <w:jc w:val="both"/>
        <w:rPr>
          <w:color w:val="000000" w:themeColor="text1"/>
          <w:lang w:val="en-US"/>
        </w:rPr>
      </w:pPr>
      <w:r w:rsidRPr="00E600F8">
        <w:rPr>
          <w:color w:val="000000" w:themeColor="text1"/>
          <w:lang w:val="en-US"/>
        </w:rPr>
        <w:t>Hermans, E. J., Bos, P. A., Ossewaarde, L., Ramsey, N. F., Fernández, G., &amp; van Honk, J. (2010). Effects of exogenous testosterone on the ventral striatal BOLD response during reward anticipation in healthy women. </w:t>
      </w:r>
      <w:r w:rsidRPr="00E600F8">
        <w:rPr>
          <w:i/>
          <w:iCs/>
          <w:color w:val="000000" w:themeColor="text1"/>
          <w:lang w:val="en-US"/>
        </w:rPr>
        <w:t>Neuroimage</w:t>
      </w:r>
      <w:r w:rsidRPr="00E600F8">
        <w:rPr>
          <w:color w:val="000000" w:themeColor="text1"/>
          <w:lang w:val="en-US"/>
        </w:rPr>
        <w:t>, </w:t>
      </w:r>
      <w:r w:rsidRPr="00E600F8">
        <w:rPr>
          <w:i/>
          <w:iCs/>
          <w:color w:val="000000" w:themeColor="text1"/>
          <w:lang w:val="en-US"/>
        </w:rPr>
        <w:t>52</w:t>
      </w:r>
      <w:r w:rsidRPr="00E600F8">
        <w:rPr>
          <w:color w:val="000000" w:themeColor="text1"/>
          <w:lang w:val="en-US"/>
        </w:rPr>
        <w:t>(1), 277-283.</w:t>
      </w:r>
      <w:r w:rsidR="00A64D6D" w:rsidRPr="00E600F8">
        <w:rPr>
          <w:color w:val="000000" w:themeColor="text1"/>
          <w:lang w:val="en-US"/>
        </w:rPr>
        <w:t xml:space="preserve"> doi: 10.1016/j.neuroimage</w:t>
      </w:r>
    </w:p>
    <w:p w14:paraId="4C53D9F9" w14:textId="690A9C68" w:rsidR="00D05A9B" w:rsidRPr="00E600F8" w:rsidRDefault="00D05A9B" w:rsidP="00D05A9B">
      <w:pPr>
        <w:spacing w:line="480" w:lineRule="auto"/>
        <w:ind w:left="284" w:hanging="284"/>
        <w:jc w:val="both"/>
        <w:rPr>
          <w:color w:val="000000" w:themeColor="text1"/>
          <w:lang w:val="en-US"/>
        </w:rPr>
      </w:pPr>
      <w:r w:rsidRPr="00E600F8">
        <w:rPr>
          <w:color w:val="000000" w:themeColor="text1"/>
          <w:lang w:val="en-US"/>
        </w:rPr>
        <w:t>Huettel, S. A., Stowe, C. J., Gordon, E. M., Warner, B. T., &amp; Platt, M. L. (2006). Neural signatures of economic preferences for risk and ambiguity. </w:t>
      </w:r>
      <w:r w:rsidRPr="00E600F8">
        <w:rPr>
          <w:i/>
          <w:iCs/>
          <w:color w:val="000000" w:themeColor="text1"/>
          <w:lang w:val="en-US"/>
        </w:rPr>
        <w:t>Neuron</w:t>
      </w:r>
      <w:r w:rsidRPr="00E600F8">
        <w:rPr>
          <w:color w:val="000000" w:themeColor="text1"/>
          <w:lang w:val="en-US"/>
        </w:rPr>
        <w:t>, </w:t>
      </w:r>
      <w:r w:rsidRPr="00E600F8">
        <w:rPr>
          <w:i/>
          <w:iCs/>
          <w:color w:val="000000" w:themeColor="text1"/>
          <w:lang w:val="en-US"/>
        </w:rPr>
        <w:t>49</w:t>
      </w:r>
      <w:r w:rsidRPr="00E600F8">
        <w:rPr>
          <w:color w:val="000000" w:themeColor="text1"/>
          <w:lang w:val="en-US"/>
        </w:rPr>
        <w:t>(5), 765-775.</w:t>
      </w:r>
    </w:p>
    <w:p w14:paraId="214F95CF" w14:textId="20E9CBCA" w:rsidR="000F4D09" w:rsidRPr="00E600F8" w:rsidRDefault="000F4D09" w:rsidP="000F4D09">
      <w:pPr>
        <w:spacing w:line="480" w:lineRule="auto"/>
        <w:ind w:left="284" w:hanging="284"/>
        <w:jc w:val="both"/>
        <w:rPr>
          <w:rStyle w:val="Hyperlink"/>
          <w:color w:val="000000" w:themeColor="text1"/>
          <w:u w:val="none"/>
          <w:lang w:val="en-US"/>
        </w:rPr>
      </w:pPr>
      <w:r w:rsidRPr="00E600F8">
        <w:rPr>
          <w:color w:val="000000" w:themeColor="text1"/>
          <w:lang w:val="en-US"/>
        </w:rPr>
        <w:t xml:space="preserve">Jonah, B. A. (1986). Accident risk and risk-taking behavior among young drivers. </w:t>
      </w:r>
      <w:r w:rsidRPr="00E600F8">
        <w:rPr>
          <w:i/>
          <w:color w:val="000000" w:themeColor="text1"/>
          <w:lang w:val="en-US"/>
        </w:rPr>
        <w:t xml:space="preserve">Accident Analysis and Prevention, </w:t>
      </w:r>
      <w:r w:rsidRPr="00E600F8">
        <w:rPr>
          <w:color w:val="000000" w:themeColor="text1"/>
          <w:lang w:val="en-US"/>
        </w:rPr>
        <w:t>16</w:t>
      </w:r>
      <w:r w:rsidRPr="00E600F8">
        <w:rPr>
          <w:i/>
          <w:color w:val="000000" w:themeColor="text1"/>
          <w:lang w:val="en-US"/>
        </w:rPr>
        <w:t xml:space="preserve">, </w:t>
      </w:r>
      <w:r w:rsidRPr="00E600F8">
        <w:rPr>
          <w:color w:val="000000" w:themeColor="text1"/>
          <w:lang w:val="en-US"/>
        </w:rPr>
        <w:t>255-271.</w:t>
      </w:r>
    </w:p>
    <w:p w14:paraId="5B212D15"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 xml:space="preserve">Kenny, D. A., Kashy, D. A., &amp; Cook, W. L. (2006). </w:t>
      </w:r>
      <w:r w:rsidRPr="00E600F8">
        <w:rPr>
          <w:i/>
          <w:color w:val="000000" w:themeColor="text1"/>
          <w:shd w:val="clear" w:color="auto" w:fill="FFFFFF"/>
          <w:lang w:val="en-US"/>
        </w:rPr>
        <w:t xml:space="preserve">Dyadic data analysis. </w:t>
      </w:r>
      <w:r w:rsidRPr="00E600F8">
        <w:rPr>
          <w:color w:val="000000" w:themeColor="text1"/>
          <w:shd w:val="clear" w:color="auto" w:fill="FFFFFF"/>
          <w:lang w:val="en-US"/>
        </w:rPr>
        <w:t xml:space="preserve">New York: Guilford Press. </w:t>
      </w:r>
    </w:p>
    <w:p w14:paraId="061B4302" w14:textId="77777777" w:rsidR="00504ED8" w:rsidRPr="00E600F8" w:rsidRDefault="00F973F0" w:rsidP="00504ED8">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Knoll, L. J., Magis-Weinberg, L., Speekenbrink, M., &amp; Blakemore, S. J. (2015). Social influence on risk perception during adolescence. </w:t>
      </w:r>
      <w:r w:rsidRPr="00E600F8">
        <w:rPr>
          <w:i/>
          <w:iCs/>
          <w:color w:val="000000" w:themeColor="text1"/>
          <w:shd w:val="clear" w:color="auto" w:fill="FFFFFF"/>
          <w:lang w:val="en-US"/>
        </w:rPr>
        <w:t>Psychological Science</w:t>
      </w:r>
      <w:r w:rsidRPr="00E600F8">
        <w:rPr>
          <w:color w:val="000000" w:themeColor="text1"/>
          <w:shd w:val="clear" w:color="auto" w:fill="FFFFFF"/>
          <w:lang w:val="en-US"/>
        </w:rPr>
        <w:t>, </w:t>
      </w:r>
      <w:r w:rsidRPr="00E600F8">
        <w:rPr>
          <w:i/>
          <w:iCs/>
          <w:color w:val="000000" w:themeColor="text1"/>
          <w:shd w:val="clear" w:color="auto" w:fill="FFFFFF"/>
          <w:lang w:val="en-US"/>
        </w:rPr>
        <w:t>26</w:t>
      </w:r>
      <w:r w:rsidRPr="00E600F8">
        <w:rPr>
          <w:color w:val="000000" w:themeColor="text1"/>
          <w:shd w:val="clear" w:color="auto" w:fill="FFFFFF"/>
          <w:lang w:val="en-US"/>
        </w:rPr>
        <w:t>(5), 583-592. doi: 10.1177/0956797615569578</w:t>
      </w:r>
    </w:p>
    <w:p w14:paraId="72F2D509" w14:textId="6FDCD66F" w:rsidR="00DD3FD6" w:rsidRPr="00E600F8" w:rsidRDefault="00DD3FD6" w:rsidP="00504ED8">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lastRenderedPageBreak/>
        <w:t>Laird, R. D., Pettit, G. S., Bates, J. E., &amp; Dodge, K. A. (2003). Parents' monitoring</w:t>
      </w:r>
      <w:r w:rsidRPr="00E600F8">
        <w:rPr>
          <w:rFonts w:ascii="Cambria Math" w:hAnsi="Cambria Math" w:cs="Cambria Math"/>
          <w:color w:val="000000" w:themeColor="text1"/>
          <w:shd w:val="clear" w:color="auto" w:fill="FFFFFF"/>
          <w:lang w:val="en-US"/>
        </w:rPr>
        <w:t>‐</w:t>
      </w:r>
      <w:r w:rsidRPr="00E600F8">
        <w:rPr>
          <w:color w:val="000000" w:themeColor="text1"/>
          <w:shd w:val="clear" w:color="auto" w:fill="FFFFFF"/>
          <w:lang w:val="en-US"/>
        </w:rPr>
        <w:t>relevant knowledge and adolescents' delinquent behavior: evidence of correlated developmental changes and reciprocal influences. </w:t>
      </w:r>
      <w:r w:rsidRPr="00E600F8">
        <w:rPr>
          <w:i/>
          <w:iCs/>
          <w:color w:val="000000" w:themeColor="text1"/>
          <w:shd w:val="clear" w:color="auto" w:fill="FFFFFF"/>
          <w:lang w:val="en-US"/>
        </w:rPr>
        <w:t>Child Development</w:t>
      </w:r>
      <w:r w:rsidRPr="00E600F8">
        <w:rPr>
          <w:color w:val="000000" w:themeColor="text1"/>
          <w:shd w:val="clear" w:color="auto" w:fill="FFFFFF"/>
          <w:lang w:val="en-US"/>
        </w:rPr>
        <w:t>, </w:t>
      </w:r>
      <w:r w:rsidRPr="00E600F8">
        <w:rPr>
          <w:i/>
          <w:iCs/>
          <w:color w:val="000000" w:themeColor="text1"/>
          <w:shd w:val="clear" w:color="auto" w:fill="FFFFFF"/>
          <w:lang w:val="en-US"/>
        </w:rPr>
        <w:t>74</w:t>
      </w:r>
      <w:r w:rsidRPr="00E600F8">
        <w:rPr>
          <w:color w:val="000000" w:themeColor="text1"/>
          <w:shd w:val="clear" w:color="auto" w:fill="FFFFFF"/>
          <w:lang w:val="en-US"/>
        </w:rPr>
        <w:t>(3), 752-768.</w:t>
      </w:r>
    </w:p>
    <w:p w14:paraId="714C7FE3" w14:textId="21F402EC"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 xml:space="preserve">Maas, C., J. M., &amp; Hox, J. J. (2005). Sufficient sample sizes for Multilevel Modelling. </w:t>
      </w:r>
      <w:r w:rsidRPr="00E600F8">
        <w:rPr>
          <w:i/>
          <w:color w:val="000000" w:themeColor="text1"/>
          <w:shd w:val="clear" w:color="auto" w:fill="FFFFFF"/>
          <w:lang w:val="en-US"/>
        </w:rPr>
        <w:t xml:space="preserve">Methodology, 1, </w:t>
      </w:r>
      <w:r w:rsidRPr="00E600F8">
        <w:rPr>
          <w:color w:val="000000" w:themeColor="text1"/>
          <w:shd w:val="clear" w:color="auto" w:fill="FFFFFF"/>
          <w:lang w:val="en-US"/>
        </w:rPr>
        <w:t>86-92. doi: 10.1027/1614-1881.1.3.86</w:t>
      </w:r>
    </w:p>
    <w:p w14:paraId="2920E643" w14:textId="00312A21" w:rsidR="001F2611" w:rsidRPr="00E600F8" w:rsidRDefault="001F2611" w:rsidP="001F2611">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McCormick, E. M., &amp; Telzer, E. H. (2017). Adaptive adolescent flexibility: neurodevelopment of decision-making and learning in a risky context. </w:t>
      </w:r>
      <w:r w:rsidRPr="00E600F8">
        <w:rPr>
          <w:i/>
          <w:iCs/>
          <w:color w:val="000000" w:themeColor="text1"/>
          <w:shd w:val="clear" w:color="auto" w:fill="FFFFFF"/>
          <w:lang w:val="en-US"/>
        </w:rPr>
        <w:t>Journal of Cognitive Neuroscience</w:t>
      </w:r>
      <w:r w:rsidRPr="00E600F8">
        <w:rPr>
          <w:color w:val="000000" w:themeColor="text1"/>
          <w:shd w:val="clear" w:color="auto" w:fill="FFFFFF"/>
          <w:lang w:val="en-US"/>
        </w:rPr>
        <w:t>, </w:t>
      </w:r>
      <w:r w:rsidRPr="00E600F8">
        <w:rPr>
          <w:i/>
          <w:iCs/>
          <w:color w:val="000000" w:themeColor="text1"/>
          <w:shd w:val="clear" w:color="auto" w:fill="FFFFFF"/>
          <w:lang w:val="en-US"/>
        </w:rPr>
        <w:t>29</w:t>
      </w:r>
      <w:r w:rsidRPr="00E600F8">
        <w:rPr>
          <w:color w:val="000000" w:themeColor="text1"/>
          <w:shd w:val="clear" w:color="auto" w:fill="FFFFFF"/>
          <w:lang w:val="en-US"/>
        </w:rPr>
        <w:t>(3), 413-423.</w:t>
      </w:r>
      <w:r w:rsidR="00A64D6D" w:rsidRPr="00E600F8">
        <w:rPr>
          <w:color w:val="000000" w:themeColor="text1"/>
          <w:shd w:val="clear" w:color="auto" w:fill="FFFFFF"/>
          <w:lang w:val="en-US"/>
        </w:rPr>
        <w:t xml:space="preserve">  doi: 10.1162/jocn_a_01061</w:t>
      </w:r>
    </w:p>
    <w:p w14:paraId="4A23A42A" w14:textId="2BC54E46" w:rsidR="000D3E22" w:rsidRPr="00E600F8" w:rsidRDefault="000D3E22" w:rsidP="00791A0F">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Mehta, P. H., Welker, K. M., Zilioli, S., &amp; Carré, J. M. (2015). Testosterone and cortisol jointly modulate risk-taking. </w:t>
      </w:r>
      <w:r w:rsidRPr="00E600F8">
        <w:rPr>
          <w:i/>
          <w:iCs/>
          <w:color w:val="000000" w:themeColor="text1"/>
          <w:shd w:val="clear" w:color="auto" w:fill="FFFFFF"/>
          <w:lang w:val="en-US"/>
        </w:rPr>
        <w:t>Psychoneuroendocrinology</w:t>
      </w:r>
      <w:r w:rsidRPr="00E600F8">
        <w:rPr>
          <w:color w:val="000000" w:themeColor="text1"/>
          <w:shd w:val="clear" w:color="auto" w:fill="FFFFFF"/>
          <w:lang w:val="en-US"/>
        </w:rPr>
        <w:t>, </w:t>
      </w:r>
      <w:r w:rsidRPr="00E600F8">
        <w:rPr>
          <w:i/>
          <w:iCs/>
          <w:color w:val="000000" w:themeColor="text1"/>
          <w:shd w:val="clear" w:color="auto" w:fill="FFFFFF"/>
          <w:lang w:val="en-US"/>
        </w:rPr>
        <w:t>56</w:t>
      </w:r>
      <w:r w:rsidRPr="00E600F8">
        <w:rPr>
          <w:color w:val="000000" w:themeColor="text1"/>
          <w:shd w:val="clear" w:color="auto" w:fill="FFFFFF"/>
          <w:lang w:val="en-US"/>
        </w:rPr>
        <w:t>, 88-99.</w:t>
      </w:r>
      <w:r w:rsidR="00791A0F" w:rsidRPr="00E600F8">
        <w:rPr>
          <w:color w:val="000000" w:themeColor="text1"/>
          <w:shd w:val="clear" w:color="auto" w:fill="FFFFFF"/>
          <w:lang w:val="en-US"/>
        </w:rPr>
        <w:t xml:space="preserve"> doi: 10.1016/j.psyneuen.2015.02.023</w:t>
      </w:r>
    </w:p>
    <w:p w14:paraId="1ED3257F" w14:textId="77777777" w:rsidR="00F973F0" w:rsidRPr="00E600F8" w:rsidRDefault="00F973F0" w:rsidP="00F973F0">
      <w:pPr>
        <w:spacing w:line="480" w:lineRule="auto"/>
        <w:ind w:left="284" w:hanging="284"/>
        <w:rPr>
          <w:color w:val="000000" w:themeColor="text1"/>
          <w:shd w:val="clear" w:color="auto" w:fill="FFFFFF"/>
          <w:lang w:val="en-US"/>
        </w:rPr>
      </w:pPr>
      <w:r w:rsidRPr="00E600F8">
        <w:rPr>
          <w:color w:val="000000" w:themeColor="text1"/>
          <w:shd w:val="clear" w:color="auto" w:fill="FFFFFF"/>
          <w:lang w:val="en-US"/>
        </w:rPr>
        <w:t>Moffitt, T. E. (1993). Adolescence-limited and life-course-persistent antisocial behavior: a developmental taxonomy. </w:t>
      </w:r>
      <w:r w:rsidRPr="00E600F8">
        <w:rPr>
          <w:i/>
          <w:iCs/>
          <w:color w:val="000000" w:themeColor="text1"/>
          <w:shd w:val="clear" w:color="auto" w:fill="FFFFFF"/>
          <w:lang w:val="en-US"/>
        </w:rPr>
        <w:t>Psychological Review</w:t>
      </w:r>
      <w:r w:rsidRPr="00E600F8">
        <w:rPr>
          <w:color w:val="000000" w:themeColor="text1"/>
          <w:shd w:val="clear" w:color="auto" w:fill="FFFFFF"/>
          <w:lang w:val="en-US"/>
        </w:rPr>
        <w:t>, </w:t>
      </w:r>
      <w:r w:rsidRPr="00E600F8">
        <w:rPr>
          <w:i/>
          <w:iCs/>
          <w:color w:val="000000" w:themeColor="text1"/>
          <w:shd w:val="clear" w:color="auto" w:fill="FFFFFF"/>
          <w:lang w:val="en-US"/>
        </w:rPr>
        <w:t>100</w:t>
      </w:r>
      <w:r w:rsidRPr="00E600F8">
        <w:rPr>
          <w:color w:val="000000" w:themeColor="text1"/>
          <w:shd w:val="clear" w:color="auto" w:fill="FFFFFF"/>
          <w:lang w:val="en-US"/>
        </w:rPr>
        <w:t>(4), 674-701</w:t>
      </w:r>
    </w:p>
    <w:p w14:paraId="255240B2"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O'Brien, L., Albert, D., Chein, J., &amp; Steinberg, L. (2011). Adolescents prefer more immediate rewards when in the presence of their peers. </w:t>
      </w:r>
      <w:r w:rsidRPr="00E600F8">
        <w:rPr>
          <w:i/>
          <w:iCs/>
          <w:color w:val="000000" w:themeColor="text1"/>
          <w:shd w:val="clear" w:color="auto" w:fill="FFFFFF"/>
          <w:lang w:val="en-US"/>
        </w:rPr>
        <w:t>Journal of Research on Adolescence</w:t>
      </w:r>
      <w:r w:rsidRPr="00E600F8">
        <w:rPr>
          <w:color w:val="000000" w:themeColor="text1"/>
          <w:shd w:val="clear" w:color="auto" w:fill="FFFFFF"/>
          <w:lang w:val="en-US"/>
        </w:rPr>
        <w:t>, </w:t>
      </w:r>
      <w:r w:rsidRPr="00E600F8">
        <w:rPr>
          <w:i/>
          <w:iCs/>
          <w:color w:val="000000" w:themeColor="text1"/>
          <w:shd w:val="clear" w:color="auto" w:fill="FFFFFF"/>
          <w:lang w:val="en-US"/>
        </w:rPr>
        <w:t>21</w:t>
      </w:r>
      <w:r w:rsidRPr="00E600F8">
        <w:rPr>
          <w:color w:val="000000" w:themeColor="text1"/>
          <w:shd w:val="clear" w:color="auto" w:fill="FFFFFF"/>
          <w:lang w:val="en-US"/>
        </w:rPr>
        <w:t>(4), 747-753. doi: 10.1111/j.1532-7795.2011.00738.x</w:t>
      </w:r>
    </w:p>
    <w:p w14:paraId="5F88B20C" w14:textId="77777777" w:rsidR="00F973F0" w:rsidRPr="00E600F8" w:rsidRDefault="00F973F0" w:rsidP="00F973F0">
      <w:pPr>
        <w:spacing w:line="480" w:lineRule="auto"/>
        <w:jc w:val="both"/>
        <w:rPr>
          <w:color w:val="000000" w:themeColor="text1"/>
          <w:lang w:val="en-US"/>
        </w:rPr>
      </w:pPr>
      <w:r w:rsidRPr="00E600F8">
        <w:rPr>
          <w:color w:val="000000" w:themeColor="text1"/>
          <w:shd w:val="clear" w:color="auto" w:fill="FFFFFF"/>
          <w:lang w:val="en-US"/>
        </w:rPr>
        <w:t xml:space="preserve">Office for Standards in Education (2013) </w:t>
      </w:r>
      <w:r w:rsidRPr="00E600F8">
        <w:rPr>
          <w:i/>
          <w:color w:val="000000" w:themeColor="text1"/>
          <w:shd w:val="clear" w:color="auto" w:fill="FFFFFF"/>
          <w:lang w:val="en-US"/>
        </w:rPr>
        <w:t>School Inspection Report</w:t>
      </w:r>
      <w:r w:rsidRPr="00E600F8">
        <w:rPr>
          <w:color w:val="000000" w:themeColor="text1"/>
          <w:shd w:val="clear" w:color="auto" w:fill="FFFFFF"/>
          <w:lang w:val="en-US"/>
        </w:rPr>
        <w:t>. London: OfSTED.</w:t>
      </w:r>
    </w:p>
    <w:p w14:paraId="1A2357D8" w14:textId="53287C67" w:rsidR="00F973F0" w:rsidRPr="00E600F8" w:rsidRDefault="00F973F0" w:rsidP="00F973F0">
      <w:pPr>
        <w:spacing w:line="480" w:lineRule="auto"/>
        <w:ind w:left="284" w:hanging="284"/>
        <w:jc w:val="both"/>
        <w:rPr>
          <w:color w:val="000000" w:themeColor="text1"/>
          <w:lang w:val="en-US"/>
        </w:rPr>
      </w:pPr>
      <w:r w:rsidRPr="00E600F8">
        <w:rPr>
          <w:color w:val="000000" w:themeColor="text1"/>
          <w:shd w:val="clear" w:color="auto" w:fill="FFFFFF"/>
          <w:lang w:val="en-US"/>
        </w:rPr>
        <w:t>Osmont, A., Moutier, S., Simon, G., Bouhours, L., Houdé, O., &amp; Cassotti, M. (2017). How does explicit versus implicit risk information influence adolescent risk</w:t>
      </w:r>
      <w:r w:rsidRPr="00E600F8">
        <w:rPr>
          <w:rFonts w:ascii="Calibri" w:eastAsia="Calibri" w:hAnsi="Calibri" w:cs="Calibri"/>
          <w:color w:val="000000" w:themeColor="text1"/>
          <w:shd w:val="clear" w:color="auto" w:fill="FFFFFF"/>
          <w:lang w:val="en-US"/>
        </w:rPr>
        <w:t>‐</w:t>
      </w:r>
      <w:r w:rsidRPr="00E600F8">
        <w:rPr>
          <w:color w:val="000000" w:themeColor="text1"/>
          <w:shd w:val="clear" w:color="auto" w:fill="FFFFFF"/>
          <w:lang w:val="en-US"/>
        </w:rPr>
        <w:t xml:space="preserve">taking </w:t>
      </w:r>
      <w:r w:rsidR="00271A74" w:rsidRPr="00E600F8">
        <w:rPr>
          <w:color w:val="000000" w:themeColor="text1"/>
          <w:shd w:val="clear" w:color="auto" w:fill="FFFFFF"/>
          <w:lang w:val="en-US"/>
        </w:rPr>
        <w:t>engagement?</w:t>
      </w:r>
      <w:r w:rsidRPr="00E600F8">
        <w:rPr>
          <w:color w:val="000000" w:themeColor="text1"/>
          <w:shd w:val="clear" w:color="auto" w:fill="FFFFFF"/>
          <w:lang w:val="en-US"/>
        </w:rPr>
        <w:t> </w:t>
      </w:r>
      <w:r w:rsidRPr="00E600F8">
        <w:rPr>
          <w:i/>
          <w:iCs/>
          <w:color w:val="000000" w:themeColor="text1"/>
          <w:shd w:val="clear" w:color="auto" w:fill="FFFFFF"/>
          <w:lang w:val="en-US"/>
        </w:rPr>
        <w:t>Journal of Behavioral Decision Making</w:t>
      </w:r>
      <w:r w:rsidRPr="00E600F8">
        <w:rPr>
          <w:color w:val="000000" w:themeColor="text1"/>
          <w:shd w:val="clear" w:color="auto" w:fill="FFFFFF"/>
          <w:lang w:val="en-US"/>
        </w:rPr>
        <w:t xml:space="preserve">, </w:t>
      </w:r>
      <w:r w:rsidRPr="00E600F8">
        <w:rPr>
          <w:i/>
          <w:color w:val="000000" w:themeColor="text1"/>
          <w:shd w:val="clear" w:color="auto" w:fill="FFFFFF"/>
          <w:lang w:val="en-US"/>
        </w:rPr>
        <w:t xml:space="preserve">5, </w:t>
      </w:r>
      <w:r w:rsidRPr="00E600F8">
        <w:rPr>
          <w:color w:val="000000" w:themeColor="text1"/>
          <w:shd w:val="clear" w:color="auto" w:fill="FFFFFF"/>
          <w:lang w:val="en-US"/>
        </w:rPr>
        <w:t xml:space="preserve">1093-1103. </w:t>
      </w:r>
      <w:r w:rsidRPr="00E600F8">
        <w:rPr>
          <w:color w:val="000000" w:themeColor="text1"/>
          <w:lang w:val="en-US"/>
        </w:rPr>
        <w:t xml:space="preserve">doi: 10.1002/bdm.2026  </w:t>
      </w:r>
    </w:p>
    <w:p w14:paraId="53395362" w14:textId="3871C33D" w:rsidR="0074281B" w:rsidRPr="00E600F8" w:rsidRDefault="0074281B" w:rsidP="0074281B">
      <w:pPr>
        <w:spacing w:line="480" w:lineRule="auto"/>
        <w:ind w:left="284" w:hanging="284"/>
        <w:jc w:val="both"/>
        <w:rPr>
          <w:color w:val="000000" w:themeColor="text1"/>
          <w:lang w:val="en-US"/>
        </w:rPr>
      </w:pPr>
      <w:r w:rsidRPr="00E600F8">
        <w:rPr>
          <w:color w:val="000000" w:themeColor="text1"/>
          <w:lang w:val="en-US"/>
        </w:rPr>
        <w:t>Peters, S., Jolles, D. J., Van Duijvenvoorde, A. C., Crone, E. A., &amp; Peper, J. S. (2015). The link between testosterone and amygdala–orbitofrontal cortex connectivity in adolescent alcohol use. </w:t>
      </w:r>
      <w:r w:rsidRPr="00E600F8">
        <w:rPr>
          <w:i/>
          <w:iCs/>
          <w:color w:val="000000" w:themeColor="text1"/>
          <w:lang w:val="en-US"/>
        </w:rPr>
        <w:t>Psychoneuroendocrinology</w:t>
      </w:r>
      <w:r w:rsidRPr="00E600F8">
        <w:rPr>
          <w:color w:val="000000" w:themeColor="text1"/>
          <w:lang w:val="en-US"/>
        </w:rPr>
        <w:t>, </w:t>
      </w:r>
      <w:r w:rsidRPr="00E600F8">
        <w:rPr>
          <w:i/>
          <w:iCs/>
          <w:color w:val="000000" w:themeColor="text1"/>
          <w:lang w:val="en-US"/>
        </w:rPr>
        <w:t>53</w:t>
      </w:r>
      <w:r w:rsidRPr="00E600F8">
        <w:rPr>
          <w:color w:val="000000" w:themeColor="text1"/>
          <w:lang w:val="en-US"/>
        </w:rPr>
        <w:t>, 117-126. doi: 10.1016/j.psyneuen.2015.01.004</w:t>
      </w:r>
    </w:p>
    <w:p w14:paraId="32DF5CC4" w14:textId="77777777" w:rsidR="00F973F0" w:rsidRPr="00E600F8" w:rsidRDefault="00F973F0" w:rsidP="00F973F0">
      <w:pPr>
        <w:spacing w:line="480" w:lineRule="auto"/>
        <w:ind w:left="284" w:hanging="284"/>
        <w:rPr>
          <w:color w:val="000000" w:themeColor="text1"/>
          <w:shd w:val="clear" w:color="auto" w:fill="FFFFFF"/>
          <w:lang w:val="en-US"/>
        </w:rPr>
      </w:pPr>
      <w:r w:rsidRPr="00E600F8">
        <w:rPr>
          <w:color w:val="000000" w:themeColor="text1"/>
          <w:shd w:val="clear" w:color="auto" w:fill="FFFFFF"/>
          <w:lang w:val="en-US"/>
        </w:rPr>
        <w:lastRenderedPageBreak/>
        <w:t>Peterson, R. A. (1994). A meta-analysis of Cronbach's coefficient alpha. </w:t>
      </w:r>
      <w:r w:rsidRPr="00E600F8">
        <w:rPr>
          <w:i/>
          <w:iCs/>
          <w:color w:val="000000" w:themeColor="text1"/>
          <w:shd w:val="clear" w:color="auto" w:fill="FFFFFF"/>
          <w:lang w:val="en-US"/>
        </w:rPr>
        <w:t>Journal of Consumer Research</w:t>
      </w:r>
      <w:r w:rsidRPr="00E600F8">
        <w:rPr>
          <w:color w:val="000000" w:themeColor="text1"/>
          <w:shd w:val="clear" w:color="auto" w:fill="FFFFFF"/>
          <w:lang w:val="en-US"/>
        </w:rPr>
        <w:t>, </w:t>
      </w:r>
      <w:r w:rsidRPr="00E600F8">
        <w:rPr>
          <w:i/>
          <w:iCs/>
          <w:color w:val="000000" w:themeColor="text1"/>
          <w:shd w:val="clear" w:color="auto" w:fill="FFFFFF"/>
          <w:lang w:val="en-US"/>
        </w:rPr>
        <w:t>21</w:t>
      </w:r>
      <w:r w:rsidRPr="00E600F8">
        <w:rPr>
          <w:color w:val="000000" w:themeColor="text1"/>
          <w:shd w:val="clear" w:color="auto" w:fill="FFFFFF"/>
          <w:lang w:val="en-US"/>
        </w:rPr>
        <w:t>(2), 381-391.</w:t>
      </w:r>
    </w:p>
    <w:p w14:paraId="3DF69947" w14:textId="77777777" w:rsidR="00F973F0" w:rsidRPr="00E600F8" w:rsidRDefault="00F973F0" w:rsidP="00F973F0">
      <w:pPr>
        <w:spacing w:line="480" w:lineRule="auto"/>
        <w:ind w:left="284" w:hanging="284"/>
        <w:rPr>
          <w:color w:val="000000" w:themeColor="text1"/>
          <w:shd w:val="clear" w:color="auto" w:fill="FFFFFF"/>
          <w:lang w:val="en-US"/>
        </w:rPr>
      </w:pPr>
      <w:r w:rsidRPr="00E600F8">
        <w:rPr>
          <w:color w:val="000000" w:themeColor="text1"/>
          <w:shd w:val="clear" w:color="auto" w:fill="FFFFFF"/>
          <w:lang w:val="en-US"/>
        </w:rPr>
        <w:t xml:space="preserve">Peugh, J. L., &amp; Enders, C. K. (2005). Using the SPSS Mixed Procedure to fit cross-sectional and longitudinal multilevel models. </w:t>
      </w:r>
      <w:r w:rsidRPr="00E600F8">
        <w:rPr>
          <w:i/>
          <w:color w:val="000000" w:themeColor="text1"/>
          <w:shd w:val="clear" w:color="auto" w:fill="FFFFFF"/>
          <w:lang w:val="en-US"/>
        </w:rPr>
        <w:t>Educational and Psychological Measurement, 65</w:t>
      </w:r>
      <w:r w:rsidRPr="00E600F8">
        <w:rPr>
          <w:color w:val="000000" w:themeColor="text1"/>
          <w:shd w:val="clear" w:color="auto" w:fill="FFFFFF"/>
          <w:lang w:val="en-US"/>
        </w:rPr>
        <w:t>, 717-741. doi: 10.1177/0013164405278558</w:t>
      </w:r>
    </w:p>
    <w:p w14:paraId="38631CF9" w14:textId="2AC91A1E"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Qualtrics. (2017). Utah, USA: Qualtrics.</w:t>
      </w:r>
    </w:p>
    <w:p w14:paraId="7FFBBBC0" w14:textId="4FFED701" w:rsidR="00650DEC" w:rsidRPr="00E600F8" w:rsidRDefault="00650DEC"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 xml:space="preserve">Raudenbush, S. W., &amp; Bryk, A. S. (2002). </w:t>
      </w:r>
      <w:r w:rsidRPr="00E600F8">
        <w:rPr>
          <w:i/>
          <w:color w:val="000000" w:themeColor="text1"/>
          <w:lang w:val="en-US"/>
        </w:rPr>
        <w:t>Hierarchical linear models: Applications and data analysis methods</w:t>
      </w:r>
      <w:r w:rsidRPr="00E600F8">
        <w:rPr>
          <w:color w:val="000000" w:themeColor="text1"/>
          <w:lang w:val="en-US"/>
        </w:rPr>
        <w:t xml:space="preserve"> (2nd ed.). Thousand Oaks: Sage. </w:t>
      </w:r>
    </w:p>
    <w:p w14:paraId="4D5B50AD"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 xml:space="preserve">Ringdal, K. (2018). </w:t>
      </w:r>
      <w:r w:rsidRPr="00E600F8">
        <w:rPr>
          <w:i/>
          <w:color w:val="000000" w:themeColor="text1"/>
          <w:lang w:val="en-US"/>
        </w:rPr>
        <w:t>Learning Multilevel Analysis</w:t>
      </w:r>
      <w:r w:rsidRPr="00E600F8">
        <w:rPr>
          <w:color w:val="000000" w:themeColor="text1"/>
          <w:lang w:val="en-US"/>
        </w:rPr>
        <w:t>. Essedunet.nsd.uib.no</w:t>
      </w:r>
    </w:p>
    <w:p w14:paraId="4332DCFB" w14:textId="77777777" w:rsidR="00F973F0" w:rsidRPr="00E600F8" w:rsidRDefault="00F973F0" w:rsidP="00F973F0">
      <w:pPr>
        <w:spacing w:line="480" w:lineRule="auto"/>
        <w:ind w:left="284" w:hanging="284"/>
        <w:rPr>
          <w:color w:val="000000" w:themeColor="text1"/>
          <w:shd w:val="clear" w:color="auto" w:fill="FFFFFF"/>
          <w:lang w:val="en-US"/>
        </w:rPr>
      </w:pPr>
      <w:r w:rsidRPr="00E600F8">
        <w:rPr>
          <w:color w:val="000000" w:themeColor="text1"/>
          <w:shd w:val="clear" w:color="auto" w:fill="FFFFFF"/>
          <w:lang w:val="en-US"/>
        </w:rPr>
        <w:t>Romer, D. (2010). Adolescent risk taking, impulsivity, and brain development: Implications for prevention. </w:t>
      </w:r>
      <w:r w:rsidRPr="00E600F8">
        <w:rPr>
          <w:i/>
          <w:iCs/>
          <w:color w:val="000000" w:themeColor="text1"/>
          <w:shd w:val="clear" w:color="auto" w:fill="FFFFFF"/>
          <w:lang w:val="en-US"/>
        </w:rPr>
        <w:t>Developmental Psychobiology</w:t>
      </w:r>
      <w:r w:rsidRPr="00E600F8">
        <w:rPr>
          <w:color w:val="000000" w:themeColor="text1"/>
          <w:shd w:val="clear" w:color="auto" w:fill="FFFFFF"/>
          <w:lang w:val="en-US"/>
        </w:rPr>
        <w:t>, </w:t>
      </w:r>
      <w:r w:rsidRPr="00E600F8">
        <w:rPr>
          <w:i/>
          <w:iCs/>
          <w:color w:val="000000" w:themeColor="text1"/>
          <w:shd w:val="clear" w:color="auto" w:fill="FFFFFF"/>
          <w:lang w:val="en-US"/>
        </w:rPr>
        <w:t>52</w:t>
      </w:r>
      <w:r w:rsidRPr="00E600F8">
        <w:rPr>
          <w:color w:val="000000" w:themeColor="text1"/>
          <w:shd w:val="clear" w:color="auto" w:fill="FFFFFF"/>
          <w:lang w:val="en-US"/>
        </w:rPr>
        <w:t>(3), 263-276. doi:  </w:t>
      </w:r>
      <w:hyperlink r:id="rId18" w:tgtFrame="pmc_ext" w:history="1">
        <w:r w:rsidRPr="00E600F8">
          <w:rPr>
            <w:rStyle w:val="Hyperlink"/>
            <w:color w:val="000000" w:themeColor="text1"/>
            <w:u w:val="none"/>
            <w:shd w:val="clear" w:color="auto" w:fill="FFFFFF"/>
            <w:lang w:val="en-US"/>
          </w:rPr>
          <w:t>10.1002/dev.20442</w:t>
        </w:r>
      </w:hyperlink>
    </w:p>
    <w:p w14:paraId="115464C0" w14:textId="77777777" w:rsidR="00F973F0" w:rsidRPr="00E600F8" w:rsidRDefault="00F973F0" w:rsidP="00F973F0">
      <w:pPr>
        <w:spacing w:line="480" w:lineRule="auto"/>
        <w:ind w:left="284" w:hanging="284"/>
        <w:rPr>
          <w:color w:val="000000" w:themeColor="text1"/>
          <w:lang w:val="en-US"/>
        </w:rPr>
      </w:pPr>
      <w:r w:rsidRPr="00E600F8">
        <w:rPr>
          <w:color w:val="000000" w:themeColor="text1"/>
          <w:lang w:val="en-US"/>
        </w:rPr>
        <w:t>Romer, D., Reyna, V. F., &amp; Satterthwaite, T. D. (2017). Beyond stereotypes of adolescent risk taking: Placing the adolescent brain in developmental context. </w:t>
      </w:r>
      <w:r w:rsidRPr="00E600F8">
        <w:rPr>
          <w:i/>
          <w:iCs/>
          <w:color w:val="000000" w:themeColor="text1"/>
          <w:lang w:val="en-US"/>
        </w:rPr>
        <w:t>Developmental Cognitive Neuroscience</w:t>
      </w:r>
      <w:r w:rsidRPr="00E600F8">
        <w:rPr>
          <w:color w:val="000000" w:themeColor="text1"/>
          <w:lang w:val="en-US"/>
        </w:rPr>
        <w:t>, </w:t>
      </w:r>
      <w:r w:rsidRPr="00E600F8">
        <w:rPr>
          <w:i/>
          <w:iCs/>
          <w:color w:val="000000" w:themeColor="text1"/>
          <w:lang w:val="en-US"/>
        </w:rPr>
        <w:t>27</w:t>
      </w:r>
      <w:r w:rsidRPr="00E600F8">
        <w:rPr>
          <w:color w:val="000000" w:themeColor="text1"/>
          <w:lang w:val="en-US"/>
        </w:rPr>
        <w:t>, 19-34. doi: 10.1016/j.dcn.2017.07.007</w:t>
      </w:r>
    </w:p>
    <w:p w14:paraId="6DA9CBE0"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 xml:space="preserve">Shulman. E. P., &amp; Cauffman, E. (2013). Reward-biased risk appraisal and its relation to juvenile versus adult crime. </w:t>
      </w:r>
      <w:r w:rsidRPr="00E600F8">
        <w:rPr>
          <w:i/>
          <w:color w:val="000000" w:themeColor="text1"/>
          <w:lang w:val="en-US"/>
        </w:rPr>
        <w:t>Law and Human Behaviour, 37(6),</w:t>
      </w:r>
      <w:r w:rsidRPr="00E600F8">
        <w:rPr>
          <w:color w:val="000000" w:themeColor="text1"/>
          <w:lang w:val="en-US"/>
        </w:rPr>
        <w:t xml:space="preserve"> 412-423. doi: 10.1037/lhb0000033</w:t>
      </w:r>
    </w:p>
    <w:p w14:paraId="25FF3E12" w14:textId="77777777" w:rsidR="00F973F0" w:rsidRPr="00E600F8" w:rsidRDefault="00F973F0" w:rsidP="00F973F0">
      <w:pPr>
        <w:spacing w:line="480" w:lineRule="auto"/>
        <w:ind w:left="284" w:hanging="284"/>
        <w:jc w:val="both"/>
        <w:rPr>
          <w:rStyle w:val="Hyperlink"/>
          <w:color w:val="000000" w:themeColor="text1"/>
          <w:u w:val="none"/>
          <w:shd w:val="clear" w:color="auto" w:fill="FFFFFF"/>
          <w:lang w:val="en-US"/>
        </w:rPr>
      </w:pPr>
      <w:r w:rsidRPr="00E600F8">
        <w:rPr>
          <w:color w:val="000000" w:themeColor="text1"/>
          <w:shd w:val="clear" w:color="auto" w:fill="FFFFFF"/>
          <w:lang w:val="en-US"/>
        </w:rPr>
        <w:t>Shulman, E. P., Smith, A. R., Silva, K., Icenogle, G., Duell, N., Chein, J., &amp; Steinberg, L. (2016). The dual systems model: Review, reappraisal, and reaffirmation. </w:t>
      </w:r>
      <w:r w:rsidRPr="00E600F8">
        <w:rPr>
          <w:i/>
          <w:iCs/>
          <w:color w:val="000000" w:themeColor="text1"/>
          <w:shd w:val="clear" w:color="auto" w:fill="FFFFFF"/>
          <w:lang w:val="en-US"/>
        </w:rPr>
        <w:t>Developmental Cognitive Neuroscience</w:t>
      </w:r>
      <w:r w:rsidRPr="00E600F8">
        <w:rPr>
          <w:color w:val="000000" w:themeColor="text1"/>
          <w:shd w:val="clear" w:color="auto" w:fill="FFFFFF"/>
          <w:lang w:val="en-US"/>
        </w:rPr>
        <w:t>, </w:t>
      </w:r>
      <w:r w:rsidRPr="00E600F8">
        <w:rPr>
          <w:i/>
          <w:iCs/>
          <w:color w:val="000000" w:themeColor="text1"/>
          <w:shd w:val="clear" w:color="auto" w:fill="FFFFFF"/>
          <w:lang w:val="en-US"/>
        </w:rPr>
        <w:t>17</w:t>
      </w:r>
      <w:r w:rsidRPr="00E600F8">
        <w:rPr>
          <w:color w:val="000000" w:themeColor="text1"/>
          <w:shd w:val="clear" w:color="auto" w:fill="FFFFFF"/>
          <w:lang w:val="en-US"/>
        </w:rPr>
        <w:t xml:space="preserve">, 103-117. doi: </w:t>
      </w:r>
      <w:hyperlink r:id="rId19" w:tgtFrame="_blank" w:tooltip="Persistent link using digital object identifier" w:history="1">
        <w:r w:rsidRPr="00E600F8">
          <w:rPr>
            <w:rStyle w:val="Hyperlink"/>
            <w:color w:val="000000" w:themeColor="text1"/>
            <w:u w:val="none"/>
            <w:shd w:val="clear" w:color="auto" w:fill="FFFFFF"/>
            <w:lang w:val="en-US"/>
          </w:rPr>
          <w:t>10.1016/j.dcn.2015.12.010</w:t>
        </w:r>
      </w:hyperlink>
    </w:p>
    <w:p w14:paraId="09CE1DF6" w14:textId="367706A0" w:rsidR="000047A0" w:rsidRPr="00E600F8" w:rsidRDefault="000047A0" w:rsidP="000047A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Smith, A. R., Chein, J., &amp; Steinberg, L. (2014). Peers increase adolescent risk taking even when the probabilities of negative outcomes are known. </w:t>
      </w:r>
      <w:r w:rsidRPr="00E600F8">
        <w:rPr>
          <w:i/>
          <w:iCs/>
          <w:color w:val="000000" w:themeColor="text1"/>
          <w:shd w:val="clear" w:color="auto" w:fill="FFFFFF"/>
          <w:lang w:val="en-US"/>
        </w:rPr>
        <w:t>Developmental Psychology</w:t>
      </w:r>
      <w:r w:rsidRPr="00E600F8">
        <w:rPr>
          <w:color w:val="000000" w:themeColor="text1"/>
          <w:shd w:val="clear" w:color="auto" w:fill="FFFFFF"/>
          <w:lang w:val="en-US"/>
        </w:rPr>
        <w:t>, </w:t>
      </w:r>
      <w:r w:rsidRPr="00E600F8">
        <w:rPr>
          <w:i/>
          <w:iCs/>
          <w:color w:val="000000" w:themeColor="text1"/>
          <w:shd w:val="clear" w:color="auto" w:fill="FFFFFF"/>
          <w:lang w:val="en-US"/>
        </w:rPr>
        <w:t>50</w:t>
      </w:r>
      <w:r w:rsidRPr="00E600F8">
        <w:rPr>
          <w:color w:val="000000" w:themeColor="text1"/>
          <w:shd w:val="clear" w:color="auto" w:fill="FFFFFF"/>
          <w:lang w:val="en-US"/>
        </w:rPr>
        <w:t>(5), 1564</w:t>
      </w:r>
      <w:r w:rsidR="00B25A94" w:rsidRPr="00E600F8">
        <w:rPr>
          <w:color w:val="000000" w:themeColor="text1"/>
          <w:shd w:val="clear" w:color="auto" w:fill="FFFFFF"/>
          <w:lang w:val="en-US"/>
        </w:rPr>
        <w:t>-1568</w:t>
      </w:r>
      <w:r w:rsidRPr="00E600F8">
        <w:rPr>
          <w:color w:val="000000" w:themeColor="text1"/>
          <w:shd w:val="clear" w:color="auto" w:fill="FFFFFF"/>
          <w:lang w:val="en-US"/>
        </w:rPr>
        <w:t>.</w:t>
      </w:r>
    </w:p>
    <w:p w14:paraId="4643EA15"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Spear, L. P. (2013). Adolescent neurodevelopment. </w:t>
      </w:r>
      <w:r w:rsidRPr="00E600F8">
        <w:rPr>
          <w:i/>
          <w:iCs/>
          <w:color w:val="000000" w:themeColor="text1"/>
          <w:shd w:val="clear" w:color="auto" w:fill="FFFFFF"/>
          <w:lang w:val="en-US"/>
        </w:rPr>
        <w:t>Journal of Adolescent Health</w:t>
      </w:r>
      <w:r w:rsidRPr="00E600F8">
        <w:rPr>
          <w:color w:val="000000" w:themeColor="text1"/>
          <w:shd w:val="clear" w:color="auto" w:fill="FFFFFF"/>
          <w:lang w:val="en-US"/>
        </w:rPr>
        <w:t>, </w:t>
      </w:r>
      <w:r w:rsidRPr="00E600F8">
        <w:rPr>
          <w:i/>
          <w:iCs/>
          <w:color w:val="000000" w:themeColor="text1"/>
          <w:shd w:val="clear" w:color="auto" w:fill="FFFFFF"/>
          <w:lang w:val="en-US"/>
        </w:rPr>
        <w:t>52</w:t>
      </w:r>
      <w:r w:rsidRPr="00E600F8">
        <w:rPr>
          <w:color w:val="000000" w:themeColor="text1"/>
          <w:shd w:val="clear" w:color="auto" w:fill="FFFFFF"/>
          <w:lang w:val="en-US"/>
        </w:rPr>
        <w:t xml:space="preserve">(2), 7-13. doi: </w:t>
      </w:r>
      <w:hyperlink r:id="rId20" w:history="1">
        <w:r w:rsidRPr="00E600F8">
          <w:rPr>
            <w:rStyle w:val="Hyperlink"/>
            <w:color w:val="000000" w:themeColor="text1"/>
            <w:u w:val="none"/>
            <w:shd w:val="clear" w:color="auto" w:fill="FFFFFF"/>
            <w:lang w:val="en-US"/>
          </w:rPr>
          <w:t>10.1016/j.jadohealth.2012.05.006</w:t>
        </w:r>
      </w:hyperlink>
      <w:r w:rsidRPr="00E600F8">
        <w:rPr>
          <w:color w:val="000000" w:themeColor="text1"/>
          <w:shd w:val="clear" w:color="auto" w:fill="FFFFFF"/>
          <w:lang w:val="en-US"/>
        </w:rPr>
        <w:t xml:space="preserve"> </w:t>
      </w:r>
    </w:p>
    <w:p w14:paraId="36780C69"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lastRenderedPageBreak/>
        <w:t xml:space="preserve">Steinberg. L. (2008). A social neuroscience perspective on adolescent risk-taking. </w:t>
      </w:r>
      <w:r w:rsidRPr="00E600F8">
        <w:rPr>
          <w:i/>
          <w:color w:val="000000" w:themeColor="text1"/>
          <w:lang w:val="en-US"/>
        </w:rPr>
        <w:t>Developmental Review, 28(1),</w:t>
      </w:r>
      <w:r w:rsidRPr="00E600F8">
        <w:rPr>
          <w:color w:val="000000" w:themeColor="text1"/>
          <w:lang w:val="en-US"/>
        </w:rPr>
        <w:t xml:space="preserve"> 78-106. doi: </w:t>
      </w:r>
      <w:hyperlink r:id="rId21" w:tgtFrame="pmc_ext" w:history="1">
        <w:r w:rsidRPr="00E600F8">
          <w:rPr>
            <w:rStyle w:val="Hyperlink"/>
            <w:color w:val="000000" w:themeColor="text1"/>
            <w:u w:val="none"/>
            <w:lang w:val="en-US"/>
          </w:rPr>
          <w:t>10.1016/j.dr.2007.08.002</w:t>
        </w:r>
      </w:hyperlink>
    </w:p>
    <w:p w14:paraId="3680D763"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 xml:space="preserve">Steinberg, L. (2010). A dual systems model of adolescent risk-taking. </w:t>
      </w:r>
      <w:r w:rsidRPr="00E600F8">
        <w:rPr>
          <w:i/>
          <w:color w:val="000000" w:themeColor="text1"/>
          <w:lang w:val="en-US"/>
        </w:rPr>
        <w:t>Developmental Psychobiology</w:t>
      </w:r>
      <w:r w:rsidRPr="00E600F8">
        <w:rPr>
          <w:color w:val="000000" w:themeColor="text1"/>
          <w:lang w:val="en-US"/>
        </w:rPr>
        <w:t xml:space="preserve">, </w:t>
      </w:r>
      <w:r w:rsidRPr="00E600F8">
        <w:rPr>
          <w:i/>
          <w:color w:val="000000" w:themeColor="text1"/>
          <w:lang w:val="en-US"/>
        </w:rPr>
        <w:t>52(3),</w:t>
      </w:r>
      <w:r w:rsidRPr="00E600F8">
        <w:rPr>
          <w:color w:val="000000" w:themeColor="text1"/>
          <w:lang w:val="en-US"/>
        </w:rPr>
        <w:t xml:space="preserve"> 216–224. doi: 10.1002/dev.20445</w:t>
      </w:r>
    </w:p>
    <w:p w14:paraId="07D3B022" w14:textId="77777777" w:rsidR="00F973F0" w:rsidRPr="00E600F8" w:rsidRDefault="00F973F0" w:rsidP="00F973F0">
      <w:pPr>
        <w:widowControl w:val="0"/>
        <w:autoSpaceDE w:val="0"/>
        <w:autoSpaceDN w:val="0"/>
        <w:adjustRightInd w:val="0"/>
        <w:spacing w:line="480" w:lineRule="auto"/>
        <w:ind w:left="288" w:hanging="288"/>
        <w:jc w:val="both"/>
        <w:rPr>
          <w:color w:val="000000" w:themeColor="text1"/>
          <w:shd w:val="clear" w:color="auto" w:fill="FFFFFF"/>
          <w:lang w:val="en-US"/>
        </w:rPr>
      </w:pPr>
      <w:r w:rsidRPr="00E600F8">
        <w:rPr>
          <w:color w:val="000000" w:themeColor="text1"/>
          <w:shd w:val="clear" w:color="auto" w:fill="FFFFFF"/>
          <w:lang w:val="en-US"/>
        </w:rPr>
        <w:t>Steinberg, L. (2013). The influence of neuroscience on US Supreme Court decisions about adolescents' criminal culpability. </w:t>
      </w:r>
      <w:r w:rsidRPr="00E600F8">
        <w:rPr>
          <w:i/>
          <w:iCs/>
          <w:color w:val="000000" w:themeColor="text1"/>
          <w:shd w:val="clear" w:color="auto" w:fill="FFFFFF"/>
          <w:lang w:val="en-US"/>
        </w:rPr>
        <w:t>Nature Reviews. Neuroscience</w:t>
      </w:r>
      <w:r w:rsidRPr="00E600F8">
        <w:rPr>
          <w:color w:val="000000" w:themeColor="text1"/>
          <w:shd w:val="clear" w:color="auto" w:fill="FFFFFF"/>
          <w:lang w:val="en-US"/>
        </w:rPr>
        <w:t>, </w:t>
      </w:r>
      <w:r w:rsidRPr="00E600F8">
        <w:rPr>
          <w:i/>
          <w:iCs/>
          <w:color w:val="000000" w:themeColor="text1"/>
          <w:shd w:val="clear" w:color="auto" w:fill="FFFFFF"/>
          <w:lang w:val="en-US"/>
        </w:rPr>
        <w:t>14</w:t>
      </w:r>
      <w:r w:rsidRPr="00E600F8">
        <w:rPr>
          <w:color w:val="000000" w:themeColor="text1"/>
          <w:shd w:val="clear" w:color="auto" w:fill="FFFFFF"/>
          <w:lang w:val="en-US"/>
        </w:rPr>
        <w:t>(7), 513-518. doi: 10.1038/nrn3509</w:t>
      </w:r>
    </w:p>
    <w:p w14:paraId="5F18C08C"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 xml:space="preserve">Steinberg, L., Albert, D., Cauffman, E., Banich, M., Graham, S., &amp; Woolard, J. (2008). Age differences in sensation seeking and impulsivity as indexed by behavior and self-report: evidence for a dual systems model. </w:t>
      </w:r>
      <w:r w:rsidRPr="00E600F8">
        <w:rPr>
          <w:i/>
          <w:color w:val="000000" w:themeColor="text1"/>
          <w:lang w:val="en-US"/>
        </w:rPr>
        <w:t>Developmental Psychology, 44(6)</w:t>
      </w:r>
      <w:r w:rsidRPr="00E600F8">
        <w:rPr>
          <w:color w:val="000000" w:themeColor="text1"/>
          <w:lang w:val="en-US"/>
        </w:rPr>
        <w:t>, 1764–1778. doi: 10.1037/a0012955</w:t>
      </w:r>
    </w:p>
    <w:p w14:paraId="539F9D8A" w14:textId="77777777" w:rsidR="00F973F0" w:rsidRPr="00E600F8" w:rsidRDefault="00F973F0" w:rsidP="00F973F0">
      <w:pPr>
        <w:spacing w:line="480" w:lineRule="auto"/>
        <w:ind w:left="284" w:hanging="284"/>
        <w:jc w:val="both"/>
        <w:rPr>
          <w:color w:val="000000" w:themeColor="text1"/>
          <w:lang w:val="en-US"/>
        </w:rPr>
      </w:pPr>
      <w:r w:rsidRPr="00E600F8">
        <w:rPr>
          <w:color w:val="000000" w:themeColor="text1"/>
          <w:shd w:val="clear" w:color="auto" w:fill="FFFFFF"/>
          <w:lang w:val="en-US"/>
        </w:rPr>
        <w:t>Tversky, A., &amp; Kahneman, D. (1992). Advances in prospect theory: Cumulative representation of uncertainty. </w:t>
      </w:r>
      <w:r w:rsidRPr="00E600F8">
        <w:rPr>
          <w:i/>
          <w:iCs/>
          <w:color w:val="000000" w:themeColor="text1"/>
          <w:shd w:val="clear" w:color="auto" w:fill="FFFFFF"/>
          <w:lang w:val="en-US"/>
        </w:rPr>
        <w:t>Journal of Risk and Uncertainty</w:t>
      </w:r>
      <w:r w:rsidRPr="00E600F8">
        <w:rPr>
          <w:color w:val="000000" w:themeColor="text1"/>
          <w:shd w:val="clear" w:color="auto" w:fill="FFFFFF"/>
          <w:lang w:val="en-US"/>
        </w:rPr>
        <w:t>, </w:t>
      </w:r>
      <w:r w:rsidRPr="00E600F8">
        <w:rPr>
          <w:i/>
          <w:iCs/>
          <w:color w:val="000000" w:themeColor="text1"/>
          <w:shd w:val="clear" w:color="auto" w:fill="FFFFFF"/>
          <w:lang w:val="en-US"/>
        </w:rPr>
        <w:t>5</w:t>
      </w:r>
      <w:r w:rsidRPr="00E600F8">
        <w:rPr>
          <w:color w:val="000000" w:themeColor="text1"/>
          <w:shd w:val="clear" w:color="auto" w:fill="FFFFFF"/>
          <w:lang w:val="en-US"/>
        </w:rPr>
        <w:t>(4), 297-323.</w:t>
      </w:r>
    </w:p>
    <w:p w14:paraId="2D6B9971"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Tymula, A., Belmaker, L. A. R., Roy, A. K., Ruderman, L., Manson, K., Glimcher, P. W., &amp; Levy, I. (2012). Adolescents’ risk-taking behavior is driven by tolerance to ambiguity. </w:t>
      </w:r>
      <w:r w:rsidRPr="00E600F8">
        <w:rPr>
          <w:i/>
          <w:iCs/>
          <w:color w:val="000000" w:themeColor="text1"/>
          <w:shd w:val="clear" w:color="auto" w:fill="FFFFFF"/>
          <w:lang w:val="en-US"/>
        </w:rPr>
        <w:t>Proceedings of the National Academy of Sciences</w:t>
      </w:r>
      <w:r w:rsidRPr="00E600F8">
        <w:rPr>
          <w:color w:val="000000" w:themeColor="text1"/>
          <w:shd w:val="clear" w:color="auto" w:fill="FFFFFF"/>
          <w:lang w:val="en-US"/>
        </w:rPr>
        <w:t>, </w:t>
      </w:r>
      <w:r w:rsidRPr="00E600F8">
        <w:rPr>
          <w:i/>
          <w:iCs/>
          <w:color w:val="000000" w:themeColor="text1"/>
          <w:shd w:val="clear" w:color="auto" w:fill="FFFFFF"/>
          <w:lang w:val="en-US"/>
        </w:rPr>
        <w:t>109</w:t>
      </w:r>
      <w:r w:rsidRPr="00E600F8">
        <w:rPr>
          <w:color w:val="000000" w:themeColor="text1"/>
          <w:shd w:val="clear" w:color="auto" w:fill="FFFFFF"/>
          <w:lang w:val="en-US"/>
        </w:rPr>
        <w:t>(42), 17135-17140. doi: 10.1073/pnas.1207144109</w:t>
      </w:r>
    </w:p>
    <w:p w14:paraId="13EA4385" w14:textId="77777777" w:rsidR="00F973F0" w:rsidRPr="00E600F8" w:rsidRDefault="00F973F0" w:rsidP="00F973F0">
      <w:pPr>
        <w:widowControl w:val="0"/>
        <w:autoSpaceDE w:val="0"/>
        <w:autoSpaceDN w:val="0"/>
        <w:adjustRightInd w:val="0"/>
        <w:spacing w:line="480" w:lineRule="auto"/>
        <w:ind w:left="284" w:hanging="284"/>
        <w:jc w:val="both"/>
        <w:rPr>
          <w:color w:val="000000" w:themeColor="text1"/>
          <w:lang w:val="en-US"/>
        </w:rPr>
      </w:pPr>
      <w:r w:rsidRPr="00E600F8">
        <w:rPr>
          <w:color w:val="000000" w:themeColor="text1"/>
          <w:lang w:val="en-US"/>
        </w:rPr>
        <w:t xml:space="preserve">Van den Bos., W., &amp; Hertwig, R. (2017). Adolescents display distinctive tolerance to ambiguity and to uncertainty during risky decision making. </w:t>
      </w:r>
      <w:r w:rsidRPr="00E600F8">
        <w:rPr>
          <w:i/>
          <w:color w:val="000000" w:themeColor="text1"/>
          <w:lang w:val="en-US"/>
        </w:rPr>
        <w:t xml:space="preserve">Scientific Reports, 7, </w:t>
      </w:r>
      <w:r w:rsidRPr="00E600F8">
        <w:rPr>
          <w:color w:val="000000" w:themeColor="text1"/>
          <w:lang w:val="en-US"/>
        </w:rPr>
        <w:t>1-11. doi: 10.1038/srep40962</w:t>
      </w:r>
    </w:p>
    <w:p w14:paraId="1D2CF306" w14:textId="77777777"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van Duijvenvoorde, A. C., Peters, S., Braams, B. R., &amp; Crone, E. A. (2016). What motivates adolescents? Neural responses to rewards and their influence on adolescents’ risk taking, learning, and cognitive control. </w:t>
      </w:r>
      <w:r w:rsidRPr="00E600F8">
        <w:rPr>
          <w:i/>
          <w:iCs/>
          <w:color w:val="000000" w:themeColor="text1"/>
          <w:shd w:val="clear" w:color="auto" w:fill="FFFFFF"/>
          <w:lang w:val="en-US"/>
        </w:rPr>
        <w:t>Neuroscience &amp; Biobehavioral Reviews</w:t>
      </w:r>
      <w:r w:rsidRPr="00E600F8">
        <w:rPr>
          <w:color w:val="000000" w:themeColor="text1"/>
          <w:shd w:val="clear" w:color="auto" w:fill="FFFFFF"/>
          <w:lang w:val="en-US"/>
        </w:rPr>
        <w:t>, </w:t>
      </w:r>
      <w:r w:rsidRPr="00E600F8">
        <w:rPr>
          <w:i/>
          <w:iCs/>
          <w:color w:val="000000" w:themeColor="text1"/>
          <w:shd w:val="clear" w:color="auto" w:fill="FFFFFF"/>
          <w:lang w:val="en-US"/>
        </w:rPr>
        <w:t>70</w:t>
      </w:r>
      <w:r w:rsidRPr="00E600F8">
        <w:rPr>
          <w:color w:val="000000" w:themeColor="text1"/>
          <w:shd w:val="clear" w:color="auto" w:fill="FFFFFF"/>
          <w:lang w:val="en-US"/>
        </w:rPr>
        <w:t>, 135-147. doi: 10.1016/j.neubiorev.2016.06.037 </w:t>
      </w:r>
    </w:p>
    <w:p w14:paraId="6073FF60" w14:textId="342D10B4" w:rsidR="00F973F0" w:rsidRPr="00E600F8" w:rsidRDefault="00F973F0"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lastRenderedPageBreak/>
        <w:t xml:space="preserve">Van Leijenhorst, L., Zanolie, K., </w:t>
      </w:r>
      <w:r w:rsidR="00CD3663" w:rsidRPr="00E600F8">
        <w:rPr>
          <w:color w:val="000000" w:themeColor="text1"/>
          <w:shd w:val="clear" w:color="auto" w:fill="FFFFFF"/>
          <w:lang w:val="en-US"/>
        </w:rPr>
        <w:t xml:space="preserve">Van </w:t>
      </w:r>
      <w:r w:rsidRPr="00E600F8">
        <w:rPr>
          <w:color w:val="000000" w:themeColor="text1"/>
          <w:shd w:val="clear" w:color="auto" w:fill="FFFFFF"/>
          <w:lang w:val="en-US"/>
        </w:rPr>
        <w:t>Meel, C. S., Westenberg, P. M., Rombouts, S. A., &amp; Crone, E. A. (2010). What motivates the adolescent? Brain regions mediating reward sensitivity across adolescence. </w:t>
      </w:r>
      <w:r w:rsidRPr="00E600F8">
        <w:rPr>
          <w:i/>
          <w:iCs/>
          <w:color w:val="000000" w:themeColor="text1"/>
          <w:shd w:val="clear" w:color="auto" w:fill="FFFFFF"/>
          <w:lang w:val="en-US"/>
        </w:rPr>
        <w:t>Cerebral Cortex</w:t>
      </w:r>
      <w:r w:rsidRPr="00E600F8">
        <w:rPr>
          <w:color w:val="000000" w:themeColor="text1"/>
          <w:shd w:val="clear" w:color="auto" w:fill="FFFFFF"/>
          <w:lang w:val="en-US"/>
        </w:rPr>
        <w:t>, </w:t>
      </w:r>
      <w:r w:rsidRPr="00E600F8">
        <w:rPr>
          <w:i/>
          <w:iCs/>
          <w:color w:val="000000" w:themeColor="text1"/>
          <w:shd w:val="clear" w:color="auto" w:fill="FFFFFF"/>
          <w:lang w:val="en-US"/>
        </w:rPr>
        <w:t>20</w:t>
      </w:r>
      <w:r w:rsidRPr="00E600F8">
        <w:rPr>
          <w:color w:val="000000" w:themeColor="text1"/>
          <w:shd w:val="clear" w:color="auto" w:fill="FFFFFF"/>
          <w:lang w:val="en-US"/>
        </w:rPr>
        <w:t>(1), 61-69. doi: 10.1093/cercor/bhp078</w:t>
      </w:r>
    </w:p>
    <w:p w14:paraId="589FBE89" w14:textId="5BB63299" w:rsidR="004E49D4" w:rsidRPr="00E600F8" w:rsidRDefault="004E49D4" w:rsidP="00F973F0">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Vanderhoven, E., Schellens, T., &amp; Valcke, M. (2013). Exploring the usefulness of school education about risks on social network sites: A survey study. </w:t>
      </w:r>
      <w:r w:rsidRPr="00E600F8">
        <w:rPr>
          <w:i/>
          <w:iCs/>
          <w:color w:val="000000" w:themeColor="text1"/>
          <w:shd w:val="clear" w:color="auto" w:fill="FFFFFF"/>
          <w:lang w:val="en-US"/>
        </w:rPr>
        <w:t>Journal of Media Literacy Education</w:t>
      </w:r>
      <w:r w:rsidRPr="00E600F8">
        <w:rPr>
          <w:color w:val="000000" w:themeColor="text1"/>
          <w:shd w:val="clear" w:color="auto" w:fill="FFFFFF"/>
          <w:lang w:val="en-US"/>
        </w:rPr>
        <w:t>, </w:t>
      </w:r>
      <w:r w:rsidRPr="00E600F8">
        <w:rPr>
          <w:i/>
          <w:iCs/>
          <w:color w:val="000000" w:themeColor="text1"/>
          <w:shd w:val="clear" w:color="auto" w:fill="FFFFFF"/>
          <w:lang w:val="en-US"/>
        </w:rPr>
        <w:t>5</w:t>
      </w:r>
      <w:r w:rsidRPr="00E600F8">
        <w:rPr>
          <w:color w:val="000000" w:themeColor="text1"/>
          <w:shd w:val="clear" w:color="auto" w:fill="FFFFFF"/>
          <w:lang w:val="en-US"/>
        </w:rPr>
        <w:t>(1), 285-294.</w:t>
      </w:r>
    </w:p>
    <w:p w14:paraId="51073C36" w14:textId="153B3554" w:rsidR="006109A3" w:rsidRPr="00E600F8" w:rsidRDefault="006109A3" w:rsidP="006109A3">
      <w:pPr>
        <w:spacing w:line="480" w:lineRule="auto"/>
        <w:ind w:left="284" w:hanging="284"/>
        <w:jc w:val="both"/>
        <w:rPr>
          <w:color w:val="000000" w:themeColor="text1"/>
          <w:shd w:val="clear" w:color="auto" w:fill="FFFFFF"/>
          <w:lang w:val="en-US"/>
        </w:rPr>
      </w:pPr>
      <w:r w:rsidRPr="00E600F8">
        <w:rPr>
          <w:color w:val="000000" w:themeColor="text1"/>
          <w:shd w:val="clear" w:color="auto" w:fill="FFFFFF"/>
          <w:lang w:val="en-US"/>
        </w:rPr>
        <w:t>Zimring, F. E. (1981). Kids, groups and crime: Some implications of a well-known secret. </w:t>
      </w:r>
      <w:r w:rsidRPr="00E600F8">
        <w:rPr>
          <w:i/>
          <w:iCs/>
          <w:color w:val="000000" w:themeColor="text1"/>
          <w:shd w:val="clear" w:color="auto" w:fill="FFFFFF"/>
          <w:lang w:val="en-US"/>
        </w:rPr>
        <w:t>J. Criminal Law &amp; Criminology</w:t>
      </w:r>
      <w:r w:rsidRPr="00E600F8">
        <w:rPr>
          <w:color w:val="000000" w:themeColor="text1"/>
          <w:shd w:val="clear" w:color="auto" w:fill="FFFFFF"/>
          <w:lang w:val="en-US"/>
        </w:rPr>
        <w:t>, </w:t>
      </w:r>
      <w:r w:rsidRPr="00E600F8">
        <w:rPr>
          <w:i/>
          <w:iCs/>
          <w:color w:val="000000" w:themeColor="text1"/>
          <w:shd w:val="clear" w:color="auto" w:fill="FFFFFF"/>
          <w:lang w:val="en-US"/>
        </w:rPr>
        <w:t>72</w:t>
      </w:r>
      <w:r w:rsidR="000775EF" w:rsidRPr="00E600F8">
        <w:rPr>
          <w:color w:val="000000" w:themeColor="text1"/>
          <w:shd w:val="clear" w:color="auto" w:fill="FFFFFF"/>
          <w:lang w:val="en-US"/>
        </w:rPr>
        <w:t>, 867-885.</w:t>
      </w:r>
    </w:p>
    <w:p w14:paraId="5D18E9AE" w14:textId="6061ACA1" w:rsidR="00DD5C21" w:rsidRDefault="00F973F0" w:rsidP="00F973F0">
      <w:pPr>
        <w:spacing w:line="480" w:lineRule="auto"/>
        <w:ind w:left="284" w:hanging="284"/>
        <w:jc w:val="both"/>
        <w:rPr>
          <w:bCs/>
          <w:lang w:val="en-US"/>
        </w:rPr>
      </w:pPr>
      <w:r w:rsidRPr="00E600F8">
        <w:rPr>
          <w:bCs/>
          <w:color w:val="000000" w:themeColor="text1"/>
          <w:lang w:val="en-US"/>
        </w:rPr>
        <w:t>Zuckerman, M., Eysenck, S. B., &amp; Eysenck, H. J. (1978). Sensation seeking in England and America: Cross-cultural, age, and sex comparisons. </w:t>
      </w:r>
      <w:r w:rsidRPr="00E600F8">
        <w:rPr>
          <w:bCs/>
          <w:i/>
          <w:iCs/>
          <w:color w:val="000000" w:themeColor="text1"/>
          <w:lang w:val="en-US"/>
        </w:rPr>
        <w:t>Journal of Consulting and Clinical Psychology, 46</w:t>
      </w:r>
      <w:r w:rsidRPr="00E600F8">
        <w:rPr>
          <w:bCs/>
          <w:color w:val="000000" w:themeColor="text1"/>
          <w:lang w:val="en-US"/>
        </w:rPr>
        <w:t xml:space="preserve">(1), 139-149. doi: </w:t>
      </w:r>
      <w:r w:rsidRPr="00E600F8">
        <w:rPr>
          <w:bCs/>
          <w:lang w:val="en-US"/>
        </w:rPr>
        <w:t>10.1037/0022-006X.46.1.13</w:t>
      </w:r>
    </w:p>
    <w:p w14:paraId="6DA443BD" w14:textId="1CEABDAC" w:rsidR="00DD5C21" w:rsidRPr="00333BAA" w:rsidRDefault="00DD5C21" w:rsidP="00EC098E">
      <w:pPr>
        <w:rPr>
          <w:i/>
          <w:sz w:val="22"/>
          <w:szCs w:val="22"/>
        </w:rPr>
      </w:pPr>
      <w:r>
        <w:rPr>
          <w:bCs/>
          <w:color w:val="000000" w:themeColor="text1"/>
          <w:lang w:val="en-US"/>
        </w:rPr>
        <w:br w:type="page"/>
      </w:r>
    </w:p>
    <w:p w14:paraId="3B222711" w14:textId="77777777" w:rsidR="00DD5C21" w:rsidRPr="00333BAA" w:rsidRDefault="00DD5C21" w:rsidP="00DD5C21">
      <w:pPr>
        <w:spacing w:line="480" w:lineRule="auto"/>
        <w:sectPr w:rsidR="00DD5C21" w:rsidRPr="00333BAA" w:rsidSect="00200B2D">
          <w:headerReference w:type="default" r:id="rId22"/>
          <w:pgSz w:w="11900" w:h="16840"/>
          <w:pgMar w:top="1440" w:right="1440" w:bottom="1440" w:left="1440" w:header="720" w:footer="720" w:gutter="0"/>
          <w:cols w:space="720"/>
          <w:docGrid w:linePitch="360"/>
        </w:sectPr>
      </w:pPr>
    </w:p>
    <w:tbl>
      <w:tblPr>
        <w:tblStyle w:val="TableGrid"/>
        <w:tblpPr w:leftFromText="180" w:rightFromText="180" w:vertAnchor="text" w:horzAnchor="margin" w:tblpXSpec="center" w:tblpY="-39"/>
        <w:tblW w:w="9913" w:type="dxa"/>
        <w:tblLook w:val="04A0" w:firstRow="1" w:lastRow="0" w:firstColumn="1" w:lastColumn="0" w:noHBand="0" w:noVBand="1"/>
      </w:tblPr>
      <w:tblGrid>
        <w:gridCol w:w="1443"/>
        <w:gridCol w:w="1343"/>
        <w:gridCol w:w="1324"/>
        <w:gridCol w:w="1368"/>
        <w:gridCol w:w="1621"/>
        <w:gridCol w:w="1406"/>
        <w:gridCol w:w="1408"/>
      </w:tblGrid>
      <w:tr w:rsidR="00E1679C" w:rsidRPr="008E6031" w14:paraId="5A1A32D1" w14:textId="77777777" w:rsidTr="00E1679C">
        <w:trPr>
          <w:trHeight w:val="427"/>
        </w:trPr>
        <w:tc>
          <w:tcPr>
            <w:tcW w:w="9913" w:type="dxa"/>
            <w:gridSpan w:val="7"/>
            <w:tcBorders>
              <w:left w:val="nil"/>
              <w:right w:val="nil"/>
            </w:tcBorders>
          </w:tcPr>
          <w:p w14:paraId="05A30597" w14:textId="2761F2AC" w:rsidR="00E1679C" w:rsidRPr="00E600F8" w:rsidRDefault="00E1679C" w:rsidP="00E1679C">
            <w:pPr>
              <w:spacing w:line="360" w:lineRule="auto"/>
              <w:rPr>
                <w:lang w:val="en-US"/>
              </w:rPr>
            </w:pPr>
            <w:r w:rsidRPr="00E600F8">
              <w:rPr>
                <w:b/>
                <w:lang w:val="en-US"/>
              </w:rPr>
              <w:lastRenderedPageBreak/>
              <w:t>Table 1.</w:t>
            </w:r>
            <w:r w:rsidRPr="00E600F8">
              <w:rPr>
                <w:lang w:val="en-US"/>
              </w:rPr>
              <w:t xml:space="preserve"> Descriptive Statistics</w:t>
            </w:r>
            <w:r w:rsidR="00F36579">
              <w:rPr>
                <w:lang w:val="en-US"/>
              </w:rPr>
              <w:t xml:space="preserve"> and Correlations </w:t>
            </w:r>
            <w:r w:rsidR="00AA5FDE">
              <w:rPr>
                <w:lang w:val="en-US"/>
              </w:rPr>
              <w:t>Between Variables</w:t>
            </w:r>
            <w:r w:rsidRPr="00E600F8">
              <w:rPr>
                <w:lang w:val="en-US"/>
              </w:rPr>
              <w:t>.</w:t>
            </w:r>
          </w:p>
        </w:tc>
      </w:tr>
      <w:tr w:rsidR="00E1679C" w:rsidRPr="008E6031" w14:paraId="2AE96A83" w14:textId="77777777" w:rsidTr="00E600F8">
        <w:trPr>
          <w:trHeight w:val="442"/>
        </w:trPr>
        <w:tc>
          <w:tcPr>
            <w:tcW w:w="1443" w:type="dxa"/>
            <w:tcBorders>
              <w:left w:val="nil"/>
              <w:right w:val="nil"/>
            </w:tcBorders>
          </w:tcPr>
          <w:p w14:paraId="3A1C6846" w14:textId="77777777" w:rsidR="00E1679C" w:rsidRPr="00E600F8" w:rsidRDefault="00E1679C" w:rsidP="00E1679C">
            <w:pPr>
              <w:spacing w:line="360" w:lineRule="auto"/>
              <w:jc w:val="center"/>
              <w:rPr>
                <w:lang w:val="en-US"/>
              </w:rPr>
            </w:pPr>
          </w:p>
        </w:tc>
        <w:tc>
          <w:tcPr>
            <w:tcW w:w="4035" w:type="dxa"/>
            <w:gridSpan w:val="3"/>
            <w:tcBorders>
              <w:left w:val="nil"/>
              <w:right w:val="nil"/>
            </w:tcBorders>
          </w:tcPr>
          <w:p w14:paraId="6ED911EE" w14:textId="77777777" w:rsidR="00E1679C" w:rsidRPr="00E600F8" w:rsidRDefault="00E1679C" w:rsidP="00E1679C">
            <w:pPr>
              <w:spacing w:line="360" w:lineRule="auto"/>
              <w:jc w:val="center"/>
              <w:rPr>
                <w:lang w:val="en-US"/>
              </w:rPr>
            </w:pPr>
            <w:r w:rsidRPr="00E600F8">
              <w:rPr>
                <w:lang w:val="en-US"/>
              </w:rPr>
              <w:t>Dispositions</w:t>
            </w:r>
          </w:p>
        </w:tc>
        <w:tc>
          <w:tcPr>
            <w:tcW w:w="4435" w:type="dxa"/>
            <w:gridSpan w:val="3"/>
            <w:tcBorders>
              <w:left w:val="nil"/>
              <w:right w:val="nil"/>
            </w:tcBorders>
          </w:tcPr>
          <w:p w14:paraId="1891C2C3" w14:textId="77777777" w:rsidR="00E1679C" w:rsidRPr="00E600F8" w:rsidRDefault="00E1679C" w:rsidP="00E1679C">
            <w:pPr>
              <w:spacing w:line="360" w:lineRule="auto"/>
              <w:jc w:val="center"/>
              <w:rPr>
                <w:lang w:val="en-US"/>
              </w:rPr>
            </w:pPr>
            <w:r w:rsidRPr="00E600F8">
              <w:rPr>
                <w:lang w:val="en-US"/>
              </w:rPr>
              <w:t>Behavioral Outcomes</w:t>
            </w:r>
          </w:p>
        </w:tc>
      </w:tr>
      <w:tr w:rsidR="00A87EBC" w:rsidRPr="008E6031" w14:paraId="0EA699EB" w14:textId="77777777" w:rsidTr="00E600F8">
        <w:trPr>
          <w:trHeight w:val="854"/>
        </w:trPr>
        <w:tc>
          <w:tcPr>
            <w:tcW w:w="1443" w:type="dxa"/>
            <w:tcBorders>
              <w:left w:val="nil"/>
              <w:bottom w:val="single" w:sz="4" w:space="0" w:color="auto"/>
              <w:right w:val="nil"/>
            </w:tcBorders>
          </w:tcPr>
          <w:p w14:paraId="57A7FBDB" w14:textId="77777777" w:rsidR="00E1679C" w:rsidRPr="00E600F8" w:rsidRDefault="00E1679C" w:rsidP="00E1679C">
            <w:pPr>
              <w:spacing w:line="360" w:lineRule="auto"/>
              <w:rPr>
                <w:lang w:val="en-US"/>
              </w:rPr>
            </w:pPr>
          </w:p>
        </w:tc>
        <w:tc>
          <w:tcPr>
            <w:tcW w:w="1343" w:type="dxa"/>
            <w:tcBorders>
              <w:left w:val="nil"/>
              <w:bottom w:val="single" w:sz="4" w:space="0" w:color="auto"/>
              <w:right w:val="nil"/>
            </w:tcBorders>
          </w:tcPr>
          <w:p w14:paraId="6275D959" w14:textId="77777777" w:rsidR="00E1679C" w:rsidRPr="00E600F8" w:rsidRDefault="00E1679C" w:rsidP="00E1679C">
            <w:pPr>
              <w:spacing w:line="360" w:lineRule="auto"/>
              <w:jc w:val="center"/>
              <w:rPr>
                <w:lang w:val="en-US"/>
              </w:rPr>
            </w:pPr>
            <w:r w:rsidRPr="00E600F8">
              <w:rPr>
                <w:lang w:val="en-US"/>
              </w:rPr>
              <w:t>Risk Perception</w:t>
            </w:r>
          </w:p>
        </w:tc>
        <w:tc>
          <w:tcPr>
            <w:tcW w:w="1324" w:type="dxa"/>
            <w:tcBorders>
              <w:left w:val="nil"/>
              <w:bottom w:val="single" w:sz="4" w:space="0" w:color="auto"/>
              <w:right w:val="nil"/>
            </w:tcBorders>
          </w:tcPr>
          <w:p w14:paraId="5E200E89" w14:textId="77777777" w:rsidR="00E1679C" w:rsidRPr="00E600F8" w:rsidRDefault="00E1679C" w:rsidP="00E1679C">
            <w:pPr>
              <w:spacing w:line="360" w:lineRule="auto"/>
              <w:jc w:val="center"/>
              <w:rPr>
                <w:lang w:val="en-US"/>
              </w:rPr>
            </w:pPr>
            <w:r w:rsidRPr="00E600F8">
              <w:rPr>
                <w:lang w:val="en-US"/>
              </w:rPr>
              <w:t>Reward Sensitivity</w:t>
            </w:r>
          </w:p>
        </w:tc>
        <w:tc>
          <w:tcPr>
            <w:tcW w:w="1368" w:type="dxa"/>
            <w:tcBorders>
              <w:left w:val="nil"/>
              <w:bottom w:val="single" w:sz="4" w:space="0" w:color="auto"/>
              <w:right w:val="nil"/>
            </w:tcBorders>
          </w:tcPr>
          <w:p w14:paraId="0EDA8A7E" w14:textId="77777777" w:rsidR="00E1679C" w:rsidRPr="00E600F8" w:rsidRDefault="00E1679C" w:rsidP="00E1679C">
            <w:pPr>
              <w:spacing w:line="360" w:lineRule="auto"/>
              <w:jc w:val="center"/>
              <w:rPr>
                <w:lang w:val="en-US"/>
              </w:rPr>
            </w:pPr>
            <w:r w:rsidRPr="00E600F8">
              <w:rPr>
                <w:lang w:val="en-US"/>
              </w:rPr>
              <w:t>Inhibitory Control</w:t>
            </w:r>
          </w:p>
        </w:tc>
        <w:tc>
          <w:tcPr>
            <w:tcW w:w="1621" w:type="dxa"/>
            <w:tcBorders>
              <w:left w:val="nil"/>
              <w:bottom w:val="single" w:sz="4" w:space="0" w:color="auto"/>
              <w:right w:val="nil"/>
            </w:tcBorders>
          </w:tcPr>
          <w:p w14:paraId="70FFCCC0" w14:textId="77777777" w:rsidR="00E1679C" w:rsidRPr="00E600F8" w:rsidRDefault="00E1679C" w:rsidP="00E1679C">
            <w:pPr>
              <w:spacing w:line="360" w:lineRule="auto"/>
              <w:jc w:val="center"/>
              <w:rPr>
                <w:lang w:val="en-US"/>
              </w:rPr>
            </w:pPr>
            <w:r w:rsidRPr="00E600F8">
              <w:rPr>
                <w:lang w:val="en-US"/>
              </w:rPr>
              <w:t>Gambling – Risk</w:t>
            </w:r>
          </w:p>
        </w:tc>
        <w:tc>
          <w:tcPr>
            <w:tcW w:w="1406" w:type="dxa"/>
            <w:tcBorders>
              <w:left w:val="nil"/>
              <w:bottom w:val="single" w:sz="4" w:space="0" w:color="auto"/>
              <w:right w:val="nil"/>
            </w:tcBorders>
          </w:tcPr>
          <w:p w14:paraId="205EDECF" w14:textId="77777777" w:rsidR="00E1679C" w:rsidRPr="00E600F8" w:rsidRDefault="00E1679C" w:rsidP="00E1679C">
            <w:pPr>
              <w:spacing w:line="360" w:lineRule="auto"/>
              <w:jc w:val="center"/>
              <w:rPr>
                <w:lang w:val="en-US"/>
              </w:rPr>
            </w:pPr>
            <w:r w:rsidRPr="00E600F8">
              <w:rPr>
                <w:lang w:val="en-US"/>
              </w:rPr>
              <w:t>Gambling – Ambiguity</w:t>
            </w:r>
          </w:p>
        </w:tc>
        <w:tc>
          <w:tcPr>
            <w:tcW w:w="1408" w:type="dxa"/>
            <w:tcBorders>
              <w:left w:val="nil"/>
              <w:bottom w:val="single" w:sz="4" w:space="0" w:color="auto"/>
              <w:right w:val="nil"/>
            </w:tcBorders>
          </w:tcPr>
          <w:p w14:paraId="729664D1" w14:textId="77777777" w:rsidR="00E1679C" w:rsidRPr="00E600F8" w:rsidRDefault="00E1679C" w:rsidP="00E1679C">
            <w:pPr>
              <w:spacing w:line="360" w:lineRule="auto"/>
              <w:jc w:val="center"/>
              <w:rPr>
                <w:lang w:val="en-US"/>
              </w:rPr>
            </w:pPr>
            <w:r w:rsidRPr="00E600F8">
              <w:rPr>
                <w:lang w:val="en-US"/>
              </w:rPr>
              <w:t>Cheating</w:t>
            </w:r>
          </w:p>
        </w:tc>
      </w:tr>
      <w:tr w:rsidR="00AA5FDE" w:rsidRPr="008E6031" w14:paraId="2C2B78B7" w14:textId="77777777" w:rsidTr="00E600F8">
        <w:trPr>
          <w:trHeight w:val="442"/>
        </w:trPr>
        <w:tc>
          <w:tcPr>
            <w:tcW w:w="1443" w:type="dxa"/>
            <w:tcBorders>
              <w:left w:val="nil"/>
              <w:bottom w:val="nil"/>
              <w:right w:val="nil"/>
            </w:tcBorders>
          </w:tcPr>
          <w:p w14:paraId="689D9CE0" w14:textId="39759D90" w:rsidR="00AA5FDE" w:rsidRPr="00E600F8" w:rsidRDefault="00AA5FDE" w:rsidP="00E1679C">
            <w:pPr>
              <w:spacing w:line="360" w:lineRule="auto"/>
              <w:rPr>
                <w:i/>
                <w:lang w:val="en-US"/>
              </w:rPr>
            </w:pPr>
            <w:r w:rsidRPr="00E600F8">
              <w:rPr>
                <w:i/>
                <w:lang w:val="en-US"/>
              </w:rPr>
              <w:t>Correlations</w:t>
            </w:r>
          </w:p>
        </w:tc>
        <w:tc>
          <w:tcPr>
            <w:tcW w:w="1343" w:type="dxa"/>
            <w:tcBorders>
              <w:left w:val="nil"/>
              <w:bottom w:val="nil"/>
              <w:right w:val="nil"/>
            </w:tcBorders>
          </w:tcPr>
          <w:p w14:paraId="01983C9B" w14:textId="77777777" w:rsidR="00AA5FDE" w:rsidRPr="00AA5FDE" w:rsidRDefault="00AA5FDE" w:rsidP="00E1679C">
            <w:pPr>
              <w:spacing w:line="360" w:lineRule="auto"/>
              <w:jc w:val="center"/>
              <w:rPr>
                <w:lang w:val="en-US"/>
              </w:rPr>
            </w:pPr>
          </w:p>
        </w:tc>
        <w:tc>
          <w:tcPr>
            <w:tcW w:w="1324" w:type="dxa"/>
            <w:tcBorders>
              <w:left w:val="nil"/>
              <w:bottom w:val="nil"/>
              <w:right w:val="nil"/>
            </w:tcBorders>
          </w:tcPr>
          <w:p w14:paraId="4859CA1E" w14:textId="77777777" w:rsidR="00AA5FDE" w:rsidRPr="00AA5FDE" w:rsidRDefault="00AA5FDE" w:rsidP="00E1679C">
            <w:pPr>
              <w:spacing w:line="360" w:lineRule="auto"/>
              <w:jc w:val="center"/>
              <w:rPr>
                <w:lang w:val="en-US"/>
              </w:rPr>
            </w:pPr>
          </w:p>
        </w:tc>
        <w:tc>
          <w:tcPr>
            <w:tcW w:w="1368" w:type="dxa"/>
            <w:tcBorders>
              <w:left w:val="nil"/>
              <w:bottom w:val="nil"/>
              <w:right w:val="nil"/>
            </w:tcBorders>
          </w:tcPr>
          <w:p w14:paraId="37ABC980" w14:textId="77777777" w:rsidR="00AA5FDE" w:rsidRPr="00AA5FDE" w:rsidRDefault="00AA5FDE" w:rsidP="00E1679C">
            <w:pPr>
              <w:spacing w:line="360" w:lineRule="auto"/>
              <w:jc w:val="center"/>
              <w:rPr>
                <w:lang w:val="en-US"/>
              </w:rPr>
            </w:pPr>
          </w:p>
        </w:tc>
        <w:tc>
          <w:tcPr>
            <w:tcW w:w="1621" w:type="dxa"/>
            <w:tcBorders>
              <w:left w:val="nil"/>
              <w:bottom w:val="nil"/>
              <w:right w:val="nil"/>
            </w:tcBorders>
          </w:tcPr>
          <w:p w14:paraId="545E0851" w14:textId="77777777" w:rsidR="00AA5FDE" w:rsidRPr="00AA5FDE" w:rsidRDefault="00AA5FDE" w:rsidP="00E1679C">
            <w:pPr>
              <w:spacing w:line="360" w:lineRule="auto"/>
              <w:jc w:val="center"/>
              <w:rPr>
                <w:lang w:val="en-US"/>
              </w:rPr>
            </w:pPr>
          </w:p>
        </w:tc>
        <w:tc>
          <w:tcPr>
            <w:tcW w:w="1406" w:type="dxa"/>
            <w:tcBorders>
              <w:left w:val="nil"/>
              <w:bottom w:val="nil"/>
              <w:right w:val="nil"/>
            </w:tcBorders>
          </w:tcPr>
          <w:p w14:paraId="3671FCF1" w14:textId="77777777" w:rsidR="00AA5FDE" w:rsidRPr="00AA5FDE" w:rsidRDefault="00AA5FDE" w:rsidP="00E1679C">
            <w:pPr>
              <w:spacing w:line="360" w:lineRule="auto"/>
              <w:jc w:val="center"/>
              <w:rPr>
                <w:lang w:val="en-US"/>
              </w:rPr>
            </w:pPr>
          </w:p>
        </w:tc>
        <w:tc>
          <w:tcPr>
            <w:tcW w:w="1408" w:type="dxa"/>
            <w:tcBorders>
              <w:left w:val="nil"/>
              <w:bottom w:val="nil"/>
              <w:right w:val="nil"/>
            </w:tcBorders>
          </w:tcPr>
          <w:p w14:paraId="4E018A82" w14:textId="77777777" w:rsidR="00AA5FDE" w:rsidRPr="00AA5FDE" w:rsidRDefault="00AA5FDE" w:rsidP="00E1679C">
            <w:pPr>
              <w:spacing w:line="360" w:lineRule="auto"/>
              <w:jc w:val="center"/>
              <w:rPr>
                <w:lang w:val="en-US"/>
              </w:rPr>
            </w:pPr>
          </w:p>
        </w:tc>
      </w:tr>
      <w:tr w:rsidR="00AA5FDE" w:rsidRPr="008E6031" w14:paraId="48AA828E" w14:textId="77777777" w:rsidTr="00E600F8">
        <w:trPr>
          <w:trHeight w:val="442"/>
        </w:trPr>
        <w:tc>
          <w:tcPr>
            <w:tcW w:w="1443" w:type="dxa"/>
            <w:tcBorders>
              <w:top w:val="nil"/>
              <w:left w:val="nil"/>
              <w:bottom w:val="nil"/>
              <w:right w:val="nil"/>
            </w:tcBorders>
          </w:tcPr>
          <w:p w14:paraId="6961F61F" w14:textId="5B2AA54B" w:rsidR="00AA5FDE" w:rsidRPr="00AA5FDE" w:rsidRDefault="00AA5FDE" w:rsidP="00E1679C">
            <w:pPr>
              <w:spacing w:line="360" w:lineRule="auto"/>
              <w:rPr>
                <w:lang w:val="en-US"/>
              </w:rPr>
            </w:pPr>
            <w:r>
              <w:rPr>
                <w:lang w:val="en-US"/>
              </w:rPr>
              <w:t>Risk Perception</w:t>
            </w:r>
          </w:p>
        </w:tc>
        <w:tc>
          <w:tcPr>
            <w:tcW w:w="1343" w:type="dxa"/>
            <w:tcBorders>
              <w:top w:val="nil"/>
              <w:left w:val="nil"/>
              <w:bottom w:val="nil"/>
              <w:right w:val="nil"/>
            </w:tcBorders>
          </w:tcPr>
          <w:p w14:paraId="6E2BF227" w14:textId="77777777" w:rsidR="00AA5FDE" w:rsidRPr="00AA5FDE" w:rsidRDefault="00AA5FDE" w:rsidP="00E1679C">
            <w:pPr>
              <w:spacing w:line="360" w:lineRule="auto"/>
              <w:jc w:val="center"/>
              <w:rPr>
                <w:lang w:val="en-US"/>
              </w:rPr>
            </w:pPr>
          </w:p>
        </w:tc>
        <w:tc>
          <w:tcPr>
            <w:tcW w:w="1324" w:type="dxa"/>
            <w:tcBorders>
              <w:top w:val="nil"/>
              <w:left w:val="nil"/>
              <w:bottom w:val="nil"/>
              <w:right w:val="nil"/>
            </w:tcBorders>
          </w:tcPr>
          <w:p w14:paraId="26F5BBC7" w14:textId="7F10ED2D" w:rsidR="00AA5FDE" w:rsidRPr="00AA5FDE" w:rsidRDefault="0001599F" w:rsidP="00E1679C">
            <w:pPr>
              <w:spacing w:line="360" w:lineRule="auto"/>
              <w:jc w:val="center"/>
              <w:rPr>
                <w:lang w:val="en-US"/>
              </w:rPr>
            </w:pPr>
            <w:r>
              <w:rPr>
                <w:lang w:val="en-US"/>
              </w:rPr>
              <w:t>.10</w:t>
            </w:r>
          </w:p>
        </w:tc>
        <w:tc>
          <w:tcPr>
            <w:tcW w:w="1368" w:type="dxa"/>
            <w:tcBorders>
              <w:top w:val="nil"/>
              <w:left w:val="nil"/>
              <w:bottom w:val="nil"/>
              <w:right w:val="nil"/>
            </w:tcBorders>
          </w:tcPr>
          <w:p w14:paraId="3C3193A4" w14:textId="3FF4E940" w:rsidR="00AA5FDE" w:rsidRPr="00AA5FDE" w:rsidRDefault="0001599F" w:rsidP="00E1679C">
            <w:pPr>
              <w:spacing w:line="360" w:lineRule="auto"/>
              <w:jc w:val="center"/>
              <w:rPr>
                <w:lang w:val="en-US"/>
              </w:rPr>
            </w:pPr>
            <w:r>
              <w:rPr>
                <w:lang w:val="en-US"/>
              </w:rPr>
              <w:t>-.01</w:t>
            </w:r>
          </w:p>
        </w:tc>
        <w:tc>
          <w:tcPr>
            <w:tcW w:w="1621" w:type="dxa"/>
            <w:tcBorders>
              <w:top w:val="nil"/>
              <w:left w:val="nil"/>
              <w:bottom w:val="nil"/>
              <w:right w:val="nil"/>
            </w:tcBorders>
          </w:tcPr>
          <w:p w14:paraId="54F9C5F4" w14:textId="51881459" w:rsidR="00AA5FDE" w:rsidRPr="00AA5FDE" w:rsidRDefault="0001599F" w:rsidP="00E1679C">
            <w:pPr>
              <w:spacing w:line="360" w:lineRule="auto"/>
              <w:jc w:val="center"/>
              <w:rPr>
                <w:lang w:val="en-US"/>
              </w:rPr>
            </w:pPr>
            <w:r>
              <w:rPr>
                <w:lang w:val="en-US"/>
              </w:rPr>
              <w:t>.07</w:t>
            </w:r>
          </w:p>
        </w:tc>
        <w:tc>
          <w:tcPr>
            <w:tcW w:w="1406" w:type="dxa"/>
            <w:tcBorders>
              <w:top w:val="nil"/>
              <w:left w:val="nil"/>
              <w:bottom w:val="nil"/>
              <w:right w:val="nil"/>
            </w:tcBorders>
          </w:tcPr>
          <w:p w14:paraId="0D2C1782" w14:textId="7028B8A0" w:rsidR="00AA5FDE" w:rsidRPr="00AA5FDE" w:rsidRDefault="0001599F" w:rsidP="00E1679C">
            <w:pPr>
              <w:spacing w:line="360" w:lineRule="auto"/>
              <w:jc w:val="center"/>
              <w:rPr>
                <w:lang w:val="en-US"/>
              </w:rPr>
            </w:pPr>
            <w:r>
              <w:rPr>
                <w:lang w:val="en-US"/>
              </w:rPr>
              <w:t>.03</w:t>
            </w:r>
          </w:p>
        </w:tc>
        <w:tc>
          <w:tcPr>
            <w:tcW w:w="1408" w:type="dxa"/>
            <w:tcBorders>
              <w:top w:val="nil"/>
              <w:left w:val="nil"/>
              <w:bottom w:val="nil"/>
              <w:right w:val="nil"/>
            </w:tcBorders>
          </w:tcPr>
          <w:p w14:paraId="6F8E7EFC" w14:textId="6CBA6C7B" w:rsidR="00AA5FDE" w:rsidRPr="00AA5FDE" w:rsidRDefault="0001599F" w:rsidP="00E1679C">
            <w:pPr>
              <w:spacing w:line="360" w:lineRule="auto"/>
              <w:jc w:val="center"/>
              <w:rPr>
                <w:lang w:val="en-US"/>
              </w:rPr>
            </w:pPr>
            <w:r>
              <w:rPr>
                <w:lang w:val="en-US"/>
              </w:rPr>
              <w:t>.12</w:t>
            </w:r>
          </w:p>
        </w:tc>
      </w:tr>
      <w:tr w:rsidR="00AA5FDE" w:rsidRPr="008E6031" w14:paraId="4158EA11" w14:textId="77777777" w:rsidTr="00E600F8">
        <w:trPr>
          <w:trHeight w:val="442"/>
        </w:trPr>
        <w:tc>
          <w:tcPr>
            <w:tcW w:w="1443" w:type="dxa"/>
            <w:tcBorders>
              <w:top w:val="nil"/>
              <w:left w:val="nil"/>
              <w:bottom w:val="nil"/>
              <w:right w:val="nil"/>
            </w:tcBorders>
          </w:tcPr>
          <w:p w14:paraId="0B6671F1" w14:textId="22527046" w:rsidR="00AA5FDE" w:rsidRPr="00AA5FDE" w:rsidRDefault="00AA5FDE" w:rsidP="00E1679C">
            <w:pPr>
              <w:spacing w:line="360" w:lineRule="auto"/>
              <w:rPr>
                <w:lang w:val="en-US"/>
              </w:rPr>
            </w:pPr>
            <w:r>
              <w:rPr>
                <w:lang w:val="en-US"/>
              </w:rPr>
              <w:t>Reward Sensitivity</w:t>
            </w:r>
          </w:p>
        </w:tc>
        <w:tc>
          <w:tcPr>
            <w:tcW w:w="1343" w:type="dxa"/>
            <w:tcBorders>
              <w:top w:val="nil"/>
              <w:left w:val="nil"/>
              <w:bottom w:val="nil"/>
              <w:right w:val="nil"/>
            </w:tcBorders>
          </w:tcPr>
          <w:p w14:paraId="742DD435" w14:textId="77777777" w:rsidR="00AA5FDE" w:rsidRPr="00AA5FDE" w:rsidRDefault="00AA5FDE" w:rsidP="00E1679C">
            <w:pPr>
              <w:spacing w:line="360" w:lineRule="auto"/>
              <w:jc w:val="center"/>
              <w:rPr>
                <w:lang w:val="en-US"/>
              </w:rPr>
            </w:pPr>
          </w:p>
        </w:tc>
        <w:tc>
          <w:tcPr>
            <w:tcW w:w="1324" w:type="dxa"/>
            <w:tcBorders>
              <w:top w:val="nil"/>
              <w:left w:val="nil"/>
              <w:bottom w:val="nil"/>
              <w:right w:val="nil"/>
            </w:tcBorders>
          </w:tcPr>
          <w:p w14:paraId="1D32F529" w14:textId="77777777" w:rsidR="00AA5FDE" w:rsidRPr="00AA5FDE" w:rsidRDefault="00AA5FDE" w:rsidP="00E1679C">
            <w:pPr>
              <w:spacing w:line="360" w:lineRule="auto"/>
              <w:jc w:val="center"/>
              <w:rPr>
                <w:lang w:val="en-US"/>
              </w:rPr>
            </w:pPr>
          </w:p>
        </w:tc>
        <w:tc>
          <w:tcPr>
            <w:tcW w:w="1368" w:type="dxa"/>
            <w:tcBorders>
              <w:top w:val="nil"/>
              <w:left w:val="nil"/>
              <w:bottom w:val="nil"/>
              <w:right w:val="nil"/>
            </w:tcBorders>
          </w:tcPr>
          <w:p w14:paraId="46F3DBC5" w14:textId="4669A999" w:rsidR="00AA5FDE" w:rsidRPr="00AA5FDE" w:rsidRDefault="0001599F" w:rsidP="00E1679C">
            <w:pPr>
              <w:spacing w:line="360" w:lineRule="auto"/>
              <w:jc w:val="center"/>
              <w:rPr>
                <w:lang w:val="en-US"/>
              </w:rPr>
            </w:pPr>
            <w:r>
              <w:rPr>
                <w:lang w:val="en-US"/>
              </w:rPr>
              <w:t>-.35***</w:t>
            </w:r>
          </w:p>
        </w:tc>
        <w:tc>
          <w:tcPr>
            <w:tcW w:w="1621" w:type="dxa"/>
            <w:tcBorders>
              <w:top w:val="nil"/>
              <w:left w:val="nil"/>
              <w:bottom w:val="nil"/>
              <w:right w:val="nil"/>
            </w:tcBorders>
          </w:tcPr>
          <w:p w14:paraId="1442DF0C" w14:textId="2C3080FE" w:rsidR="00AA5FDE" w:rsidRPr="00AA5FDE" w:rsidRDefault="0001599F" w:rsidP="00E1679C">
            <w:pPr>
              <w:spacing w:line="360" w:lineRule="auto"/>
              <w:jc w:val="center"/>
              <w:rPr>
                <w:lang w:val="en-US"/>
              </w:rPr>
            </w:pPr>
            <w:r>
              <w:rPr>
                <w:lang w:val="en-US"/>
              </w:rPr>
              <w:t>.11</w:t>
            </w:r>
          </w:p>
        </w:tc>
        <w:tc>
          <w:tcPr>
            <w:tcW w:w="1406" w:type="dxa"/>
            <w:tcBorders>
              <w:top w:val="nil"/>
              <w:left w:val="nil"/>
              <w:bottom w:val="nil"/>
              <w:right w:val="nil"/>
            </w:tcBorders>
          </w:tcPr>
          <w:p w14:paraId="647397F7" w14:textId="1C136E3C" w:rsidR="00AA5FDE" w:rsidRPr="00AA5FDE" w:rsidRDefault="0001599F" w:rsidP="00E1679C">
            <w:pPr>
              <w:spacing w:line="360" w:lineRule="auto"/>
              <w:jc w:val="center"/>
              <w:rPr>
                <w:lang w:val="en-US"/>
              </w:rPr>
            </w:pPr>
            <w:r>
              <w:rPr>
                <w:lang w:val="en-US"/>
              </w:rPr>
              <w:t>.08</w:t>
            </w:r>
          </w:p>
        </w:tc>
        <w:tc>
          <w:tcPr>
            <w:tcW w:w="1408" w:type="dxa"/>
            <w:tcBorders>
              <w:top w:val="nil"/>
              <w:left w:val="nil"/>
              <w:bottom w:val="nil"/>
              <w:right w:val="nil"/>
            </w:tcBorders>
          </w:tcPr>
          <w:p w14:paraId="4199B8F2" w14:textId="0FF764B5" w:rsidR="00AA5FDE" w:rsidRPr="00AA5FDE" w:rsidRDefault="0001599F" w:rsidP="00E1679C">
            <w:pPr>
              <w:spacing w:line="360" w:lineRule="auto"/>
              <w:jc w:val="center"/>
              <w:rPr>
                <w:lang w:val="en-US"/>
              </w:rPr>
            </w:pPr>
            <w:r>
              <w:rPr>
                <w:lang w:val="en-US"/>
              </w:rPr>
              <w:t>.16*</w:t>
            </w:r>
          </w:p>
        </w:tc>
      </w:tr>
      <w:tr w:rsidR="00AA5FDE" w:rsidRPr="008E6031" w14:paraId="7164C12A" w14:textId="77777777" w:rsidTr="00E600F8">
        <w:trPr>
          <w:trHeight w:val="442"/>
        </w:trPr>
        <w:tc>
          <w:tcPr>
            <w:tcW w:w="1443" w:type="dxa"/>
            <w:tcBorders>
              <w:top w:val="nil"/>
              <w:left w:val="nil"/>
              <w:bottom w:val="nil"/>
              <w:right w:val="nil"/>
            </w:tcBorders>
          </w:tcPr>
          <w:p w14:paraId="0CE7B67E" w14:textId="4B97A768" w:rsidR="00AA5FDE" w:rsidRPr="00AA5FDE" w:rsidRDefault="00AA5FDE" w:rsidP="00E1679C">
            <w:pPr>
              <w:spacing w:line="360" w:lineRule="auto"/>
              <w:rPr>
                <w:lang w:val="en-US"/>
              </w:rPr>
            </w:pPr>
            <w:r>
              <w:rPr>
                <w:lang w:val="en-US"/>
              </w:rPr>
              <w:t>Inhibitory Control</w:t>
            </w:r>
          </w:p>
        </w:tc>
        <w:tc>
          <w:tcPr>
            <w:tcW w:w="1343" w:type="dxa"/>
            <w:tcBorders>
              <w:top w:val="nil"/>
              <w:left w:val="nil"/>
              <w:bottom w:val="nil"/>
              <w:right w:val="nil"/>
            </w:tcBorders>
          </w:tcPr>
          <w:p w14:paraId="3050A59D" w14:textId="77777777" w:rsidR="00AA5FDE" w:rsidRPr="00AA5FDE" w:rsidRDefault="00AA5FDE" w:rsidP="00E1679C">
            <w:pPr>
              <w:spacing w:line="360" w:lineRule="auto"/>
              <w:jc w:val="center"/>
              <w:rPr>
                <w:lang w:val="en-US"/>
              </w:rPr>
            </w:pPr>
          </w:p>
        </w:tc>
        <w:tc>
          <w:tcPr>
            <w:tcW w:w="1324" w:type="dxa"/>
            <w:tcBorders>
              <w:top w:val="nil"/>
              <w:left w:val="nil"/>
              <w:bottom w:val="nil"/>
              <w:right w:val="nil"/>
            </w:tcBorders>
          </w:tcPr>
          <w:p w14:paraId="20EE4776" w14:textId="77777777" w:rsidR="00AA5FDE" w:rsidRPr="00AA5FDE" w:rsidRDefault="00AA5FDE" w:rsidP="00E1679C">
            <w:pPr>
              <w:spacing w:line="360" w:lineRule="auto"/>
              <w:jc w:val="center"/>
              <w:rPr>
                <w:lang w:val="en-US"/>
              </w:rPr>
            </w:pPr>
          </w:p>
        </w:tc>
        <w:tc>
          <w:tcPr>
            <w:tcW w:w="1368" w:type="dxa"/>
            <w:tcBorders>
              <w:top w:val="nil"/>
              <w:left w:val="nil"/>
              <w:bottom w:val="nil"/>
              <w:right w:val="nil"/>
            </w:tcBorders>
          </w:tcPr>
          <w:p w14:paraId="70384205" w14:textId="77777777" w:rsidR="00AA5FDE" w:rsidRPr="00AA5FDE" w:rsidRDefault="00AA5FDE" w:rsidP="00E1679C">
            <w:pPr>
              <w:spacing w:line="360" w:lineRule="auto"/>
              <w:jc w:val="center"/>
              <w:rPr>
                <w:lang w:val="en-US"/>
              </w:rPr>
            </w:pPr>
          </w:p>
        </w:tc>
        <w:tc>
          <w:tcPr>
            <w:tcW w:w="1621" w:type="dxa"/>
            <w:tcBorders>
              <w:top w:val="nil"/>
              <w:left w:val="nil"/>
              <w:bottom w:val="nil"/>
              <w:right w:val="nil"/>
            </w:tcBorders>
          </w:tcPr>
          <w:p w14:paraId="3949B6F3" w14:textId="4E367D14" w:rsidR="00AA5FDE" w:rsidRPr="00AA5FDE" w:rsidRDefault="0001599F" w:rsidP="00E1679C">
            <w:pPr>
              <w:spacing w:line="360" w:lineRule="auto"/>
              <w:jc w:val="center"/>
              <w:rPr>
                <w:lang w:val="en-US"/>
              </w:rPr>
            </w:pPr>
            <w:r>
              <w:rPr>
                <w:lang w:val="en-US"/>
              </w:rPr>
              <w:t>-.01</w:t>
            </w:r>
          </w:p>
        </w:tc>
        <w:tc>
          <w:tcPr>
            <w:tcW w:w="1406" w:type="dxa"/>
            <w:tcBorders>
              <w:top w:val="nil"/>
              <w:left w:val="nil"/>
              <w:bottom w:val="nil"/>
              <w:right w:val="nil"/>
            </w:tcBorders>
          </w:tcPr>
          <w:p w14:paraId="5BFC48F0" w14:textId="16F44106" w:rsidR="00AA5FDE" w:rsidRPr="00AA5FDE" w:rsidRDefault="0001599F" w:rsidP="00E1679C">
            <w:pPr>
              <w:spacing w:line="360" w:lineRule="auto"/>
              <w:jc w:val="center"/>
              <w:rPr>
                <w:lang w:val="en-US"/>
              </w:rPr>
            </w:pPr>
            <w:r>
              <w:rPr>
                <w:lang w:val="en-US"/>
              </w:rPr>
              <w:t>-.06</w:t>
            </w:r>
          </w:p>
        </w:tc>
        <w:tc>
          <w:tcPr>
            <w:tcW w:w="1408" w:type="dxa"/>
            <w:tcBorders>
              <w:top w:val="nil"/>
              <w:left w:val="nil"/>
              <w:bottom w:val="nil"/>
              <w:right w:val="nil"/>
            </w:tcBorders>
          </w:tcPr>
          <w:p w14:paraId="78871605" w14:textId="0DD77A53" w:rsidR="00AA5FDE" w:rsidRPr="00AA5FDE" w:rsidRDefault="0001599F" w:rsidP="00E1679C">
            <w:pPr>
              <w:spacing w:line="360" w:lineRule="auto"/>
              <w:jc w:val="center"/>
              <w:rPr>
                <w:lang w:val="en-US"/>
              </w:rPr>
            </w:pPr>
            <w:r>
              <w:rPr>
                <w:lang w:val="en-US"/>
              </w:rPr>
              <w:t>-.12</w:t>
            </w:r>
          </w:p>
        </w:tc>
      </w:tr>
      <w:tr w:rsidR="00AA5FDE" w:rsidRPr="008E6031" w14:paraId="01821B7D" w14:textId="77777777" w:rsidTr="00E600F8">
        <w:trPr>
          <w:trHeight w:val="442"/>
        </w:trPr>
        <w:tc>
          <w:tcPr>
            <w:tcW w:w="1443" w:type="dxa"/>
            <w:tcBorders>
              <w:top w:val="nil"/>
              <w:left w:val="nil"/>
              <w:bottom w:val="nil"/>
              <w:right w:val="nil"/>
            </w:tcBorders>
          </w:tcPr>
          <w:p w14:paraId="6DBBBDAA" w14:textId="7B16E67B" w:rsidR="00AA5FDE" w:rsidRPr="00AA5FDE" w:rsidRDefault="00AA5FDE" w:rsidP="00E1679C">
            <w:pPr>
              <w:spacing w:line="360" w:lineRule="auto"/>
              <w:rPr>
                <w:lang w:val="en-US"/>
              </w:rPr>
            </w:pPr>
            <w:r>
              <w:rPr>
                <w:lang w:val="en-US"/>
              </w:rPr>
              <w:t xml:space="preserve">Gambling – Risk </w:t>
            </w:r>
          </w:p>
        </w:tc>
        <w:tc>
          <w:tcPr>
            <w:tcW w:w="1343" w:type="dxa"/>
            <w:tcBorders>
              <w:top w:val="nil"/>
              <w:left w:val="nil"/>
              <w:bottom w:val="nil"/>
              <w:right w:val="nil"/>
            </w:tcBorders>
          </w:tcPr>
          <w:p w14:paraId="5668226F" w14:textId="77777777" w:rsidR="00AA5FDE" w:rsidRPr="00AA5FDE" w:rsidRDefault="00AA5FDE" w:rsidP="00E1679C">
            <w:pPr>
              <w:spacing w:line="360" w:lineRule="auto"/>
              <w:jc w:val="center"/>
              <w:rPr>
                <w:lang w:val="en-US"/>
              </w:rPr>
            </w:pPr>
          </w:p>
        </w:tc>
        <w:tc>
          <w:tcPr>
            <w:tcW w:w="1324" w:type="dxa"/>
            <w:tcBorders>
              <w:top w:val="nil"/>
              <w:left w:val="nil"/>
              <w:bottom w:val="nil"/>
              <w:right w:val="nil"/>
            </w:tcBorders>
          </w:tcPr>
          <w:p w14:paraId="73FDE9F1" w14:textId="77777777" w:rsidR="00AA5FDE" w:rsidRPr="00AA5FDE" w:rsidRDefault="00AA5FDE" w:rsidP="00E1679C">
            <w:pPr>
              <w:spacing w:line="360" w:lineRule="auto"/>
              <w:jc w:val="center"/>
              <w:rPr>
                <w:lang w:val="en-US"/>
              </w:rPr>
            </w:pPr>
          </w:p>
        </w:tc>
        <w:tc>
          <w:tcPr>
            <w:tcW w:w="1368" w:type="dxa"/>
            <w:tcBorders>
              <w:top w:val="nil"/>
              <w:left w:val="nil"/>
              <w:bottom w:val="nil"/>
              <w:right w:val="nil"/>
            </w:tcBorders>
          </w:tcPr>
          <w:p w14:paraId="6F04B8C9" w14:textId="77777777" w:rsidR="00AA5FDE" w:rsidRPr="00AA5FDE" w:rsidRDefault="00AA5FDE" w:rsidP="00E1679C">
            <w:pPr>
              <w:spacing w:line="360" w:lineRule="auto"/>
              <w:jc w:val="center"/>
              <w:rPr>
                <w:lang w:val="en-US"/>
              </w:rPr>
            </w:pPr>
          </w:p>
        </w:tc>
        <w:tc>
          <w:tcPr>
            <w:tcW w:w="1621" w:type="dxa"/>
            <w:tcBorders>
              <w:top w:val="nil"/>
              <w:left w:val="nil"/>
              <w:bottom w:val="nil"/>
              <w:right w:val="nil"/>
            </w:tcBorders>
          </w:tcPr>
          <w:p w14:paraId="2331E923" w14:textId="77777777" w:rsidR="00AA5FDE" w:rsidRPr="00AA5FDE" w:rsidRDefault="00AA5FDE" w:rsidP="00E1679C">
            <w:pPr>
              <w:spacing w:line="360" w:lineRule="auto"/>
              <w:jc w:val="center"/>
              <w:rPr>
                <w:lang w:val="en-US"/>
              </w:rPr>
            </w:pPr>
          </w:p>
        </w:tc>
        <w:tc>
          <w:tcPr>
            <w:tcW w:w="1406" w:type="dxa"/>
            <w:tcBorders>
              <w:top w:val="nil"/>
              <w:left w:val="nil"/>
              <w:bottom w:val="nil"/>
              <w:right w:val="nil"/>
            </w:tcBorders>
          </w:tcPr>
          <w:p w14:paraId="4CC9AFC4" w14:textId="459C2647" w:rsidR="00AA5FDE" w:rsidRPr="00AA5FDE" w:rsidRDefault="0013485F" w:rsidP="00E1679C">
            <w:pPr>
              <w:spacing w:line="360" w:lineRule="auto"/>
              <w:jc w:val="center"/>
              <w:rPr>
                <w:lang w:val="en-US"/>
              </w:rPr>
            </w:pPr>
            <w:r>
              <w:rPr>
                <w:lang w:val="en-US"/>
              </w:rPr>
              <w:t>.43***</w:t>
            </w:r>
          </w:p>
        </w:tc>
        <w:tc>
          <w:tcPr>
            <w:tcW w:w="1408" w:type="dxa"/>
            <w:tcBorders>
              <w:top w:val="nil"/>
              <w:left w:val="nil"/>
              <w:bottom w:val="nil"/>
              <w:right w:val="nil"/>
            </w:tcBorders>
          </w:tcPr>
          <w:p w14:paraId="7068DA0D" w14:textId="11F1C585" w:rsidR="00AA5FDE" w:rsidRPr="00AA5FDE" w:rsidRDefault="0013485F" w:rsidP="00E1679C">
            <w:pPr>
              <w:spacing w:line="360" w:lineRule="auto"/>
              <w:jc w:val="center"/>
              <w:rPr>
                <w:lang w:val="en-US"/>
              </w:rPr>
            </w:pPr>
            <w:r>
              <w:rPr>
                <w:lang w:val="en-US"/>
              </w:rPr>
              <w:t>.04</w:t>
            </w:r>
          </w:p>
        </w:tc>
      </w:tr>
      <w:tr w:rsidR="00AA5FDE" w:rsidRPr="008E6031" w14:paraId="68B3AC0A" w14:textId="77777777" w:rsidTr="00E600F8">
        <w:trPr>
          <w:trHeight w:val="442"/>
        </w:trPr>
        <w:tc>
          <w:tcPr>
            <w:tcW w:w="1443" w:type="dxa"/>
            <w:tcBorders>
              <w:top w:val="nil"/>
              <w:left w:val="nil"/>
              <w:bottom w:val="dashed" w:sz="4" w:space="0" w:color="auto"/>
              <w:right w:val="nil"/>
            </w:tcBorders>
          </w:tcPr>
          <w:p w14:paraId="114A791E" w14:textId="6FA38E0D" w:rsidR="00AA5FDE" w:rsidRPr="00AA5FDE" w:rsidRDefault="00AA5FDE" w:rsidP="00E1679C">
            <w:pPr>
              <w:spacing w:line="360" w:lineRule="auto"/>
              <w:rPr>
                <w:lang w:val="en-US"/>
              </w:rPr>
            </w:pPr>
            <w:r>
              <w:rPr>
                <w:lang w:val="en-US"/>
              </w:rPr>
              <w:t xml:space="preserve">Gambling – Ambiguity </w:t>
            </w:r>
          </w:p>
        </w:tc>
        <w:tc>
          <w:tcPr>
            <w:tcW w:w="1343" w:type="dxa"/>
            <w:tcBorders>
              <w:top w:val="nil"/>
              <w:left w:val="nil"/>
              <w:bottom w:val="dashed" w:sz="4" w:space="0" w:color="auto"/>
              <w:right w:val="nil"/>
            </w:tcBorders>
          </w:tcPr>
          <w:p w14:paraId="7115409F" w14:textId="77777777" w:rsidR="00AA5FDE" w:rsidRPr="00AA5FDE" w:rsidRDefault="00AA5FDE" w:rsidP="00E1679C">
            <w:pPr>
              <w:spacing w:line="360" w:lineRule="auto"/>
              <w:jc w:val="center"/>
              <w:rPr>
                <w:lang w:val="en-US"/>
              </w:rPr>
            </w:pPr>
          </w:p>
        </w:tc>
        <w:tc>
          <w:tcPr>
            <w:tcW w:w="1324" w:type="dxa"/>
            <w:tcBorders>
              <w:top w:val="nil"/>
              <w:left w:val="nil"/>
              <w:bottom w:val="dashed" w:sz="4" w:space="0" w:color="auto"/>
              <w:right w:val="nil"/>
            </w:tcBorders>
          </w:tcPr>
          <w:p w14:paraId="575D13F7" w14:textId="77777777" w:rsidR="00AA5FDE" w:rsidRPr="00AA5FDE" w:rsidRDefault="00AA5FDE" w:rsidP="00E1679C">
            <w:pPr>
              <w:spacing w:line="360" w:lineRule="auto"/>
              <w:jc w:val="center"/>
              <w:rPr>
                <w:lang w:val="en-US"/>
              </w:rPr>
            </w:pPr>
          </w:p>
        </w:tc>
        <w:tc>
          <w:tcPr>
            <w:tcW w:w="1368" w:type="dxa"/>
            <w:tcBorders>
              <w:top w:val="nil"/>
              <w:left w:val="nil"/>
              <w:bottom w:val="dashed" w:sz="4" w:space="0" w:color="auto"/>
              <w:right w:val="nil"/>
            </w:tcBorders>
          </w:tcPr>
          <w:p w14:paraId="28D3BC7B" w14:textId="77777777" w:rsidR="00AA5FDE" w:rsidRPr="00AA5FDE" w:rsidRDefault="00AA5FDE" w:rsidP="00E1679C">
            <w:pPr>
              <w:spacing w:line="360" w:lineRule="auto"/>
              <w:jc w:val="center"/>
              <w:rPr>
                <w:lang w:val="en-US"/>
              </w:rPr>
            </w:pPr>
          </w:p>
        </w:tc>
        <w:tc>
          <w:tcPr>
            <w:tcW w:w="1621" w:type="dxa"/>
            <w:tcBorders>
              <w:top w:val="nil"/>
              <w:left w:val="nil"/>
              <w:bottom w:val="dashed" w:sz="4" w:space="0" w:color="auto"/>
              <w:right w:val="nil"/>
            </w:tcBorders>
          </w:tcPr>
          <w:p w14:paraId="5DF274AD" w14:textId="77777777" w:rsidR="00AA5FDE" w:rsidRPr="00AA5FDE" w:rsidRDefault="00AA5FDE" w:rsidP="00E1679C">
            <w:pPr>
              <w:spacing w:line="360" w:lineRule="auto"/>
              <w:jc w:val="center"/>
              <w:rPr>
                <w:lang w:val="en-US"/>
              </w:rPr>
            </w:pPr>
          </w:p>
        </w:tc>
        <w:tc>
          <w:tcPr>
            <w:tcW w:w="1406" w:type="dxa"/>
            <w:tcBorders>
              <w:top w:val="nil"/>
              <w:left w:val="nil"/>
              <w:bottom w:val="dashed" w:sz="4" w:space="0" w:color="auto"/>
              <w:right w:val="nil"/>
            </w:tcBorders>
          </w:tcPr>
          <w:p w14:paraId="39730151" w14:textId="77777777" w:rsidR="00AA5FDE" w:rsidRPr="00AA5FDE" w:rsidRDefault="00AA5FDE" w:rsidP="00E1679C">
            <w:pPr>
              <w:spacing w:line="360" w:lineRule="auto"/>
              <w:jc w:val="center"/>
              <w:rPr>
                <w:lang w:val="en-US"/>
              </w:rPr>
            </w:pPr>
          </w:p>
        </w:tc>
        <w:tc>
          <w:tcPr>
            <w:tcW w:w="1408" w:type="dxa"/>
            <w:tcBorders>
              <w:top w:val="nil"/>
              <w:left w:val="nil"/>
              <w:bottom w:val="dashed" w:sz="4" w:space="0" w:color="auto"/>
              <w:right w:val="nil"/>
            </w:tcBorders>
          </w:tcPr>
          <w:p w14:paraId="0C064C8E" w14:textId="525248FE" w:rsidR="00AA5FDE" w:rsidRPr="00AA5FDE" w:rsidRDefault="0013485F" w:rsidP="00E1679C">
            <w:pPr>
              <w:spacing w:line="360" w:lineRule="auto"/>
              <w:jc w:val="center"/>
              <w:rPr>
                <w:lang w:val="en-US"/>
              </w:rPr>
            </w:pPr>
            <w:r>
              <w:rPr>
                <w:lang w:val="en-US"/>
              </w:rPr>
              <w:t>-.02</w:t>
            </w:r>
          </w:p>
        </w:tc>
      </w:tr>
      <w:tr w:rsidR="00A87EBC" w:rsidRPr="008E6031" w14:paraId="7E57DD22" w14:textId="77777777" w:rsidTr="00E600F8">
        <w:trPr>
          <w:trHeight w:val="442"/>
        </w:trPr>
        <w:tc>
          <w:tcPr>
            <w:tcW w:w="1443" w:type="dxa"/>
            <w:tcBorders>
              <w:top w:val="dashed" w:sz="4" w:space="0" w:color="auto"/>
              <w:left w:val="nil"/>
              <w:bottom w:val="nil"/>
              <w:right w:val="nil"/>
            </w:tcBorders>
          </w:tcPr>
          <w:p w14:paraId="286B86BE" w14:textId="77777777" w:rsidR="00E1679C" w:rsidRPr="00E600F8" w:rsidRDefault="00E1679C" w:rsidP="00E1679C">
            <w:pPr>
              <w:spacing w:line="360" w:lineRule="auto"/>
              <w:rPr>
                <w:lang w:val="en-US"/>
              </w:rPr>
            </w:pPr>
            <w:r w:rsidRPr="00E600F8">
              <w:rPr>
                <w:lang w:val="en-US"/>
              </w:rPr>
              <w:t>Range</w:t>
            </w:r>
          </w:p>
        </w:tc>
        <w:tc>
          <w:tcPr>
            <w:tcW w:w="1343" w:type="dxa"/>
            <w:tcBorders>
              <w:top w:val="dashed" w:sz="4" w:space="0" w:color="auto"/>
              <w:left w:val="nil"/>
              <w:bottom w:val="nil"/>
              <w:right w:val="nil"/>
            </w:tcBorders>
          </w:tcPr>
          <w:p w14:paraId="401CED9B" w14:textId="77777777" w:rsidR="00E1679C" w:rsidRPr="00E600F8" w:rsidRDefault="00E1679C" w:rsidP="00E1679C">
            <w:pPr>
              <w:spacing w:line="360" w:lineRule="auto"/>
              <w:jc w:val="center"/>
              <w:rPr>
                <w:lang w:val="en-US"/>
              </w:rPr>
            </w:pPr>
            <w:r w:rsidRPr="00E600F8">
              <w:rPr>
                <w:lang w:val="en-US"/>
              </w:rPr>
              <w:t>1-4</w:t>
            </w:r>
          </w:p>
        </w:tc>
        <w:tc>
          <w:tcPr>
            <w:tcW w:w="1324" w:type="dxa"/>
            <w:tcBorders>
              <w:top w:val="dashed" w:sz="4" w:space="0" w:color="auto"/>
              <w:left w:val="nil"/>
              <w:bottom w:val="nil"/>
              <w:right w:val="nil"/>
            </w:tcBorders>
          </w:tcPr>
          <w:p w14:paraId="30D43132" w14:textId="77777777" w:rsidR="00E1679C" w:rsidRPr="00E600F8" w:rsidRDefault="00E1679C" w:rsidP="00E1679C">
            <w:pPr>
              <w:spacing w:line="360" w:lineRule="auto"/>
              <w:jc w:val="center"/>
              <w:rPr>
                <w:lang w:val="en-US"/>
              </w:rPr>
            </w:pPr>
            <w:r w:rsidRPr="00E600F8">
              <w:rPr>
                <w:lang w:val="en-US"/>
              </w:rPr>
              <w:t>0-1</w:t>
            </w:r>
          </w:p>
        </w:tc>
        <w:tc>
          <w:tcPr>
            <w:tcW w:w="1368" w:type="dxa"/>
            <w:tcBorders>
              <w:top w:val="dashed" w:sz="4" w:space="0" w:color="auto"/>
              <w:left w:val="nil"/>
              <w:bottom w:val="nil"/>
              <w:right w:val="nil"/>
            </w:tcBorders>
          </w:tcPr>
          <w:p w14:paraId="5770157E" w14:textId="77777777" w:rsidR="00E1679C" w:rsidRPr="00E600F8" w:rsidRDefault="00E1679C" w:rsidP="00E1679C">
            <w:pPr>
              <w:spacing w:line="360" w:lineRule="auto"/>
              <w:jc w:val="center"/>
              <w:rPr>
                <w:lang w:val="en-US"/>
              </w:rPr>
            </w:pPr>
            <w:r w:rsidRPr="00E600F8">
              <w:rPr>
                <w:lang w:val="en-US"/>
              </w:rPr>
              <w:t>0-1</w:t>
            </w:r>
          </w:p>
        </w:tc>
        <w:tc>
          <w:tcPr>
            <w:tcW w:w="1621" w:type="dxa"/>
            <w:tcBorders>
              <w:top w:val="dashed" w:sz="4" w:space="0" w:color="auto"/>
              <w:left w:val="nil"/>
              <w:bottom w:val="nil"/>
              <w:right w:val="nil"/>
            </w:tcBorders>
          </w:tcPr>
          <w:p w14:paraId="01F563CF" w14:textId="77777777" w:rsidR="00E1679C" w:rsidRPr="00E600F8" w:rsidRDefault="00E1679C" w:rsidP="00E1679C">
            <w:pPr>
              <w:spacing w:line="360" w:lineRule="auto"/>
              <w:jc w:val="center"/>
              <w:rPr>
                <w:lang w:val="en-US"/>
              </w:rPr>
            </w:pPr>
            <w:r w:rsidRPr="00E600F8">
              <w:rPr>
                <w:lang w:val="en-US"/>
              </w:rPr>
              <w:t>0-1</w:t>
            </w:r>
          </w:p>
        </w:tc>
        <w:tc>
          <w:tcPr>
            <w:tcW w:w="1406" w:type="dxa"/>
            <w:tcBorders>
              <w:top w:val="dashed" w:sz="4" w:space="0" w:color="auto"/>
              <w:left w:val="nil"/>
              <w:bottom w:val="nil"/>
              <w:right w:val="nil"/>
            </w:tcBorders>
          </w:tcPr>
          <w:p w14:paraId="3E02B84B" w14:textId="77777777" w:rsidR="00E1679C" w:rsidRPr="00E600F8" w:rsidRDefault="00E1679C" w:rsidP="00E1679C">
            <w:pPr>
              <w:spacing w:line="360" w:lineRule="auto"/>
              <w:jc w:val="center"/>
              <w:rPr>
                <w:lang w:val="en-US"/>
              </w:rPr>
            </w:pPr>
            <w:r w:rsidRPr="00E600F8">
              <w:rPr>
                <w:lang w:val="en-US"/>
              </w:rPr>
              <w:t>0-1</w:t>
            </w:r>
          </w:p>
        </w:tc>
        <w:tc>
          <w:tcPr>
            <w:tcW w:w="1408" w:type="dxa"/>
            <w:tcBorders>
              <w:top w:val="dashed" w:sz="4" w:space="0" w:color="auto"/>
              <w:left w:val="nil"/>
              <w:bottom w:val="nil"/>
              <w:right w:val="nil"/>
            </w:tcBorders>
          </w:tcPr>
          <w:p w14:paraId="0964E2A7" w14:textId="77777777" w:rsidR="00E1679C" w:rsidRPr="00E600F8" w:rsidRDefault="00E1679C" w:rsidP="00E1679C">
            <w:pPr>
              <w:spacing w:line="360" w:lineRule="auto"/>
              <w:jc w:val="center"/>
              <w:rPr>
                <w:lang w:val="en-US"/>
              </w:rPr>
            </w:pPr>
            <w:r w:rsidRPr="00E600F8">
              <w:rPr>
                <w:lang w:val="en-US"/>
              </w:rPr>
              <w:t>0-45</w:t>
            </w:r>
          </w:p>
        </w:tc>
      </w:tr>
      <w:tr w:rsidR="00A87EBC" w:rsidRPr="008E6031" w14:paraId="1BD89FBF" w14:textId="77777777" w:rsidTr="00E600F8">
        <w:trPr>
          <w:trHeight w:val="427"/>
        </w:trPr>
        <w:tc>
          <w:tcPr>
            <w:tcW w:w="1443" w:type="dxa"/>
            <w:tcBorders>
              <w:top w:val="nil"/>
              <w:left w:val="nil"/>
              <w:bottom w:val="single" w:sz="4" w:space="0" w:color="auto"/>
              <w:right w:val="nil"/>
            </w:tcBorders>
          </w:tcPr>
          <w:p w14:paraId="0BCB5199" w14:textId="77777777" w:rsidR="00E1679C" w:rsidRPr="00E600F8" w:rsidRDefault="00E1679C" w:rsidP="00E1679C">
            <w:pPr>
              <w:spacing w:line="360" w:lineRule="auto"/>
              <w:rPr>
                <w:lang w:val="en-US"/>
              </w:rPr>
            </w:pPr>
            <w:r w:rsidRPr="00E600F8">
              <w:rPr>
                <w:i/>
                <w:lang w:val="en-US"/>
              </w:rPr>
              <w:t>M</w:t>
            </w:r>
            <w:r w:rsidRPr="00E600F8">
              <w:rPr>
                <w:lang w:val="en-US"/>
              </w:rPr>
              <w:t xml:space="preserve"> (</w:t>
            </w:r>
            <w:r w:rsidRPr="00E600F8">
              <w:rPr>
                <w:i/>
                <w:lang w:val="en-US"/>
              </w:rPr>
              <w:t>SD</w:t>
            </w:r>
            <w:r w:rsidRPr="00E600F8">
              <w:rPr>
                <w:lang w:val="en-US"/>
              </w:rPr>
              <w:t>)</w:t>
            </w:r>
          </w:p>
        </w:tc>
        <w:tc>
          <w:tcPr>
            <w:tcW w:w="1343" w:type="dxa"/>
            <w:tcBorders>
              <w:top w:val="nil"/>
              <w:left w:val="nil"/>
              <w:bottom w:val="single" w:sz="4" w:space="0" w:color="auto"/>
              <w:right w:val="nil"/>
            </w:tcBorders>
          </w:tcPr>
          <w:p w14:paraId="120611F5" w14:textId="77777777" w:rsidR="00E1679C" w:rsidRPr="00E600F8" w:rsidRDefault="00E1679C" w:rsidP="00E1679C">
            <w:pPr>
              <w:spacing w:line="360" w:lineRule="auto"/>
              <w:jc w:val="center"/>
              <w:rPr>
                <w:lang w:val="en-US"/>
              </w:rPr>
            </w:pPr>
            <w:r w:rsidRPr="00E600F8">
              <w:rPr>
                <w:lang w:val="en-US"/>
              </w:rPr>
              <w:t>1.77 (0.75)</w:t>
            </w:r>
          </w:p>
        </w:tc>
        <w:tc>
          <w:tcPr>
            <w:tcW w:w="1324" w:type="dxa"/>
            <w:tcBorders>
              <w:top w:val="nil"/>
              <w:left w:val="nil"/>
              <w:bottom w:val="single" w:sz="4" w:space="0" w:color="auto"/>
              <w:right w:val="nil"/>
            </w:tcBorders>
          </w:tcPr>
          <w:p w14:paraId="0DEBA066" w14:textId="77777777" w:rsidR="00E1679C" w:rsidRPr="00E600F8" w:rsidRDefault="00E1679C" w:rsidP="00E1679C">
            <w:pPr>
              <w:spacing w:line="360" w:lineRule="auto"/>
              <w:jc w:val="center"/>
              <w:rPr>
                <w:lang w:val="en-US"/>
              </w:rPr>
            </w:pPr>
            <w:r w:rsidRPr="00E600F8">
              <w:rPr>
                <w:lang w:val="en-US"/>
              </w:rPr>
              <w:t>0.57 (0.21)</w:t>
            </w:r>
          </w:p>
        </w:tc>
        <w:tc>
          <w:tcPr>
            <w:tcW w:w="1368" w:type="dxa"/>
            <w:tcBorders>
              <w:top w:val="nil"/>
              <w:left w:val="nil"/>
              <w:bottom w:val="single" w:sz="4" w:space="0" w:color="auto"/>
              <w:right w:val="nil"/>
            </w:tcBorders>
          </w:tcPr>
          <w:p w14:paraId="23752BF8" w14:textId="77777777" w:rsidR="00E1679C" w:rsidRPr="00E600F8" w:rsidRDefault="00E1679C" w:rsidP="00E1679C">
            <w:pPr>
              <w:spacing w:line="360" w:lineRule="auto"/>
              <w:jc w:val="center"/>
              <w:rPr>
                <w:lang w:val="en-US"/>
              </w:rPr>
            </w:pPr>
            <w:r w:rsidRPr="00E600F8">
              <w:rPr>
                <w:lang w:val="en-US"/>
              </w:rPr>
              <w:t>0.71 (0.31)</w:t>
            </w:r>
          </w:p>
        </w:tc>
        <w:tc>
          <w:tcPr>
            <w:tcW w:w="1621" w:type="dxa"/>
            <w:tcBorders>
              <w:top w:val="nil"/>
              <w:left w:val="nil"/>
              <w:bottom w:val="single" w:sz="4" w:space="0" w:color="auto"/>
              <w:right w:val="nil"/>
            </w:tcBorders>
          </w:tcPr>
          <w:p w14:paraId="6124846F" w14:textId="77777777" w:rsidR="00E1679C" w:rsidRPr="00E600F8" w:rsidRDefault="00E1679C" w:rsidP="00E1679C">
            <w:pPr>
              <w:spacing w:line="360" w:lineRule="auto"/>
              <w:jc w:val="center"/>
              <w:rPr>
                <w:lang w:val="en-US"/>
              </w:rPr>
            </w:pPr>
            <w:r w:rsidRPr="00E600F8">
              <w:rPr>
                <w:lang w:val="en-US"/>
              </w:rPr>
              <w:t>0.52 (0.28)</w:t>
            </w:r>
          </w:p>
        </w:tc>
        <w:tc>
          <w:tcPr>
            <w:tcW w:w="1406" w:type="dxa"/>
            <w:tcBorders>
              <w:top w:val="nil"/>
              <w:left w:val="nil"/>
              <w:bottom w:val="single" w:sz="4" w:space="0" w:color="auto"/>
              <w:right w:val="nil"/>
            </w:tcBorders>
          </w:tcPr>
          <w:p w14:paraId="50F99122" w14:textId="77777777" w:rsidR="00E1679C" w:rsidRPr="00E600F8" w:rsidRDefault="00E1679C" w:rsidP="00E1679C">
            <w:pPr>
              <w:spacing w:line="360" w:lineRule="auto"/>
              <w:jc w:val="center"/>
              <w:rPr>
                <w:lang w:val="en-US"/>
              </w:rPr>
            </w:pPr>
            <w:r w:rsidRPr="00E600F8">
              <w:rPr>
                <w:lang w:val="en-US"/>
              </w:rPr>
              <w:t>0.58 (0.25)</w:t>
            </w:r>
          </w:p>
        </w:tc>
        <w:tc>
          <w:tcPr>
            <w:tcW w:w="1408" w:type="dxa"/>
            <w:tcBorders>
              <w:top w:val="nil"/>
              <w:left w:val="nil"/>
              <w:bottom w:val="single" w:sz="4" w:space="0" w:color="auto"/>
              <w:right w:val="nil"/>
            </w:tcBorders>
          </w:tcPr>
          <w:p w14:paraId="11419408" w14:textId="77777777" w:rsidR="00E1679C" w:rsidRPr="00E600F8" w:rsidRDefault="00E1679C" w:rsidP="00E1679C">
            <w:pPr>
              <w:spacing w:line="360" w:lineRule="auto"/>
              <w:jc w:val="center"/>
              <w:rPr>
                <w:lang w:val="en-US"/>
              </w:rPr>
            </w:pPr>
            <w:r w:rsidRPr="00E600F8">
              <w:rPr>
                <w:lang w:val="en-US"/>
              </w:rPr>
              <w:t>7.92 (12.24)</w:t>
            </w:r>
          </w:p>
        </w:tc>
      </w:tr>
      <w:tr w:rsidR="00E14302" w:rsidRPr="008E6031" w14:paraId="012311D6" w14:textId="77777777" w:rsidTr="007A58BC">
        <w:trPr>
          <w:trHeight w:val="427"/>
        </w:trPr>
        <w:tc>
          <w:tcPr>
            <w:tcW w:w="9913" w:type="dxa"/>
            <w:gridSpan w:val="7"/>
            <w:tcBorders>
              <w:top w:val="single" w:sz="4" w:space="0" w:color="auto"/>
              <w:left w:val="nil"/>
              <w:bottom w:val="nil"/>
              <w:right w:val="nil"/>
            </w:tcBorders>
          </w:tcPr>
          <w:p w14:paraId="52EDA014" w14:textId="0F0209C7" w:rsidR="00E14302" w:rsidRPr="00E14302" w:rsidRDefault="00E14302" w:rsidP="00E600F8">
            <w:pPr>
              <w:spacing w:line="360" w:lineRule="auto"/>
              <w:rPr>
                <w:lang w:val="en-US"/>
              </w:rPr>
            </w:pPr>
            <w:r>
              <w:rPr>
                <w:i/>
                <w:lang w:val="en-US"/>
              </w:rPr>
              <w:t>Note. *</w:t>
            </w:r>
            <w:r>
              <w:rPr>
                <w:lang w:val="en-US"/>
              </w:rPr>
              <w:t xml:space="preserve"> </w:t>
            </w:r>
            <w:r>
              <w:rPr>
                <w:i/>
                <w:lang w:val="en-US"/>
              </w:rPr>
              <w:t>p</w:t>
            </w:r>
            <w:r>
              <w:rPr>
                <w:lang w:val="en-US"/>
              </w:rPr>
              <w:t>&lt;.05, ***</w:t>
            </w:r>
            <w:r>
              <w:rPr>
                <w:i/>
                <w:lang w:val="en-US"/>
              </w:rPr>
              <w:t xml:space="preserve"> p</w:t>
            </w:r>
            <w:r>
              <w:rPr>
                <w:lang w:val="en-US"/>
              </w:rPr>
              <w:t>&lt;.001</w:t>
            </w:r>
          </w:p>
        </w:tc>
      </w:tr>
    </w:tbl>
    <w:p w14:paraId="52E1AAD8" w14:textId="77777777" w:rsidR="006E5BBC" w:rsidRPr="00E600F8" w:rsidRDefault="006E5BBC" w:rsidP="006E5BBC">
      <w:pPr>
        <w:spacing w:line="480" w:lineRule="auto"/>
        <w:rPr>
          <w:lang w:val="en-US"/>
        </w:rPr>
        <w:sectPr w:rsidR="006E5BBC" w:rsidRPr="00E600F8" w:rsidSect="00200B2D">
          <w:headerReference w:type="default" r:id="rId23"/>
          <w:pgSz w:w="11900" w:h="16840"/>
          <w:pgMar w:top="1440" w:right="1440" w:bottom="1440" w:left="1440" w:header="720" w:footer="720" w:gutter="0"/>
          <w:cols w:space="720"/>
          <w:docGrid w:linePitch="360"/>
        </w:sectPr>
      </w:pPr>
    </w:p>
    <w:tbl>
      <w:tblPr>
        <w:tblStyle w:val="TableGrid"/>
        <w:tblpPr w:leftFromText="180" w:rightFromText="180" w:vertAnchor="text" w:tblpY="-31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7"/>
        <w:gridCol w:w="996"/>
        <w:gridCol w:w="705"/>
        <w:gridCol w:w="850"/>
        <w:gridCol w:w="850"/>
        <w:gridCol w:w="3206"/>
      </w:tblGrid>
      <w:tr w:rsidR="009A285F" w:rsidRPr="008E6031" w14:paraId="14612976" w14:textId="77777777" w:rsidTr="009A285F">
        <w:tc>
          <w:tcPr>
            <w:tcW w:w="9014" w:type="dxa"/>
            <w:gridSpan w:val="6"/>
            <w:tcBorders>
              <w:top w:val="nil"/>
            </w:tcBorders>
          </w:tcPr>
          <w:p w14:paraId="45DB97F3" w14:textId="77777777" w:rsidR="009A285F" w:rsidRPr="00E600F8" w:rsidRDefault="009A285F" w:rsidP="009A285F">
            <w:pPr>
              <w:spacing w:line="480" w:lineRule="auto"/>
              <w:rPr>
                <w:b/>
                <w:lang w:val="en-US"/>
              </w:rPr>
            </w:pPr>
            <w:r w:rsidRPr="00E600F8">
              <w:rPr>
                <w:b/>
                <w:lang w:val="en-US"/>
              </w:rPr>
              <w:lastRenderedPageBreak/>
              <w:t xml:space="preserve">Table 2 a. Multilevel Models to Predict Gambling Under Ambiguity. </w:t>
            </w:r>
          </w:p>
        </w:tc>
      </w:tr>
      <w:tr w:rsidR="009A285F" w:rsidRPr="008E6031" w14:paraId="3522DF68" w14:textId="77777777" w:rsidTr="009A285F">
        <w:tc>
          <w:tcPr>
            <w:tcW w:w="2407" w:type="dxa"/>
            <w:tcBorders>
              <w:bottom w:val="single" w:sz="4" w:space="0" w:color="auto"/>
            </w:tcBorders>
          </w:tcPr>
          <w:p w14:paraId="6E8041B9" w14:textId="77777777" w:rsidR="009A285F" w:rsidRPr="00E600F8" w:rsidRDefault="009A285F" w:rsidP="009A285F">
            <w:pPr>
              <w:spacing w:line="480" w:lineRule="auto"/>
              <w:rPr>
                <w:lang w:val="en-US"/>
              </w:rPr>
            </w:pPr>
          </w:p>
        </w:tc>
        <w:tc>
          <w:tcPr>
            <w:tcW w:w="996" w:type="dxa"/>
            <w:tcBorders>
              <w:bottom w:val="single" w:sz="4" w:space="0" w:color="auto"/>
            </w:tcBorders>
          </w:tcPr>
          <w:p w14:paraId="49663657" w14:textId="77777777" w:rsidR="009A285F" w:rsidRPr="00E600F8" w:rsidRDefault="009A285F" w:rsidP="009A285F">
            <w:pPr>
              <w:spacing w:line="480" w:lineRule="auto"/>
              <w:jc w:val="center"/>
              <w:rPr>
                <w:i/>
                <w:lang w:val="en-US"/>
              </w:rPr>
            </w:pPr>
            <w:r w:rsidRPr="00E600F8">
              <w:rPr>
                <w:i/>
                <w:lang w:val="en-US"/>
              </w:rPr>
              <w:t>B</w:t>
            </w:r>
          </w:p>
        </w:tc>
        <w:tc>
          <w:tcPr>
            <w:tcW w:w="705" w:type="dxa"/>
            <w:tcBorders>
              <w:bottom w:val="single" w:sz="4" w:space="0" w:color="auto"/>
            </w:tcBorders>
          </w:tcPr>
          <w:p w14:paraId="713F833D" w14:textId="77777777" w:rsidR="009A285F" w:rsidRPr="00E600F8" w:rsidRDefault="009A285F" w:rsidP="009A285F">
            <w:pPr>
              <w:spacing w:line="480" w:lineRule="auto"/>
              <w:jc w:val="center"/>
              <w:rPr>
                <w:i/>
                <w:lang w:val="en-US"/>
              </w:rPr>
            </w:pPr>
            <w:r w:rsidRPr="00E600F8">
              <w:rPr>
                <w:i/>
                <w:lang w:val="en-US"/>
              </w:rPr>
              <w:t>SE</w:t>
            </w:r>
          </w:p>
        </w:tc>
        <w:tc>
          <w:tcPr>
            <w:tcW w:w="850" w:type="dxa"/>
            <w:tcBorders>
              <w:bottom w:val="single" w:sz="4" w:space="0" w:color="auto"/>
            </w:tcBorders>
          </w:tcPr>
          <w:p w14:paraId="2C9AC0FC" w14:textId="77777777" w:rsidR="009A285F" w:rsidRPr="00E600F8" w:rsidRDefault="009A285F" w:rsidP="009A285F">
            <w:pPr>
              <w:spacing w:line="480" w:lineRule="auto"/>
              <w:jc w:val="center"/>
              <w:rPr>
                <w:i/>
                <w:vertAlign w:val="subscript"/>
                <w:lang w:val="en-US"/>
              </w:rPr>
            </w:pPr>
            <w:r w:rsidRPr="00E600F8">
              <w:rPr>
                <w:i/>
                <w:lang w:val="en-US"/>
              </w:rPr>
              <w:t>CI</w:t>
            </w:r>
            <w:r w:rsidRPr="00E600F8">
              <w:rPr>
                <w:i/>
                <w:vertAlign w:val="subscript"/>
                <w:lang w:val="en-US"/>
              </w:rPr>
              <w:t>Low</w:t>
            </w:r>
          </w:p>
        </w:tc>
        <w:tc>
          <w:tcPr>
            <w:tcW w:w="850" w:type="dxa"/>
            <w:tcBorders>
              <w:bottom w:val="single" w:sz="4" w:space="0" w:color="auto"/>
            </w:tcBorders>
          </w:tcPr>
          <w:p w14:paraId="47EA46E8" w14:textId="77777777" w:rsidR="009A285F" w:rsidRPr="00E600F8" w:rsidRDefault="009A285F" w:rsidP="009A285F">
            <w:pPr>
              <w:spacing w:line="480" w:lineRule="auto"/>
              <w:jc w:val="center"/>
              <w:rPr>
                <w:lang w:val="en-US"/>
              </w:rPr>
            </w:pPr>
            <w:r w:rsidRPr="00E600F8">
              <w:rPr>
                <w:i/>
                <w:lang w:val="en-US"/>
              </w:rPr>
              <w:t>CI</w:t>
            </w:r>
            <w:r w:rsidRPr="00E600F8">
              <w:rPr>
                <w:i/>
                <w:vertAlign w:val="subscript"/>
                <w:lang w:val="en-US"/>
              </w:rPr>
              <w:t>High</w:t>
            </w:r>
          </w:p>
        </w:tc>
        <w:tc>
          <w:tcPr>
            <w:tcW w:w="3206" w:type="dxa"/>
            <w:tcBorders>
              <w:bottom w:val="single" w:sz="4" w:space="0" w:color="auto"/>
            </w:tcBorders>
          </w:tcPr>
          <w:p w14:paraId="01AF1770" w14:textId="77777777" w:rsidR="009A285F" w:rsidRPr="00E600F8" w:rsidRDefault="009A285F" w:rsidP="009A285F">
            <w:pPr>
              <w:spacing w:line="480" w:lineRule="auto"/>
              <w:jc w:val="center"/>
              <w:rPr>
                <w:i/>
                <w:lang w:val="en-US"/>
              </w:rPr>
            </w:pPr>
            <w:r w:rsidRPr="00E600F8">
              <w:rPr>
                <w:i/>
                <w:lang w:val="en-US"/>
              </w:rPr>
              <w:t>Fit Indices</w:t>
            </w:r>
          </w:p>
        </w:tc>
      </w:tr>
      <w:tr w:rsidR="009A285F" w:rsidRPr="008E6031" w14:paraId="33E6B305" w14:textId="77777777" w:rsidTr="009A285F">
        <w:tc>
          <w:tcPr>
            <w:tcW w:w="2407" w:type="dxa"/>
            <w:tcBorders>
              <w:bottom w:val="nil"/>
            </w:tcBorders>
          </w:tcPr>
          <w:p w14:paraId="15E169B6" w14:textId="77777777" w:rsidR="009A285F" w:rsidRPr="00E600F8" w:rsidRDefault="009A285F" w:rsidP="009A285F">
            <w:pPr>
              <w:spacing w:line="480" w:lineRule="auto"/>
              <w:rPr>
                <w:lang w:val="en-US"/>
              </w:rPr>
            </w:pPr>
            <w:r w:rsidRPr="00E600F8">
              <w:rPr>
                <w:lang w:val="en-US"/>
              </w:rPr>
              <w:t>Model 1</w:t>
            </w:r>
          </w:p>
        </w:tc>
        <w:tc>
          <w:tcPr>
            <w:tcW w:w="996" w:type="dxa"/>
            <w:tcBorders>
              <w:bottom w:val="nil"/>
            </w:tcBorders>
          </w:tcPr>
          <w:p w14:paraId="03A115D5" w14:textId="77777777" w:rsidR="009A285F" w:rsidRPr="00E600F8" w:rsidRDefault="009A285F" w:rsidP="009A285F">
            <w:pPr>
              <w:spacing w:line="480" w:lineRule="auto"/>
              <w:jc w:val="center"/>
              <w:rPr>
                <w:lang w:val="en-US"/>
              </w:rPr>
            </w:pPr>
          </w:p>
        </w:tc>
        <w:tc>
          <w:tcPr>
            <w:tcW w:w="705" w:type="dxa"/>
            <w:tcBorders>
              <w:bottom w:val="nil"/>
            </w:tcBorders>
          </w:tcPr>
          <w:p w14:paraId="55CF2E05" w14:textId="77777777" w:rsidR="009A285F" w:rsidRPr="00E600F8" w:rsidRDefault="009A285F" w:rsidP="009A285F">
            <w:pPr>
              <w:spacing w:line="480" w:lineRule="auto"/>
              <w:jc w:val="center"/>
              <w:rPr>
                <w:lang w:val="en-US"/>
              </w:rPr>
            </w:pPr>
          </w:p>
        </w:tc>
        <w:tc>
          <w:tcPr>
            <w:tcW w:w="850" w:type="dxa"/>
            <w:tcBorders>
              <w:bottom w:val="nil"/>
            </w:tcBorders>
          </w:tcPr>
          <w:p w14:paraId="08256504" w14:textId="77777777" w:rsidR="009A285F" w:rsidRPr="00E600F8" w:rsidRDefault="009A285F" w:rsidP="009A285F">
            <w:pPr>
              <w:spacing w:line="480" w:lineRule="auto"/>
              <w:jc w:val="center"/>
              <w:rPr>
                <w:lang w:val="en-US"/>
              </w:rPr>
            </w:pPr>
          </w:p>
        </w:tc>
        <w:tc>
          <w:tcPr>
            <w:tcW w:w="850" w:type="dxa"/>
            <w:tcBorders>
              <w:bottom w:val="nil"/>
            </w:tcBorders>
          </w:tcPr>
          <w:p w14:paraId="1DA0ECD9" w14:textId="77777777" w:rsidR="009A285F" w:rsidRPr="00E600F8" w:rsidRDefault="009A285F" w:rsidP="009A285F">
            <w:pPr>
              <w:spacing w:line="480" w:lineRule="auto"/>
              <w:jc w:val="center"/>
              <w:rPr>
                <w:lang w:val="en-US"/>
              </w:rPr>
            </w:pPr>
          </w:p>
        </w:tc>
        <w:tc>
          <w:tcPr>
            <w:tcW w:w="3206" w:type="dxa"/>
            <w:tcBorders>
              <w:bottom w:val="nil"/>
            </w:tcBorders>
          </w:tcPr>
          <w:p w14:paraId="41AB029F" w14:textId="77777777" w:rsidR="009A285F" w:rsidRPr="00E600F8" w:rsidRDefault="009A285F" w:rsidP="009A285F">
            <w:pPr>
              <w:spacing w:line="480" w:lineRule="auto"/>
              <w:jc w:val="center"/>
              <w:rPr>
                <w:lang w:val="en-US"/>
              </w:rPr>
            </w:pPr>
            <w:r w:rsidRPr="00E600F8">
              <w:rPr>
                <w:lang w:val="en-US"/>
              </w:rPr>
              <w:t>-2LL=-39.44</w:t>
            </w:r>
          </w:p>
          <w:p w14:paraId="589053AB" w14:textId="77777777" w:rsidR="009A285F" w:rsidRPr="00E600F8" w:rsidRDefault="009A285F" w:rsidP="009A285F">
            <w:pPr>
              <w:spacing w:line="480" w:lineRule="auto"/>
              <w:jc w:val="center"/>
              <w:rPr>
                <w:lang w:val="en-US"/>
              </w:rPr>
            </w:pPr>
            <w:r w:rsidRPr="00E600F8">
              <w:rPr>
                <w:lang w:val="en-US"/>
              </w:rPr>
              <w:t>AIC=-25.44; BIC=-3.09</w:t>
            </w:r>
          </w:p>
        </w:tc>
      </w:tr>
      <w:tr w:rsidR="009A285F" w:rsidRPr="008E6031" w14:paraId="5249160D" w14:textId="77777777" w:rsidTr="009A285F">
        <w:tc>
          <w:tcPr>
            <w:tcW w:w="2407" w:type="dxa"/>
            <w:tcBorders>
              <w:top w:val="nil"/>
              <w:bottom w:val="nil"/>
            </w:tcBorders>
          </w:tcPr>
          <w:p w14:paraId="346E8FDF" w14:textId="77777777" w:rsidR="009A285F" w:rsidRPr="00E600F8" w:rsidRDefault="009A285F" w:rsidP="009A285F">
            <w:pPr>
              <w:spacing w:line="480" w:lineRule="auto"/>
              <w:ind w:left="318"/>
              <w:rPr>
                <w:lang w:val="en-US"/>
              </w:rPr>
            </w:pPr>
            <w:r w:rsidRPr="00E600F8">
              <w:rPr>
                <w:lang w:val="en-US"/>
              </w:rPr>
              <w:t xml:space="preserve">Intercept </w:t>
            </w:r>
          </w:p>
        </w:tc>
        <w:tc>
          <w:tcPr>
            <w:tcW w:w="996" w:type="dxa"/>
            <w:tcBorders>
              <w:top w:val="nil"/>
              <w:bottom w:val="nil"/>
            </w:tcBorders>
          </w:tcPr>
          <w:p w14:paraId="10923BAD" w14:textId="77777777" w:rsidR="009A285F" w:rsidRPr="00E600F8" w:rsidRDefault="009A285F" w:rsidP="009A285F">
            <w:pPr>
              <w:spacing w:line="480" w:lineRule="auto"/>
              <w:jc w:val="center"/>
              <w:rPr>
                <w:lang w:val="en-US"/>
              </w:rPr>
            </w:pPr>
            <w:r w:rsidRPr="00E600F8">
              <w:rPr>
                <w:lang w:val="en-US"/>
              </w:rPr>
              <w:t>0.58***</w:t>
            </w:r>
          </w:p>
        </w:tc>
        <w:tc>
          <w:tcPr>
            <w:tcW w:w="705" w:type="dxa"/>
            <w:tcBorders>
              <w:top w:val="nil"/>
              <w:bottom w:val="nil"/>
            </w:tcBorders>
          </w:tcPr>
          <w:p w14:paraId="55081145"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318B7177" w14:textId="77777777" w:rsidR="009A285F" w:rsidRPr="00E600F8" w:rsidRDefault="009A285F" w:rsidP="009A285F">
            <w:pPr>
              <w:spacing w:line="480" w:lineRule="auto"/>
              <w:jc w:val="center"/>
              <w:rPr>
                <w:lang w:val="en-US"/>
              </w:rPr>
            </w:pPr>
            <w:r w:rsidRPr="00E600F8">
              <w:rPr>
                <w:lang w:val="en-US"/>
              </w:rPr>
              <w:t>0.53</w:t>
            </w:r>
          </w:p>
        </w:tc>
        <w:tc>
          <w:tcPr>
            <w:tcW w:w="850" w:type="dxa"/>
            <w:tcBorders>
              <w:top w:val="nil"/>
              <w:bottom w:val="nil"/>
            </w:tcBorders>
          </w:tcPr>
          <w:p w14:paraId="4D8C9D33" w14:textId="77777777" w:rsidR="009A285F" w:rsidRPr="00E600F8" w:rsidRDefault="009A285F" w:rsidP="009A285F">
            <w:pPr>
              <w:spacing w:line="480" w:lineRule="auto"/>
              <w:jc w:val="center"/>
              <w:rPr>
                <w:lang w:val="en-US"/>
              </w:rPr>
            </w:pPr>
            <w:r w:rsidRPr="00E600F8">
              <w:rPr>
                <w:lang w:val="en-US"/>
              </w:rPr>
              <w:t>0.62</w:t>
            </w:r>
          </w:p>
        </w:tc>
        <w:tc>
          <w:tcPr>
            <w:tcW w:w="3206" w:type="dxa"/>
            <w:tcBorders>
              <w:top w:val="nil"/>
              <w:bottom w:val="nil"/>
            </w:tcBorders>
          </w:tcPr>
          <w:p w14:paraId="2677857F" w14:textId="77777777" w:rsidR="009A285F" w:rsidRPr="00E600F8" w:rsidRDefault="009A285F" w:rsidP="009A285F">
            <w:pPr>
              <w:spacing w:line="480" w:lineRule="auto"/>
              <w:jc w:val="center"/>
              <w:rPr>
                <w:lang w:val="en-US"/>
              </w:rPr>
            </w:pPr>
          </w:p>
        </w:tc>
      </w:tr>
      <w:tr w:rsidR="009A285F" w:rsidRPr="008E6031" w14:paraId="0A09C599" w14:textId="77777777" w:rsidTr="009A285F">
        <w:tc>
          <w:tcPr>
            <w:tcW w:w="2407" w:type="dxa"/>
            <w:tcBorders>
              <w:top w:val="nil"/>
              <w:bottom w:val="nil"/>
            </w:tcBorders>
          </w:tcPr>
          <w:p w14:paraId="58DFE469" w14:textId="77777777" w:rsidR="009A285F" w:rsidRPr="00E600F8" w:rsidRDefault="009A285F" w:rsidP="009A285F">
            <w:pPr>
              <w:spacing w:line="480" w:lineRule="auto"/>
              <w:ind w:left="318"/>
              <w:rPr>
                <w:lang w:val="en-US"/>
              </w:rPr>
            </w:pPr>
            <w:r w:rsidRPr="00E600F8">
              <w:rPr>
                <w:lang w:val="en-US"/>
              </w:rPr>
              <w:t xml:space="preserve">Age </w:t>
            </w:r>
          </w:p>
        </w:tc>
        <w:tc>
          <w:tcPr>
            <w:tcW w:w="996" w:type="dxa"/>
            <w:tcBorders>
              <w:top w:val="nil"/>
              <w:bottom w:val="nil"/>
            </w:tcBorders>
          </w:tcPr>
          <w:p w14:paraId="204A7B5F" w14:textId="77777777" w:rsidR="009A285F" w:rsidRPr="00E600F8" w:rsidRDefault="009A285F" w:rsidP="009A285F">
            <w:pPr>
              <w:spacing w:line="480" w:lineRule="auto"/>
              <w:jc w:val="center"/>
              <w:rPr>
                <w:lang w:val="en-US"/>
              </w:rPr>
            </w:pPr>
            <w:r w:rsidRPr="00E600F8">
              <w:rPr>
                <w:lang w:val="en-US"/>
              </w:rPr>
              <w:t>0.06**</w:t>
            </w:r>
          </w:p>
        </w:tc>
        <w:tc>
          <w:tcPr>
            <w:tcW w:w="705" w:type="dxa"/>
            <w:tcBorders>
              <w:top w:val="nil"/>
              <w:bottom w:val="nil"/>
            </w:tcBorders>
          </w:tcPr>
          <w:p w14:paraId="646B9C37"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0F54C65F"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424ADC90" w14:textId="77777777" w:rsidR="009A285F" w:rsidRPr="00E600F8" w:rsidRDefault="009A285F" w:rsidP="009A285F">
            <w:pPr>
              <w:spacing w:line="480" w:lineRule="auto"/>
              <w:jc w:val="center"/>
              <w:rPr>
                <w:lang w:val="en-US"/>
              </w:rPr>
            </w:pPr>
            <w:r w:rsidRPr="00E600F8">
              <w:rPr>
                <w:lang w:val="en-US"/>
              </w:rPr>
              <w:t>0.10</w:t>
            </w:r>
          </w:p>
        </w:tc>
        <w:tc>
          <w:tcPr>
            <w:tcW w:w="3206" w:type="dxa"/>
            <w:tcBorders>
              <w:top w:val="nil"/>
              <w:bottom w:val="nil"/>
            </w:tcBorders>
          </w:tcPr>
          <w:p w14:paraId="4CFC670A" w14:textId="77777777" w:rsidR="009A285F" w:rsidRPr="00E600F8" w:rsidRDefault="009A285F" w:rsidP="009A285F">
            <w:pPr>
              <w:spacing w:line="480" w:lineRule="auto"/>
              <w:jc w:val="center"/>
              <w:rPr>
                <w:lang w:val="en-US"/>
              </w:rPr>
            </w:pPr>
          </w:p>
        </w:tc>
      </w:tr>
      <w:tr w:rsidR="009A285F" w:rsidRPr="008E6031" w14:paraId="105697F6" w14:textId="77777777" w:rsidTr="009A285F">
        <w:tc>
          <w:tcPr>
            <w:tcW w:w="2407" w:type="dxa"/>
            <w:tcBorders>
              <w:top w:val="nil"/>
              <w:bottom w:val="nil"/>
            </w:tcBorders>
          </w:tcPr>
          <w:p w14:paraId="33EE45B1" w14:textId="77777777" w:rsidR="009A285F" w:rsidRPr="00E600F8" w:rsidRDefault="009A285F" w:rsidP="009A285F">
            <w:pPr>
              <w:spacing w:line="480" w:lineRule="auto"/>
              <w:ind w:left="318"/>
              <w:rPr>
                <w:lang w:val="en-US"/>
              </w:rPr>
            </w:pPr>
            <w:r w:rsidRPr="00E600F8">
              <w:rPr>
                <w:lang w:val="en-US"/>
              </w:rPr>
              <w:t>Risk Perception</w:t>
            </w:r>
          </w:p>
        </w:tc>
        <w:tc>
          <w:tcPr>
            <w:tcW w:w="996" w:type="dxa"/>
            <w:tcBorders>
              <w:top w:val="nil"/>
              <w:bottom w:val="nil"/>
            </w:tcBorders>
          </w:tcPr>
          <w:p w14:paraId="56F4593D" w14:textId="77777777" w:rsidR="009A285F" w:rsidRPr="00E600F8" w:rsidRDefault="009A285F" w:rsidP="009A285F">
            <w:pPr>
              <w:spacing w:line="480" w:lineRule="auto"/>
              <w:jc w:val="center"/>
              <w:rPr>
                <w:lang w:val="en-US"/>
              </w:rPr>
            </w:pPr>
            <w:r w:rsidRPr="00E600F8">
              <w:rPr>
                <w:lang w:val="en-US"/>
              </w:rPr>
              <w:t>0.01</w:t>
            </w:r>
          </w:p>
        </w:tc>
        <w:tc>
          <w:tcPr>
            <w:tcW w:w="705" w:type="dxa"/>
            <w:tcBorders>
              <w:top w:val="nil"/>
              <w:bottom w:val="nil"/>
            </w:tcBorders>
          </w:tcPr>
          <w:p w14:paraId="77104D00"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47670305" w14:textId="77777777" w:rsidR="009A285F" w:rsidRPr="00E600F8" w:rsidRDefault="009A285F" w:rsidP="009A285F">
            <w:pPr>
              <w:spacing w:line="480" w:lineRule="auto"/>
              <w:jc w:val="center"/>
              <w:rPr>
                <w:lang w:val="en-US"/>
              </w:rPr>
            </w:pPr>
            <w:r w:rsidRPr="00E600F8">
              <w:rPr>
                <w:lang w:val="en-US"/>
              </w:rPr>
              <w:t>-0.03</w:t>
            </w:r>
          </w:p>
        </w:tc>
        <w:tc>
          <w:tcPr>
            <w:tcW w:w="850" w:type="dxa"/>
            <w:tcBorders>
              <w:top w:val="nil"/>
              <w:bottom w:val="nil"/>
            </w:tcBorders>
          </w:tcPr>
          <w:p w14:paraId="55EBA0C5" w14:textId="77777777" w:rsidR="009A285F" w:rsidRPr="00E600F8" w:rsidRDefault="009A285F" w:rsidP="009A285F">
            <w:pPr>
              <w:spacing w:line="480" w:lineRule="auto"/>
              <w:jc w:val="center"/>
              <w:rPr>
                <w:lang w:val="en-US"/>
              </w:rPr>
            </w:pPr>
            <w:r w:rsidRPr="00E600F8">
              <w:rPr>
                <w:lang w:val="en-US"/>
              </w:rPr>
              <w:t>0.06</w:t>
            </w:r>
          </w:p>
        </w:tc>
        <w:tc>
          <w:tcPr>
            <w:tcW w:w="3206" w:type="dxa"/>
            <w:tcBorders>
              <w:top w:val="nil"/>
              <w:bottom w:val="nil"/>
            </w:tcBorders>
          </w:tcPr>
          <w:p w14:paraId="4B838A1F" w14:textId="77777777" w:rsidR="009A285F" w:rsidRPr="00E600F8" w:rsidRDefault="009A285F" w:rsidP="009A285F">
            <w:pPr>
              <w:spacing w:line="480" w:lineRule="auto"/>
              <w:jc w:val="center"/>
              <w:rPr>
                <w:lang w:val="en-US"/>
              </w:rPr>
            </w:pPr>
          </w:p>
        </w:tc>
      </w:tr>
      <w:tr w:rsidR="009A285F" w:rsidRPr="008E6031" w14:paraId="5E4A01EB" w14:textId="77777777" w:rsidTr="009A285F">
        <w:tc>
          <w:tcPr>
            <w:tcW w:w="2407" w:type="dxa"/>
            <w:tcBorders>
              <w:top w:val="nil"/>
              <w:bottom w:val="nil"/>
            </w:tcBorders>
          </w:tcPr>
          <w:p w14:paraId="651083E5" w14:textId="77777777" w:rsidR="009A285F" w:rsidRPr="00E600F8" w:rsidRDefault="009A285F" w:rsidP="009A285F">
            <w:pPr>
              <w:spacing w:line="480" w:lineRule="auto"/>
              <w:ind w:left="318"/>
              <w:rPr>
                <w:lang w:val="en-US"/>
              </w:rPr>
            </w:pPr>
            <w:r w:rsidRPr="00E600F8">
              <w:rPr>
                <w:lang w:val="en-US"/>
              </w:rPr>
              <w:t>Reward Sensitivity</w:t>
            </w:r>
          </w:p>
        </w:tc>
        <w:tc>
          <w:tcPr>
            <w:tcW w:w="996" w:type="dxa"/>
            <w:tcBorders>
              <w:top w:val="nil"/>
              <w:bottom w:val="nil"/>
            </w:tcBorders>
          </w:tcPr>
          <w:p w14:paraId="45A0C5A1" w14:textId="77777777" w:rsidR="009A285F" w:rsidRPr="00E600F8" w:rsidRDefault="009A285F" w:rsidP="009A285F">
            <w:pPr>
              <w:spacing w:line="480" w:lineRule="auto"/>
              <w:jc w:val="center"/>
              <w:rPr>
                <w:lang w:val="en-US"/>
              </w:rPr>
            </w:pPr>
            <w:r w:rsidRPr="00E600F8">
              <w:rPr>
                <w:lang w:val="en-US"/>
              </w:rPr>
              <w:t>0.09</w:t>
            </w:r>
          </w:p>
        </w:tc>
        <w:tc>
          <w:tcPr>
            <w:tcW w:w="705" w:type="dxa"/>
            <w:tcBorders>
              <w:top w:val="nil"/>
              <w:bottom w:val="nil"/>
            </w:tcBorders>
          </w:tcPr>
          <w:p w14:paraId="43CA785F" w14:textId="77777777" w:rsidR="009A285F" w:rsidRPr="00E600F8" w:rsidRDefault="009A285F" w:rsidP="009A285F">
            <w:pPr>
              <w:spacing w:line="480" w:lineRule="auto"/>
              <w:jc w:val="center"/>
              <w:rPr>
                <w:lang w:val="en-US"/>
              </w:rPr>
            </w:pPr>
            <w:r w:rsidRPr="00E600F8">
              <w:rPr>
                <w:lang w:val="en-US"/>
              </w:rPr>
              <w:t>0.09</w:t>
            </w:r>
          </w:p>
        </w:tc>
        <w:tc>
          <w:tcPr>
            <w:tcW w:w="850" w:type="dxa"/>
            <w:tcBorders>
              <w:top w:val="nil"/>
              <w:bottom w:val="nil"/>
            </w:tcBorders>
          </w:tcPr>
          <w:p w14:paraId="4978A7E8" w14:textId="77777777" w:rsidR="009A285F" w:rsidRPr="00E600F8" w:rsidRDefault="009A285F" w:rsidP="009A285F">
            <w:pPr>
              <w:spacing w:line="480" w:lineRule="auto"/>
              <w:jc w:val="center"/>
              <w:rPr>
                <w:lang w:val="en-US"/>
              </w:rPr>
            </w:pPr>
            <w:r w:rsidRPr="00E600F8">
              <w:rPr>
                <w:lang w:val="en-US"/>
              </w:rPr>
              <w:t>-0.08</w:t>
            </w:r>
          </w:p>
        </w:tc>
        <w:tc>
          <w:tcPr>
            <w:tcW w:w="850" w:type="dxa"/>
            <w:tcBorders>
              <w:top w:val="nil"/>
              <w:bottom w:val="nil"/>
            </w:tcBorders>
          </w:tcPr>
          <w:p w14:paraId="34CE4F7D" w14:textId="77777777" w:rsidR="009A285F" w:rsidRPr="00E600F8" w:rsidRDefault="009A285F" w:rsidP="009A285F">
            <w:pPr>
              <w:spacing w:line="480" w:lineRule="auto"/>
              <w:jc w:val="center"/>
              <w:rPr>
                <w:lang w:val="en-US"/>
              </w:rPr>
            </w:pPr>
            <w:r w:rsidRPr="00E600F8">
              <w:rPr>
                <w:lang w:val="en-US"/>
              </w:rPr>
              <w:t>0.27</w:t>
            </w:r>
          </w:p>
        </w:tc>
        <w:tc>
          <w:tcPr>
            <w:tcW w:w="3206" w:type="dxa"/>
            <w:tcBorders>
              <w:top w:val="nil"/>
              <w:bottom w:val="nil"/>
            </w:tcBorders>
          </w:tcPr>
          <w:p w14:paraId="69CC50F0" w14:textId="77777777" w:rsidR="009A285F" w:rsidRPr="00E600F8" w:rsidRDefault="009A285F" w:rsidP="009A285F">
            <w:pPr>
              <w:spacing w:line="480" w:lineRule="auto"/>
              <w:jc w:val="center"/>
              <w:rPr>
                <w:lang w:val="en-US"/>
              </w:rPr>
            </w:pPr>
          </w:p>
        </w:tc>
      </w:tr>
      <w:tr w:rsidR="009A285F" w:rsidRPr="008E6031" w14:paraId="3CD53518" w14:textId="77777777" w:rsidTr="009A285F">
        <w:tc>
          <w:tcPr>
            <w:tcW w:w="2407" w:type="dxa"/>
            <w:tcBorders>
              <w:top w:val="nil"/>
              <w:bottom w:val="dashed" w:sz="4" w:space="0" w:color="auto"/>
            </w:tcBorders>
          </w:tcPr>
          <w:p w14:paraId="58388271" w14:textId="77777777" w:rsidR="009A285F" w:rsidRPr="00E600F8" w:rsidRDefault="009A285F" w:rsidP="009A285F">
            <w:pPr>
              <w:spacing w:line="480" w:lineRule="auto"/>
              <w:ind w:left="318"/>
              <w:rPr>
                <w:lang w:val="en-US"/>
              </w:rPr>
            </w:pPr>
            <w:r w:rsidRPr="00E600F8">
              <w:rPr>
                <w:lang w:val="en-US"/>
              </w:rPr>
              <w:t>Inhibitory Control</w:t>
            </w:r>
          </w:p>
        </w:tc>
        <w:tc>
          <w:tcPr>
            <w:tcW w:w="996" w:type="dxa"/>
            <w:tcBorders>
              <w:top w:val="nil"/>
              <w:bottom w:val="dashed" w:sz="4" w:space="0" w:color="auto"/>
            </w:tcBorders>
          </w:tcPr>
          <w:p w14:paraId="0AF0FC60" w14:textId="77777777" w:rsidR="009A285F" w:rsidRPr="00E600F8" w:rsidRDefault="009A285F" w:rsidP="009A285F">
            <w:pPr>
              <w:spacing w:line="480" w:lineRule="auto"/>
              <w:jc w:val="center"/>
              <w:rPr>
                <w:lang w:val="en-US"/>
              </w:rPr>
            </w:pPr>
            <w:r w:rsidRPr="00E600F8">
              <w:rPr>
                <w:lang w:val="en-US"/>
              </w:rPr>
              <w:t>0.01</w:t>
            </w:r>
          </w:p>
        </w:tc>
        <w:tc>
          <w:tcPr>
            <w:tcW w:w="705" w:type="dxa"/>
            <w:tcBorders>
              <w:top w:val="nil"/>
              <w:bottom w:val="dashed" w:sz="4" w:space="0" w:color="auto"/>
            </w:tcBorders>
          </w:tcPr>
          <w:p w14:paraId="5A0EA1C0" w14:textId="77777777" w:rsidR="009A285F" w:rsidRPr="00E600F8" w:rsidRDefault="009A285F" w:rsidP="009A285F">
            <w:pPr>
              <w:spacing w:line="480" w:lineRule="auto"/>
              <w:jc w:val="center"/>
              <w:rPr>
                <w:lang w:val="en-US"/>
              </w:rPr>
            </w:pPr>
            <w:r w:rsidRPr="00E600F8">
              <w:rPr>
                <w:lang w:val="en-US"/>
              </w:rPr>
              <w:t>0.05</w:t>
            </w:r>
          </w:p>
        </w:tc>
        <w:tc>
          <w:tcPr>
            <w:tcW w:w="850" w:type="dxa"/>
            <w:tcBorders>
              <w:top w:val="nil"/>
              <w:bottom w:val="dashed" w:sz="4" w:space="0" w:color="auto"/>
            </w:tcBorders>
          </w:tcPr>
          <w:p w14:paraId="7E602966" w14:textId="77777777" w:rsidR="009A285F" w:rsidRPr="00E600F8" w:rsidRDefault="009A285F" w:rsidP="009A285F">
            <w:pPr>
              <w:spacing w:line="480" w:lineRule="auto"/>
              <w:jc w:val="center"/>
              <w:rPr>
                <w:lang w:val="en-US"/>
              </w:rPr>
            </w:pPr>
            <w:r w:rsidRPr="00E600F8">
              <w:rPr>
                <w:lang w:val="en-US"/>
              </w:rPr>
              <w:t>-0.10</w:t>
            </w:r>
          </w:p>
        </w:tc>
        <w:tc>
          <w:tcPr>
            <w:tcW w:w="850" w:type="dxa"/>
            <w:tcBorders>
              <w:top w:val="nil"/>
              <w:bottom w:val="dashed" w:sz="4" w:space="0" w:color="auto"/>
            </w:tcBorders>
          </w:tcPr>
          <w:p w14:paraId="4A21286A" w14:textId="77777777" w:rsidR="009A285F" w:rsidRPr="00E600F8" w:rsidRDefault="009A285F" w:rsidP="009A285F">
            <w:pPr>
              <w:spacing w:line="480" w:lineRule="auto"/>
              <w:jc w:val="center"/>
              <w:rPr>
                <w:lang w:val="en-US"/>
              </w:rPr>
            </w:pPr>
            <w:r w:rsidRPr="00E600F8">
              <w:rPr>
                <w:lang w:val="en-US"/>
              </w:rPr>
              <w:t>0.11</w:t>
            </w:r>
          </w:p>
        </w:tc>
        <w:tc>
          <w:tcPr>
            <w:tcW w:w="3206" w:type="dxa"/>
            <w:tcBorders>
              <w:top w:val="nil"/>
              <w:bottom w:val="dashed" w:sz="4" w:space="0" w:color="auto"/>
            </w:tcBorders>
          </w:tcPr>
          <w:p w14:paraId="751835CF" w14:textId="77777777" w:rsidR="009A285F" w:rsidRPr="00E600F8" w:rsidRDefault="009A285F" w:rsidP="009A285F">
            <w:pPr>
              <w:spacing w:line="480" w:lineRule="auto"/>
              <w:jc w:val="center"/>
              <w:rPr>
                <w:lang w:val="en-US"/>
              </w:rPr>
            </w:pPr>
          </w:p>
        </w:tc>
      </w:tr>
      <w:tr w:rsidR="009A285F" w:rsidRPr="008E6031" w14:paraId="1A9457B9" w14:textId="77777777" w:rsidTr="009A285F">
        <w:tc>
          <w:tcPr>
            <w:tcW w:w="2407" w:type="dxa"/>
            <w:tcBorders>
              <w:top w:val="dashed" w:sz="4" w:space="0" w:color="auto"/>
              <w:bottom w:val="nil"/>
            </w:tcBorders>
          </w:tcPr>
          <w:p w14:paraId="5A62ACF6" w14:textId="77777777" w:rsidR="009A285F" w:rsidRPr="00E600F8" w:rsidRDefault="009A285F" w:rsidP="009A285F">
            <w:pPr>
              <w:spacing w:line="480" w:lineRule="auto"/>
              <w:rPr>
                <w:lang w:val="en-US"/>
              </w:rPr>
            </w:pPr>
            <w:r w:rsidRPr="00E600F8">
              <w:rPr>
                <w:lang w:val="en-US"/>
              </w:rPr>
              <w:t>Model 2</w:t>
            </w:r>
          </w:p>
        </w:tc>
        <w:tc>
          <w:tcPr>
            <w:tcW w:w="996" w:type="dxa"/>
            <w:tcBorders>
              <w:top w:val="dashed" w:sz="4" w:space="0" w:color="auto"/>
              <w:bottom w:val="nil"/>
            </w:tcBorders>
          </w:tcPr>
          <w:p w14:paraId="16925201" w14:textId="77777777" w:rsidR="009A285F" w:rsidRPr="00E600F8" w:rsidRDefault="009A285F" w:rsidP="009A285F">
            <w:pPr>
              <w:spacing w:line="480" w:lineRule="auto"/>
              <w:jc w:val="center"/>
              <w:rPr>
                <w:lang w:val="en-US"/>
              </w:rPr>
            </w:pPr>
          </w:p>
        </w:tc>
        <w:tc>
          <w:tcPr>
            <w:tcW w:w="705" w:type="dxa"/>
            <w:tcBorders>
              <w:top w:val="dashed" w:sz="4" w:space="0" w:color="auto"/>
              <w:bottom w:val="nil"/>
            </w:tcBorders>
          </w:tcPr>
          <w:p w14:paraId="0660B4C7" w14:textId="77777777" w:rsidR="009A285F" w:rsidRPr="00E600F8" w:rsidRDefault="009A285F" w:rsidP="009A285F">
            <w:pPr>
              <w:spacing w:line="480" w:lineRule="auto"/>
              <w:jc w:val="center"/>
              <w:rPr>
                <w:lang w:val="en-US"/>
              </w:rPr>
            </w:pPr>
          </w:p>
        </w:tc>
        <w:tc>
          <w:tcPr>
            <w:tcW w:w="850" w:type="dxa"/>
            <w:tcBorders>
              <w:top w:val="dashed" w:sz="4" w:space="0" w:color="auto"/>
              <w:bottom w:val="nil"/>
            </w:tcBorders>
          </w:tcPr>
          <w:p w14:paraId="4703E38D" w14:textId="77777777" w:rsidR="009A285F" w:rsidRPr="00E600F8" w:rsidRDefault="009A285F" w:rsidP="009A285F">
            <w:pPr>
              <w:spacing w:line="480" w:lineRule="auto"/>
              <w:jc w:val="center"/>
              <w:rPr>
                <w:lang w:val="en-US"/>
              </w:rPr>
            </w:pPr>
          </w:p>
        </w:tc>
        <w:tc>
          <w:tcPr>
            <w:tcW w:w="850" w:type="dxa"/>
            <w:tcBorders>
              <w:top w:val="dashed" w:sz="4" w:space="0" w:color="auto"/>
              <w:bottom w:val="nil"/>
            </w:tcBorders>
          </w:tcPr>
          <w:p w14:paraId="7B3D66F8" w14:textId="77777777" w:rsidR="009A285F" w:rsidRPr="00E600F8" w:rsidRDefault="009A285F" w:rsidP="009A285F">
            <w:pPr>
              <w:spacing w:line="480" w:lineRule="auto"/>
              <w:jc w:val="center"/>
              <w:rPr>
                <w:lang w:val="en-US"/>
              </w:rPr>
            </w:pPr>
          </w:p>
        </w:tc>
        <w:tc>
          <w:tcPr>
            <w:tcW w:w="3206" w:type="dxa"/>
            <w:tcBorders>
              <w:top w:val="dashed" w:sz="4" w:space="0" w:color="auto"/>
              <w:bottom w:val="nil"/>
            </w:tcBorders>
          </w:tcPr>
          <w:p w14:paraId="7DA4349F" w14:textId="77777777" w:rsidR="009A285F" w:rsidRPr="00E600F8" w:rsidRDefault="009A285F" w:rsidP="009A285F">
            <w:pPr>
              <w:spacing w:line="480" w:lineRule="auto"/>
              <w:jc w:val="center"/>
              <w:rPr>
                <w:vertAlign w:val="superscript"/>
                <w:lang w:val="en-US"/>
              </w:rPr>
            </w:pPr>
            <w:r w:rsidRPr="00E600F8">
              <w:rPr>
                <w:lang w:val="en-US"/>
              </w:rPr>
              <w:t>-2LL=-42.51, Δ-2LL=3.07</w:t>
            </w:r>
            <w:r w:rsidRPr="00E600F8">
              <w:rPr>
                <w:vertAlign w:val="superscript"/>
                <w:lang w:val="en-US"/>
              </w:rPr>
              <w:t>+</w:t>
            </w:r>
          </w:p>
          <w:p w14:paraId="1F83B3C5" w14:textId="77777777" w:rsidR="009A285F" w:rsidRPr="00E600F8" w:rsidRDefault="009A285F" w:rsidP="009A285F">
            <w:pPr>
              <w:spacing w:line="480" w:lineRule="auto"/>
              <w:jc w:val="center"/>
              <w:rPr>
                <w:lang w:val="en-US"/>
              </w:rPr>
            </w:pPr>
            <w:r w:rsidRPr="00E600F8">
              <w:rPr>
                <w:lang w:val="en-US"/>
              </w:rPr>
              <w:t>AIC=-26.51; BIC=-0.97</w:t>
            </w:r>
          </w:p>
        </w:tc>
      </w:tr>
      <w:tr w:rsidR="009A285F" w:rsidRPr="008E6031" w14:paraId="37B64702" w14:textId="77777777" w:rsidTr="009A285F">
        <w:tc>
          <w:tcPr>
            <w:tcW w:w="2407" w:type="dxa"/>
            <w:tcBorders>
              <w:top w:val="nil"/>
              <w:bottom w:val="nil"/>
            </w:tcBorders>
          </w:tcPr>
          <w:p w14:paraId="47F60ECD" w14:textId="77777777" w:rsidR="009A285F" w:rsidRPr="00E600F8" w:rsidRDefault="009A285F" w:rsidP="009A285F">
            <w:pPr>
              <w:spacing w:line="480" w:lineRule="auto"/>
              <w:ind w:left="318"/>
              <w:rPr>
                <w:lang w:val="en-US"/>
              </w:rPr>
            </w:pPr>
            <w:r w:rsidRPr="00E600F8">
              <w:rPr>
                <w:lang w:val="en-US"/>
              </w:rPr>
              <w:t xml:space="preserve">Intercept </w:t>
            </w:r>
          </w:p>
        </w:tc>
        <w:tc>
          <w:tcPr>
            <w:tcW w:w="996" w:type="dxa"/>
            <w:tcBorders>
              <w:top w:val="nil"/>
              <w:bottom w:val="nil"/>
            </w:tcBorders>
          </w:tcPr>
          <w:p w14:paraId="45A2A9F6" w14:textId="77777777" w:rsidR="009A285F" w:rsidRPr="00E600F8" w:rsidRDefault="009A285F" w:rsidP="009A285F">
            <w:pPr>
              <w:spacing w:line="480" w:lineRule="auto"/>
              <w:jc w:val="center"/>
              <w:rPr>
                <w:lang w:val="en-US"/>
              </w:rPr>
            </w:pPr>
            <w:r w:rsidRPr="00E600F8">
              <w:rPr>
                <w:lang w:val="en-US"/>
              </w:rPr>
              <w:t>0.53***</w:t>
            </w:r>
          </w:p>
        </w:tc>
        <w:tc>
          <w:tcPr>
            <w:tcW w:w="705" w:type="dxa"/>
            <w:tcBorders>
              <w:top w:val="nil"/>
              <w:bottom w:val="nil"/>
            </w:tcBorders>
          </w:tcPr>
          <w:p w14:paraId="0C5F13E5" w14:textId="77777777" w:rsidR="009A285F" w:rsidRPr="00E600F8" w:rsidRDefault="009A285F" w:rsidP="009A285F">
            <w:pPr>
              <w:spacing w:line="480" w:lineRule="auto"/>
              <w:jc w:val="center"/>
              <w:rPr>
                <w:lang w:val="en-US"/>
              </w:rPr>
            </w:pPr>
            <w:r w:rsidRPr="00E600F8">
              <w:rPr>
                <w:lang w:val="en-US"/>
              </w:rPr>
              <w:t>0.03</w:t>
            </w:r>
          </w:p>
        </w:tc>
        <w:tc>
          <w:tcPr>
            <w:tcW w:w="850" w:type="dxa"/>
            <w:tcBorders>
              <w:top w:val="nil"/>
              <w:bottom w:val="nil"/>
            </w:tcBorders>
          </w:tcPr>
          <w:p w14:paraId="368ADD48" w14:textId="77777777" w:rsidR="009A285F" w:rsidRPr="00E600F8" w:rsidRDefault="009A285F" w:rsidP="009A285F">
            <w:pPr>
              <w:spacing w:line="480" w:lineRule="auto"/>
              <w:jc w:val="center"/>
              <w:rPr>
                <w:lang w:val="en-US"/>
              </w:rPr>
            </w:pPr>
            <w:r w:rsidRPr="00E600F8">
              <w:rPr>
                <w:lang w:val="en-US"/>
              </w:rPr>
              <w:t>0.46</w:t>
            </w:r>
          </w:p>
        </w:tc>
        <w:tc>
          <w:tcPr>
            <w:tcW w:w="850" w:type="dxa"/>
            <w:tcBorders>
              <w:top w:val="nil"/>
              <w:bottom w:val="nil"/>
            </w:tcBorders>
          </w:tcPr>
          <w:p w14:paraId="0857E9A1" w14:textId="77777777" w:rsidR="009A285F" w:rsidRPr="00E600F8" w:rsidRDefault="009A285F" w:rsidP="009A285F">
            <w:pPr>
              <w:spacing w:line="480" w:lineRule="auto"/>
              <w:jc w:val="center"/>
              <w:rPr>
                <w:lang w:val="en-US"/>
              </w:rPr>
            </w:pPr>
            <w:r w:rsidRPr="00E600F8">
              <w:rPr>
                <w:lang w:val="en-US"/>
              </w:rPr>
              <w:t>0.60</w:t>
            </w:r>
          </w:p>
        </w:tc>
        <w:tc>
          <w:tcPr>
            <w:tcW w:w="3206" w:type="dxa"/>
            <w:tcBorders>
              <w:top w:val="nil"/>
              <w:bottom w:val="nil"/>
            </w:tcBorders>
          </w:tcPr>
          <w:p w14:paraId="2FAA6A21" w14:textId="77777777" w:rsidR="009A285F" w:rsidRPr="00E600F8" w:rsidRDefault="009A285F" w:rsidP="009A285F">
            <w:pPr>
              <w:spacing w:line="480" w:lineRule="auto"/>
              <w:jc w:val="center"/>
              <w:rPr>
                <w:lang w:val="en-US"/>
              </w:rPr>
            </w:pPr>
          </w:p>
        </w:tc>
      </w:tr>
      <w:tr w:rsidR="009A285F" w:rsidRPr="008E6031" w14:paraId="5D5683CB" w14:textId="77777777" w:rsidTr="009A285F">
        <w:tc>
          <w:tcPr>
            <w:tcW w:w="2407" w:type="dxa"/>
            <w:tcBorders>
              <w:top w:val="nil"/>
              <w:bottom w:val="nil"/>
            </w:tcBorders>
          </w:tcPr>
          <w:p w14:paraId="66CEFB74" w14:textId="77777777" w:rsidR="009A285F" w:rsidRPr="00E600F8" w:rsidRDefault="009A285F" w:rsidP="009A285F">
            <w:pPr>
              <w:spacing w:line="480" w:lineRule="auto"/>
              <w:ind w:left="318"/>
              <w:rPr>
                <w:lang w:val="en-US"/>
              </w:rPr>
            </w:pPr>
            <w:r w:rsidRPr="00E600F8">
              <w:rPr>
                <w:lang w:val="en-US"/>
              </w:rPr>
              <w:t xml:space="preserve">Age </w:t>
            </w:r>
          </w:p>
        </w:tc>
        <w:tc>
          <w:tcPr>
            <w:tcW w:w="996" w:type="dxa"/>
            <w:tcBorders>
              <w:top w:val="nil"/>
              <w:bottom w:val="nil"/>
            </w:tcBorders>
          </w:tcPr>
          <w:p w14:paraId="2D918847" w14:textId="77777777" w:rsidR="009A285F" w:rsidRPr="00E600F8" w:rsidRDefault="009A285F" w:rsidP="009A285F">
            <w:pPr>
              <w:spacing w:line="480" w:lineRule="auto"/>
              <w:jc w:val="center"/>
              <w:rPr>
                <w:lang w:val="en-US"/>
              </w:rPr>
            </w:pPr>
            <w:r w:rsidRPr="00E600F8">
              <w:rPr>
                <w:lang w:val="en-US"/>
              </w:rPr>
              <w:t>0.57*</w:t>
            </w:r>
          </w:p>
        </w:tc>
        <w:tc>
          <w:tcPr>
            <w:tcW w:w="705" w:type="dxa"/>
            <w:tcBorders>
              <w:top w:val="nil"/>
              <w:bottom w:val="nil"/>
            </w:tcBorders>
          </w:tcPr>
          <w:p w14:paraId="4325DE4A"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1ECD9633" w14:textId="77777777" w:rsidR="009A285F" w:rsidRPr="00E600F8" w:rsidRDefault="009A285F" w:rsidP="009A285F">
            <w:pPr>
              <w:spacing w:line="480" w:lineRule="auto"/>
              <w:jc w:val="center"/>
              <w:rPr>
                <w:lang w:val="en-US"/>
              </w:rPr>
            </w:pPr>
            <w:r w:rsidRPr="00E600F8">
              <w:rPr>
                <w:lang w:val="en-US"/>
              </w:rPr>
              <w:t>0.01</w:t>
            </w:r>
          </w:p>
        </w:tc>
        <w:tc>
          <w:tcPr>
            <w:tcW w:w="850" w:type="dxa"/>
            <w:tcBorders>
              <w:top w:val="nil"/>
              <w:bottom w:val="nil"/>
            </w:tcBorders>
          </w:tcPr>
          <w:p w14:paraId="5007E9C9" w14:textId="77777777" w:rsidR="009A285F" w:rsidRPr="00E600F8" w:rsidRDefault="009A285F" w:rsidP="009A285F">
            <w:pPr>
              <w:spacing w:line="480" w:lineRule="auto"/>
              <w:jc w:val="center"/>
              <w:rPr>
                <w:lang w:val="en-US"/>
              </w:rPr>
            </w:pPr>
            <w:r w:rsidRPr="00E600F8">
              <w:rPr>
                <w:lang w:val="en-US"/>
              </w:rPr>
              <w:t>0.10</w:t>
            </w:r>
          </w:p>
        </w:tc>
        <w:tc>
          <w:tcPr>
            <w:tcW w:w="3206" w:type="dxa"/>
            <w:tcBorders>
              <w:top w:val="nil"/>
              <w:bottom w:val="nil"/>
            </w:tcBorders>
          </w:tcPr>
          <w:p w14:paraId="5AA093E4" w14:textId="77777777" w:rsidR="009A285F" w:rsidRPr="00E600F8" w:rsidRDefault="009A285F" w:rsidP="009A285F">
            <w:pPr>
              <w:spacing w:line="480" w:lineRule="auto"/>
              <w:jc w:val="center"/>
              <w:rPr>
                <w:lang w:val="en-US"/>
              </w:rPr>
            </w:pPr>
          </w:p>
        </w:tc>
      </w:tr>
      <w:tr w:rsidR="009A285F" w:rsidRPr="008E6031" w14:paraId="4F7848AC" w14:textId="77777777" w:rsidTr="009A285F">
        <w:tc>
          <w:tcPr>
            <w:tcW w:w="2407" w:type="dxa"/>
            <w:tcBorders>
              <w:top w:val="nil"/>
              <w:bottom w:val="nil"/>
            </w:tcBorders>
          </w:tcPr>
          <w:p w14:paraId="5B0AE726" w14:textId="77777777" w:rsidR="009A285F" w:rsidRPr="00E600F8" w:rsidRDefault="009A285F" w:rsidP="009A285F">
            <w:pPr>
              <w:spacing w:line="480" w:lineRule="auto"/>
              <w:ind w:left="318"/>
              <w:rPr>
                <w:lang w:val="en-US"/>
              </w:rPr>
            </w:pPr>
            <w:r w:rsidRPr="00E600F8">
              <w:rPr>
                <w:lang w:val="en-US"/>
              </w:rPr>
              <w:t>Risk Perception</w:t>
            </w:r>
          </w:p>
        </w:tc>
        <w:tc>
          <w:tcPr>
            <w:tcW w:w="996" w:type="dxa"/>
            <w:tcBorders>
              <w:top w:val="nil"/>
              <w:bottom w:val="nil"/>
            </w:tcBorders>
          </w:tcPr>
          <w:p w14:paraId="4C5285EE" w14:textId="77777777" w:rsidR="009A285F" w:rsidRPr="00E600F8" w:rsidRDefault="009A285F" w:rsidP="009A285F">
            <w:pPr>
              <w:spacing w:line="480" w:lineRule="auto"/>
              <w:jc w:val="center"/>
              <w:rPr>
                <w:lang w:val="en-US"/>
              </w:rPr>
            </w:pPr>
            <w:r w:rsidRPr="00E600F8">
              <w:rPr>
                <w:lang w:val="en-US"/>
              </w:rPr>
              <w:t>0.01</w:t>
            </w:r>
          </w:p>
        </w:tc>
        <w:tc>
          <w:tcPr>
            <w:tcW w:w="705" w:type="dxa"/>
            <w:tcBorders>
              <w:top w:val="nil"/>
              <w:bottom w:val="nil"/>
            </w:tcBorders>
          </w:tcPr>
          <w:p w14:paraId="14E8CF3C"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4262E71F" w14:textId="77777777" w:rsidR="009A285F" w:rsidRPr="00E600F8" w:rsidRDefault="009A285F" w:rsidP="009A285F">
            <w:pPr>
              <w:spacing w:line="480" w:lineRule="auto"/>
              <w:jc w:val="center"/>
              <w:rPr>
                <w:lang w:val="en-US"/>
              </w:rPr>
            </w:pPr>
            <w:r w:rsidRPr="00E600F8">
              <w:rPr>
                <w:lang w:val="en-US"/>
              </w:rPr>
              <w:t>-0.04</w:t>
            </w:r>
          </w:p>
        </w:tc>
        <w:tc>
          <w:tcPr>
            <w:tcW w:w="850" w:type="dxa"/>
            <w:tcBorders>
              <w:top w:val="nil"/>
              <w:bottom w:val="nil"/>
            </w:tcBorders>
          </w:tcPr>
          <w:p w14:paraId="67495E2F" w14:textId="77777777" w:rsidR="009A285F" w:rsidRPr="00E600F8" w:rsidRDefault="009A285F" w:rsidP="009A285F">
            <w:pPr>
              <w:spacing w:line="480" w:lineRule="auto"/>
              <w:jc w:val="center"/>
              <w:rPr>
                <w:lang w:val="en-US"/>
              </w:rPr>
            </w:pPr>
            <w:r w:rsidRPr="00E600F8">
              <w:rPr>
                <w:lang w:val="en-US"/>
              </w:rPr>
              <w:t>0.06</w:t>
            </w:r>
          </w:p>
        </w:tc>
        <w:tc>
          <w:tcPr>
            <w:tcW w:w="3206" w:type="dxa"/>
            <w:tcBorders>
              <w:top w:val="nil"/>
              <w:bottom w:val="nil"/>
            </w:tcBorders>
          </w:tcPr>
          <w:p w14:paraId="04AF2DAF" w14:textId="77777777" w:rsidR="009A285F" w:rsidRPr="00E600F8" w:rsidRDefault="009A285F" w:rsidP="009A285F">
            <w:pPr>
              <w:spacing w:line="480" w:lineRule="auto"/>
              <w:jc w:val="center"/>
              <w:rPr>
                <w:lang w:val="en-US"/>
              </w:rPr>
            </w:pPr>
          </w:p>
        </w:tc>
      </w:tr>
      <w:tr w:rsidR="009A285F" w:rsidRPr="008E6031" w14:paraId="5B1093C8" w14:textId="77777777" w:rsidTr="009A285F">
        <w:tc>
          <w:tcPr>
            <w:tcW w:w="2407" w:type="dxa"/>
            <w:tcBorders>
              <w:top w:val="nil"/>
              <w:bottom w:val="nil"/>
            </w:tcBorders>
          </w:tcPr>
          <w:p w14:paraId="5488CDDE" w14:textId="77777777" w:rsidR="009A285F" w:rsidRPr="00E600F8" w:rsidRDefault="009A285F" w:rsidP="009A285F">
            <w:pPr>
              <w:spacing w:line="480" w:lineRule="auto"/>
              <w:ind w:left="318"/>
              <w:rPr>
                <w:lang w:val="en-US"/>
              </w:rPr>
            </w:pPr>
            <w:r w:rsidRPr="00E600F8">
              <w:rPr>
                <w:lang w:val="en-US"/>
              </w:rPr>
              <w:t>Reward Sensitivity</w:t>
            </w:r>
          </w:p>
        </w:tc>
        <w:tc>
          <w:tcPr>
            <w:tcW w:w="996" w:type="dxa"/>
            <w:tcBorders>
              <w:top w:val="nil"/>
              <w:bottom w:val="nil"/>
            </w:tcBorders>
          </w:tcPr>
          <w:p w14:paraId="1F4EA042" w14:textId="77777777" w:rsidR="009A285F" w:rsidRPr="00E600F8" w:rsidRDefault="009A285F" w:rsidP="009A285F">
            <w:pPr>
              <w:spacing w:line="480" w:lineRule="auto"/>
              <w:jc w:val="center"/>
              <w:rPr>
                <w:lang w:val="en-US"/>
              </w:rPr>
            </w:pPr>
            <w:r w:rsidRPr="00E600F8">
              <w:rPr>
                <w:lang w:val="en-US"/>
              </w:rPr>
              <w:t>0.10</w:t>
            </w:r>
          </w:p>
        </w:tc>
        <w:tc>
          <w:tcPr>
            <w:tcW w:w="705" w:type="dxa"/>
            <w:tcBorders>
              <w:top w:val="nil"/>
              <w:bottom w:val="nil"/>
            </w:tcBorders>
          </w:tcPr>
          <w:p w14:paraId="2666B8F4" w14:textId="77777777" w:rsidR="009A285F" w:rsidRPr="00E600F8" w:rsidRDefault="009A285F" w:rsidP="009A285F">
            <w:pPr>
              <w:spacing w:line="480" w:lineRule="auto"/>
              <w:jc w:val="center"/>
              <w:rPr>
                <w:lang w:val="en-US"/>
              </w:rPr>
            </w:pPr>
            <w:r w:rsidRPr="00E600F8">
              <w:rPr>
                <w:lang w:val="en-US"/>
              </w:rPr>
              <w:t>0.09</w:t>
            </w:r>
          </w:p>
        </w:tc>
        <w:tc>
          <w:tcPr>
            <w:tcW w:w="850" w:type="dxa"/>
            <w:tcBorders>
              <w:top w:val="nil"/>
              <w:bottom w:val="nil"/>
            </w:tcBorders>
          </w:tcPr>
          <w:p w14:paraId="4DD22C3A" w14:textId="77777777" w:rsidR="009A285F" w:rsidRPr="00E600F8" w:rsidRDefault="009A285F" w:rsidP="009A285F">
            <w:pPr>
              <w:spacing w:line="480" w:lineRule="auto"/>
              <w:jc w:val="center"/>
              <w:rPr>
                <w:lang w:val="en-US"/>
              </w:rPr>
            </w:pPr>
            <w:r w:rsidRPr="00E600F8">
              <w:rPr>
                <w:lang w:val="en-US"/>
              </w:rPr>
              <w:t>-0.07</w:t>
            </w:r>
          </w:p>
        </w:tc>
        <w:tc>
          <w:tcPr>
            <w:tcW w:w="850" w:type="dxa"/>
            <w:tcBorders>
              <w:top w:val="nil"/>
              <w:bottom w:val="nil"/>
            </w:tcBorders>
          </w:tcPr>
          <w:p w14:paraId="12F780C5" w14:textId="77777777" w:rsidR="009A285F" w:rsidRPr="00E600F8" w:rsidRDefault="009A285F" w:rsidP="009A285F">
            <w:pPr>
              <w:spacing w:line="480" w:lineRule="auto"/>
              <w:jc w:val="center"/>
              <w:rPr>
                <w:lang w:val="en-US"/>
              </w:rPr>
            </w:pPr>
            <w:r w:rsidRPr="00E600F8">
              <w:rPr>
                <w:lang w:val="en-US"/>
              </w:rPr>
              <w:t>0.28</w:t>
            </w:r>
          </w:p>
        </w:tc>
        <w:tc>
          <w:tcPr>
            <w:tcW w:w="3206" w:type="dxa"/>
            <w:tcBorders>
              <w:top w:val="nil"/>
              <w:bottom w:val="nil"/>
            </w:tcBorders>
          </w:tcPr>
          <w:p w14:paraId="3C13B4EC" w14:textId="77777777" w:rsidR="009A285F" w:rsidRPr="00E600F8" w:rsidRDefault="009A285F" w:rsidP="009A285F">
            <w:pPr>
              <w:spacing w:line="480" w:lineRule="auto"/>
              <w:jc w:val="center"/>
              <w:rPr>
                <w:lang w:val="en-US"/>
              </w:rPr>
            </w:pPr>
          </w:p>
        </w:tc>
      </w:tr>
      <w:tr w:rsidR="009A285F" w:rsidRPr="008E6031" w14:paraId="4876CD34" w14:textId="77777777" w:rsidTr="009A285F">
        <w:tc>
          <w:tcPr>
            <w:tcW w:w="2407" w:type="dxa"/>
            <w:tcBorders>
              <w:top w:val="nil"/>
              <w:bottom w:val="nil"/>
            </w:tcBorders>
          </w:tcPr>
          <w:p w14:paraId="26023587" w14:textId="77777777" w:rsidR="009A285F" w:rsidRPr="00E600F8" w:rsidRDefault="009A285F" w:rsidP="009A285F">
            <w:pPr>
              <w:spacing w:line="480" w:lineRule="auto"/>
              <w:ind w:left="318"/>
              <w:rPr>
                <w:lang w:val="en-US"/>
              </w:rPr>
            </w:pPr>
            <w:r w:rsidRPr="00E600F8">
              <w:rPr>
                <w:lang w:val="en-US"/>
              </w:rPr>
              <w:t>Inhibitory Control</w:t>
            </w:r>
          </w:p>
        </w:tc>
        <w:tc>
          <w:tcPr>
            <w:tcW w:w="996" w:type="dxa"/>
            <w:tcBorders>
              <w:top w:val="nil"/>
              <w:bottom w:val="nil"/>
            </w:tcBorders>
          </w:tcPr>
          <w:p w14:paraId="3DCC35AA" w14:textId="77777777" w:rsidR="009A285F" w:rsidRPr="00E600F8" w:rsidRDefault="009A285F" w:rsidP="009A285F">
            <w:pPr>
              <w:spacing w:line="480" w:lineRule="auto"/>
              <w:jc w:val="center"/>
              <w:rPr>
                <w:lang w:val="en-US"/>
              </w:rPr>
            </w:pPr>
            <w:r w:rsidRPr="00E600F8">
              <w:rPr>
                <w:lang w:val="en-US"/>
              </w:rPr>
              <w:t>0.01</w:t>
            </w:r>
          </w:p>
        </w:tc>
        <w:tc>
          <w:tcPr>
            <w:tcW w:w="705" w:type="dxa"/>
            <w:tcBorders>
              <w:top w:val="nil"/>
              <w:bottom w:val="nil"/>
            </w:tcBorders>
          </w:tcPr>
          <w:p w14:paraId="5E338862" w14:textId="77777777" w:rsidR="009A285F" w:rsidRPr="00E600F8" w:rsidRDefault="009A285F" w:rsidP="009A285F">
            <w:pPr>
              <w:spacing w:line="480" w:lineRule="auto"/>
              <w:jc w:val="center"/>
              <w:rPr>
                <w:lang w:val="en-US"/>
              </w:rPr>
            </w:pPr>
            <w:r w:rsidRPr="00E600F8">
              <w:rPr>
                <w:lang w:val="en-US"/>
              </w:rPr>
              <w:t>0.05</w:t>
            </w:r>
          </w:p>
        </w:tc>
        <w:tc>
          <w:tcPr>
            <w:tcW w:w="850" w:type="dxa"/>
            <w:tcBorders>
              <w:top w:val="nil"/>
              <w:bottom w:val="nil"/>
            </w:tcBorders>
          </w:tcPr>
          <w:p w14:paraId="7A03F855" w14:textId="77777777" w:rsidR="009A285F" w:rsidRPr="00E600F8" w:rsidRDefault="009A285F" w:rsidP="009A285F">
            <w:pPr>
              <w:spacing w:line="480" w:lineRule="auto"/>
              <w:jc w:val="center"/>
              <w:rPr>
                <w:lang w:val="en-US"/>
              </w:rPr>
            </w:pPr>
            <w:r w:rsidRPr="00E600F8">
              <w:rPr>
                <w:lang w:val="en-US"/>
              </w:rPr>
              <w:t>-0.09</w:t>
            </w:r>
          </w:p>
        </w:tc>
        <w:tc>
          <w:tcPr>
            <w:tcW w:w="850" w:type="dxa"/>
            <w:tcBorders>
              <w:top w:val="nil"/>
              <w:bottom w:val="nil"/>
            </w:tcBorders>
          </w:tcPr>
          <w:p w14:paraId="055AC1D4" w14:textId="77777777" w:rsidR="009A285F" w:rsidRPr="00E600F8" w:rsidRDefault="009A285F" w:rsidP="009A285F">
            <w:pPr>
              <w:spacing w:line="480" w:lineRule="auto"/>
              <w:jc w:val="center"/>
              <w:rPr>
                <w:lang w:val="en-US"/>
              </w:rPr>
            </w:pPr>
            <w:r w:rsidRPr="00E600F8">
              <w:rPr>
                <w:lang w:val="en-US"/>
              </w:rPr>
              <w:t>0.12</w:t>
            </w:r>
          </w:p>
        </w:tc>
        <w:tc>
          <w:tcPr>
            <w:tcW w:w="3206" w:type="dxa"/>
            <w:tcBorders>
              <w:top w:val="nil"/>
              <w:bottom w:val="nil"/>
            </w:tcBorders>
          </w:tcPr>
          <w:p w14:paraId="05CA99B1" w14:textId="77777777" w:rsidR="009A285F" w:rsidRPr="00E600F8" w:rsidRDefault="009A285F" w:rsidP="009A285F">
            <w:pPr>
              <w:spacing w:line="480" w:lineRule="auto"/>
              <w:jc w:val="center"/>
              <w:rPr>
                <w:lang w:val="en-US"/>
              </w:rPr>
            </w:pPr>
          </w:p>
        </w:tc>
      </w:tr>
      <w:tr w:rsidR="009A285F" w:rsidRPr="008E6031" w14:paraId="0FB83D38" w14:textId="77777777" w:rsidTr="009A285F">
        <w:tc>
          <w:tcPr>
            <w:tcW w:w="2407" w:type="dxa"/>
            <w:tcBorders>
              <w:top w:val="nil"/>
              <w:bottom w:val="dashed" w:sz="4" w:space="0" w:color="auto"/>
            </w:tcBorders>
          </w:tcPr>
          <w:p w14:paraId="10AB1CAF" w14:textId="77777777" w:rsidR="009A285F" w:rsidRPr="00E600F8" w:rsidRDefault="009A285F" w:rsidP="009A285F">
            <w:pPr>
              <w:spacing w:line="480" w:lineRule="auto"/>
              <w:ind w:left="318"/>
              <w:rPr>
                <w:lang w:val="en-US"/>
              </w:rPr>
            </w:pPr>
            <w:r w:rsidRPr="00E600F8">
              <w:rPr>
                <w:lang w:val="en-US"/>
              </w:rPr>
              <w:t>Group Membership</w:t>
            </w:r>
          </w:p>
        </w:tc>
        <w:tc>
          <w:tcPr>
            <w:tcW w:w="996" w:type="dxa"/>
            <w:tcBorders>
              <w:top w:val="nil"/>
              <w:bottom w:val="dashed" w:sz="4" w:space="0" w:color="auto"/>
            </w:tcBorders>
          </w:tcPr>
          <w:p w14:paraId="0F78226B" w14:textId="77777777" w:rsidR="009A285F" w:rsidRPr="00E600F8" w:rsidRDefault="009A285F" w:rsidP="009A285F">
            <w:pPr>
              <w:spacing w:line="480" w:lineRule="auto"/>
              <w:jc w:val="center"/>
              <w:rPr>
                <w:vertAlign w:val="superscript"/>
                <w:lang w:val="en-US"/>
              </w:rPr>
            </w:pPr>
            <w:r w:rsidRPr="00E600F8">
              <w:rPr>
                <w:lang w:val="en-US"/>
              </w:rPr>
              <w:t>0.08</w:t>
            </w:r>
            <w:r w:rsidRPr="00E600F8">
              <w:rPr>
                <w:vertAlign w:val="superscript"/>
                <w:lang w:val="en-US"/>
              </w:rPr>
              <w:t>+</w:t>
            </w:r>
          </w:p>
        </w:tc>
        <w:tc>
          <w:tcPr>
            <w:tcW w:w="705" w:type="dxa"/>
            <w:tcBorders>
              <w:top w:val="nil"/>
              <w:bottom w:val="dashed" w:sz="4" w:space="0" w:color="auto"/>
            </w:tcBorders>
          </w:tcPr>
          <w:p w14:paraId="0ECD293B" w14:textId="77777777" w:rsidR="009A285F" w:rsidRPr="00E600F8" w:rsidRDefault="009A285F" w:rsidP="009A285F">
            <w:pPr>
              <w:spacing w:line="480" w:lineRule="auto"/>
              <w:jc w:val="center"/>
              <w:rPr>
                <w:lang w:val="en-US"/>
              </w:rPr>
            </w:pPr>
            <w:r w:rsidRPr="00E600F8">
              <w:rPr>
                <w:lang w:val="en-US"/>
              </w:rPr>
              <w:t>0.05</w:t>
            </w:r>
          </w:p>
        </w:tc>
        <w:tc>
          <w:tcPr>
            <w:tcW w:w="850" w:type="dxa"/>
            <w:tcBorders>
              <w:top w:val="nil"/>
              <w:bottom w:val="dashed" w:sz="4" w:space="0" w:color="auto"/>
            </w:tcBorders>
          </w:tcPr>
          <w:p w14:paraId="6FB38569" w14:textId="77777777" w:rsidR="009A285F" w:rsidRPr="00E600F8" w:rsidRDefault="009A285F" w:rsidP="009A285F">
            <w:pPr>
              <w:spacing w:line="480" w:lineRule="auto"/>
              <w:jc w:val="center"/>
              <w:rPr>
                <w:lang w:val="en-US"/>
              </w:rPr>
            </w:pPr>
            <w:r w:rsidRPr="00E600F8">
              <w:rPr>
                <w:lang w:val="en-US"/>
              </w:rPr>
              <w:t>-0.01</w:t>
            </w:r>
          </w:p>
        </w:tc>
        <w:tc>
          <w:tcPr>
            <w:tcW w:w="850" w:type="dxa"/>
            <w:tcBorders>
              <w:top w:val="nil"/>
              <w:bottom w:val="dashed" w:sz="4" w:space="0" w:color="auto"/>
            </w:tcBorders>
          </w:tcPr>
          <w:p w14:paraId="55120A33" w14:textId="77777777" w:rsidR="009A285F" w:rsidRPr="00E600F8" w:rsidRDefault="009A285F" w:rsidP="009A285F">
            <w:pPr>
              <w:spacing w:line="480" w:lineRule="auto"/>
              <w:jc w:val="center"/>
              <w:rPr>
                <w:lang w:val="en-US"/>
              </w:rPr>
            </w:pPr>
            <w:r w:rsidRPr="00E600F8">
              <w:rPr>
                <w:lang w:val="en-US"/>
              </w:rPr>
              <w:t>0.17</w:t>
            </w:r>
          </w:p>
        </w:tc>
        <w:tc>
          <w:tcPr>
            <w:tcW w:w="3206" w:type="dxa"/>
            <w:tcBorders>
              <w:top w:val="nil"/>
              <w:bottom w:val="dashed" w:sz="4" w:space="0" w:color="auto"/>
            </w:tcBorders>
          </w:tcPr>
          <w:p w14:paraId="301E2683" w14:textId="77777777" w:rsidR="009A285F" w:rsidRPr="00E600F8" w:rsidRDefault="009A285F" w:rsidP="009A285F">
            <w:pPr>
              <w:spacing w:line="480" w:lineRule="auto"/>
              <w:jc w:val="center"/>
              <w:rPr>
                <w:lang w:val="en-US"/>
              </w:rPr>
            </w:pPr>
          </w:p>
        </w:tc>
      </w:tr>
      <w:tr w:rsidR="009A285F" w:rsidRPr="008E6031" w14:paraId="2BA128CD" w14:textId="77777777" w:rsidTr="009A285F">
        <w:tc>
          <w:tcPr>
            <w:tcW w:w="2407" w:type="dxa"/>
            <w:tcBorders>
              <w:top w:val="dashed" w:sz="4" w:space="0" w:color="auto"/>
              <w:bottom w:val="nil"/>
            </w:tcBorders>
          </w:tcPr>
          <w:p w14:paraId="2A1147B7" w14:textId="77777777" w:rsidR="009A285F" w:rsidRPr="00E600F8" w:rsidRDefault="009A285F" w:rsidP="009A285F">
            <w:pPr>
              <w:spacing w:line="480" w:lineRule="auto"/>
              <w:rPr>
                <w:lang w:val="en-US"/>
              </w:rPr>
            </w:pPr>
            <w:r w:rsidRPr="00E600F8">
              <w:rPr>
                <w:lang w:val="en-US"/>
              </w:rPr>
              <w:t>Model 3</w:t>
            </w:r>
          </w:p>
        </w:tc>
        <w:tc>
          <w:tcPr>
            <w:tcW w:w="996" w:type="dxa"/>
            <w:tcBorders>
              <w:top w:val="dashed" w:sz="4" w:space="0" w:color="auto"/>
              <w:bottom w:val="nil"/>
            </w:tcBorders>
          </w:tcPr>
          <w:p w14:paraId="73F8FE0F" w14:textId="77777777" w:rsidR="009A285F" w:rsidRPr="00E600F8" w:rsidRDefault="009A285F" w:rsidP="009A285F">
            <w:pPr>
              <w:spacing w:line="480" w:lineRule="auto"/>
              <w:jc w:val="center"/>
              <w:rPr>
                <w:lang w:val="en-US"/>
              </w:rPr>
            </w:pPr>
          </w:p>
        </w:tc>
        <w:tc>
          <w:tcPr>
            <w:tcW w:w="705" w:type="dxa"/>
            <w:tcBorders>
              <w:top w:val="dashed" w:sz="4" w:space="0" w:color="auto"/>
              <w:bottom w:val="nil"/>
            </w:tcBorders>
          </w:tcPr>
          <w:p w14:paraId="323789B3" w14:textId="77777777" w:rsidR="009A285F" w:rsidRPr="00E600F8" w:rsidRDefault="009A285F" w:rsidP="009A285F">
            <w:pPr>
              <w:spacing w:line="480" w:lineRule="auto"/>
              <w:jc w:val="center"/>
              <w:rPr>
                <w:lang w:val="en-US"/>
              </w:rPr>
            </w:pPr>
          </w:p>
        </w:tc>
        <w:tc>
          <w:tcPr>
            <w:tcW w:w="850" w:type="dxa"/>
            <w:tcBorders>
              <w:top w:val="dashed" w:sz="4" w:space="0" w:color="auto"/>
              <w:bottom w:val="nil"/>
            </w:tcBorders>
          </w:tcPr>
          <w:p w14:paraId="17AA626F" w14:textId="77777777" w:rsidR="009A285F" w:rsidRPr="00E600F8" w:rsidRDefault="009A285F" w:rsidP="009A285F">
            <w:pPr>
              <w:spacing w:line="480" w:lineRule="auto"/>
              <w:jc w:val="center"/>
              <w:rPr>
                <w:lang w:val="en-US"/>
              </w:rPr>
            </w:pPr>
          </w:p>
        </w:tc>
        <w:tc>
          <w:tcPr>
            <w:tcW w:w="850" w:type="dxa"/>
            <w:tcBorders>
              <w:top w:val="dashed" w:sz="4" w:space="0" w:color="auto"/>
              <w:bottom w:val="nil"/>
            </w:tcBorders>
          </w:tcPr>
          <w:p w14:paraId="7E8EFDF5" w14:textId="77777777" w:rsidR="009A285F" w:rsidRPr="00E600F8" w:rsidRDefault="009A285F" w:rsidP="009A285F">
            <w:pPr>
              <w:spacing w:line="480" w:lineRule="auto"/>
              <w:jc w:val="center"/>
              <w:rPr>
                <w:lang w:val="en-US"/>
              </w:rPr>
            </w:pPr>
          </w:p>
        </w:tc>
        <w:tc>
          <w:tcPr>
            <w:tcW w:w="3206" w:type="dxa"/>
            <w:tcBorders>
              <w:top w:val="dashed" w:sz="4" w:space="0" w:color="auto"/>
              <w:bottom w:val="nil"/>
            </w:tcBorders>
          </w:tcPr>
          <w:p w14:paraId="4EB1A4B4" w14:textId="77777777" w:rsidR="009A285F" w:rsidRPr="00E600F8" w:rsidRDefault="009A285F" w:rsidP="009A285F">
            <w:pPr>
              <w:spacing w:line="480" w:lineRule="auto"/>
              <w:jc w:val="center"/>
              <w:rPr>
                <w:lang w:val="en-US"/>
              </w:rPr>
            </w:pPr>
            <w:r w:rsidRPr="00E600F8">
              <w:rPr>
                <w:lang w:val="en-US"/>
              </w:rPr>
              <w:t>-2LL=-46.21 , Δ-2LL=6.77*</w:t>
            </w:r>
          </w:p>
          <w:p w14:paraId="10085B3F" w14:textId="77777777" w:rsidR="009A285F" w:rsidRPr="00E600F8" w:rsidRDefault="009A285F" w:rsidP="009A285F">
            <w:pPr>
              <w:spacing w:line="480" w:lineRule="auto"/>
              <w:jc w:val="center"/>
              <w:rPr>
                <w:lang w:val="en-US"/>
              </w:rPr>
            </w:pPr>
            <w:r w:rsidRPr="00E600F8">
              <w:rPr>
                <w:lang w:val="en-US"/>
              </w:rPr>
              <w:t>AIC=-36.21; BIC=-20.02</w:t>
            </w:r>
          </w:p>
        </w:tc>
      </w:tr>
      <w:tr w:rsidR="009A285F" w:rsidRPr="008E6031" w14:paraId="04A84EBC" w14:textId="77777777" w:rsidTr="009A285F">
        <w:tc>
          <w:tcPr>
            <w:tcW w:w="2407" w:type="dxa"/>
            <w:tcBorders>
              <w:top w:val="nil"/>
              <w:bottom w:val="nil"/>
            </w:tcBorders>
          </w:tcPr>
          <w:p w14:paraId="60A6FAB1" w14:textId="77777777" w:rsidR="009A285F" w:rsidRPr="00E600F8" w:rsidRDefault="009A285F" w:rsidP="009A285F">
            <w:pPr>
              <w:spacing w:line="480" w:lineRule="auto"/>
              <w:ind w:left="318"/>
              <w:rPr>
                <w:lang w:val="en-US"/>
              </w:rPr>
            </w:pPr>
            <w:r w:rsidRPr="00E600F8">
              <w:rPr>
                <w:lang w:val="en-US"/>
              </w:rPr>
              <w:t>Intercept</w:t>
            </w:r>
          </w:p>
        </w:tc>
        <w:tc>
          <w:tcPr>
            <w:tcW w:w="996" w:type="dxa"/>
            <w:tcBorders>
              <w:top w:val="nil"/>
              <w:bottom w:val="nil"/>
            </w:tcBorders>
          </w:tcPr>
          <w:p w14:paraId="00EC3750" w14:textId="77777777" w:rsidR="009A285F" w:rsidRPr="00E600F8" w:rsidRDefault="009A285F" w:rsidP="009A285F">
            <w:pPr>
              <w:spacing w:line="480" w:lineRule="auto"/>
              <w:jc w:val="center"/>
              <w:rPr>
                <w:lang w:val="en-US"/>
              </w:rPr>
            </w:pPr>
            <w:r w:rsidRPr="00E600F8">
              <w:rPr>
                <w:lang w:val="en-US"/>
              </w:rPr>
              <w:t>0.53***</w:t>
            </w:r>
          </w:p>
        </w:tc>
        <w:tc>
          <w:tcPr>
            <w:tcW w:w="705" w:type="dxa"/>
            <w:tcBorders>
              <w:top w:val="nil"/>
              <w:bottom w:val="nil"/>
            </w:tcBorders>
          </w:tcPr>
          <w:p w14:paraId="0112B7D5" w14:textId="77777777" w:rsidR="009A285F" w:rsidRPr="00E600F8" w:rsidRDefault="009A285F" w:rsidP="009A285F">
            <w:pPr>
              <w:spacing w:line="480" w:lineRule="auto"/>
              <w:jc w:val="center"/>
              <w:rPr>
                <w:lang w:val="en-US"/>
              </w:rPr>
            </w:pPr>
            <w:r w:rsidRPr="00E600F8">
              <w:rPr>
                <w:lang w:val="en-US"/>
              </w:rPr>
              <w:t>0.03</w:t>
            </w:r>
          </w:p>
        </w:tc>
        <w:tc>
          <w:tcPr>
            <w:tcW w:w="850" w:type="dxa"/>
            <w:tcBorders>
              <w:top w:val="nil"/>
              <w:bottom w:val="nil"/>
            </w:tcBorders>
          </w:tcPr>
          <w:p w14:paraId="46230999" w14:textId="77777777" w:rsidR="009A285F" w:rsidRPr="00E600F8" w:rsidRDefault="009A285F" w:rsidP="009A285F">
            <w:pPr>
              <w:spacing w:line="480" w:lineRule="auto"/>
              <w:jc w:val="center"/>
              <w:rPr>
                <w:lang w:val="en-US"/>
              </w:rPr>
            </w:pPr>
            <w:r w:rsidRPr="00E600F8">
              <w:rPr>
                <w:lang w:val="en-US"/>
              </w:rPr>
              <w:t>0.45</w:t>
            </w:r>
          </w:p>
        </w:tc>
        <w:tc>
          <w:tcPr>
            <w:tcW w:w="850" w:type="dxa"/>
            <w:tcBorders>
              <w:top w:val="nil"/>
              <w:bottom w:val="nil"/>
            </w:tcBorders>
          </w:tcPr>
          <w:p w14:paraId="4933FFCB" w14:textId="77777777" w:rsidR="009A285F" w:rsidRPr="00E600F8" w:rsidRDefault="009A285F" w:rsidP="009A285F">
            <w:pPr>
              <w:spacing w:line="480" w:lineRule="auto"/>
              <w:jc w:val="center"/>
              <w:rPr>
                <w:lang w:val="en-US"/>
              </w:rPr>
            </w:pPr>
            <w:r w:rsidRPr="00E600F8">
              <w:rPr>
                <w:lang w:val="en-US"/>
              </w:rPr>
              <w:t>0.59</w:t>
            </w:r>
          </w:p>
        </w:tc>
        <w:tc>
          <w:tcPr>
            <w:tcW w:w="3206" w:type="dxa"/>
            <w:tcBorders>
              <w:top w:val="nil"/>
              <w:bottom w:val="nil"/>
            </w:tcBorders>
          </w:tcPr>
          <w:p w14:paraId="6AE8EBBB" w14:textId="77777777" w:rsidR="009A285F" w:rsidRPr="00E600F8" w:rsidRDefault="009A285F" w:rsidP="009A285F">
            <w:pPr>
              <w:spacing w:line="480" w:lineRule="auto"/>
              <w:jc w:val="center"/>
              <w:rPr>
                <w:lang w:val="en-US"/>
              </w:rPr>
            </w:pPr>
          </w:p>
        </w:tc>
      </w:tr>
      <w:tr w:rsidR="009A285F" w:rsidRPr="008E6031" w14:paraId="342A2E24" w14:textId="77777777" w:rsidTr="009A285F">
        <w:tc>
          <w:tcPr>
            <w:tcW w:w="2407" w:type="dxa"/>
            <w:tcBorders>
              <w:top w:val="nil"/>
              <w:bottom w:val="nil"/>
            </w:tcBorders>
          </w:tcPr>
          <w:p w14:paraId="47E1480E" w14:textId="77777777" w:rsidR="009A285F" w:rsidRPr="00E600F8" w:rsidRDefault="009A285F" w:rsidP="009A285F">
            <w:pPr>
              <w:spacing w:line="480" w:lineRule="auto"/>
              <w:ind w:left="318"/>
              <w:rPr>
                <w:lang w:val="en-US"/>
              </w:rPr>
            </w:pPr>
            <w:r w:rsidRPr="00E600F8">
              <w:rPr>
                <w:lang w:val="en-US"/>
              </w:rPr>
              <w:t xml:space="preserve">Age </w:t>
            </w:r>
          </w:p>
        </w:tc>
        <w:tc>
          <w:tcPr>
            <w:tcW w:w="996" w:type="dxa"/>
            <w:tcBorders>
              <w:top w:val="nil"/>
              <w:bottom w:val="nil"/>
            </w:tcBorders>
          </w:tcPr>
          <w:p w14:paraId="28961F0C" w14:textId="77777777" w:rsidR="009A285F" w:rsidRPr="00E600F8" w:rsidRDefault="009A285F" w:rsidP="009A285F">
            <w:pPr>
              <w:spacing w:line="480" w:lineRule="auto"/>
              <w:jc w:val="center"/>
              <w:rPr>
                <w:lang w:val="en-US"/>
              </w:rPr>
            </w:pPr>
            <w:r w:rsidRPr="00E600F8">
              <w:rPr>
                <w:lang w:val="en-US"/>
              </w:rPr>
              <w:t>0.05*</w:t>
            </w:r>
          </w:p>
        </w:tc>
        <w:tc>
          <w:tcPr>
            <w:tcW w:w="705" w:type="dxa"/>
            <w:tcBorders>
              <w:top w:val="nil"/>
              <w:bottom w:val="nil"/>
            </w:tcBorders>
          </w:tcPr>
          <w:p w14:paraId="2231E0A9" w14:textId="77777777" w:rsidR="009A285F" w:rsidRPr="00E600F8" w:rsidRDefault="009A285F" w:rsidP="009A285F">
            <w:pPr>
              <w:spacing w:line="480" w:lineRule="auto"/>
              <w:jc w:val="center"/>
              <w:rPr>
                <w:lang w:val="en-US"/>
              </w:rPr>
            </w:pPr>
            <w:r w:rsidRPr="00E600F8">
              <w:rPr>
                <w:lang w:val="en-US"/>
              </w:rPr>
              <w:t>0.02</w:t>
            </w:r>
          </w:p>
        </w:tc>
        <w:tc>
          <w:tcPr>
            <w:tcW w:w="850" w:type="dxa"/>
            <w:tcBorders>
              <w:top w:val="nil"/>
              <w:bottom w:val="nil"/>
            </w:tcBorders>
          </w:tcPr>
          <w:p w14:paraId="6E8469F1" w14:textId="77777777" w:rsidR="009A285F" w:rsidRPr="00E600F8" w:rsidRDefault="009A285F" w:rsidP="009A285F">
            <w:pPr>
              <w:spacing w:line="480" w:lineRule="auto"/>
              <w:jc w:val="center"/>
              <w:rPr>
                <w:lang w:val="en-US"/>
              </w:rPr>
            </w:pPr>
            <w:r w:rsidRPr="00E600F8">
              <w:rPr>
                <w:lang w:val="en-US"/>
              </w:rPr>
              <w:t>0.01</w:t>
            </w:r>
          </w:p>
        </w:tc>
        <w:tc>
          <w:tcPr>
            <w:tcW w:w="850" w:type="dxa"/>
            <w:tcBorders>
              <w:top w:val="nil"/>
              <w:bottom w:val="nil"/>
            </w:tcBorders>
          </w:tcPr>
          <w:p w14:paraId="68E12561" w14:textId="77777777" w:rsidR="009A285F" w:rsidRPr="00E600F8" w:rsidRDefault="009A285F" w:rsidP="009A285F">
            <w:pPr>
              <w:spacing w:line="480" w:lineRule="auto"/>
              <w:jc w:val="center"/>
              <w:rPr>
                <w:lang w:val="en-US"/>
              </w:rPr>
            </w:pPr>
            <w:r w:rsidRPr="00E600F8">
              <w:rPr>
                <w:lang w:val="en-US"/>
              </w:rPr>
              <w:t>0.09</w:t>
            </w:r>
          </w:p>
        </w:tc>
        <w:tc>
          <w:tcPr>
            <w:tcW w:w="3206" w:type="dxa"/>
            <w:tcBorders>
              <w:top w:val="nil"/>
              <w:bottom w:val="nil"/>
            </w:tcBorders>
          </w:tcPr>
          <w:p w14:paraId="2063EA8F" w14:textId="77777777" w:rsidR="009A285F" w:rsidRPr="00E600F8" w:rsidRDefault="009A285F" w:rsidP="009A285F">
            <w:pPr>
              <w:spacing w:line="480" w:lineRule="auto"/>
              <w:jc w:val="center"/>
              <w:rPr>
                <w:lang w:val="en-US"/>
              </w:rPr>
            </w:pPr>
          </w:p>
        </w:tc>
      </w:tr>
      <w:tr w:rsidR="009A285F" w:rsidRPr="008E6031" w14:paraId="18222423" w14:textId="77777777" w:rsidTr="009A285F">
        <w:tc>
          <w:tcPr>
            <w:tcW w:w="2407" w:type="dxa"/>
            <w:tcBorders>
              <w:top w:val="nil"/>
              <w:bottom w:val="single" w:sz="4" w:space="0" w:color="auto"/>
            </w:tcBorders>
          </w:tcPr>
          <w:p w14:paraId="5138EBC6" w14:textId="77777777" w:rsidR="009A285F" w:rsidRPr="00E600F8" w:rsidRDefault="009A285F" w:rsidP="009A285F">
            <w:pPr>
              <w:spacing w:line="480" w:lineRule="auto"/>
              <w:ind w:left="318"/>
              <w:rPr>
                <w:lang w:val="en-US"/>
              </w:rPr>
            </w:pPr>
            <w:r w:rsidRPr="00E600F8">
              <w:rPr>
                <w:lang w:val="en-US"/>
              </w:rPr>
              <w:t>Group Membership</w:t>
            </w:r>
          </w:p>
        </w:tc>
        <w:tc>
          <w:tcPr>
            <w:tcW w:w="996" w:type="dxa"/>
            <w:tcBorders>
              <w:top w:val="nil"/>
              <w:bottom w:val="single" w:sz="4" w:space="0" w:color="auto"/>
            </w:tcBorders>
          </w:tcPr>
          <w:p w14:paraId="0FB9FCD3" w14:textId="77777777" w:rsidR="009A285F" w:rsidRPr="00E600F8" w:rsidRDefault="009A285F" w:rsidP="009A285F">
            <w:pPr>
              <w:spacing w:line="480" w:lineRule="auto"/>
              <w:jc w:val="center"/>
              <w:rPr>
                <w:vertAlign w:val="superscript"/>
                <w:lang w:val="en-US"/>
              </w:rPr>
            </w:pPr>
            <w:r w:rsidRPr="00E600F8">
              <w:rPr>
                <w:lang w:val="en-US"/>
              </w:rPr>
              <w:t>0.09</w:t>
            </w:r>
            <w:r w:rsidRPr="00E600F8">
              <w:rPr>
                <w:vertAlign w:val="superscript"/>
                <w:lang w:val="en-US"/>
              </w:rPr>
              <w:t>+</w:t>
            </w:r>
          </w:p>
        </w:tc>
        <w:tc>
          <w:tcPr>
            <w:tcW w:w="705" w:type="dxa"/>
            <w:tcBorders>
              <w:top w:val="nil"/>
              <w:bottom w:val="single" w:sz="4" w:space="0" w:color="auto"/>
            </w:tcBorders>
          </w:tcPr>
          <w:p w14:paraId="6D24E1B9" w14:textId="77777777" w:rsidR="009A285F" w:rsidRPr="00E600F8" w:rsidRDefault="009A285F" w:rsidP="009A285F">
            <w:pPr>
              <w:spacing w:line="480" w:lineRule="auto"/>
              <w:jc w:val="center"/>
              <w:rPr>
                <w:lang w:val="en-US"/>
              </w:rPr>
            </w:pPr>
            <w:r w:rsidRPr="00E600F8">
              <w:rPr>
                <w:lang w:val="en-US"/>
              </w:rPr>
              <w:t>0.04</w:t>
            </w:r>
          </w:p>
        </w:tc>
        <w:tc>
          <w:tcPr>
            <w:tcW w:w="850" w:type="dxa"/>
            <w:tcBorders>
              <w:top w:val="nil"/>
              <w:bottom w:val="single" w:sz="4" w:space="0" w:color="auto"/>
            </w:tcBorders>
          </w:tcPr>
          <w:p w14:paraId="3AF46374" w14:textId="77777777" w:rsidR="009A285F" w:rsidRPr="00E600F8" w:rsidRDefault="009A285F" w:rsidP="009A285F">
            <w:pPr>
              <w:spacing w:line="480" w:lineRule="auto"/>
              <w:jc w:val="center"/>
              <w:rPr>
                <w:lang w:val="en-US"/>
              </w:rPr>
            </w:pPr>
            <w:r w:rsidRPr="00E600F8">
              <w:rPr>
                <w:lang w:val="en-US"/>
              </w:rPr>
              <w:t>0.00</w:t>
            </w:r>
          </w:p>
        </w:tc>
        <w:tc>
          <w:tcPr>
            <w:tcW w:w="850" w:type="dxa"/>
            <w:tcBorders>
              <w:top w:val="nil"/>
              <w:bottom w:val="single" w:sz="4" w:space="0" w:color="auto"/>
            </w:tcBorders>
          </w:tcPr>
          <w:p w14:paraId="4C982CAF" w14:textId="77777777" w:rsidR="009A285F" w:rsidRPr="00E600F8" w:rsidRDefault="009A285F" w:rsidP="009A285F">
            <w:pPr>
              <w:spacing w:line="480" w:lineRule="auto"/>
              <w:jc w:val="center"/>
              <w:rPr>
                <w:lang w:val="en-US"/>
              </w:rPr>
            </w:pPr>
            <w:r w:rsidRPr="00E600F8">
              <w:rPr>
                <w:lang w:val="en-US"/>
              </w:rPr>
              <w:t>0.17</w:t>
            </w:r>
          </w:p>
        </w:tc>
        <w:tc>
          <w:tcPr>
            <w:tcW w:w="3206" w:type="dxa"/>
            <w:tcBorders>
              <w:top w:val="nil"/>
              <w:bottom w:val="single" w:sz="4" w:space="0" w:color="auto"/>
            </w:tcBorders>
          </w:tcPr>
          <w:p w14:paraId="04F723B9" w14:textId="77777777" w:rsidR="009A285F" w:rsidRPr="00E600F8" w:rsidRDefault="009A285F" w:rsidP="009A285F">
            <w:pPr>
              <w:spacing w:line="480" w:lineRule="auto"/>
              <w:jc w:val="center"/>
              <w:rPr>
                <w:lang w:val="en-US"/>
              </w:rPr>
            </w:pPr>
          </w:p>
        </w:tc>
      </w:tr>
      <w:tr w:rsidR="009A285F" w:rsidRPr="008E6031" w14:paraId="1D323F9F" w14:textId="77777777" w:rsidTr="009A285F">
        <w:tc>
          <w:tcPr>
            <w:tcW w:w="9014" w:type="dxa"/>
            <w:gridSpan w:val="6"/>
            <w:tcBorders>
              <w:bottom w:val="nil"/>
            </w:tcBorders>
          </w:tcPr>
          <w:p w14:paraId="70D10178" w14:textId="77777777" w:rsidR="009A285F" w:rsidRPr="00E600F8" w:rsidRDefault="009A285F" w:rsidP="009A285F">
            <w:pPr>
              <w:spacing w:line="480" w:lineRule="auto"/>
              <w:rPr>
                <w:lang w:val="en-US"/>
              </w:rPr>
            </w:pPr>
            <w:r w:rsidRPr="00E600F8">
              <w:rPr>
                <w:i/>
                <w:lang w:val="en-US"/>
              </w:rPr>
              <w:t xml:space="preserve">Note. </w:t>
            </w:r>
            <w:r w:rsidRPr="00E600F8">
              <w:rPr>
                <w:lang w:val="en-US"/>
              </w:rPr>
              <w:t xml:space="preserve">CI = 95% Confidence Interval. </w:t>
            </w:r>
            <w:r w:rsidRPr="00E600F8">
              <w:rPr>
                <w:vertAlign w:val="superscript"/>
                <w:lang w:val="en-US"/>
              </w:rPr>
              <w:t>+</w:t>
            </w:r>
            <w:r w:rsidRPr="00E600F8">
              <w:rPr>
                <w:lang w:val="en-US"/>
              </w:rPr>
              <w:t xml:space="preserve"> </w:t>
            </w:r>
            <w:r w:rsidRPr="00E600F8">
              <w:rPr>
                <w:i/>
                <w:lang w:val="en-US"/>
              </w:rPr>
              <w:t>p</w:t>
            </w:r>
            <w:r w:rsidRPr="00E600F8">
              <w:rPr>
                <w:lang w:val="en-US"/>
              </w:rPr>
              <w:t>&lt;.10, *</w:t>
            </w:r>
            <w:r w:rsidRPr="00E600F8">
              <w:rPr>
                <w:i/>
                <w:lang w:val="en-US"/>
              </w:rPr>
              <w:t>p</w:t>
            </w:r>
            <w:r w:rsidRPr="00E600F8">
              <w:rPr>
                <w:lang w:val="en-US"/>
              </w:rPr>
              <w:t xml:space="preserve">&lt;.05, ** </w:t>
            </w:r>
            <w:r w:rsidRPr="00E600F8">
              <w:rPr>
                <w:i/>
                <w:lang w:val="en-US"/>
              </w:rPr>
              <w:t>p</w:t>
            </w:r>
            <w:r w:rsidRPr="00E600F8">
              <w:rPr>
                <w:lang w:val="en-US"/>
              </w:rPr>
              <w:t xml:space="preserve">&lt;.01, *** </w:t>
            </w:r>
            <w:r w:rsidRPr="00E600F8">
              <w:rPr>
                <w:i/>
                <w:lang w:val="en-US"/>
              </w:rPr>
              <w:t>p</w:t>
            </w:r>
            <w:r w:rsidRPr="00E600F8">
              <w:rPr>
                <w:lang w:val="en-US"/>
              </w:rPr>
              <w:t>&lt;.001</w:t>
            </w:r>
          </w:p>
        </w:tc>
      </w:tr>
    </w:tbl>
    <w:p w14:paraId="4C5EE88F" w14:textId="77777777" w:rsidR="006E5BBC" w:rsidRPr="00E600F8" w:rsidRDefault="006E5BBC" w:rsidP="006E5BBC">
      <w:pPr>
        <w:spacing w:line="480" w:lineRule="auto"/>
        <w:rPr>
          <w:lang w:val="en-US"/>
        </w:rPr>
      </w:pPr>
    </w:p>
    <w:p w14:paraId="7E16123C" w14:textId="77777777" w:rsidR="006E5BBC" w:rsidRPr="00E600F8" w:rsidRDefault="006E5BBC" w:rsidP="006E5BBC">
      <w:pPr>
        <w:rPr>
          <w:lang w:val="en-US"/>
        </w:rPr>
      </w:pPr>
    </w:p>
    <w:p w14:paraId="2FC6847B" w14:textId="3E352F8D" w:rsidR="006E5BBC" w:rsidRPr="00E600F8" w:rsidRDefault="006E5BBC" w:rsidP="006E5BBC">
      <w:pPr>
        <w:rPr>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7"/>
        <w:gridCol w:w="996"/>
        <w:gridCol w:w="823"/>
        <w:gridCol w:w="732"/>
        <w:gridCol w:w="850"/>
        <w:gridCol w:w="3206"/>
      </w:tblGrid>
      <w:tr w:rsidR="006E5BBC" w:rsidRPr="008E6031" w14:paraId="242FE404" w14:textId="77777777" w:rsidTr="0046717D">
        <w:tc>
          <w:tcPr>
            <w:tcW w:w="9026" w:type="dxa"/>
            <w:gridSpan w:val="6"/>
            <w:tcBorders>
              <w:top w:val="nil"/>
            </w:tcBorders>
          </w:tcPr>
          <w:p w14:paraId="6DD51FBF" w14:textId="628E0F1D" w:rsidR="006E5BBC" w:rsidRPr="00E600F8" w:rsidRDefault="006E5BBC" w:rsidP="00A76466">
            <w:pPr>
              <w:spacing w:line="480" w:lineRule="auto"/>
              <w:rPr>
                <w:b/>
                <w:lang w:val="en-US"/>
              </w:rPr>
            </w:pPr>
            <w:r w:rsidRPr="00E600F8">
              <w:rPr>
                <w:b/>
                <w:lang w:val="en-US"/>
              </w:rPr>
              <w:t>Table 2 b. Multilevel</w:t>
            </w:r>
            <w:r w:rsidR="008125B3" w:rsidRPr="00E600F8">
              <w:rPr>
                <w:b/>
                <w:lang w:val="en-US"/>
              </w:rPr>
              <w:t xml:space="preserve"> Models to Predict </w:t>
            </w:r>
            <w:r w:rsidR="001F1C34" w:rsidRPr="00E600F8">
              <w:rPr>
                <w:b/>
                <w:lang w:val="en-US"/>
              </w:rPr>
              <w:t>Gambling</w:t>
            </w:r>
            <w:r w:rsidR="008125B3" w:rsidRPr="00E600F8">
              <w:rPr>
                <w:b/>
                <w:lang w:val="en-US"/>
              </w:rPr>
              <w:t xml:space="preserve"> U</w:t>
            </w:r>
            <w:r w:rsidRPr="00E600F8">
              <w:rPr>
                <w:b/>
                <w:lang w:val="en-US"/>
              </w:rPr>
              <w:t xml:space="preserve">nder Risk. </w:t>
            </w:r>
          </w:p>
        </w:tc>
      </w:tr>
      <w:tr w:rsidR="006E5BBC" w:rsidRPr="008E6031" w14:paraId="1B9DB2A5" w14:textId="77777777" w:rsidTr="0046717D">
        <w:tc>
          <w:tcPr>
            <w:tcW w:w="2410" w:type="dxa"/>
            <w:tcBorders>
              <w:bottom w:val="single" w:sz="4" w:space="0" w:color="auto"/>
            </w:tcBorders>
          </w:tcPr>
          <w:p w14:paraId="5C4B2A38" w14:textId="77777777" w:rsidR="006E5BBC" w:rsidRPr="00E600F8" w:rsidRDefault="006E5BBC" w:rsidP="0046717D">
            <w:pPr>
              <w:spacing w:line="480" w:lineRule="auto"/>
              <w:rPr>
                <w:lang w:val="en-US"/>
              </w:rPr>
            </w:pPr>
          </w:p>
        </w:tc>
        <w:tc>
          <w:tcPr>
            <w:tcW w:w="996" w:type="dxa"/>
            <w:tcBorders>
              <w:bottom w:val="single" w:sz="4" w:space="0" w:color="auto"/>
            </w:tcBorders>
          </w:tcPr>
          <w:p w14:paraId="4A9F8C19" w14:textId="77777777" w:rsidR="006E5BBC" w:rsidRPr="00E600F8" w:rsidRDefault="006E5BBC" w:rsidP="0046717D">
            <w:pPr>
              <w:spacing w:line="480" w:lineRule="auto"/>
              <w:jc w:val="center"/>
              <w:rPr>
                <w:i/>
                <w:lang w:val="en-US"/>
              </w:rPr>
            </w:pPr>
            <w:r w:rsidRPr="00E600F8">
              <w:rPr>
                <w:i/>
                <w:lang w:val="en-US"/>
              </w:rPr>
              <w:t>B</w:t>
            </w:r>
          </w:p>
        </w:tc>
        <w:tc>
          <w:tcPr>
            <w:tcW w:w="824" w:type="dxa"/>
            <w:tcBorders>
              <w:bottom w:val="single" w:sz="4" w:space="0" w:color="auto"/>
            </w:tcBorders>
          </w:tcPr>
          <w:p w14:paraId="65CE682E" w14:textId="77777777" w:rsidR="006E5BBC" w:rsidRPr="00E600F8" w:rsidRDefault="006E5BBC" w:rsidP="0046717D">
            <w:pPr>
              <w:spacing w:line="480" w:lineRule="auto"/>
              <w:jc w:val="center"/>
              <w:rPr>
                <w:i/>
                <w:lang w:val="en-US"/>
              </w:rPr>
            </w:pPr>
            <w:r w:rsidRPr="00E600F8">
              <w:rPr>
                <w:i/>
                <w:lang w:val="en-US"/>
              </w:rPr>
              <w:t>SE</w:t>
            </w:r>
          </w:p>
        </w:tc>
        <w:tc>
          <w:tcPr>
            <w:tcW w:w="732" w:type="dxa"/>
            <w:tcBorders>
              <w:bottom w:val="single" w:sz="4" w:space="0" w:color="auto"/>
            </w:tcBorders>
          </w:tcPr>
          <w:p w14:paraId="3A7FA964" w14:textId="77777777" w:rsidR="006E5BBC" w:rsidRPr="00E600F8" w:rsidRDefault="006E5BBC" w:rsidP="0046717D">
            <w:pPr>
              <w:spacing w:line="480" w:lineRule="auto"/>
              <w:jc w:val="center"/>
              <w:rPr>
                <w:i/>
                <w:vertAlign w:val="subscript"/>
                <w:lang w:val="en-US"/>
              </w:rPr>
            </w:pPr>
            <w:r w:rsidRPr="00E600F8">
              <w:rPr>
                <w:i/>
                <w:lang w:val="en-US"/>
              </w:rPr>
              <w:t>CI</w:t>
            </w:r>
            <w:r w:rsidRPr="00E600F8">
              <w:rPr>
                <w:i/>
                <w:vertAlign w:val="subscript"/>
                <w:lang w:val="en-US"/>
              </w:rPr>
              <w:t>Low</w:t>
            </w:r>
          </w:p>
        </w:tc>
        <w:tc>
          <w:tcPr>
            <w:tcW w:w="850" w:type="dxa"/>
            <w:tcBorders>
              <w:bottom w:val="single" w:sz="4" w:space="0" w:color="auto"/>
            </w:tcBorders>
          </w:tcPr>
          <w:p w14:paraId="4E9244C2" w14:textId="77777777" w:rsidR="006E5BBC" w:rsidRPr="00E600F8" w:rsidRDefault="006E5BBC" w:rsidP="0046717D">
            <w:pPr>
              <w:spacing w:line="480" w:lineRule="auto"/>
              <w:jc w:val="center"/>
              <w:rPr>
                <w:lang w:val="en-US"/>
              </w:rPr>
            </w:pPr>
            <w:r w:rsidRPr="00E600F8">
              <w:rPr>
                <w:i/>
                <w:lang w:val="en-US"/>
              </w:rPr>
              <w:t>CI</w:t>
            </w:r>
            <w:r w:rsidRPr="00E600F8">
              <w:rPr>
                <w:i/>
                <w:vertAlign w:val="subscript"/>
                <w:lang w:val="en-US"/>
              </w:rPr>
              <w:t>High</w:t>
            </w:r>
          </w:p>
        </w:tc>
        <w:tc>
          <w:tcPr>
            <w:tcW w:w="3214" w:type="dxa"/>
            <w:tcBorders>
              <w:bottom w:val="single" w:sz="4" w:space="0" w:color="auto"/>
            </w:tcBorders>
          </w:tcPr>
          <w:p w14:paraId="5C64A1BD" w14:textId="77777777" w:rsidR="006E5BBC" w:rsidRPr="00E600F8" w:rsidRDefault="006E5BBC" w:rsidP="0046717D">
            <w:pPr>
              <w:spacing w:line="480" w:lineRule="auto"/>
              <w:jc w:val="center"/>
              <w:rPr>
                <w:i/>
                <w:lang w:val="en-US"/>
              </w:rPr>
            </w:pPr>
            <w:r w:rsidRPr="00E600F8">
              <w:rPr>
                <w:i/>
                <w:lang w:val="en-US"/>
              </w:rPr>
              <w:t>Fit Indices</w:t>
            </w:r>
          </w:p>
        </w:tc>
      </w:tr>
      <w:tr w:rsidR="006E5BBC" w:rsidRPr="008E6031" w14:paraId="6A406FDE" w14:textId="77777777" w:rsidTr="0046717D">
        <w:tc>
          <w:tcPr>
            <w:tcW w:w="2410" w:type="dxa"/>
            <w:tcBorders>
              <w:bottom w:val="nil"/>
            </w:tcBorders>
          </w:tcPr>
          <w:p w14:paraId="0BDB1566" w14:textId="77777777" w:rsidR="006E5BBC" w:rsidRPr="00E600F8" w:rsidRDefault="006E5BBC" w:rsidP="0046717D">
            <w:pPr>
              <w:spacing w:line="480" w:lineRule="auto"/>
              <w:rPr>
                <w:lang w:val="en-US"/>
              </w:rPr>
            </w:pPr>
            <w:r w:rsidRPr="00E600F8">
              <w:rPr>
                <w:lang w:val="en-US"/>
              </w:rPr>
              <w:t>Model 1</w:t>
            </w:r>
          </w:p>
        </w:tc>
        <w:tc>
          <w:tcPr>
            <w:tcW w:w="996" w:type="dxa"/>
            <w:tcBorders>
              <w:bottom w:val="nil"/>
            </w:tcBorders>
          </w:tcPr>
          <w:p w14:paraId="6ED09908" w14:textId="77777777" w:rsidR="006E5BBC" w:rsidRPr="00E600F8" w:rsidRDefault="006E5BBC" w:rsidP="0046717D">
            <w:pPr>
              <w:spacing w:line="480" w:lineRule="auto"/>
              <w:jc w:val="center"/>
              <w:rPr>
                <w:lang w:val="en-US"/>
              </w:rPr>
            </w:pPr>
          </w:p>
        </w:tc>
        <w:tc>
          <w:tcPr>
            <w:tcW w:w="824" w:type="dxa"/>
            <w:tcBorders>
              <w:bottom w:val="nil"/>
            </w:tcBorders>
          </w:tcPr>
          <w:p w14:paraId="538BC3D6" w14:textId="77777777" w:rsidR="006E5BBC" w:rsidRPr="00E600F8" w:rsidRDefault="006E5BBC" w:rsidP="0046717D">
            <w:pPr>
              <w:spacing w:line="480" w:lineRule="auto"/>
              <w:jc w:val="center"/>
              <w:rPr>
                <w:lang w:val="en-US"/>
              </w:rPr>
            </w:pPr>
          </w:p>
        </w:tc>
        <w:tc>
          <w:tcPr>
            <w:tcW w:w="732" w:type="dxa"/>
            <w:tcBorders>
              <w:bottom w:val="nil"/>
            </w:tcBorders>
          </w:tcPr>
          <w:p w14:paraId="33E4D35E" w14:textId="77777777" w:rsidR="006E5BBC" w:rsidRPr="00E600F8" w:rsidRDefault="006E5BBC" w:rsidP="0046717D">
            <w:pPr>
              <w:spacing w:line="480" w:lineRule="auto"/>
              <w:jc w:val="center"/>
              <w:rPr>
                <w:lang w:val="en-US"/>
              </w:rPr>
            </w:pPr>
          </w:p>
        </w:tc>
        <w:tc>
          <w:tcPr>
            <w:tcW w:w="850" w:type="dxa"/>
            <w:tcBorders>
              <w:bottom w:val="nil"/>
            </w:tcBorders>
          </w:tcPr>
          <w:p w14:paraId="6C8D82D4" w14:textId="77777777" w:rsidR="006E5BBC" w:rsidRPr="00E600F8" w:rsidRDefault="006E5BBC" w:rsidP="0046717D">
            <w:pPr>
              <w:spacing w:line="480" w:lineRule="auto"/>
              <w:jc w:val="center"/>
              <w:rPr>
                <w:lang w:val="en-US"/>
              </w:rPr>
            </w:pPr>
          </w:p>
        </w:tc>
        <w:tc>
          <w:tcPr>
            <w:tcW w:w="3214" w:type="dxa"/>
            <w:tcBorders>
              <w:bottom w:val="nil"/>
            </w:tcBorders>
          </w:tcPr>
          <w:p w14:paraId="0BE0FC60" w14:textId="77777777" w:rsidR="006E5BBC" w:rsidRPr="00E600F8" w:rsidRDefault="006E5BBC" w:rsidP="0046717D">
            <w:pPr>
              <w:spacing w:line="480" w:lineRule="auto"/>
              <w:jc w:val="center"/>
              <w:rPr>
                <w:lang w:val="en-US"/>
              </w:rPr>
            </w:pPr>
            <w:r w:rsidRPr="00E600F8">
              <w:rPr>
                <w:lang w:val="en-US"/>
              </w:rPr>
              <w:t>-2LL=9.81</w:t>
            </w:r>
          </w:p>
          <w:p w14:paraId="513E9E01" w14:textId="77777777" w:rsidR="006E5BBC" w:rsidRPr="00E600F8" w:rsidRDefault="006E5BBC" w:rsidP="0046717D">
            <w:pPr>
              <w:spacing w:line="480" w:lineRule="auto"/>
              <w:jc w:val="center"/>
              <w:rPr>
                <w:lang w:val="en-US"/>
              </w:rPr>
            </w:pPr>
            <w:r w:rsidRPr="00E600F8">
              <w:rPr>
                <w:lang w:val="en-US"/>
              </w:rPr>
              <w:t>AIC=23.81; BIC=46.16</w:t>
            </w:r>
          </w:p>
        </w:tc>
      </w:tr>
      <w:tr w:rsidR="006E5BBC" w:rsidRPr="008E6031" w14:paraId="31A8BEC1" w14:textId="77777777" w:rsidTr="0046717D">
        <w:tc>
          <w:tcPr>
            <w:tcW w:w="2410" w:type="dxa"/>
            <w:tcBorders>
              <w:top w:val="nil"/>
              <w:bottom w:val="nil"/>
            </w:tcBorders>
          </w:tcPr>
          <w:p w14:paraId="451079E1" w14:textId="77777777" w:rsidR="006E5BBC" w:rsidRPr="00E600F8" w:rsidRDefault="006E5BBC" w:rsidP="0046717D">
            <w:pPr>
              <w:spacing w:line="480" w:lineRule="auto"/>
              <w:ind w:left="318"/>
              <w:rPr>
                <w:lang w:val="en-US"/>
              </w:rPr>
            </w:pPr>
            <w:r w:rsidRPr="00E600F8">
              <w:rPr>
                <w:lang w:val="en-US"/>
              </w:rPr>
              <w:t xml:space="preserve">Intercept </w:t>
            </w:r>
          </w:p>
        </w:tc>
        <w:tc>
          <w:tcPr>
            <w:tcW w:w="996" w:type="dxa"/>
            <w:tcBorders>
              <w:top w:val="nil"/>
              <w:bottom w:val="nil"/>
            </w:tcBorders>
          </w:tcPr>
          <w:p w14:paraId="24208B99" w14:textId="77777777" w:rsidR="006E5BBC" w:rsidRPr="00E600F8" w:rsidRDefault="006E5BBC" w:rsidP="0046717D">
            <w:pPr>
              <w:spacing w:line="480" w:lineRule="auto"/>
              <w:jc w:val="center"/>
              <w:rPr>
                <w:lang w:val="en-US"/>
              </w:rPr>
            </w:pPr>
            <w:r w:rsidRPr="00E600F8">
              <w:rPr>
                <w:lang w:val="en-US"/>
              </w:rPr>
              <w:t>0.52***</w:t>
            </w:r>
          </w:p>
        </w:tc>
        <w:tc>
          <w:tcPr>
            <w:tcW w:w="824" w:type="dxa"/>
            <w:tcBorders>
              <w:top w:val="nil"/>
              <w:bottom w:val="nil"/>
            </w:tcBorders>
          </w:tcPr>
          <w:p w14:paraId="0F9844C7" w14:textId="77777777" w:rsidR="006E5BBC" w:rsidRPr="00E600F8" w:rsidRDefault="006E5BBC" w:rsidP="0046717D">
            <w:pPr>
              <w:spacing w:line="480" w:lineRule="auto"/>
              <w:jc w:val="center"/>
              <w:rPr>
                <w:lang w:val="en-US"/>
              </w:rPr>
            </w:pPr>
            <w:r w:rsidRPr="00E600F8">
              <w:rPr>
                <w:lang w:val="en-US"/>
              </w:rPr>
              <w:t>0.03</w:t>
            </w:r>
          </w:p>
        </w:tc>
        <w:tc>
          <w:tcPr>
            <w:tcW w:w="732" w:type="dxa"/>
            <w:tcBorders>
              <w:top w:val="nil"/>
              <w:bottom w:val="nil"/>
            </w:tcBorders>
          </w:tcPr>
          <w:p w14:paraId="5F9331C0" w14:textId="77777777" w:rsidR="006E5BBC" w:rsidRPr="00E600F8" w:rsidRDefault="006E5BBC" w:rsidP="0046717D">
            <w:pPr>
              <w:spacing w:line="480" w:lineRule="auto"/>
              <w:jc w:val="center"/>
              <w:rPr>
                <w:lang w:val="en-US"/>
              </w:rPr>
            </w:pPr>
            <w:r w:rsidRPr="00E600F8">
              <w:rPr>
                <w:lang w:val="en-US"/>
              </w:rPr>
              <w:t>0.47</w:t>
            </w:r>
          </w:p>
        </w:tc>
        <w:tc>
          <w:tcPr>
            <w:tcW w:w="850" w:type="dxa"/>
            <w:tcBorders>
              <w:top w:val="nil"/>
              <w:bottom w:val="nil"/>
            </w:tcBorders>
          </w:tcPr>
          <w:p w14:paraId="2CE87A14" w14:textId="77777777" w:rsidR="006E5BBC" w:rsidRPr="00E600F8" w:rsidRDefault="006E5BBC" w:rsidP="0046717D">
            <w:pPr>
              <w:spacing w:line="480" w:lineRule="auto"/>
              <w:jc w:val="center"/>
              <w:rPr>
                <w:lang w:val="en-US"/>
              </w:rPr>
            </w:pPr>
            <w:r w:rsidRPr="00E600F8">
              <w:rPr>
                <w:lang w:val="en-US"/>
              </w:rPr>
              <w:t>0.57</w:t>
            </w:r>
          </w:p>
        </w:tc>
        <w:tc>
          <w:tcPr>
            <w:tcW w:w="3214" w:type="dxa"/>
            <w:tcBorders>
              <w:top w:val="nil"/>
              <w:bottom w:val="nil"/>
            </w:tcBorders>
          </w:tcPr>
          <w:p w14:paraId="6DA0173F" w14:textId="77777777" w:rsidR="006E5BBC" w:rsidRPr="00E600F8" w:rsidRDefault="006E5BBC" w:rsidP="0046717D">
            <w:pPr>
              <w:spacing w:line="480" w:lineRule="auto"/>
              <w:jc w:val="center"/>
              <w:rPr>
                <w:lang w:val="en-US"/>
              </w:rPr>
            </w:pPr>
          </w:p>
        </w:tc>
      </w:tr>
      <w:tr w:rsidR="006E5BBC" w:rsidRPr="008E6031" w14:paraId="0BBED857" w14:textId="77777777" w:rsidTr="0046717D">
        <w:tc>
          <w:tcPr>
            <w:tcW w:w="2410" w:type="dxa"/>
            <w:tcBorders>
              <w:top w:val="nil"/>
              <w:bottom w:val="nil"/>
            </w:tcBorders>
          </w:tcPr>
          <w:p w14:paraId="31AAB720" w14:textId="77777777" w:rsidR="006E5BBC" w:rsidRPr="00E600F8" w:rsidRDefault="006E5BBC" w:rsidP="0046717D">
            <w:pPr>
              <w:spacing w:line="480" w:lineRule="auto"/>
              <w:ind w:left="318"/>
              <w:rPr>
                <w:lang w:val="en-US"/>
              </w:rPr>
            </w:pPr>
            <w:r w:rsidRPr="00E600F8">
              <w:rPr>
                <w:lang w:val="en-US"/>
              </w:rPr>
              <w:t xml:space="preserve">Age </w:t>
            </w:r>
          </w:p>
        </w:tc>
        <w:tc>
          <w:tcPr>
            <w:tcW w:w="996" w:type="dxa"/>
            <w:tcBorders>
              <w:top w:val="nil"/>
              <w:bottom w:val="nil"/>
            </w:tcBorders>
          </w:tcPr>
          <w:p w14:paraId="7D400543" w14:textId="77777777" w:rsidR="006E5BBC" w:rsidRPr="00E600F8" w:rsidRDefault="006E5BBC" w:rsidP="0046717D">
            <w:pPr>
              <w:spacing w:line="480" w:lineRule="auto"/>
              <w:jc w:val="center"/>
              <w:rPr>
                <w:lang w:val="en-US"/>
              </w:rPr>
            </w:pPr>
            <w:r w:rsidRPr="00E600F8">
              <w:rPr>
                <w:lang w:val="en-US"/>
              </w:rPr>
              <w:t>0.02</w:t>
            </w:r>
          </w:p>
        </w:tc>
        <w:tc>
          <w:tcPr>
            <w:tcW w:w="824" w:type="dxa"/>
            <w:tcBorders>
              <w:top w:val="nil"/>
              <w:bottom w:val="nil"/>
            </w:tcBorders>
          </w:tcPr>
          <w:p w14:paraId="1C16D5DA" w14:textId="77777777" w:rsidR="006E5BBC" w:rsidRPr="00E600F8" w:rsidRDefault="006E5BBC" w:rsidP="0046717D">
            <w:pPr>
              <w:spacing w:line="480" w:lineRule="auto"/>
              <w:jc w:val="center"/>
              <w:rPr>
                <w:lang w:val="en-US"/>
              </w:rPr>
            </w:pPr>
            <w:r w:rsidRPr="00E600F8">
              <w:rPr>
                <w:lang w:val="en-US"/>
              </w:rPr>
              <w:t>0.03</w:t>
            </w:r>
          </w:p>
        </w:tc>
        <w:tc>
          <w:tcPr>
            <w:tcW w:w="732" w:type="dxa"/>
            <w:tcBorders>
              <w:top w:val="nil"/>
              <w:bottom w:val="nil"/>
            </w:tcBorders>
          </w:tcPr>
          <w:p w14:paraId="3316BF13" w14:textId="77777777" w:rsidR="006E5BBC" w:rsidRPr="00E600F8" w:rsidRDefault="006E5BBC" w:rsidP="0046717D">
            <w:pPr>
              <w:spacing w:line="480" w:lineRule="auto"/>
              <w:jc w:val="center"/>
              <w:rPr>
                <w:lang w:val="en-US"/>
              </w:rPr>
            </w:pPr>
            <w:r w:rsidRPr="00E600F8">
              <w:rPr>
                <w:lang w:val="en-US"/>
              </w:rPr>
              <w:t>-0.03</w:t>
            </w:r>
          </w:p>
        </w:tc>
        <w:tc>
          <w:tcPr>
            <w:tcW w:w="850" w:type="dxa"/>
            <w:tcBorders>
              <w:top w:val="nil"/>
              <w:bottom w:val="nil"/>
            </w:tcBorders>
          </w:tcPr>
          <w:p w14:paraId="0AACFC32" w14:textId="77777777" w:rsidR="006E5BBC" w:rsidRPr="00E600F8" w:rsidRDefault="006E5BBC" w:rsidP="0046717D">
            <w:pPr>
              <w:spacing w:line="480" w:lineRule="auto"/>
              <w:jc w:val="center"/>
              <w:rPr>
                <w:lang w:val="en-US"/>
              </w:rPr>
            </w:pPr>
            <w:r w:rsidRPr="00E600F8">
              <w:rPr>
                <w:lang w:val="en-US"/>
              </w:rPr>
              <w:t>0.07</w:t>
            </w:r>
          </w:p>
        </w:tc>
        <w:tc>
          <w:tcPr>
            <w:tcW w:w="3214" w:type="dxa"/>
            <w:tcBorders>
              <w:top w:val="nil"/>
              <w:bottom w:val="nil"/>
            </w:tcBorders>
          </w:tcPr>
          <w:p w14:paraId="2953B7CC" w14:textId="77777777" w:rsidR="006E5BBC" w:rsidRPr="00E600F8" w:rsidRDefault="006E5BBC" w:rsidP="0046717D">
            <w:pPr>
              <w:spacing w:line="480" w:lineRule="auto"/>
              <w:jc w:val="center"/>
              <w:rPr>
                <w:lang w:val="en-US"/>
              </w:rPr>
            </w:pPr>
          </w:p>
        </w:tc>
      </w:tr>
      <w:tr w:rsidR="006E5BBC" w:rsidRPr="008E6031" w14:paraId="716D647B" w14:textId="77777777" w:rsidTr="0046717D">
        <w:tc>
          <w:tcPr>
            <w:tcW w:w="2410" w:type="dxa"/>
            <w:tcBorders>
              <w:top w:val="nil"/>
              <w:bottom w:val="nil"/>
            </w:tcBorders>
          </w:tcPr>
          <w:p w14:paraId="337E432B" w14:textId="77777777" w:rsidR="006E5BBC" w:rsidRPr="00E600F8" w:rsidRDefault="006E5BBC" w:rsidP="0046717D">
            <w:pPr>
              <w:spacing w:line="480" w:lineRule="auto"/>
              <w:ind w:left="318"/>
              <w:rPr>
                <w:lang w:val="en-US"/>
              </w:rPr>
            </w:pPr>
            <w:r w:rsidRPr="00E600F8">
              <w:rPr>
                <w:lang w:val="en-US"/>
              </w:rPr>
              <w:t>Risk Perception</w:t>
            </w:r>
          </w:p>
        </w:tc>
        <w:tc>
          <w:tcPr>
            <w:tcW w:w="996" w:type="dxa"/>
            <w:tcBorders>
              <w:top w:val="nil"/>
              <w:bottom w:val="nil"/>
            </w:tcBorders>
          </w:tcPr>
          <w:p w14:paraId="0DE39FFE" w14:textId="77777777" w:rsidR="006E5BBC" w:rsidRPr="00E600F8" w:rsidRDefault="006E5BBC" w:rsidP="0046717D">
            <w:pPr>
              <w:spacing w:line="480" w:lineRule="auto"/>
              <w:jc w:val="center"/>
              <w:rPr>
                <w:lang w:val="en-US"/>
              </w:rPr>
            </w:pPr>
            <w:r w:rsidRPr="00E600F8">
              <w:rPr>
                <w:lang w:val="en-US"/>
              </w:rPr>
              <w:t>0.01</w:t>
            </w:r>
          </w:p>
        </w:tc>
        <w:tc>
          <w:tcPr>
            <w:tcW w:w="824" w:type="dxa"/>
            <w:tcBorders>
              <w:top w:val="nil"/>
              <w:bottom w:val="nil"/>
            </w:tcBorders>
          </w:tcPr>
          <w:p w14:paraId="707D7ECE" w14:textId="77777777" w:rsidR="006E5BBC" w:rsidRPr="00E600F8" w:rsidRDefault="006E5BBC" w:rsidP="0046717D">
            <w:pPr>
              <w:spacing w:line="480" w:lineRule="auto"/>
              <w:jc w:val="center"/>
              <w:rPr>
                <w:lang w:val="en-US"/>
              </w:rPr>
            </w:pPr>
            <w:r w:rsidRPr="00E600F8">
              <w:rPr>
                <w:lang w:val="en-US"/>
              </w:rPr>
              <w:t>0.03</w:t>
            </w:r>
          </w:p>
        </w:tc>
        <w:tc>
          <w:tcPr>
            <w:tcW w:w="732" w:type="dxa"/>
            <w:tcBorders>
              <w:top w:val="nil"/>
              <w:bottom w:val="nil"/>
            </w:tcBorders>
          </w:tcPr>
          <w:p w14:paraId="19769322" w14:textId="77777777" w:rsidR="006E5BBC" w:rsidRPr="00E600F8" w:rsidRDefault="006E5BBC" w:rsidP="0046717D">
            <w:pPr>
              <w:spacing w:line="480" w:lineRule="auto"/>
              <w:jc w:val="center"/>
              <w:rPr>
                <w:lang w:val="en-US"/>
              </w:rPr>
            </w:pPr>
            <w:r w:rsidRPr="00E600F8">
              <w:rPr>
                <w:lang w:val="en-US"/>
              </w:rPr>
              <w:t>-0.05</w:t>
            </w:r>
          </w:p>
        </w:tc>
        <w:tc>
          <w:tcPr>
            <w:tcW w:w="850" w:type="dxa"/>
            <w:tcBorders>
              <w:top w:val="nil"/>
              <w:bottom w:val="nil"/>
            </w:tcBorders>
          </w:tcPr>
          <w:p w14:paraId="74F74136" w14:textId="77777777" w:rsidR="006E5BBC" w:rsidRPr="00E600F8" w:rsidRDefault="006E5BBC" w:rsidP="0046717D">
            <w:pPr>
              <w:spacing w:line="480" w:lineRule="auto"/>
              <w:jc w:val="center"/>
              <w:rPr>
                <w:lang w:val="en-US"/>
              </w:rPr>
            </w:pPr>
            <w:r w:rsidRPr="00E600F8">
              <w:rPr>
                <w:lang w:val="en-US"/>
              </w:rPr>
              <w:t>0.06</w:t>
            </w:r>
          </w:p>
        </w:tc>
        <w:tc>
          <w:tcPr>
            <w:tcW w:w="3214" w:type="dxa"/>
            <w:tcBorders>
              <w:top w:val="nil"/>
              <w:bottom w:val="nil"/>
            </w:tcBorders>
          </w:tcPr>
          <w:p w14:paraId="4C8DA7DB" w14:textId="77777777" w:rsidR="006E5BBC" w:rsidRPr="00E600F8" w:rsidRDefault="006E5BBC" w:rsidP="0046717D">
            <w:pPr>
              <w:spacing w:line="480" w:lineRule="auto"/>
              <w:jc w:val="center"/>
              <w:rPr>
                <w:lang w:val="en-US"/>
              </w:rPr>
            </w:pPr>
          </w:p>
        </w:tc>
      </w:tr>
      <w:tr w:rsidR="006E5BBC" w:rsidRPr="008E6031" w14:paraId="1EE15822" w14:textId="77777777" w:rsidTr="0046717D">
        <w:tc>
          <w:tcPr>
            <w:tcW w:w="2410" w:type="dxa"/>
            <w:tcBorders>
              <w:top w:val="nil"/>
              <w:bottom w:val="nil"/>
            </w:tcBorders>
          </w:tcPr>
          <w:p w14:paraId="0CB4C06B" w14:textId="77777777" w:rsidR="006E5BBC" w:rsidRPr="00E600F8" w:rsidRDefault="006E5BBC" w:rsidP="0046717D">
            <w:pPr>
              <w:spacing w:line="480" w:lineRule="auto"/>
              <w:ind w:left="318"/>
              <w:rPr>
                <w:lang w:val="en-US"/>
              </w:rPr>
            </w:pPr>
            <w:r w:rsidRPr="00E600F8">
              <w:rPr>
                <w:lang w:val="en-US"/>
              </w:rPr>
              <w:t>Reward Sensitivity</w:t>
            </w:r>
          </w:p>
        </w:tc>
        <w:tc>
          <w:tcPr>
            <w:tcW w:w="996" w:type="dxa"/>
            <w:tcBorders>
              <w:top w:val="nil"/>
              <w:bottom w:val="nil"/>
            </w:tcBorders>
          </w:tcPr>
          <w:p w14:paraId="0D46748F" w14:textId="77777777" w:rsidR="006E5BBC" w:rsidRPr="00E600F8" w:rsidRDefault="006E5BBC" w:rsidP="0046717D">
            <w:pPr>
              <w:spacing w:line="480" w:lineRule="auto"/>
              <w:jc w:val="center"/>
              <w:rPr>
                <w:lang w:val="en-US"/>
              </w:rPr>
            </w:pPr>
            <w:r w:rsidRPr="00E600F8">
              <w:rPr>
                <w:lang w:val="en-US"/>
              </w:rPr>
              <w:t>0.14</w:t>
            </w:r>
          </w:p>
        </w:tc>
        <w:tc>
          <w:tcPr>
            <w:tcW w:w="824" w:type="dxa"/>
            <w:tcBorders>
              <w:top w:val="nil"/>
              <w:bottom w:val="nil"/>
            </w:tcBorders>
          </w:tcPr>
          <w:p w14:paraId="62F24174" w14:textId="77777777" w:rsidR="006E5BBC" w:rsidRPr="00E600F8" w:rsidRDefault="006E5BBC" w:rsidP="0046717D">
            <w:pPr>
              <w:spacing w:line="480" w:lineRule="auto"/>
              <w:jc w:val="center"/>
              <w:rPr>
                <w:lang w:val="en-US"/>
              </w:rPr>
            </w:pPr>
            <w:r w:rsidRPr="00E600F8">
              <w:rPr>
                <w:lang w:val="en-US"/>
              </w:rPr>
              <w:t>0.10</w:t>
            </w:r>
          </w:p>
        </w:tc>
        <w:tc>
          <w:tcPr>
            <w:tcW w:w="732" w:type="dxa"/>
            <w:tcBorders>
              <w:top w:val="nil"/>
              <w:bottom w:val="nil"/>
            </w:tcBorders>
          </w:tcPr>
          <w:p w14:paraId="02C5DF21" w14:textId="77777777" w:rsidR="006E5BBC" w:rsidRPr="00E600F8" w:rsidRDefault="006E5BBC" w:rsidP="0046717D">
            <w:pPr>
              <w:spacing w:line="480" w:lineRule="auto"/>
              <w:jc w:val="center"/>
              <w:rPr>
                <w:lang w:val="en-US"/>
              </w:rPr>
            </w:pPr>
            <w:r w:rsidRPr="00E600F8">
              <w:rPr>
                <w:lang w:val="en-US"/>
              </w:rPr>
              <w:t>-0.07</w:t>
            </w:r>
          </w:p>
        </w:tc>
        <w:tc>
          <w:tcPr>
            <w:tcW w:w="850" w:type="dxa"/>
            <w:tcBorders>
              <w:top w:val="nil"/>
              <w:bottom w:val="nil"/>
            </w:tcBorders>
          </w:tcPr>
          <w:p w14:paraId="7C0D9C3F" w14:textId="77777777" w:rsidR="006E5BBC" w:rsidRPr="00E600F8" w:rsidRDefault="006E5BBC" w:rsidP="0046717D">
            <w:pPr>
              <w:spacing w:line="480" w:lineRule="auto"/>
              <w:jc w:val="center"/>
              <w:rPr>
                <w:lang w:val="en-US"/>
              </w:rPr>
            </w:pPr>
            <w:r w:rsidRPr="00E600F8">
              <w:rPr>
                <w:lang w:val="en-US"/>
              </w:rPr>
              <w:t>0.34</w:t>
            </w:r>
          </w:p>
        </w:tc>
        <w:tc>
          <w:tcPr>
            <w:tcW w:w="3214" w:type="dxa"/>
            <w:tcBorders>
              <w:top w:val="nil"/>
              <w:bottom w:val="nil"/>
            </w:tcBorders>
          </w:tcPr>
          <w:p w14:paraId="313023FC" w14:textId="77777777" w:rsidR="006E5BBC" w:rsidRPr="00E600F8" w:rsidRDefault="006E5BBC" w:rsidP="0046717D">
            <w:pPr>
              <w:spacing w:line="480" w:lineRule="auto"/>
              <w:jc w:val="center"/>
              <w:rPr>
                <w:lang w:val="en-US"/>
              </w:rPr>
            </w:pPr>
          </w:p>
        </w:tc>
      </w:tr>
      <w:tr w:rsidR="006E5BBC" w:rsidRPr="008E6031" w14:paraId="21066CAF" w14:textId="77777777" w:rsidTr="0046717D">
        <w:tc>
          <w:tcPr>
            <w:tcW w:w="2410" w:type="dxa"/>
            <w:tcBorders>
              <w:top w:val="nil"/>
              <w:bottom w:val="dashed" w:sz="4" w:space="0" w:color="auto"/>
            </w:tcBorders>
          </w:tcPr>
          <w:p w14:paraId="45FEE52C" w14:textId="77777777" w:rsidR="006E5BBC" w:rsidRPr="00E600F8" w:rsidRDefault="006E5BBC" w:rsidP="0046717D">
            <w:pPr>
              <w:spacing w:line="480" w:lineRule="auto"/>
              <w:ind w:left="318"/>
              <w:rPr>
                <w:lang w:val="en-US"/>
              </w:rPr>
            </w:pPr>
            <w:r w:rsidRPr="00E600F8">
              <w:rPr>
                <w:lang w:val="en-US"/>
              </w:rPr>
              <w:t>Inhibitory Control</w:t>
            </w:r>
          </w:p>
        </w:tc>
        <w:tc>
          <w:tcPr>
            <w:tcW w:w="996" w:type="dxa"/>
            <w:tcBorders>
              <w:top w:val="nil"/>
              <w:bottom w:val="dashed" w:sz="4" w:space="0" w:color="auto"/>
            </w:tcBorders>
          </w:tcPr>
          <w:p w14:paraId="5EAA9423" w14:textId="77777777" w:rsidR="006E5BBC" w:rsidRPr="00E600F8" w:rsidRDefault="006E5BBC" w:rsidP="0046717D">
            <w:pPr>
              <w:spacing w:line="480" w:lineRule="auto"/>
              <w:jc w:val="center"/>
              <w:rPr>
                <w:lang w:val="en-US"/>
              </w:rPr>
            </w:pPr>
            <w:r w:rsidRPr="00E600F8">
              <w:rPr>
                <w:lang w:val="en-US"/>
              </w:rPr>
              <w:t>0.04</w:t>
            </w:r>
          </w:p>
        </w:tc>
        <w:tc>
          <w:tcPr>
            <w:tcW w:w="824" w:type="dxa"/>
            <w:tcBorders>
              <w:top w:val="nil"/>
              <w:bottom w:val="dashed" w:sz="4" w:space="0" w:color="auto"/>
            </w:tcBorders>
          </w:tcPr>
          <w:p w14:paraId="5101E3AC" w14:textId="77777777" w:rsidR="006E5BBC" w:rsidRPr="00E600F8" w:rsidRDefault="006E5BBC" w:rsidP="0046717D">
            <w:pPr>
              <w:spacing w:line="480" w:lineRule="auto"/>
              <w:jc w:val="center"/>
              <w:rPr>
                <w:lang w:val="en-US"/>
              </w:rPr>
            </w:pPr>
            <w:r w:rsidRPr="00E600F8">
              <w:rPr>
                <w:lang w:val="en-US"/>
              </w:rPr>
              <w:t>0.06</w:t>
            </w:r>
          </w:p>
        </w:tc>
        <w:tc>
          <w:tcPr>
            <w:tcW w:w="732" w:type="dxa"/>
            <w:tcBorders>
              <w:top w:val="nil"/>
              <w:bottom w:val="dashed" w:sz="4" w:space="0" w:color="auto"/>
            </w:tcBorders>
          </w:tcPr>
          <w:p w14:paraId="508818F9" w14:textId="77777777" w:rsidR="006E5BBC" w:rsidRPr="00E600F8" w:rsidRDefault="006E5BBC" w:rsidP="0046717D">
            <w:pPr>
              <w:spacing w:line="480" w:lineRule="auto"/>
              <w:jc w:val="center"/>
              <w:rPr>
                <w:lang w:val="en-US"/>
              </w:rPr>
            </w:pPr>
            <w:r w:rsidRPr="00E600F8">
              <w:rPr>
                <w:lang w:val="en-US"/>
              </w:rPr>
              <w:t>-0.08</w:t>
            </w:r>
          </w:p>
        </w:tc>
        <w:tc>
          <w:tcPr>
            <w:tcW w:w="850" w:type="dxa"/>
            <w:tcBorders>
              <w:top w:val="nil"/>
              <w:bottom w:val="dashed" w:sz="4" w:space="0" w:color="auto"/>
            </w:tcBorders>
          </w:tcPr>
          <w:p w14:paraId="1032D9FB" w14:textId="77777777" w:rsidR="006E5BBC" w:rsidRPr="00E600F8" w:rsidRDefault="006E5BBC" w:rsidP="0046717D">
            <w:pPr>
              <w:spacing w:line="480" w:lineRule="auto"/>
              <w:jc w:val="center"/>
              <w:rPr>
                <w:lang w:val="en-US"/>
              </w:rPr>
            </w:pPr>
            <w:r w:rsidRPr="00E600F8">
              <w:rPr>
                <w:lang w:val="en-US"/>
              </w:rPr>
              <w:t>0.16</w:t>
            </w:r>
          </w:p>
        </w:tc>
        <w:tc>
          <w:tcPr>
            <w:tcW w:w="3214" w:type="dxa"/>
            <w:tcBorders>
              <w:top w:val="nil"/>
              <w:bottom w:val="dashed" w:sz="4" w:space="0" w:color="auto"/>
            </w:tcBorders>
          </w:tcPr>
          <w:p w14:paraId="09E13DA4" w14:textId="77777777" w:rsidR="006E5BBC" w:rsidRPr="00E600F8" w:rsidRDefault="006E5BBC" w:rsidP="0046717D">
            <w:pPr>
              <w:spacing w:line="480" w:lineRule="auto"/>
              <w:jc w:val="center"/>
              <w:rPr>
                <w:lang w:val="en-US"/>
              </w:rPr>
            </w:pPr>
          </w:p>
        </w:tc>
      </w:tr>
      <w:tr w:rsidR="006E5BBC" w:rsidRPr="008E6031" w14:paraId="77FD26C7" w14:textId="77777777" w:rsidTr="0046717D">
        <w:tc>
          <w:tcPr>
            <w:tcW w:w="2410" w:type="dxa"/>
            <w:tcBorders>
              <w:top w:val="dashed" w:sz="4" w:space="0" w:color="auto"/>
              <w:bottom w:val="nil"/>
            </w:tcBorders>
          </w:tcPr>
          <w:p w14:paraId="0E844095" w14:textId="77777777" w:rsidR="006E5BBC" w:rsidRPr="00E600F8" w:rsidRDefault="006E5BBC" w:rsidP="0046717D">
            <w:pPr>
              <w:spacing w:line="480" w:lineRule="auto"/>
              <w:rPr>
                <w:lang w:val="en-US"/>
              </w:rPr>
            </w:pPr>
            <w:r w:rsidRPr="00E600F8">
              <w:rPr>
                <w:lang w:val="en-US"/>
              </w:rPr>
              <w:t>Model 2</w:t>
            </w:r>
          </w:p>
        </w:tc>
        <w:tc>
          <w:tcPr>
            <w:tcW w:w="996" w:type="dxa"/>
            <w:tcBorders>
              <w:top w:val="dashed" w:sz="4" w:space="0" w:color="auto"/>
              <w:bottom w:val="nil"/>
            </w:tcBorders>
          </w:tcPr>
          <w:p w14:paraId="02AE40CA" w14:textId="77777777" w:rsidR="006E5BBC" w:rsidRPr="00E600F8" w:rsidRDefault="006E5BBC" w:rsidP="0046717D">
            <w:pPr>
              <w:spacing w:line="480" w:lineRule="auto"/>
              <w:jc w:val="center"/>
              <w:rPr>
                <w:lang w:val="en-US"/>
              </w:rPr>
            </w:pPr>
          </w:p>
        </w:tc>
        <w:tc>
          <w:tcPr>
            <w:tcW w:w="824" w:type="dxa"/>
            <w:tcBorders>
              <w:top w:val="dashed" w:sz="4" w:space="0" w:color="auto"/>
              <w:bottom w:val="nil"/>
            </w:tcBorders>
          </w:tcPr>
          <w:p w14:paraId="71F842BF" w14:textId="77777777" w:rsidR="006E5BBC" w:rsidRPr="00E600F8" w:rsidRDefault="006E5BBC" w:rsidP="0046717D">
            <w:pPr>
              <w:spacing w:line="480" w:lineRule="auto"/>
              <w:jc w:val="center"/>
              <w:rPr>
                <w:lang w:val="en-US"/>
              </w:rPr>
            </w:pPr>
          </w:p>
        </w:tc>
        <w:tc>
          <w:tcPr>
            <w:tcW w:w="732" w:type="dxa"/>
            <w:tcBorders>
              <w:top w:val="dashed" w:sz="4" w:space="0" w:color="auto"/>
              <w:bottom w:val="nil"/>
            </w:tcBorders>
          </w:tcPr>
          <w:p w14:paraId="5C259086" w14:textId="77777777" w:rsidR="006E5BBC" w:rsidRPr="00E600F8" w:rsidRDefault="006E5BBC" w:rsidP="0046717D">
            <w:pPr>
              <w:spacing w:line="480" w:lineRule="auto"/>
              <w:jc w:val="center"/>
              <w:rPr>
                <w:lang w:val="en-US"/>
              </w:rPr>
            </w:pPr>
          </w:p>
        </w:tc>
        <w:tc>
          <w:tcPr>
            <w:tcW w:w="850" w:type="dxa"/>
            <w:tcBorders>
              <w:top w:val="dashed" w:sz="4" w:space="0" w:color="auto"/>
              <w:bottom w:val="nil"/>
            </w:tcBorders>
          </w:tcPr>
          <w:p w14:paraId="28264E41" w14:textId="77777777" w:rsidR="006E5BBC" w:rsidRPr="00E600F8" w:rsidRDefault="006E5BBC" w:rsidP="0046717D">
            <w:pPr>
              <w:spacing w:line="480" w:lineRule="auto"/>
              <w:jc w:val="center"/>
              <w:rPr>
                <w:lang w:val="en-US"/>
              </w:rPr>
            </w:pPr>
          </w:p>
        </w:tc>
        <w:tc>
          <w:tcPr>
            <w:tcW w:w="3214" w:type="dxa"/>
            <w:tcBorders>
              <w:top w:val="dashed" w:sz="4" w:space="0" w:color="auto"/>
              <w:bottom w:val="nil"/>
            </w:tcBorders>
          </w:tcPr>
          <w:p w14:paraId="6094EAD4" w14:textId="77777777" w:rsidR="006E5BBC" w:rsidRPr="00E600F8" w:rsidRDefault="006E5BBC" w:rsidP="0046717D">
            <w:pPr>
              <w:spacing w:line="480" w:lineRule="auto"/>
              <w:jc w:val="center"/>
              <w:rPr>
                <w:vertAlign w:val="superscript"/>
                <w:lang w:val="en-US"/>
              </w:rPr>
            </w:pPr>
            <w:r w:rsidRPr="00E600F8">
              <w:rPr>
                <w:lang w:val="en-US"/>
              </w:rPr>
              <w:t>-2LL=9.44, Δ-2LL=0.37</w:t>
            </w:r>
          </w:p>
          <w:p w14:paraId="4C01B157" w14:textId="77777777" w:rsidR="006E5BBC" w:rsidRPr="00E600F8" w:rsidRDefault="006E5BBC" w:rsidP="0046717D">
            <w:pPr>
              <w:spacing w:line="480" w:lineRule="auto"/>
              <w:jc w:val="center"/>
              <w:rPr>
                <w:lang w:val="en-US"/>
              </w:rPr>
            </w:pPr>
            <w:r w:rsidRPr="00E600F8">
              <w:rPr>
                <w:lang w:val="en-US"/>
              </w:rPr>
              <w:t>AIC=25.44; BIC=50.98</w:t>
            </w:r>
          </w:p>
        </w:tc>
      </w:tr>
      <w:tr w:rsidR="006E5BBC" w:rsidRPr="008E6031" w14:paraId="44288B96" w14:textId="77777777" w:rsidTr="0046717D">
        <w:tc>
          <w:tcPr>
            <w:tcW w:w="2410" w:type="dxa"/>
            <w:tcBorders>
              <w:top w:val="nil"/>
              <w:bottom w:val="nil"/>
            </w:tcBorders>
          </w:tcPr>
          <w:p w14:paraId="45C587C5" w14:textId="77777777" w:rsidR="006E5BBC" w:rsidRPr="00E600F8" w:rsidRDefault="006E5BBC" w:rsidP="0046717D">
            <w:pPr>
              <w:spacing w:line="480" w:lineRule="auto"/>
              <w:ind w:left="318"/>
              <w:rPr>
                <w:lang w:val="en-US"/>
              </w:rPr>
            </w:pPr>
            <w:r w:rsidRPr="00E600F8">
              <w:rPr>
                <w:lang w:val="en-US"/>
              </w:rPr>
              <w:t xml:space="preserve">Intercept </w:t>
            </w:r>
          </w:p>
        </w:tc>
        <w:tc>
          <w:tcPr>
            <w:tcW w:w="996" w:type="dxa"/>
            <w:tcBorders>
              <w:top w:val="nil"/>
              <w:bottom w:val="nil"/>
            </w:tcBorders>
          </w:tcPr>
          <w:p w14:paraId="45F66490" w14:textId="77777777" w:rsidR="006E5BBC" w:rsidRPr="00E600F8" w:rsidRDefault="006E5BBC" w:rsidP="0046717D">
            <w:pPr>
              <w:spacing w:line="480" w:lineRule="auto"/>
              <w:jc w:val="center"/>
              <w:rPr>
                <w:lang w:val="en-US"/>
              </w:rPr>
            </w:pPr>
            <w:r w:rsidRPr="00E600F8">
              <w:rPr>
                <w:lang w:val="en-US"/>
              </w:rPr>
              <w:t>0.50***</w:t>
            </w:r>
          </w:p>
        </w:tc>
        <w:tc>
          <w:tcPr>
            <w:tcW w:w="824" w:type="dxa"/>
            <w:tcBorders>
              <w:top w:val="nil"/>
              <w:bottom w:val="nil"/>
            </w:tcBorders>
          </w:tcPr>
          <w:p w14:paraId="187CB38B" w14:textId="77777777" w:rsidR="006E5BBC" w:rsidRPr="00E600F8" w:rsidRDefault="006E5BBC" w:rsidP="0046717D">
            <w:pPr>
              <w:spacing w:line="480" w:lineRule="auto"/>
              <w:jc w:val="center"/>
              <w:rPr>
                <w:lang w:val="en-US"/>
              </w:rPr>
            </w:pPr>
            <w:r w:rsidRPr="00E600F8">
              <w:rPr>
                <w:lang w:val="en-US"/>
              </w:rPr>
              <w:t>0.04</w:t>
            </w:r>
          </w:p>
        </w:tc>
        <w:tc>
          <w:tcPr>
            <w:tcW w:w="732" w:type="dxa"/>
            <w:tcBorders>
              <w:top w:val="nil"/>
              <w:bottom w:val="nil"/>
            </w:tcBorders>
          </w:tcPr>
          <w:p w14:paraId="03009D10" w14:textId="77777777" w:rsidR="006E5BBC" w:rsidRPr="00E600F8" w:rsidRDefault="006E5BBC" w:rsidP="0046717D">
            <w:pPr>
              <w:spacing w:line="480" w:lineRule="auto"/>
              <w:jc w:val="center"/>
              <w:rPr>
                <w:lang w:val="en-US"/>
              </w:rPr>
            </w:pPr>
            <w:r w:rsidRPr="00E600F8">
              <w:rPr>
                <w:lang w:val="en-US"/>
              </w:rPr>
              <w:t>0.42</w:t>
            </w:r>
          </w:p>
        </w:tc>
        <w:tc>
          <w:tcPr>
            <w:tcW w:w="850" w:type="dxa"/>
            <w:tcBorders>
              <w:top w:val="nil"/>
              <w:bottom w:val="nil"/>
            </w:tcBorders>
          </w:tcPr>
          <w:p w14:paraId="49961FD1" w14:textId="77777777" w:rsidR="006E5BBC" w:rsidRPr="00E600F8" w:rsidRDefault="006E5BBC" w:rsidP="0046717D">
            <w:pPr>
              <w:spacing w:line="480" w:lineRule="auto"/>
              <w:jc w:val="center"/>
              <w:rPr>
                <w:lang w:val="en-US"/>
              </w:rPr>
            </w:pPr>
            <w:r w:rsidRPr="00E600F8">
              <w:rPr>
                <w:lang w:val="en-US"/>
              </w:rPr>
              <w:t>0.58</w:t>
            </w:r>
          </w:p>
        </w:tc>
        <w:tc>
          <w:tcPr>
            <w:tcW w:w="3214" w:type="dxa"/>
            <w:tcBorders>
              <w:top w:val="nil"/>
              <w:bottom w:val="nil"/>
            </w:tcBorders>
          </w:tcPr>
          <w:p w14:paraId="1F4F66D4" w14:textId="77777777" w:rsidR="006E5BBC" w:rsidRPr="00E600F8" w:rsidRDefault="006E5BBC" w:rsidP="0046717D">
            <w:pPr>
              <w:spacing w:line="480" w:lineRule="auto"/>
              <w:jc w:val="center"/>
              <w:rPr>
                <w:lang w:val="en-US"/>
              </w:rPr>
            </w:pPr>
          </w:p>
        </w:tc>
      </w:tr>
      <w:tr w:rsidR="006E5BBC" w:rsidRPr="008E6031" w14:paraId="3E347067" w14:textId="77777777" w:rsidTr="0046717D">
        <w:tc>
          <w:tcPr>
            <w:tcW w:w="2410" w:type="dxa"/>
            <w:tcBorders>
              <w:top w:val="nil"/>
              <w:bottom w:val="nil"/>
            </w:tcBorders>
          </w:tcPr>
          <w:p w14:paraId="627FD8A6" w14:textId="77777777" w:rsidR="006E5BBC" w:rsidRPr="00E600F8" w:rsidRDefault="006E5BBC" w:rsidP="0046717D">
            <w:pPr>
              <w:spacing w:line="480" w:lineRule="auto"/>
              <w:ind w:left="318"/>
              <w:rPr>
                <w:lang w:val="en-US"/>
              </w:rPr>
            </w:pPr>
            <w:r w:rsidRPr="00E600F8">
              <w:rPr>
                <w:lang w:val="en-US"/>
              </w:rPr>
              <w:t xml:space="preserve">Age </w:t>
            </w:r>
          </w:p>
        </w:tc>
        <w:tc>
          <w:tcPr>
            <w:tcW w:w="996" w:type="dxa"/>
            <w:tcBorders>
              <w:top w:val="nil"/>
              <w:bottom w:val="nil"/>
            </w:tcBorders>
          </w:tcPr>
          <w:p w14:paraId="5DA74C5E" w14:textId="77777777" w:rsidR="006E5BBC" w:rsidRPr="00E600F8" w:rsidRDefault="006E5BBC" w:rsidP="0046717D">
            <w:pPr>
              <w:spacing w:line="480" w:lineRule="auto"/>
              <w:jc w:val="center"/>
              <w:rPr>
                <w:lang w:val="en-US"/>
              </w:rPr>
            </w:pPr>
            <w:r w:rsidRPr="00E600F8">
              <w:rPr>
                <w:lang w:val="en-US"/>
              </w:rPr>
              <w:t>0.02</w:t>
            </w:r>
          </w:p>
        </w:tc>
        <w:tc>
          <w:tcPr>
            <w:tcW w:w="824" w:type="dxa"/>
            <w:tcBorders>
              <w:top w:val="nil"/>
              <w:bottom w:val="nil"/>
            </w:tcBorders>
          </w:tcPr>
          <w:p w14:paraId="762999D9" w14:textId="77777777" w:rsidR="006E5BBC" w:rsidRPr="00E600F8" w:rsidRDefault="006E5BBC" w:rsidP="0046717D">
            <w:pPr>
              <w:spacing w:line="480" w:lineRule="auto"/>
              <w:jc w:val="center"/>
              <w:rPr>
                <w:lang w:val="en-US"/>
              </w:rPr>
            </w:pPr>
            <w:r w:rsidRPr="00E600F8">
              <w:rPr>
                <w:lang w:val="en-US"/>
              </w:rPr>
              <w:t>0.03</w:t>
            </w:r>
          </w:p>
        </w:tc>
        <w:tc>
          <w:tcPr>
            <w:tcW w:w="732" w:type="dxa"/>
            <w:tcBorders>
              <w:top w:val="nil"/>
              <w:bottom w:val="nil"/>
            </w:tcBorders>
          </w:tcPr>
          <w:p w14:paraId="350002A8" w14:textId="77777777" w:rsidR="006E5BBC" w:rsidRPr="00E600F8" w:rsidRDefault="006E5BBC" w:rsidP="0046717D">
            <w:pPr>
              <w:spacing w:line="480" w:lineRule="auto"/>
              <w:jc w:val="center"/>
              <w:rPr>
                <w:lang w:val="en-US"/>
              </w:rPr>
            </w:pPr>
            <w:r w:rsidRPr="00E600F8">
              <w:rPr>
                <w:lang w:val="en-US"/>
              </w:rPr>
              <w:t>-0.03</w:t>
            </w:r>
          </w:p>
        </w:tc>
        <w:tc>
          <w:tcPr>
            <w:tcW w:w="850" w:type="dxa"/>
            <w:tcBorders>
              <w:top w:val="nil"/>
              <w:bottom w:val="nil"/>
            </w:tcBorders>
          </w:tcPr>
          <w:p w14:paraId="5C72C55D" w14:textId="77777777" w:rsidR="006E5BBC" w:rsidRPr="00E600F8" w:rsidRDefault="006E5BBC" w:rsidP="0046717D">
            <w:pPr>
              <w:spacing w:line="480" w:lineRule="auto"/>
              <w:jc w:val="center"/>
              <w:rPr>
                <w:lang w:val="en-US"/>
              </w:rPr>
            </w:pPr>
            <w:r w:rsidRPr="00E600F8">
              <w:rPr>
                <w:lang w:val="en-US"/>
              </w:rPr>
              <w:t>0.07</w:t>
            </w:r>
          </w:p>
        </w:tc>
        <w:tc>
          <w:tcPr>
            <w:tcW w:w="3214" w:type="dxa"/>
            <w:tcBorders>
              <w:top w:val="nil"/>
              <w:bottom w:val="nil"/>
            </w:tcBorders>
          </w:tcPr>
          <w:p w14:paraId="3A0A74ED" w14:textId="77777777" w:rsidR="006E5BBC" w:rsidRPr="00E600F8" w:rsidRDefault="006E5BBC" w:rsidP="0046717D">
            <w:pPr>
              <w:spacing w:line="480" w:lineRule="auto"/>
              <w:jc w:val="center"/>
              <w:rPr>
                <w:lang w:val="en-US"/>
              </w:rPr>
            </w:pPr>
          </w:p>
        </w:tc>
      </w:tr>
      <w:tr w:rsidR="006E5BBC" w:rsidRPr="008E6031" w14:paraId="7AA4AD74" w14:textId="77777777" w:rsidTr="0046717D">
        <w:tc>
          <w:tcPr>
            <w:tcW w:w="2410" w:type="dxa"/>
            <w:tcBorders>
              <w:top w:val="nil"/>
              <w:bottom w:val="nil"/>
            </w:tcBorders>
          </w:tcPr>
          <w:p w14:paraId="7CC9041E" w14:textId="77777777" w:rsidR="006E5BBC" w:rsidRPr="00E600F8" w:rsidRDefault="006E5BBC" w:rsidP="0046717D">
            <w:pPr>
              <w:spacing w:line="480" w:lineRule="auto"/>
              <w:ind w:left="318"/>
              <w:rPr>
                <w:lang w:val="en-US"/>
              </w:rPr>
            </w:pPr>
            <w:r w:rsidRPr="00E600F8">
              <w:rPr>
                <w:lang w:val="en-US"/>
              </w:rPr>
              <w:t>Risk Perception</w:t>
            </w:r>
          </w:p>
        </w:tc>
        <w:tc>
          <w:tcPr>
            <w:tcW w:w="996" w:type="dxa"/>
            <w:tcBorders>
              <w:top w:val="nil"/>
              <w:bottom w:val="nil"/>
            </w:tcBorders>
          </w:tcPr>
          <w:p w14:paraId="46AFF7E5" w14:textId="77777777" w:rsidR="006E5BBC" w:rsidRPr="00E600F8" w:rsidRDefault="006E5BBC" w:rsidP="0046717D">
            <w:pPr>
              <w:spacing w:line="480" w:lineRule="auto"/>
              <w:jc w:val="center"/>
              <w:rPr>
                <w:lang w:val="en-US"/>
              </w:rPr>
            </w:pPr>
            <w:r w:rsidRPr="00E600F8">
              <w:rPr>
                <w:lang w:val="en-US"/>
              </w:rPr>
              <w:t>0.01</w:t>
            </w:r>
          </w:p>
        </w:tc>
        <w:tc>
          <w:tcPr>
            <w:tcW w:w="824" w:type="dxa"/>
            <w:tcBorders>
              <w:top w:val="nil"/>
              <w:bottom w:val="nil"/>
            </w:tcBorders>
          </w:tcPr>
          <w:p w14:paraId="67C5F5EA" w14:textId="77777777" w:rsidR="006E5BBC" w:rsidRPr="00E600F8" w:rsidRDefault="006E5BBC" w:rsidP="0046717D">
            <w:pPr>
              <w:spacing w:line="480" w:lineRule="auto"/>
              <w:jc w:val="center"/>
              <w:rPr>
                <w:lang w:val="en-US"/>
              </w:rPr>
            </w:pPr>
            <w:r w:rsidRPr="00E600F8">
              <w:rPr>
                <w:lang w:val="en-US"/>
              </w:rPr>
              <w:t>0.03</w:t>
            </w:r>
          </w:p>
        </w:tc>
        <w:tc>
          <w:tcPr>
            <w:tcW w:w="732" w:type="dxa"/>
            <w:tcBorders>
              <w:top w:val="nil"/>
              <w:bottom w:val="nil"/>
            </w:tcBorders>
          </w:tcPr>
          <w:p w14:paraId="3077F72A" w14:textId="77777777" w:rsidR="006E5BBC" w:rsidRPr="00E600F8" w:rsidRDefault="006E5BBC" w:rsidP="0046717D">
            <w:pPr>
              <w:spacing w:line="480" w:lineRule="auto"/>
              <w:jc w:val="center"/>
              <w:rPr>
                <w:lang w:val="en-US"/>
              </w:rPr>
            </w:pPr>
            <w:r w:rsidRPr="00E600F8">
              <w:rPr>
                <w:lang w:val="en-US"/>
              </w:rPr>
              <w:t>-0.05</w:t>
            </w:r>
          </w:p>
        </w:tc>
        <w:tc>
          <w:tcPr>
            <w:tcW w:w="850" w:type="dxa"/>
            <w:tcBorders>
              <w:top w:val="nil"/>
              <w:bottom w:val="nil"/>
            </w:tcBorders>
          </w:tcPr>
          <w:p w14:paraId="0551C1FB" w14:textId="77777777" w:rsidR="006E5BBC" w:rsidRPr="00E600F8" w:rsidRDefault="006E5BBC" w:rsidP="0046717D">
            <w:pPr>
              <w:spacing w:line="480" w:lineRule="auto"/>
              <w:jc w:val="center"/>
              <w:rPr>
                <w:lang w:val="en-US"/>
              </w:rPr>
            </w:pPr>
            <w:r w:rsidRPr="00E600F8">
              <w:rPr>
                <w:lang w:val="en-US"/>
              </w:rPr>
              <w:t>0.06</w:t>
            </w:r>
          </w:p>
        </w:tc>
        <w:tc>
          <w:tcPr>
            <w:tcW w:w="3214" w:type="dxa"/>
            <w:tcBorders>
              <w:top w:val="nil"/>
              <w:bottom w:val="nil"/>
            </w:tcBorders>
          </w:tcPr>
          <w:p w14:paraId="2C8B64BF" w14:textId="77777777" w:rsidR="006E5BBC" w:rsidRPr="00E600F8" w:rsidRDefault="006E5BBC" w:rsidP="0046717D">
            <w:pPr>
              <w:spacing w:line="480" w:lineRule="auto"/>
              <w:jc w:val="center"/>
              <w:rPr>
                <w:lang w:val="en-US"/>
              </w:rPr>
            </w:pPr>
          </w:p>
        </w:tc>
      </w:tr>
      <w:tr w:rsidR="006E5BBC" w:rsidRPr="008E6031" w14:paraId="6AA00794" w14:textId="77777777" w:rsidTr="0046717D">
        <w:tc>
          <w:tcPr>
            <w:tcW w:w="2410" w:type="dxa"/>
            <w:tcBorders>
              <w:top w:val="nil"/>
              <w:bottom w:val="nil"/>
            </w:tcBorders>
          </w:tcPr>
          <w:p w14:paraId="1A9F3294" w14:textId="77777777" w:rsidR="006E5BBC" w:rsidRPr="00E600F8" w:rsidRDefault="006E5BBC" w:rsidP="0046717D">
            <w:pPr>
              <w:spacing w:line="480" w:lineRule="auto"/>
              <w:ind w:left="318"/>
              <w:rPr>
                <w:lang w:val="en-US"/>
              </w:rPr>
            </w:pPr>
            <w:r w:rsidRPr="00E600F8">
              <w:rPr>
                <w:lang w:val="en-US"/>
              </w:rPr>
              <w:t>Reward Sensitivity</w:t>
            </w:r>
          </w:p>
        </w:tc>
        <w:tc>
          <w:tcPr>
            <w:tcW w:w="996" w:type="dxa"/>
            <w:tcBorders>
              <w:top w:val="nil"/>
              <w:bottom w:val="nil"/>
            </w:tcBorders>
          </w:tcPr>
          <w:p w14:paraId="68641FEB" w14:textId="77777777" w:rsidR="006E5BBC" w:rsidRPr="00E600F8" w:rsidRDefault="006E5BBC" w:rsidP="0046717D">
            <w:pPr>
              <w:spacing w:line="480" w:lineRule="auto"/>
              <w:jc w:val="center"/>
              <w:rPr>
                <w:lang w:val="en-US"/>
              </w:rPr>
            </w:pPr>
            <w:r w:rsidRPr="00E600F8">
              <w:rPr>
                <w:lang w:val="en-US"/>
              </w:rPr>
              <w:t>0.14</w:t>
            </w:r>
          </w:p>
        </w:tc>
        <w:tc>
          <w:tcPr>
            <w:tcW w:w="824" w:type="dxa"/>
            <w:tcBorders>
              <w:top w:val="nil"/>
              <w:bottom w:val="nil"/>
            </w:tcBorders>
          </w:tcPr>
          <w:p w14:paraId="64297780" w14:textId="77777777" w:rsidR="006E5BBC" w:rsidRPr="00E600F8" w:rsidRDefault="006E5BBC" w:rsidP="0046717D">
            <w:pPr>
              <w:spacing w:line="480" w:lineRule="auto"/>
              <w:jc w:val="center"/>
              <w:rPr>
                <w:lang w:val="en-US"/>
              </w:rPr>
            </w:pPr>
            <w:r w:rsidRPr="00E600F8">
              <w:rPr>
                <w:lang w:val="en-US"/>
              </w:rPr>
              <w:t>0.10</w:t>
            </w:r>
          </w:p>
        </w:tc>
        <w:tc>
          <w:tcPr>
            <w:tcW w:w="732" w:type="dxa"/>
            <w:tcBorders>
              <w:top w:val="nil"/>
              <w:bottom w:val="nil"/>
            </w:tcBorders>
          </w:tcPr>
          <w:p w14:paraId="25DA5061" w14:textId="77777777" w:rsidR="006E5BBC" w:rsidRPr="00E600F8" w:rsidRDefault="006E5BBC" w:rsidP="0046717D">
            <w:pPr>
              <w:spacing w:line="480" w:lineRule="auto"/>
              <w:jc w:val="center"/>
              <w:rPr>
                <w:lang w:val="en-US"/>
              </w:rPr>
            </w:pPr>
            <w:r w:rsidRPr="00E600F8">
              <w:rPr>
                <w:lang w:val="en-US"/>
              </w:rPr>
              <w:t>-0.06</w:t>
            </w:r>
          </w:p>
        </w:tc>
        <w:tc>
          <w:tcPr>
            <w:tcW w:w="850" w:type="dxa"/>
            <w:tcBorders>
              <w:top w:val="nil"/>
              <w:bottom w:val="nil"/>
            </w:tcBorders>
          </w:tcPr>
          <w:p w14:paraId="434A5BC6" w14:textId="77777777" w:rsidR="006E5BBC" w:rsidRPr="00E600F8" w:rsidRDefault="006E5BBC" w:rsidP="0046717D">
            <w:pPr>
              <w:spacing w:line="480" w:lineRule="auto"/>
              <w:jc w:val="center"/>
              <w:rPr>
                <w:lang w:val="en-US"/>
              </w:rPr>
            </w:pPr>
            <w:r w:rsidRPr="00E600F8">
              <w:rPr>
                <w:lang w:val="en-US"/>
              </w:rPr>
              <w:t>0.34</w:t>
            </w:r>
          </w:p>
        </w:tc>
        <w:tc>
          <w:tcPr>
            <w:tcW w:w="3214" w:type="dxa"/>
            <w:tcBorders>
              <w:top w:val="nil"/>
              <w:bottom w:val="nil"/>
            </w:tcBorders>
          </w:tcPr>
          <w:p w14:paraId="16AFA029" w14:textId="77777777" w:rsidR="006E5BBC" w:rsidRPr="00E600F8" w:rsidRDefault="006E5BBC" w:rsidP="0046717D">
            <w:pPr>
              <w:spacing w:line="480" w:lineRule="auto"/>
              <w:jc w:val="center"/>
              <w:rPr>
                <w:lang w:val="en-US"/>
              </w:rPr>
            </w:pPr>
          </w:p>
        </w:tc>
      </w:tr>
      <w:tr w:rsidR="006E5BBC" w:rsidRPr="008E6031" w14:paraId="62A5DD75" w14:textId="77777777" w:rsidTr="0046717D">
        <w:tc>
          <w:tcPr>
            <w:tcW w:w="2410" w:type="dxa"/>
            <w:tcBorders>
              <w:top w:val="nil"/>
              <w:bottom w:val="nil"/>
            </w:tcBorders>
          </w:tcPr>
          <w:p w14:paraId="184FABEF" w14:textId="77777777" w:rsidR="006E5BBC" w:rsidRPr="00E600F8" w:rsidRDefault="006E5BBC" w:rsidP="0046717D">
            <w:pPr>
              <w:spacing w:line="480" w:lineRule="auto"/>
              <w:ind w:left="318"/>
              <w:rPr>
                <w:lang w:val="en-US"/>
              </w:rPr>
            </w:pPr>
            <w:r w:rsidRPr="00E600F8">
              <w:rPr>
                <w:lang w:val="en-US"/>
              </w:rPr>
              <w:t>Inhibitory Control</w:t>
            </w:r>
          </w:p>
        </w:tc>
        <w:tc>
          <w:tcPr>
            <w:tcW w:w="996" w:type="dxa"/>
            <w:tcBorders>
              <w:top w:val="nil"/>
              <w:bottom w:val="nil"/>
            </w:tcBorders>
          </w:tcPr>
          <w:p w14:paraId="4383AA45" w14:textId="77777777" w:rsidR="006E5BBC" w:rsidRPr="00E600F8" w:rsidRDefault="006E5BBC" w:rsidP="0046717D">
            <w:pPr>
              <w:spacing w:line="480" w:lineRule="auto"/>
              <w:jc w:val="center"/>
              <w:rPr>
                <w:lang w:val="en-US"/>
              </w:rPr>
            </w:pPr>
            <w:r w:rsidRPr="00E600F8">
              <w:rPr>
                <w:lang w:val="en-US"/>
              </w:rPr>
              <w:t>0.05</w:t>
            </w:r>
          </w:p>
        </w:tc>
        <w:tc>
          <w:tcPr>
            <w:tcW w:w="824" w:type="dxa"/>
            <w:tcBorders>
              <w:top w:val="nil"/>
              <w:bottom w:val="nil"/>
            </w:tcBorders>
          </w:tcPr>
          <w:p w14:paraId="2D27E69E" w14:textId="77777777" w:rsidR="006E5BBC" w:rsidRPr="00E600F8" w:rsidRDefault="006E5BBC" w:rsidP="0046717D">
            <w:pPr>
              <w:spacing w:line="480" w:lineRule="auto"/>
              <w:jc w:val="center"/>
              <w:rPr>
                <w:lang w:val="en-US"/>
              </w:rPr>
            </w:pPr>
            <w:r w:rsidRPr="00E600F8">
              <w:rPr>
                <w:lang w:val="en-US"/>
              </w:rPr>
              <w:t>0.06</w:t>
            </w:r>
          </w:p>
        </w:tc>
        <w:tc>
          <w:tcPr>
            <w:tcW w:w="732" w:type="dxa"/>
            <w:tcBorders>
              <w:top w:val="nil"/>
              <w:bottom w:val="nil"/>
            </w:tcBorders>
          </w:tcPr>
          <w:p w14:paraId="6EC71529" w14:textId="77777777" w:rsidR="006E5BBC" w:rsidRPr="00E600F8" w:rsidRDefault="006E5BBC" w:rsidP="0046717D">
            <w:pPr>
              <w:spacing w:line="480" w:lineRule="auto"/>
              <w:jc w:val="center"/>
              <w:rPr>
                <w:lang w:val="en-US"/>
              </w:rPr>
            </w:pPr>
            <w:r w:rsidRPr="00E600F8">
              <w:rPr>
                <w:lang w:val="en-US"/>
              </w:rPr>
              <w:t>-0.08</w:t>
            </w:r>
          </w:p>
        </w:tc>
        <w:tc>
          <w:tcPr>
            <w:tcW w:w="850" w:type="dxa"/>
            <w:tcBorders>
              <w:top w:val="nil"/>
              <w:bottom w:val="nil"/>
            </w:tcBorders>
          </w:tcPr>
          <w:p w14:paraId="6683B6F6" w14:textId="77777777" w:rsidR="006E5BBC" w:rsidRPr="00E600F8" w:rsidRDefault="006E5BBC" w:rsidP="0046717D">
            <w:pPr>
              <w:spacing w:line="480" w:lineRule="auto"/>
              <w:jc w:val="center"/>
              <w:rPr>
                <w:lang w:val="en-US"/>
              </w:rPr>
            </w:pPr>
            <w:r w:rsidRPr="00E600F8">
              <w:rPr>
                <w:lang w:val="en-US"/>
              </w:rPr>
              <w:t>0.17</w:t>
            </w:r>
          </w:p>
        </w:tc>
        <w:tc>
          <w:tcPr>
            <w:tcW w:w="3214" w:type="dxa"/>
            <w:tcBorders>
              <w:top w:val="nil"/>
              <w:bottom w:val="nil"/>
            </w:tcBorders>
          </w:tcPr>
          <w:p w14:paraId="660ED8F3" w14:textId="77777777" w:rsidR="006E5BBC" w:rsidRPr="00E600F8" w:rsidRDefault="006E5BBC" w:rsidP="0046717D">
            <w:pPr>
              <w:spacing w:line="480" w:lineRule="auto"/>
              <w:jc w:val="center"/>
              <w:rPr>
                <w:lang w:val="en-US"/>
              </w:rPr>
            </w:pPr>
          </w:p>
        </w:tc>
      </w:tr>
      <w:tr w:rsidR="006E5BBC" w:rsidRPr="008E6031" w14:paraId="6DD574A5" w14:textId="77777777" w:rsidTr="0046717D">
        <w:tc>
          <w:tcPr>
            <w:tcW w:w="2410" w:type="dxa"/>
            <w:tcBorders>
              <w:top w:val="nil"/>
              <w:bottom w:val="dashed" w:sz="4" w:space="0" w:color="auto"/>
            </w:tcBorders>
          </w:tcPr>
          <w:p w14:paraId="102DC306" w14:textId="14C66BA4" w:rsidR="006E5BBC" w:rsidRPr="00E600F8" w:rsidRDefault="00CB4ACA" w:rsidP="0046717D">
            <w:pPr>
              <w:spacing w:line="480" w:lineRule="auto"/>
              <w:ind w:left="318"/>
              <w:rPr>
                <w:lang w:val="en-US"/>
              </w:rPr>
            </w:pPr>
            <w:r w:rsidRPr="00E600F8">
              <w:rPr>
                <w:lang w:val="en-US"/>
              </w:rPr>
              <w:t>Group Membership</w:t>
            </w:r>
          </w:p>
        </w:tc>
        <w:tc>
          <w:tcPr>
            <w:tcW w:w="996" w:type="dxa"/>
            <w:tcBorders>
              <w:top w:val="nil"/>
              <w:bottom w:val="dashed" w:sz="4" w:space="0" w:color="auto"/>
            </w:tcBorders>
          </w:tcPr>
          <w:p w14:paraId="469F77C6" w14:textId="77777777" w:rsidR="006E5BBC" w:rsidRPr="00E600F8" w:rsidRDefault="006E5BBC" w:rsidP="0046717D">
            <w:pPr>
              <w:spacing w:line="480" w:lineRule="auto"/>
              <w:jc w:val="center"/>
              <w:rPr>
                <w:lang w:val="en-US"/>
              </w:rPr>
            </w:pPr>
            <w:r w:rsidRPr="00E600F8">
              <w:rPr>
                <w:lang w:val="en-US"/>
              </w:rPr>
              <w:t>0.03</w:t>
            </w:r>
          </w:p>
        </w:tc>
        <w:tc>
          <w:tcPr>
            <w:tcW w:w="824" w:type="dxa"/>
            <w:tcBorders>
              <w:top w:val="nil"/>
              <w:bottom w:val="dashed" w:sz="4" w:space="0" w:color="auto"/>
            </w:tcBorders>
          </w:tcPr>
          <w:p w14:paraId="6EC2C26A" w14:textId="77777777" w:rsidR="006E5BBC" w:rsidRPr="00E600F8" w:rsidRDefault="006E5BBC" w:rsidP="0046717D">
            <w:pPr>
              <w:spacing w:line="480" w:lineRule="auto"/>
              <w:jc w:val="center"/>
              <w:rPr>
                <w:lang w:val="en-US"/>
              </w:rPr>
            </w:pPr>
            <w:r w:rsidRPr="00E600F8">
              <w:rPr>
                <w:lang w:val="en-US"/>
              </w:rPr>
              <w:t>0.05</w:t>
            </w:r>
          </w:p>
        </w:tc>
        <w:tc>
          <w:tcPr>
            <w:tcW w:w="732" w:type="dxa"/>
            <w:tcBorders>
              <w:top w:val="nil"/>
              <w:bottom w:val="dashed" w:sz="4" w:space="0" w:color="auto"/>
            </w:tcBorders>
          </w:tcPr>
          <w:p w14:paraId="40A95465" w14:textId="77777777" w:rsidR="006E5BBC" w:rsidRPr="00E600F8" w:rsidRDefault="006E5BBC" w:rsidP="0046717D">
            <w:pPr>
              <w:spacing w:line="480" w:lineRule="auto"/>
              <w:jc w:val="center"/>
              <w:rPr>
                <w:lang w:val="en-US"/>
              </w:rPr>
            </w:pPr>
            <w:r w:rsidRPr="00E600F8">
              <w:rPr>
                <w:lang w:val="en-US"/>
              </w:rPr>
              <w:t>-0.07</w:t>
            </w:r>
          </w:p>
        </w:tc>
        <w:tc>
          <w:tcPr>
            <w:tcW w:w="850" w:type="dxa"/>
            <w:tcBorders>
              <w:top w:val="nil"/>
              <w:bottom w:val="dashed" w:sz="4" w:space="0" w:color="auto"/>
            </w:tcBorders>
          </w:tcPr>
          <w:p w14:paraId="3B177225" w14:textId="77777777" w:rsidR="006E5BBC" w:rsidRPr="00E600F8" w:rsidRDefault="006E5BBC" w:rsidP="0046717D">
            <w:pPr>
              <w:spacing w:line="480" w:lineRule="auto"/>
              <w:jc w:val="center"/>
              <w:rPr>
                <w:lang w:val="en-US"/>
              </w:rPr>
            </w:pPr>
            <w:r w:rsidRPr="00E600F8">
              <w:rPr>
                <w:lang w:val="en-US"/>
              </w:rPr>
              <w:t>0.14</w:t>
            </w:r>
          </w:p>
        </w:tc>
        <w:tc>
          <w:tcPr>
            <w:tcW w:w="3214" w:type="dxa"/>
            <w:tcBorders>
              <w:top w:val="nil"/>
              <w:bottom w:val="dashed" w:sz="4" w:space="0" w:color="auto"/>
            </w:tcBorders>
          </w:tcPr>
          <w:p w14:paraId="0D82CBE9" w14:textId="77777777" w:rsidR="006E5BBC" w:rsidRPr="00E600F8" w:rsidRDefault="006E5BBC" w:rsidP="0046717D">
            <w:pPr>
              <w:spacing w:line="480" w:lineRule="auto"/>
              <w:jc w:val="center"/>
              <w:rPr>
                <w:lang w:val="en-US"/>
              </w:rPr>
            </w:pPr>
          </w:p>
        </w:tc>
      </w:tr>
      <w:tr w:rsidR="006E5BBC" w:rsidRPr="008E6031" w14:paraId="6F996EE1" w14:textId="77777777" w:rsidTr="0046717D">
        <w:tc>
          <w:tcPr>
            <w:tcW w:w="9026" w:type="dxa"/>
            <w:gridSpan w:val="6"/>
            <w:tcBorders>
              <w:bottom w:val="nil"/>
            </w:tcBorders>
          </w:tcPr>
          <w:p w14:paraId="30E8D754" w14:textId="77777777" w:rsidR="006E5BBC" w:rsidRPr="00E600F8" w:rsidRDefault="006E5BBC" w:rsidP="0046717D">
            <w:pPr>
              <w:spacing w:line="480" w:lineRule="auto"/>
              <w:rPr>
                <w:lang w:val="en-US"/>
              </w:rPr>
            </w:pPr>
            <w:r w:rsidRPr="00E600F8">
              <w:rPr>
                <w:i/>
                <w:lang w:val="en-US"/>
              </w:rPr>
              <w:t xml:space="preserve">Note. </w:t>
            </w:r>
            <w:r w:rsidRPr="00E600F8">
              <w:rPr>
                <w:lang w:val="en-US"/>
              </w:rPr>
              <w:t xml:space="preserve">CI = 95% Confidence Interval. </w:t>
            </w:r>
            <w:r w:rsidRPr="00E600F8">
              <w:rPr>
                <w:vertAlign w:val="superscript"/>
                <w:lang w:val="en-US"/>
              </w:rPr>
              <w:t>+</w:t>
            </w:r>
            <w:r w:rsidRPr="00E600F8">
              <w:rPr>
                <w:lang w:val="en-US"/>
              </w:rPr>
              <w:t xml:space="preserve"> </w:t>
            </w:r>
            <w:r w:rsidRPr="00E600F8">
              <w:rPr>
                <w:i/>
                <w:lang w:val="en-US"/>
              </w:rPr>
              <w:t>p</w:t>
            </w:r>
            <w:r w:rsidRPr="00E600F8">
              <w:rPr>
                <w:lang w:val="en-US"/>
              </w:rPr>
              <w:t>&lt;.10, *</w:t>
            </w:r>
            <w:r w:rsidRPr="00E600F8">
              <w:rPr>
                <w:i/>
                <w:lang w:val="en-US"/>
              </w:rPr>
              <w:t>p</w:t>
            </w:r>
            <w:r w:rsidRPr="00E600F8">
              <w:rPr>
                <w:lang w:val="en-US"/>
              </w:rPr>
              <w:t xml:space="preserve">&lt;.05, ** </w:t>
            </w:r>
            <w:r w:rsidRPr="00E600F8">
              <w:rPr>
                <w:i/>
                <w:lang w:val="en-US"/>
              </w:rPr>
              <w:t>p</w:t>
            </w:r>
            <w:r w:rsidRPr="00E600F8">
              <w:rPr>
                <w:lang w:val="en-US"/>
              </w:rPr>
              <w:t xml:space="preserve">&lt;.01, *** </w:t>
            </w:r>
            <w:r w:rsidRPr="00E600F8">
              <w:rPr>
                <w:i/>
                <w:lang w:val="en-US"/>
              </w:rPr>
              <w:t>p</w:t>
            </w:r>
            <w:r w:rsidRPr="00E600F8">
              <w:rPr>
                <w:lang w:val="en-US"/>
              </w:rPr>
              <w:t>&lt;.001</w:t>
            </w:r>
          </w:p>
        </w:tc>
      </w:tr>
    </w:tbl>
    <w:p w14:paraId="6C3FA4DF" w14:textId="77777777" w:rsidR="006E5BBC" w:rsidRPr="00E600F8" w:rsidRDefault="006E5BBC" w:rsidP="006E5BBC">
      <w:pPr>
        <w:rPr>
          <w:lang w:val="en-US"/>
        </w:rPr>
      </w:pPr>
    </w:p>
    <w:p w14:paraId="60A4F805" w14:textId="77777777" w:rsidR="006E5BBC" w:rsidRPr="00E600F8" w:rsidRDefault="006E5BBC" w:rsidP="006E5BBC">
      <w:pPr>
        <w:rPr>
          <w:lang w:val="en-US"/>
        </w:rPr>
      </w:pPr>
      <w:r w:rsidRPr="00E600F8">
        <w:rPr>
          <w:lang w:val="en-US"/>
        </w:rPr>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7"/>
        <w:gridCol w:w="996"/>
        <w:gridCol w:w="705"/>
        <w:gridCol w:w="850"/>
        <w:gridCol w:w="850"/>
        <w:gridCol w:w="3206"/>
      </w:tblGrid>
      <w:tr w:rsidR="006E5BBC" w:rsidRPr="008E6031" w14:paraId="2A70B46D" w14:textId="77777777" w:rsidTr="0046717D">
        <w:tc>
          <w:tcPr>
            <w:tcW w:w="9026" w:type="dxa"/>
            <w:gridSpan w:val="6"/>
            <w:tcBorders>
              <w:top w:val="nil"/>
            </w:tcBorders>
          </w:tcPr>
          <w:p w14:paraId="33CBBF25" w14:textId="77777777" w:rsidR="006E5BBC" w:rsidRPr="00E600F8" w:rsidRDefault="006E5BBC" w:rsidP="0046717D">
            <w:pPr>
              <w:spacing w:line="480" w:lineRule="auto"/>
              <w:rPr>
                <w:b/>
                <w:lang w:val="en-US"/>
              </w:rPr>
            </w:pPr>
            <w:r w:rsidRPr="00E600F8">
              <w:rPr>
                <w:b/>
                <w:lang w:val="en-US"/>
              </w:rPr>
              <w:lastRenderedPageBreak/>
              <w:t xml:space="preserve">Table 2 c. Multilevel Models to Predict Cheating. </w:t>
            </w:r>
          </w:p>
        </w:tc>
      </w:tr>
      <w:tr w:rsidR="006E5BBC" w:rsidRPr="008E6031" w14:paraId="1BC4D2B1" w14:textId="77777777" w:rsidTr="0046717D">
        <w:tc>
          <w:tcPr>
            <w:tcW w:w="2410" w:type="dxa"/>
            <w:tcBorders>
              <w:bottom w:val="single" w:sz="4" w:space="0" w:color="auto"/>
            </w:tcBorders>
          </w:tcPr>
          <w:p w14:paraId="40C6861A" w14:textId="77777777" w:rsidR="006E5BBC" w:rsidRPr="00E600F8" w:rsidRDefault="006E5BBC" w:rsidP="0046717D">
            <w:pPr>
              <w:spacing w:line="480" w:lineRule="auto"/>
              <w:rPr>
                <w:lang w:val="en-US"/>
              </w:rPr>
            </w:pPr>
          </w:p>
        </w:tc>
        <w:tc>
          <w:tcPr>
            <w:tcW w:w="996" w:type="dxa"/>
            <w:tcBorders>
              <w:bottom w:val="single" w:sz="4" w:space="0" w:color="auto"/>
            </w:tcBorders>
          </w:tcPr>
          <w:p w14:paraId="1B135862" w14:textId="77777777" w:rsidR="006E5BBC" w:rsidRPr="00E600F8" w:rsidRDefault="006E5BBC" w:rsidP="0046717D">
            <w:pPr>
              <w:spacing w:line="480" w:lineRule="auto"/>
              <w:jc w:val="center"/>
              <w:rPr>
                <w:i/>
                <w:lang w:val="en-US"/>
              </w:rPr>
            </w:pPr>
            <w:r w:rsidRPr="00E600F8">
              <w:rPr>
                <w:i/>
                <w:lang w:val="en-US"/>
              </w:rPr>
              <w:t>B</w:t>
            </w:r>
          </w:p>
        </w:tc>
        <w:tc>
          <w:tcPr>
            <w:tcW w:w="705" w:type="dxa"/>
            <w:tcBorders>
              <w:bottom w:val="single" w:sz="4" w:space="0" w:color="auto"/>
            </w:tcBorders>
          </w:tcPr>
          <w:p w14:paraId="50325F46" w14:textId="77777777" w:rsidR="006E5BBC" w:rsidRPr="00E600F8" w:rsidRDefault="006E5BBC" w:rsidP="0046717D">
            <w:pPr>
              <w:spacing w:line="480" w:lineRule="auto"/>
              <w:jc w:val="center"/>
              <w:rPr>
                <w:i/>
                <w:lang w:val="en-US"/>
              </w:rPr>
            </w:pPr>
            <w:r w:rsidRPr="00E600F8">
              <w:rPr>
                <w:i/>
                <w:lang w:val="en-US"/>
              </w:rPr>
              <w:t>SE</w:t>
            </w:r>
          </w:p>
        </w:tc>
        <w:tc>
          <w:tcPr>
            <w:tcW w:w="851" w:type="dxa"/>
            <w:tcBorders>
              <w:bottom w:val="single" w:sz="4" w:space="0" w:color="auto"/>
            </w:tcBorders>
          </w:tcPr>
          <w:p w14:paraId="377DD8B2" w14:textId="77777777" w:rsidR="006E5BBC" w:rsidRPr="00E600F8" w:rsidRDefault="006E5BBC" w:rsidP="0046717D">
            <w:pPr>
              <w:spacing w:line="480" w:lineRule="auto"/>
              <w:jc w:val="center"/>
              <w:rPr>
                <w:i/>
                <w:vertAlign w:val="subscript"/>
                <w:lang w:val="en-US"/>
              </w:rPr>
            </w:pPr>
            <w:r w:rsidRPr="00E600F8">
              <w:rPr>
                <w:i/>
                <w:lang w:val="en-US"/>
              </w:rPr>
              <w:t>CI</w:t>
            </w:r>
            <w:r w:rsidRPr="00E600F8">
              <w:rPr>
                <w:i/>
                <w:vertAlign w:val="subscript"/>
                <w:lang w:val="en-US"/>
              </w:rPr>
              <w:t>Low</w:t>
            </w:r>
          </w:p>
        </w:tc>
        <w:tc>
          <w:tcPr>
            <w:tcW w:w="850" w:type="dxa"/>
            <w:tcBorders>
              <w:bottom w:val="single" w:sz="4" w:space="0" w:color="auto"/>
            </w:tcBorders>
          </w:tcPr>
          <w:p w14:paraId="71EEFD74" w14:textId="77777777" w:rsidR="006E5BBC" w:rsidRPr="00E600F8" w:rsidRDefault="006E5BBC" w:rsidP="0046717D">
            <w:pPr>
              <w:spacing w:line="480" w:lineRule="auto"/>
              <w:jc w:val="center"/>
              <w:rPr>
                <w:lang w:val="en-US"/>
              </w:rPr>
            </w:pPr>
            <w:r w:rsidRPr="00E600F8">
              <w:rPr>
                <w:i/>
                <w:lang w:val="en-US"/>
              </w:rPr>
              <w:t>CI</w:t>
            </w:r>
            <w:r w:rsidRPr="00E600F8">
              <w:rPr>
                <w:i/>
                <w:vertAlign w:val="subscript"/>
                <w:lang w:val="en-US"/>
              </w:rPr>
              <w:t>High</w:t>
            </w:r>
          </w:p>
        </w:tc>
        <w:tc>
          <w:tcPr>
            <w:tcW w:w="3214" w:type="dxa"/>
            <w:tcBorders>
              <w:bottom w:val="single" w:sz="4" w:space="0" w:color="auto"/>
            </w:tcBorders>
          </w:tcPr>
          <w:p w14:paraId="787E2E58" w14:textId="77777777" w:rsidR="006E5BBC" w:rsidRPr="00E600F8" w:rsidRDefault="006E5BBC" w:rsidP="0046717D">
            <w:pPr>
              <w:spacing w:line="480" w:lineRule="auto"/>
              <w:jc w:val="center"/>
              <w:rPr>
                <w:i/>
                <w:lang w:val="en-US"/>
              </w:rPr>
            </w:pPr>
            <w:r w:rsidRPr="00E600F8">
              <w:rPr>
                <w:i/>
                <w:lang w:val="en-US"/>
              </w:rPr>
              <w:t>Fit Indices</w:t>
            </w:r>
          </w:p>
        </w:tc>
      </w:tr>
      <w:tr w:rsidR="006E5BBC" w:rsidRPr="008E6031" w14:paraId="6D16EF95" w14:textId="77777777" w:rsidTr="0046717D">
        <w:tc>
          <w:tcPr>
            <w:tcW w:w="2410" w:type="dxa"/>
            <w:tcBorders>
              <w:bottom w:val="nil"/>
            </w:tcBorders>
          </w:tcPr>
          <w:p w14:paraId="68D3995B" w14:textId="77777777" w:rsidR="006E5BBC" w:rsidRPr="00E600F8" w:rsidRDefault="006E5BBC" w:rsidP="0046717D">
            <w:pPr>
              <w:spacing w:line="480" w:lineRule="auto"/>
              <w:rPr>
                <w:lang w:val="en-US"/>
              </w:rPr>
            </w:pPr>
            <w:r w:rsidRPr="00E600F8">
              <w:rPr>
                <w:lang w:val="en-US"/>
              </w:rPr>
              <w:t>Model 1</w:t>
            </w:r>
          </w:p>
        </w:tc>
        <w:tc>
          <w:tcPr>
            <w:tcW w:w="996" w:type="dxa"/>
            <w:tcBorders>
              <w:bottom w:val="nil"/>
            </w:tcBorders>
          </w:tcPr>
          <w:p w14:paraId="18AF15B9" w14:textId="77777777" w:rsidR="006E5BBC" w:rsidRPr="00E600F8" w:rsidRDefault="006E5BBC" w:rsidP="0046717D">
            <w:pPr>
              <w:spacing w:line="480" w:lineRule="auto"/>
              <w:jc w:val="center"/>
              <w:rPr>
                <w:lang w:val="en-US"/>
              </w:rPr>
            </w:pPr>
          </w:p>
        </w:tc>
        <w:tc>
          <w:tcPr>
            <w:tcW w:w="705" w:type="dxa"/>
            <w:tcBorders>
              <w:bottom w:val="nil"/>
            </w:tcBorders>
          </w:tcPr>
          <w:p w14:paraId="0FE10FA2" w14:textId="77777777" w:rsidR="006E5BBC" w:rsidRPr="00E600F8" w:rsidRDefault="006E5BBC" w:rsidP="0046717D">
            <w:pPr>
              <w:spacing w:line="480" w:lineRule="auto"/>
              <w:jc w:val="center"/>
              <w:rPr>
                <w:lang w:val="en-US"/>
              </w:rPr>
            </w:pPr>
          </w:p>
        </w:tc>
        <w:tc>
          <w:tcPr>
            <w:tcW w:w="851" w:type="dxa"/>
            <w:tcBorders>
              <w:bottom w:val="nil"/>
            </w:tcBorders>
          </w:tcPr>
          <w:p w14:paraId="482180E2" w14:textId="77777777" w:rsidR="006E5BBC" w:rsidRPr="00E600F8" w:rsidRDefault="006E5BBC" w:rsidP="0046717D">
            <w:pPr>
              <w:spacing w:line="480" w:lineRule="auto"/>
              <w:jc w:val="center"/>
              <w:rPr>
                <w:lang w:val="en-US"/>
              </w:rPr>
            </w:pPr>
          </w:p>
        </w:tc>
        <w:tc>
          <w:tcPr>
            <w:tcW w:w="850" w:type="dxa"/>
            <w:tcBorders>
              <w:bottom w:val="nil"/>
            </w:tcBorders>
          </w:tcPr>
          <w:p w14:paraId="485A3F6F" w14:textId="77777777" w:rsidR="006E5BBC" w:rsidRPr="00E600F8" w:rsidRDefault="006E5BBC" w:rsidP="0046717D">
            <w:pPr>
              <w:spacing w:line="480" w:lineRule="auto"/>
              <w:jc w:val="center"/>
              <w:rPr>
                <w:lang w:val="en-US"/>
              </w:rPr>
            </w:pPr>
          </w:p>
        </w:tc>
        <w:tc>
          <w:tcPr>
            <w:tcW w:w="3214" w:type="dxa"/>
            <w:tcBorders>
              <w:bottom w:val="nil"/>
            </w:tcBorders>
          </w:tcPr>
          <w:p w14:paraId="49405D4A" w14:textId="77777777" w:rsidR="006E5BBC" w:rsidRPr="00E600F8" w:rsidRDefault="006E5BBC" w:rsidP="0046717D">
            <w:pPr>
              <w:spacing w:line="480" w:lineRule="auto"/>
              <w:jc w:val="center"/>
              <w:rPr>
                <w:lang w:val="en-US"/>
              </w:rPr>
            </w:pPr>
            <w:r w:rsidRPr="00E600F8">
              <w:rPr>
                <w:lang w:val="en-US"/>
              </w:rPr>
              <w:t>-2LL=1,134.47</w:t>
            </w:r>
          </w:p>
          <w:p w14:paraId="4547C32A" w14:textId="77777777" w:rsidR="006E5BBC" w:rsidRPr="00E600F8" w:rsidRDefault="006E5BBC" w:rsidP="0046717D">
            <w:pPr>
              <w:spacing w:line="480" w:lineRule="auto"/>
              <w:jc w:val="center"/>
              <w:rPr>
                <w:lang w:val="en-US"/>
              </w:rPr>
            </w:pPr>
            <w:r w:rsidRPr="00E600F8">
              <w:rPr>
                <w:lang w:val="en-US"/>
              </w:rPr>
              <w:t>AIC=1,148.47; BIC=1,169.73</w:t>
            </w:r>
          </w:p>
        </w:tc>
      </w:tr>
      <w:tr w:rsidR="006E5BBC" w:rsidRPr="008E6031" w14:paraId="434B0734" w14:textId="77777777" w:rsidTr="0046717D">
        <w:tc>
          <w:tcPr>
            <w:tcW w:w="2410" w:type="dxa"/>
            <w:tcBorders>
              <w:top w:val="nil"/>
              <w:bottom w:val="nil"/>
            </w:tcBorders>
          </w:tcPr>
          <w:p w14:paraId="23F2125A" w14:textId="77777777" w:rsidR="006E5BBC" w:rsidRPr="00E600F8" w:rsidRDefault="006E5BBC" w:rsidP="0046717D">
            <w:pPr>
              <w:spacing w:line="480" w:lineRule="auto"/>
              <w:ind w:left="318"/>
              <w:rPr>
                <w:lang w:val="en-US"/>
              </w:rPr>
            </w:pPr>
            <w:r w:rsidRPr="00E600F8">
              <w:rPr>
                <w:lang w:val="en-US"/>
              </w:rPr>
              <w:t xml:space="preserve">Intercept </w:t>
            </w:r>
          </w:p>
        </w:tc>
        <w:tc>
          <w:tcPr>
            <w:tcW w:w="996" w:type="dxa"/>
            <w:tcBorders>
              <w:top w:val="nil"/>
              <w:bottom w:val="nil"/>
            </w:tcBorders>
          </w:tcPr>
          <w:p w14:paraId="18B6DDD7" w14:textId="77777777" w:rsidR="006E5BBC" w:rsidRPr="00E600F8" w:rsidRDefault="006E5BBC" w:rsidP="0046717D">
            <w:pPr>
              <w:spacing w:line="480" w:lineRule="auto"/>
              <w:jc w:val="center"/>
              <w:rPr>
                <w:lang w:val="en-US"/>
              </w:rPr>
            </w:pPr>
            <w:r w:rsidRPr="00E600F8">
              <w:rPr>
                <w:lang w:val="en-US"/>
              </w:rPr>
              <w:t>7.95***</w:t>
            </w:r>
          </w:p>
        </w:tc>
        <w:tc>
          <w:tcPr>
            <w:tcW w:w="705" w:type="dxa"/>
            <w:tcBorders>
              <w:top w:val="nil"/>
              <w:bottom w:val="nil"/>
            </w:tcBorders>
          </w:tcPr>
          <w:p w14:paraId="3A693E19" w14:textId="77777777" w:rsidR="006E5BBC" w:rsidRPr="00E600F8" w:rsidRDefault="006E5BBC" w:rsidP="0046717D">
            <w:pPr>
              <w:spacing w:line="480" w:lineRule="auto"/>
              <w:jc w:val="center"/>
              <w:rPr>
                <w:lang w:val="en-US"/>
              </w:rPr>
            </w:pPr>
            <w:r w:rsidRPr="00E600F8">
              <w:rPr>
                <w:lang w:val="en-US"/>
              </w:rPr>
              <w:t>1.11</w:t>
            </w:r>
          </w:p>
        </w:tc>
        <w:tc>
          <w:tcPr>
            <w:tcW w:w="851" w:type="dxa"/>
            <w:tcBorders>
              <w:top w:val="nil"/>
              <w:bottom w:val="nil"/>
            </w:tcBorders>
          </w:tcPr>
          <w:p w14:paraId="72801960" w14:textId="77777777" w:rsidR="006E5BBC" w:rsidRPr="00E600F8" w:rsidRDefault="006E5BBC" w:rsidP="0046717D">
            <w:pPr>
              <w:spacing w:line="480" w:lineRule="auto"/>
              <w:jc w:val="center"/>
              <w:rPr>
                <w:lang w:val="en-US"/>
              </w:rPr>
            </w:pPr>
            <w:r w:rsidRPr="00E600F8">
              <w:rPr>
                <w:lang w:val="en-US"/>
              </w:rPr>
              <w:t>5.75</w:t>
            </w:r>
          </w:p>
        </w:tc>
        <w:tc>
          <w:tcPr>
            <w:tcW w:w="850" w:type="dxa"/>
            <w:tcBorders>
              <w:top w:val="nil"/>
              <w:bottom w:val="nil"/>
            </w:tcBorders>
          </w:tcPr>
          <w:p w14:paraId="375A5EFA" w14:textId="77777777" w:rsidR="006E5BBC" w:rsidRPr="00E600F8" w:rsidRDefault="006E5BBC" w:rsidP="0046717D">
            <w:pPr>
              <w:spacing w:line="480" w:lineRule="auto"/>
              <w:jc w:val="center"/>
              <w:rPr>
                <w:lang w:val="en-US"/>
              </w:rPr>
            </w:pPr>
            <w:r w:rsidRPr="00E600F8">
              <w:rPr>
                <w:lang w:val="en-US"/>
              </w:rPr>
              <w:t>10.16</w:t>
            </w:r>
          </w:p>
        </w:tc>
        <w:tc>
          <w:tcPr>
            <w:tcW w:w="3214" w:type="dxa"/>
            <w:tcBorders>
              <w:top w:val="nil"/>
              <w:bottom w:val="nil"/>
            </w:tcBorders>
          </w:tcPr>
          <w:p w14:paraId="20FA7444" w14:textId="77777777" w:rsidR="006E5BBC" w:rsidRPr="00E600F8" w:rsidRDefault="006E5BBC" w:rsidP="0046717D">
            <w:pPr>
              <w:spacing w:line="480" w:lineRule="auto"/>
              <w:jc w:val="center"/>
              <w:rPr>
                <w:lang w:val="en-US"/>
              </w:rPr>
            </w:pPr>
          </w:p>
        </w:tc>
      </w:tr>
      <w:tr w:rsidR="006E5BBC" w:rsidRPr="008E6031" w14:paraId="3129BBD8" w14:textId="77777777" w:rsidTr="0046717D">
        <w:tc>
          <w:tcPr>
            <w:tcW w:w="2410" w:type="dxa"/>
            <w:tcBorders>
              <w:top w:val="nil"/>
              <w:bottom w:val="nil"/>
            </w:tcBorders>
          </w:tcPr>
          <w:p w14:paraId="30604011" w14:textId="77777777" w:rsidR="006E5BBC" w:rsidRPr="00E600F8" w:rsidRDefault="006E5BBC" w:rsidP="0046717D">
            <w:pPr>
              <w:spacing w:line="480" w:lineRule="auto"/>
              <w:ind w:left="318"/>
              <w:rPr>
                <w:lang w:val="en-US"/>
              </w:rPr>
            </w:pPr>
            <w:r w:rsidRPr="00E600F8">
              <w:rPr>
                <w:lang w:val="en-US"/>
              </w:rPr>
              <w:t xml:space="preserve">Age </w:t>
            </w:r>
          </w:p>
        </w:tc>
        <w:tc>
          <w:tcPr>
            <w:tcW w:w="996" w:type="dxa"/>
            <w:tcBorders>
              <w:top w:val="nil"/>
              <w:bottom w:val="nil"/>
            </w:tcBorders>
          </w:tcPr>
          <w:p w14:paraId="77868E69" w14:textId="77777777" w:rsidR="006E5BBC" w:rsidRPr="00E600F8" w:rsidRDefault="006E5BBC" w:rsidP="0046717D">
            <w:pPr>
              <w:spacing w:line="480" w:lineRule="auto"/>
              <w:jc w:val="center"/>
              <w:rPr>
                <w:lang w:val="en-US"/>
              </w:rPr>
            </w:pPr>
            <w:r w:rsidRPr="00E600F8">
              <w:rPr>
                <w:lang w:val="en-US"/>
              </w:rPr>
              <w:t>-2.97**</w:t>
            </w:r>
          </w:p>
        </w:tc>
        <w:tc>
          <w:tcPr>
            <w:tcW w:w="705" w:type="dxa"/>
            <w:tcBorders>
              <w:top w:val="nil"/>
              <w:bottom w:val="nil"/>
            </w:tcBorders>
          </w:tcPr>
          <w:p w14:paraId="001241DE" w14:textId="77777777" w:rsidR="006E5BBC" w:rsidRPr="00E600F8" w:rsidRDefault="006E5BBC" w:rsidP="0046717D">
            <w:pPr>
              <w:spacing w:line="480" w:lineRule="auto"/>
              <w:jc w:val="center"/>
              <w:rPr>
                <w:lang w:val="en-US"/>
              </w:rPr>
            </w:pPr>
            <w:r w:rsidRPr="00E600F8">
              <w:rPr>
                <w:lang w:val="en-US"/>
              </w:rPr>
              <w:t>1.07</w:t>
            </w:r>
          </w:p>
        </w:tc>
        <w:tc>
          <w:tcPr>
            <w:tcW w:w="851" w:type="dxa"/>
            <w:tcBorders>
              <w:top w:val="nil"/>
              <w:bottom w:val="nil"/>
            </w:tcBorders>
          </w:tcPr>
          <w:p w14:paraId="57758E88" w14:textId="77777777" w:rsidR="006E5BBC" w:rsidRPr="00E600F8" w:rsidRDefault="006E5BBC" w:rsidP="0046717D">
            <w:pPr>
              <w:spacing w:line="480" w:lineRule="auto"/>
              <w:jc w:val="center"/>
              <w:rPr>
                <w:lang w:val="en-US"/>
              </w:rPr>
            </w:pPr>
            <w:r w:rsidRPr="00E600F8">
              <w:rPr>
                <w:lang w:val="en-US"/>
              </w:rPr>
              <w:t>-5.10</w:t>
            </w:r>
          </w:p>
        </w:tc>
        <w:tc>
          <w:tcPr>
            <w:tcW w:w="850" w:type="dxa"/>
            <w:tcBorders>
              <w:top w:val="nil"/>
              <w:bottom w:val="nil"/>
            </w:tcBorders>
          </w:tcPr>
          <w:p w14:paraId="53E9C9AE" w14:textId="77777777" w:rsidR="006E5BBC" w:rsidRPr="00E600F8" w:rsidRDefault="006E5BBC" w:rsidP="0046717D">
            <w:pPr>
              <w:spacing w:line="480" w:lineRule="auto"/>
              <w:jc w:val="center"/>
              <w:rPr>
                <w:lang w:val="en-US"/>
              </w:rPr>
            </w:pPr>
            <w:r w:rsidRPr="00E600F8">
              <w:rPr>
                <w:lang w:val="en-US"/>
              </w:rPr>
              <w:t>-0.85</w:t>
            </w:r>
          </w:p>
        </w:tc>
        <w:tc>
          <w:tcPr>
            <w:tcW w:w="3214" w:type="dxa"/>
            <w:tcBorders>
              <w:top w:val="nil"/>
              <w:bottom w:val="nil"/>
            </w:tcBorders>
          </w:tcPr>
          <w:p w14:paraId="4AEAEA42" w14:textId="77777777" w:rsidR="006E5BBC" w:rsidRPr="00E600F8" w:rsidRDefault="006E5BBC" w:rsidP="0046717D">
            <w:pPr>
              <w:spacing w:line="480" w:lineRule="auto"/>
              <w:jc w:val="center"/>
              <w:rPr>
                <w:lang w:val="en-US"/>
              </w:rPr>
            </w:pPr>
          </w:p>
        </w:tc>
      </w:tr>
      <w:tr w:rsidR="006E5BBC" w:rsidRPr="008E6031" w14:paraId="1BCF9BA1" w14:textId="77777777" w:rsidTr="0046717D">
        <w:tc>
          <w:tcPr>
            <w:tcW w:w="2410" w:type="dxa"/>
            <w:tcBorders>
              <w:top w:val="nil"/>
              <w:bottom w:val="nil"/>
            </w:tcBorders>
          </w:tcPr>
          <w:p w14:paraId="29182D74" w14:textId="77777777" w:rsidR="006E5BBC" w:rsidRPr="00E600F8" w:rsidRDefault="006E5BBC" w:rsidP="0046717D">
            <w:pPr>
              <w:spacing w:line="480" w:lineRule="auto"/>
              <w:ind w:left="318"/>
              <w:rPr>
                <w:lang w:val="en-US"/>
              </w:rPr>
            </w:pPr>
            <w:r w:rsidRPr="00E600F8">
              <w:rPr>
                <w:lang w:val="en-US"/>
              </w:rPr>
              <w:t>Risk Perception</w:t>
            </w:r>
          </w:p>
        </w:tc>
        <w:tc>
          <w:tcPr>
            <w:tcW w:w="996" w:type="dxa"/>
            <w:tcBorders>
              <w:top w:val="nil"/>
              <w:bottom w:val="nil"/>
            </w:tcBorders>
          </w:tcPr>
          <w:p w14:paraId="1F9488C5" w14:textId="77777777" w:rsidR="006E5BBC" w:rsidRPr="00E600F8" w:rsidRDefault="006E5BBC" w:rsidP="0046717D">
            <w:pPr>
              <w:spacing w:line="480" w:lineRule="auto"/>
              <w:jc w:val="center"/>
              <w:rPr>
                <w:lang w:val="en-US"/>
              </w:rPr>
            </w:pPr>
            <w:r w:rsidRPr="00E600F8">
              <w:rPr>
                <w:lang w:val="en-US"/>
              </w:rPr>
              <w:t>0.79</w:t>
            </w:r>
          </w:p>
        </w:tc>
        <w:tc>
          <w:tcPr>
            <w:tcW w:w="705" w:type="dxa"/>
            <w:tcBorders>
              <w:top w:val="nil"/>
              <w:bottom w:val="nil"/>
            </w:tcBorders>
          </w:tcPr>
          <w:p w14:paraId="204FA7F0" w14:textId="77777777" w:rsidR="006E5BBC" w:rsidRPr="00E600F8" w:rsidRDefault="006E5BBC" w:rsidP="0046717D">
            <w:pPr>
              <w:spacing w:line="480" w:lineRule="auto"/>
              <w:jc w:val="center"/>
              <w:rPr>
                <w:lang w:val="en-US"/>
              </w:rPr>
            </w:pPr>
            <w:r w:rsidRPr="00E600F8">
              <w:rPr>
                <w:lang w:val="en-US"/>
              </w:rPr>
              <w:t>1.09</w:t>
            </w:r>
          </w:p>
        </w:tc>
        <w:tc>
          <w:tcPr>
            <w:tcW w:w="851" w:type="dxa"/>
            <w:tcBorders>
              <w:top w:val="nil"/>
              <w:bottom w:val="nil"/>
            </w:tcBorders>
          </w:tcPr>
          <w:p w14:paraId="2AEA68C6" w14:textId="77777777" w:rsidR="006E5BBC" w:rsidRPr="00E600F8" w:rsidRDefault="006E5BBC" w:rsidP="0046717D">
            <w:pPr>
              <w:spacing w:line="480" w:lineRule="auto"/>
              <w:jc w:val="center"/>
              <w:rPr>
                <w:lang w:val="en-US"/>
              </w:rPr>
            </w:pPr>
            <w:r w:rsidRPr="00E600F8">
              <w:rPr>
                <w:lang w:val="en-US"/>
              </w:rPr>
              <w:t>-1.36</w:t>
            </w:r>
          </w:p>
        </w:tc>
        <w:tc>
          <w:tcPr>
            <w:tcW w:w="850" w:type="dxa"/>
            <w:tcBorders>
              <w:top w:val="nil"/>
              <w:bottom w:val="nil"/>
            </w:tcBorders>
          </w:tcPr>
          <w:p w14:paraId="7DC22B73" w14:textId="77777777" w:rsidR="006E5BBC" w:rsidRPr="00E600F8" w:rsidRDefault="006E5BBC" w:rsidP="0046717D">
            <w:pPr>
              <w:spacing w:line="480" w:lineRule="auto"/>
              <w:jc w:val="center"/>
              <w:rPr>
                <w:lang w:val="en-US"/>
              </w:rPr>
            </w:pPr>
            <w:r w:rsidRPr="00E600F8">
              <w:rPr>
                <w:lang w:val="en-US"/>
              </w:rPr>
              <w:t>2.95</w:t>
            </w:r>
          </w:p>
        </w:tc>
        <w:tc>
          <w:tcPr>
            <w:tcW w:w="3214" w:type="dxa"/>
            <w:tcBorders>
              <w:top w:val="nil"/>
              <w:bottom w:val="nil"/>
            </w:tcBorders>
          </w:tcPr>
          <w:p w14:paraId="1D09CB79" w14:textId="77777777" w:rsidR="006E5BBC" w:rsidRPr="00E600F8" w:rsidRDefault="006E5BBC" w:rsidP="0046717D">
            <w:pPr>
              <w:spacing w:line="480" w:lineRule="auto"/>
              <w:jc w:val="center"/>
              <w:rPr>
                <w:lang w:val="en-US"/>
              </w:rPr>
            </w:pPr>
          </w:p>
        </w:tc>
      </w:tr>
      <w:tr w:rsidR="006E5BBC" w:rsidRPr="008E6031" w14:paraId="55268B22" w14:textId="77777777" w:rsidTr="0046717D">
        <w:tc>
          <w:tcPr>
            <w:tcW w:w="2410" w:type="dxa"/>
            <w:tcBorders>
              <w:top w:val="nil"/>
              <w:bottom w:val="nil"/>
            </w:tcBorders>
          </w:tcPr>
          <w:p w14:paraId="06922B96" w14:textId="77777777" w:rsidR="006E5BBC" w:rsidRPr="00E600F8" w:rsidRDefault="006E5BBC" w:rsidP="0046717D">
            <w:pPr>
              <w:spacing w:line="480" w:lineRule="auto"/>
              <w:ind w:left="318"/>
              <w:rPr>
                <w:lang w:val="en-US"/>
              </w:rPr>
            </w:pPr>
            <w:r w:rsidRPr="00E600F8">
              <w:rPr>
                <w:lang w:val="en-US"/>
              </w:rPr>
              <w:t>Reward Sensitivity</w:t>
            </w:r>
          </w:p>
        </w:tc>
        <w:tc>
          <w:tcPr>
            <w:tcW w:w="996" w:type="dxa"/>
            <w:tcBorders>
              <w:top w:val="nil"/>
              <w:bottom w:val="nil"/>
            </w:tcBorders>
          </w:tcPr>
          <w:p w14:paraId="309EC088" w14:textId="77777777" w:rsidR="006E5BBC" w:rsidRPr="00E600F8" w:rsidRDefault="006E5BBC" w:rsidP="0046717D">
            <w:pPr>
              <w:spacing w:line="480" w:lineRule="auto"/>
              <w:jc w:val="center"/>
              <w:rPr>
                <w:lang w:val="en-US"/>
              </w:rPr>
            </w:pPr>
            <w:r w:rsidRPr="00E600F8">
              <w:rPr>
                <w:lang w:val="en-US"/>
              </w:rPr>
              <w:t>4.05</w:t>
            </w:r>
          </w:p>
        </w:tc>
        <w:tc>
          <w:tcPr>
            <w:tcW w:w="705" w:type="dxa"/>
            <w:tcBorders>
              <w:top w:val="nil"/>
              <w:bottom w:val="nil"/>
            </w:tcBorders>
          </w:tcPr>
          <w:p w14:paraId="554CED3C" w14:textId="77777777" w:rsidR="006E5BBC" w:rsidRPr="00E600F8" w:rsidRDefault="006E5BBC" w:rsidP="0046717D">
            <w:pPr>
              <w:spacing w:line="480" w:lineRule="auto"/>
              <w:jc w:val="center"/>
              <w:rPr>
                <w:lang w:val="en-US"/>
              </w:rPr>
            </w:pPr>
            <w:r w:rsidRPr="00E600F8">
              <w:rPr>
                <w:lang w:val="en-US"/>
              </w:rPr>
              <w:t>4.11</w:t>
            </w:r>
          </w:p>
        </w:tc>
        <w:tc>
          <w:tcPr>
            <w:tcW w:w="851" w:type="dxa"/>
            <w:tcBorders>
              <w:top w:val="nil"/>
              <w:bottom w:val="nil"/>
            </w:tcBorders>
          </w:tcPr>
          <w:p w14:paraId="0335E9BF" w14:textId="77777777" w:rsidR="006E5BBC" w:rsidRPr="00E600F8" w:rsidRDefault="006E5BBC" w:rsidP="0046717D">
            <w:pPr>
              <w:spacing w:line="480" w:lineRule="auto"/>
              <w:jc w:val="center"/>
              <w:rPr>
                <w:lang w:val="en-US"/>
              </w:rPr>
            </w:pPr>
            <w:r w:rsidRPr="00E600F8">
              <w:rPr>
                <w:lang w:val="en-US"/>
              </w:rPr>
              <w:t>-4.08</w:t>
            </w:r>
          </w:p>
        </w:tc>
        <w:tc>
          <w:tcPr>
            <w:tcW w:w="850" w:type="dxa"/>
            <w:tcBorders>
              <w:top w:val="nil"/>
              <w:bottom w:val="nil"/>
            </w:tcBorders>
          </w:tcPr>
          <w:p w14:paraId="4654FAC9" w14:textId="77777777" w:rsidR="006E5BBC" w:rsidRPr="00E600F8" w:rsidRDefault="006E5BBC" w:rsidP="0046717D">
            <w:pPr>
              <w:spacing w:line="480" w:lineRule="auto"/>
              <w:jc w:val="center"/>
              <w:rPr>
                <w:lang w:val="en-US"/>
              </w:rPr>
            </w:pPr>
            <w:r w:rsidRPr="00E600F8">
              <w:rPr>
                <w:lang w:val="en-US"/>
              </w:rPr>
              <w:t>12.18</w:t>
            </w:r>
          </w:p>
        </w:tc>
        <w:tc>
          <w:tcPr>
            <w:tcW w:w="3214" w:type="dxa"/>
            <w:tcBorders>
              <w:top w:val="nil"/>
              <w:bottom w:val="nil"/>
            </w:tcBorders>
          </w:tcPr>
          <w:p w14:paraId="4525C5EA" w14:textId="77777777" w:rsidR="006E5BBC" w:rsidRPr="00E600F8" w:rsidRDefault="006E5BBC" w:rsidP="0046717D">
            <w:pPr>
              <w:spacing w:line="480" w:lineRule="auto"/>
              <w:jc w:val="center"/>
              <w:rPr>
                <w:lang w:val="en-US"/>
              </w:rPr>
            </w:pPr>
          </w:p>
        </w:tc>
      </w:tr>
      <w:tr w:rsidR="006E5BBC" w:rsidRPr="008E6031" w14:paraId="22948390" w14:textId="77777777" w:rsidTr="0046717D">
        <w:tc>
          <w:tcPr>
            <w:tcW w:w="2410" w:type="dxa"/>
            <w:tcBorders>
              <w:top w:val="nil"/>
              <w:bottom w:val="dashed" w:sz="4" w:space="0" w:color="auto"/>
            </w:tcBorders>
          </w:tcPr>
          <w:p w14:paraId="42B46B1F" w14:textId="77777777" w:rsidR="006E5BBC" w:rsidRPr="00E600F8" w:rsidRDefault="006E5BBC" w:rsidP="0046717D">
            <w:pPr>
              <w:spacing w:line="480" w:lineRule="auto"/>
              <w:ind w:left="318"/>
              <w:rPr>
                <w:lang w:val="en-US"/>
              </w:rPr>
            </w:pPr>
            <w:r w:rsidRPr="00E600F8">
              <w:rPr>
                <w:lang w:val="en-US"/>
              </w:rPr>
              <w:t>Inhibitory Control</w:t>
            </w:r>
          </w:p>
        </w:tc>
        <w:tc>
          <w:tcPr>
            <w:tcW w:w="996" w:type="dxa"/>
            <w:tcBorders>
              <w:top w:val="nil"/>
              <w:bottom w:val="dashed" w:sz="4" w:space="0" w:color="auto"/>
            </w:tcBorders>
          </w:tcPr>
          <w:p w14:paraId="1E7E60F3" w14:textId="77777777" w:rsidR="006E5BBC" w:rsidRPr="00E600F8" w:rsidRDefault="006E5BBC" w:rsidP="0046717D">
            <w:pPr>
              <w:spacing w:line="480" w:lineRule="auto"/>
              <w:jc w:val="center"/>
              <w:rPr>
                <w:lang w:val="en-US"/>
              </w:rPr>
            </w:pPr>
            <w:r w:rsidRPr="00E600F8">
              <w:rPr>
                <w:lang w:val="en-US"/>
              </w:rPr>
              <w:t>-3.16</w:t>
            </w:r>
          </w:p>
        </w:tc>
        <w:tc>
          <w:tcPr>
            <w:tcW w:w="705" w:type="dxa"/>
            <w:tcBorders>
              <w:top w:val="nil"/>
              <w:bottom w:val="dashed" w:sz="4" w:space="0" w:color="auto"/>
            </w:tcBorders>
          </w:tcPr>
          <w:p w14:paraId="715A1833" w14:textId="77777777" w:rsidR="006E5BBC" w:rsidRPr="00E600F8" w:rsidRDefault="006E5BBC" w:rsidP="0046717D">
            <w:pPr>
              <w:spacing w:line="480" w:lineRule="auto"/>
              <w:jc w:val="center"/>
              <w:rPr>
                <w:lang w:val="en-US"/>
              </w:rPr>
            </w:pPr>
            <w:r w:rsidRPr="00E600F8">
              <w:rPr>
                <w:lang w:val="en-US"/>
              </w:rPr>
              <w:t>2.48</w:t>
            </w:r>
          </w:p>
        </w:tc>
        <w:tc>
          <w:tcPr>
            <w:tcW w:w="851" w:type="dxa"/>
            <w:tcBorders>
              <w:top w:val="nil"/>
              <w:bottom w:val="dashed" w:sz="4" w:space="0" w:color="auto"/>
            </w:tcBorders>
          </w:tcPr>
          <w:p w14:paraId="285F5923" w14:textId="77777777" w:rsidR="006E5BBC" w:rsidRPr="00E600F8" w:rsidRDefault="006E5BBC" w:rsidP="0046717D">
            <w:pPr>
              <w:spacing w:line="480" w:lineRule="auto"/>
              <w:jc w:val="center"/>
              <w:rPr>
                <w:lang w:val="en-US"/>
              </w:rPr>
            </w:pPr>
            <w:r w:rsidRPr="00E600F8">
              <w:rPr>
                <w:lang w:val="en-US"/>
              </w:rPr>
              <w:t>-8.08</w:t>
            </w:r>
          </w:p>
        </w:tc>
        <w:tc>
          <w:tcPr>
            <w:tcW w:w="850" w:type="dxa"/>
            <w:tcBorders>
              <w:top w:val="nil"/>
              <w:bottom w:val="dashed" w:sz="4" w:space="0" w:color="auto"/>
            </w:tcBorders>
          </w:tcPr>
          <w:p w14:paraId="6CEB49E3" w14:textId="77777777" w:rsidR="006E5BBC" w:rsidRPr="00E600F8" w:rsidRDefault="006E5BBC" w:rsidP="0046717D">
            <w:pPr>
              <w:spacing w:line="480" w:lineRule="auto"/>
              <w:jc w:val="center"/>
              <w:rPr>
                <w:lang w:val="en-US"/>
              </w:rPr>
            </w:pPr>
            <w:r w:rsidRPr="00E600F8">
              <w:rPr>
                <w:lang w:val="en-US"/>
              </w:rPr>
              <w:t>1.75</w:t>
            </w:r>
          </w:p>
        </w:tc>
        <w:tc>
          <w:tcPr>
            <w:tcW w:w="3214" w:type="dxa"/>
            <w:tcBorders>
              <w:top w:val="nil"/>
              <w:bottom w:val="dashed" w:sz="4" w:space="0" w:color="auto"/>
            </w:tcBorders>
          </w:tcPr>
          <w:p w14:paraId="197E6FD2" w14:textId="77777777" w:rsidR="006E5BBC" w:rsidRPr="00E600F8" w:rsidRDefault="006E5BBC" w:rsidP="0046717D">
            <w:pPr>
              <w:spacing w:line="480" w:lineRule="auto"/>
              <w:jc w:val="center"/>
              <w:rPr>
                <w:lang w:val="en-US"/>
              </w:rPr>
            </w:pPr>
          </w:p>
        </w:tc>
      </w:tr>
      <w:tr w:rsidR="006E5BBC" w:rsidRPr="008E6031" w14:paraId="5DC4309F" w14:textId="77777777" w:rsidTr="0046717D">
        <w:tc>
          <w:tcPr>
            <w:tcW w:w="2410" w:type="dxa"/>
            <w:tcBorders>
              <w:top w:val="dashed" w:sz="4" w:space="0" w:color="auto"/>
              <w:bottom w:val="nil"/>
            </w:tcBorders>
          </w:tcPr>
          <w:p w14:paraId="3687EE99" w14:textId="77777777" w:rsidR="006E5BBC" w:rsidRPr="00E600F8" w:rsidRDefault="006E5BBC" w:rsidP="0046717D">
            <w:pPr>
              <w:spacing w:line="480" w:lineRule="auto"/>
              <w:rPr>
                <w:lang w:val="en-US"/>
              </w:rPr>
            </w:pPr>
            <w:r w:rsidRPr="00E600F8">
              <w:rPr>
                <w:lang w:val="en-US"/>
              </w:rPr>
              <w:t>Model 2</w:t>
            </w:r>
          </w:p>
        </w:tc>
        <w:tc>
          <w:tcPr>
            <w:tcW w:w="996" w:type="dxa"/>
            <w:tcBorders>
              <w:top w:val="dashed" w:sz="4" w:space="0" w:color="auto"/>
              <w:bottom w:val="nil"/>
            </w:tcBorders>
          </w:tcPr>
          <w:p w14:paraId="17D941C5" w14:textId="77777777" w:rsidR="006E5BBC" w:rsidRPr="00E600F8" w:rsidRDefault="006E5BBC" w:rsidP="0046717D">
            <w:pPr>
              <w:spacing w:line="480" w:lineRule="auto"/>
              <w:jc w:val="center"/>
              <w:rPr>
                <w:lang w:val="en-US"/>
              </w:rPr>
            </w:pPr>
          </w:p>
        </w:tc>
        <w:tc>
          <w:tcPr>
            <w:tcW w:w="705" w:type="dxa"/>
            <w:tcBorders>
              <w:top w:val="dashed" w:sz="4" w:space="0" w:color="auto"/>
              <w:bottom w:val="nil"/>
            </w:tcBorders>
          </w:tcPr>
          <w:p w14:paraId="04BCE269" w14:textId="77777777" w:rsidR="006E5BBC" w:rsidRPr="00E600F8" w:rsidRDefault="006E5BBC" w:rsidP="0046717D">
            <w:pPr>
              <w:spacing w:line="480" w:lineRule="auto"/>
              <w:jc w:val="center"/>
              <w:rPr>
                <w:lang w:val="en-US"/>
              </w:rPr>
            </w:pPr>
          </w:p>
        </w:tc>
        <w:tc>
          <w:tcPr>
            <w:tcW w:w="851" w:type="dxa"/>
            <w:tcBorders>
              <w:top w:val="dashed" w:sz="4" w:space="0" w:color="auto"/>
              <w:bottom w:val="nil"/>
            </w:tcBorders>
          </w:tcPr>
          <w:p w14:paraId="5D468054" w14:textId="77777777" w:rsidR="006E5BBC" w:rsidRPr="00E600F8" w:rsidRDefault="006E5BBC" w:rsidP="0046717D">
            <w:pPr>
              <w:spacing w:line="480" w:lineRule="auto"/>
              <w:jc w:val="center"/>
              <w:rPr>
                <w:lang w:val="en-US"/>
              </w:rPr>
            </w:pPr>
          </w:p>
        </w:tc>
        <w:tc>
          <w:tcPr>
            <w:tcW w:w="850" w:type="dxa"/>
            <w:tcBorders>
              <w:top w:val="dashed" w:sz="4" w:space="0" w:color="auto"/>
              <w:bottom w:val="nil"/>
            </w:tcBorders>
          </w:tcPr>
          <w:p w14:paraId="74B5FA78" w14:textId="77777777" w:rsidR="006E5BBC" w:rsidRPr="00E600F8" w:rsidRDefault="006E5BBC" w:rsidP="0046717D">
            <w:pPr>
              <w:spacing w:line="480" w:lineRule="auto"/>
              <w:jc w:val="center"/>
              <w:rPr>
                <w:lang w:val="en-US"/>
              </w:rPr>
            </w:pPr>
          </w:p>
        </w:tc>
        <w:tc>
          <w:tcPr>
            <w:tcW w:w="3214" w:type="dxa"/>
            <w:tcBorders>
              <w:top w:val="dashed" w:sz="4" w:space="0" w:color="auto"/>
              <w:bottom w:val="nil"/>
            </w:tcBorders>
          </w:tcPr>
          <w:p w14:paraId="0456B347" w14:textId="77777777" w:rsidR="006E5BBC" w:rsidRPr="00E600F8" w:rsidRDefault="006E5BBC" w:rsidP="0046717D">
            <w:pPr>
              <w:spacing w:line="480" w:lineRule="auto"/>
              <w:jc w:val="center"/>
              <w:rPr>
                <w:vertAlign w:val="superscript"/>
                <w:lang w:val="en-US"/>
              </w:rPr>
            </w:pPr>
            <w:r w:rsidRPr="00E600F8">
              <w:rPr>
                <w:lang w:val="en-US"/>
              </w:rPr>
              <w:t>-2LL=1,134.46, Δ-2LL=0.01</w:t>
            </w:r>
          </w:p>
          <w:p w14:paraId="0D284AA4" w14:textId="77777777" w:rsidR="006E5BBC" w:rsidRPr="00E600F8" w:rsidRDefault="006E5BBC" w:rsidP="0046717D">
            <w:pPr>
              <w:spacing w:line="480" w:lineRule="auto"/>
              <w:jc w:val="center"/>
              <w:rPr>
                <w:lang w:val="en-US"/>
              </w:rPr>
            </w:pPr>
            <w:r w:rsidRPr="00E600F8">
              <w:rPr>
                <w:lang w:val="en-US"/>
              </w:rPr>
              <w:t>AIC=1,150.46; BIC=1,174.76</w:t>
            </w:r>
          </w:p>
        </w:tc>
      </w:tr>
      <w:tr w:rsidR="006E5BBC" w:rsidRPr="008E6031" w14:paraId="75E216C9" w14:textId="77777777" w:rsidTr="0046717D">
        <w:tc>
          <w:tcPr>
            <w:tcW w:w="2410" w:type="dxa"/>
            <w:tcBorders>
              <w:top w:val="nil"/>
              <w:bottom w:val="nil"/>
            </w:tcBorders>
          </w:tcPr>
          <w:p w14:paraId="4A8A22B2" w14:textId="77777777" w:rsidR="006E5BBC" w:rsidRPr="00E600F8" w:rsidRDefault="006E5BBC" w:rsidP="0046717D">
            <w:pPr>
              <w:spacing w:line="480" w:lineRule="auto"/>
              <w:ind w:left="318"/>
              <w:rPr>
                <w:lang w:val="en-US"/>
              </w:rPr>
            </w:pPr>
            <w:r w:rsidRPr="00E600F8">
              <w:rPr>
                <w:lang w:val="en-US"/>
              </w:rPr>
              <w:t xml:space="preserve">Intercept </w:t>
            </w:r>
          </w:p>
        </w:tc>
        <w:tc>
          <w:tcPr>
            <w:tcW w:w="996" w:type="dxa"/>
            <w:tcBorders>
              <w:top w:val="nil"/>
              <w:bottom w:val="nil"/>
            </w:tcBorders>
          </w:tcPr>
          <w:p w14:paraId="3061E5D3" w14:textId="77777777" w:rsidR="006E5BBC" w:rsidRPr="00E600F8" w:rsidRDefault="006E5BBC" w:rsidP="0046717D">
            <w:pPr>
              <w:spacing w:line="480" w:lineRule="auto"/>
              <w:jc w:val="center"/>
              <w:rPr>
                <w:lang w:val="en-US"/>
              </w:rPr>
            </w:pPr>
            <w:r w:rsidRPr="00E600F8">
              <w:rPr>
                <w:lang w:val="en-US"/>
              </w:rPr>
              <w:t>8.11***</w:t>
            </w:r>
          </w:p>
        </w:tc>
        <w:tc>
          <w:tcPr>
            <w:tcW w:w="705" w:type="dxa"/>
            <w:tcBorders>
              <w:top w:val="nil"/>
              <w:bottom w:val="nil"/>
            </w:tcBorders>
          </w:tcPr>
          <w:p w14:paraId="36BA9D5B" w14:textId="77777777" w:rsidR="006E5BBC" w:rsidRPr="00E600F8" w:rsidRDefault="006E5BBC" w:rsidP="0046717D">
            <w:pPr>
              <w:spacing w:line="480" w:lineRule="auto"/>
              <w:jc w:val="center"/>
              <w:rPr>
                <w:lang w:val="en-US"/>
              </w:rPr>
            </w:pPr>
            <w:r w:rsidRPr="00E600F8">
              <w:rPr>
                <w:lang w:val="en-US"/>
              </w:rPr>
              <w:t>1.74</w:t>
            </w:r>
          </w:p>
        </w:tc>
        <w:tc>
          <w:tcPr>
            <w:tcW w:w="851" w:type="dxa"/>
            <w:tcBorders>
              <w:top w:val="nil"/>
              <w:bottom w:val="nil"/>
            </w:tcBorders>
          </w:tcPr>
          <w:p w14:paraId="30336D66" w14:textId="77777777" w:rsidR="006E5BBC" w:rsidRPr="00E600F8" w:rsidRDefault="006E5BBC" w:rsidP="0046717D">
            <w:pPr>
              <w:spacing w:line="480" w:lineRule="auto"/>
              <w:jc w:val="center"/>
              <w:rPr>
                <w:lang w:val="en-US"/>
              </w:rPr>
            </w:pPr>
            <w:r w:rsidRPr="00E600F8">
              <w:rPr>
                <w:lang w:val="en-US"/>
              </w:rPr>
              <w:t>4.65</w:t>
            </w:r>
          </w:p>
        </w:tc>
        <w:tc>
          <w:tcPr>
            <w:tcW w:w="850" w:type="dxa"/>
            <w:tcBorders>
              <w:top w:val="nil"/>
              <w:bottom w:val="nil"/>
            </w:tcBorders>
          </w:tcPr>
          <w:p w14:paraId="3FF8A484" w14:textId="77777777" w:rsidR="006E5BBC" w:rsidRPr="00E600F8" w:rsidRDefault="006E5BBC" w:rsidP="0046717D">
            <w:pPr>
              <w:spacing w:line="480" w:lineRule="auto"/>
              <w:jc w:val="center"/>
              <w:rPr>
                <w:lang w:val="en-US"/>
              </w:rPr>
            </w:pPr>
            <w:r w:rsidRPr="00E600F8">
              <w:rPr>
                <w:lang w:val="en-US"/>
              </w:rPr>
              <w:t>11.58</w:t>
            </w:r>
          </w:p>
        </w:tc>
        <w:tc>
          <w:tcPr>
            <w:tcW w:w="3214" w:type="dxa"/>
            <w:tcBorders>
              <w:top w:val="nil"/>
              <w:bottom w:val="nil"/>
            </w:tcBorders>
          </w:tcPr>
          <w:p w14:paraId="40CC3A37" w14:textId="77777777" w:rsidR="006E5BBC" w:rsidRPr="00E600F8" w:rsidRDefault="006E5BBC" w:rsidP="0046717D">
            <w:pPr>
              <w:spacing w:line="480" w:lineRule="auto"/>
              <w:jc w:val="center"/>
              <w:rPr>
                <w:lang w:val="en-US"/>
              </w:rPr>
            </w:pPr>
          </w:p>
        </w:tc>
      </w:tr>
      <w:tr w:rsidR="006E5BBC" w:rsidRPr="008E6031" w14:paraId="6878AE88" w14:textId="77777777" w:rsidTr="0046717D">
        <w:tc>
          <w:tcPr>
            <w:tcW w:w="2410" w:type="dxa"/>
            <w:tcBorders>
              <w:top w:val="nil"/>
              <w:bottom w:val="nil"/>
            </w:tcBorders>
          </w:tcPr>
          <w:p w14:paraId="7D910FCE" w14:textId="77777777" w:rsidR="006E5BBC" w:rsidRPr="00E600F8" w:rsidRDefault="006E5BBC" w:rsidP="0046717D">
            <w:pPr>
              <w:spacing w:line="480" w:lineRule="auto"/>
              <w:ind w:left="318"/>
              <w:rPr>
                <w:lang w:val="en-US"/>
              </w:rPr>
            </w:pPr>
            <w:r w:rsidRPr="00E600F8">
              <w:rPr>
                <w:lang w:val="en-US"/>
              </w:rPr>
              <w:t xml:space="preserve">Age </w:t>
            </w:r>
          </w:p>
        </w:tc>
        <w:tc>
          <w:tcPr>
            <w:tcW w:w="996" w:type="dxa"/>
            <w:tcBorders>
              <w:top w:val="nil"/>
              <w:bottom w:val="nil"/>
            </w:tcBorders>
          </w:tcPr>
          <w:p w14:paraId="41185C87" w14:textId="77777777" w:rsidR="006E5BBC" w:rsidRPr="00E600F8" w:rsidRDefault="006E5BBC" w:rsidP="0046717D">
            <w:pPr>
              <w:spacing w:line="480" w:lineRule="auto"/>
              <w:jc w:val="center"/>
              <w:rPr>
                <w:lang w:val="en-US"/>
              </w:rPr>
            </w:pPr>
            <w:r w:rsidRPr="00E600F8">
              <w:rPr>
                <w:lang w:val="en-US"/>
              </w:rPr>
              <w:t>-2.96**</w:t>
            </w:r>
          </w:p>
        </w:tc>
        <w:tc>
          <w:tcPr>
            <w:tcW w:w="705" w:type="dxa"/>
            <w:tcBorders>
              <w:top w:val="nil"/>
              <w:bottom w:val="nil"/>
            </w:tcBorders>
          </w:tcPr>
          <w:p w14:paraId="5EA28946" w14:textId="77777777" w:rsidR="006E5BBC" w:rsidRPr="00E600F8" w:rsidRDefault="006E5BBC" w:rsidP="0046717D">
            <w:pPr>
              <w:spacing w:line="480" w:lineRule="auto"/>
              <w:jc w:val="center"/>
              <w:rPr>
                <w:lang w:val="en-US"/>
              </w:rPr>
            </w:pPr>
            <w:r w:rsidRPr="00E600F8">
              <w:rPr>
                <w:lang w:val="en-US"/>
              </w:rPr>
              <w:t>1.08</w:t>
            </w:r>
          </w:p>
        </w:tc>
        <w:tc>
          <w:tcPr>
            <w:tcW w:w="851" w:type="dxa"/>
            <w:tcBorders>
              <w:top w:val="nil"/>
              <w:bottom w:val="nil"/>
            </w:tcBorders>
          </w:tcPr>
          <w:p w14:paraId="1C79214B" w14:textId="77777777" w:rsidR="006E5BBC" w:rsidRPr="00E600F8" w:rsidRDefault="006E5BBC" w:rsidP="0046717D">
            <w:pPr>
              <w:spacing w:line="480" w:lineRule="auto"/>
              <w:jc w:val="center"/>
              <w:rPr>
                <w:lang w:val="en-US"/>
              </w:rPr>
            </w:pPr>
            <w:r w:rsidRPr="00E600F8">
              <w:rPr>
                <w:lang w:val="en-US"/>
              </w:rPr>
              <w:t>-5.10</w:t>
            </w:r>
          </w:p>
        </w:tc>
        <w:tc>
          <w:tcPr>
            <w:tcW w:w="850" w:type="dxa"/>
            <w:tcBorders>
              <w:top w:val="nil"/>
              <w:bottom w:val="nil"/>
            </w:tcBorders>
          </w:tcPr>
          <w:p w14:paraId="6DFEEC12" w14:textId="77777777" w:rsidR="006E5BBC" w:rsidRPr="00E600F8" w:rsidRDefault="006E5BBC" w:rsidP="0046717D">
            <w:pPr>
              <w:spacing w:line="480" w:lineRule="auto"/>
              <w:jc w:val="center"/>
              <w:rPr>
                <w:lang w:val="en-US"/>
              </w:rPr>
            </w:pPr>
            <w:r w:rsidRPr="00E600F8">
              <w:rPr>
                <w:lang w:val="en-US"/>
              </w:rPr>
              <w:t>-0.82</w:t>
            </w:r>
          </w:p>
        </w:tc>
        <w:tc>
          <w:tcPr>
            <w:tcW w:w="3214" w:type="dxa"/>
            <w:tcBorders>
              <w:top w:val="nil"/>
              <w:bottom w:val="nil"/>
            </w:tcBorders>
          </w:tcPr>
          <w:p w14:paraId="67B366B9" w14:textId="77777777" w:rsidR="006E5BBC" w:rsidRPr="00E600F8" w:rsidRDefault="006E5BBC" w:rsidP="0046717D">
            <w:pPr>
              <w:spacing w:line="480" w:lineRule="auto"/>
              <w:jc w:val="center"/>
              <w:rPr>
                <w:lang w:val="en-US"/>
              </w:rPr>
            </w:pPr>
          </w:p>
        </w:tc>
      </w:tr>
      <w:tr w:rsidR="006E5BBC" w:rsidRPr="008E6031" w14:paraId="652E84EA" w14:textId="77777777" w:rsidTr="0046717D">
        <w:tc>
          <w:tcPr>
            <w:tcW w:w="2410" w:type="dxa"/>
            <w:tcBorders>
              <w:top w:val="nil"/>
              <w:bottom w:val="nil"/>
            </w:tcBorders>
          </w:tcPr>
          <w:p w14:paraId="78CC83C0" w14:textId="77777777" w:rsidR="006E5BBC" w:rsidRPr="00E600F8" w:rsidRDefault="006E5BBC" w:rsidP="0046717D">
            <w:pPr>
              <w:spacing w:line="480" w:lineRule="auto"/>
              <w:ind w:left="318"/>
              <w:rPr>
                <w:lang w:val="en-US"/>
              </w:rPr>
            </w:pPr>
            <w:r w:rsidRPr="00E600F8">
              <w:rPr>
                <w:lang w:val="en-US"/>
              </w:rPr>
              <w:t>Risk Perception</w:t>
            </w:r>
          </w:p>
        </w:tc>
        <w:tc>
          <w:tcPr>
            <w:tcW w:w="996" w:type="dxa"/>
            <w:tcBorders>
              <w:top w:val="nil"/>
              <w:bottom w:val="nil"/>
            </w:tcBorders>
          </w:tcPr>
          <w:p w14:paraId="58E74F9D" w14:textId="77777777" w:rsidR="006E5BBC" w:rsidRPr="00E600F8" w:rsidRDefault="006E5BBC" w:rsidP="0046717D">
            <w:pPr>
              <w:spacing w:line="480" w:lineRule="auto"/>
              <w:jc w:val="center"/>
              <w:rPr>
                <w:lang w:val="en-US"/>
              </w:rPr>
            </w:pPr>
            <w:r w:rsidRPr="00E600F8">
              <w:rPr>
                <w:lang w:val="en-US"/>
              </w:rPr>
              <w:t>0.81</w:t>
            </w:r>
          </w:p>
        </w:tc>
        <w:tc>
          <w:tcPr>
            <w:tcW w:w="705" w:type="dxa"/>
            <w:tcBorders>
              <w:top w:val="nil"/>
              <w:bottom w:val="nil"/>
            </w:tcBorders>
          </w:tcPr>
          <w:p w14:paraId="3CE62568" w14:textId="77777777" w:rsidR="006E5BBC" w:rsidRPr="00E600F8" w:rsidRDefault="006E5BBC" w:rsidP="0046717D">
            <w:pPr>
              <w:spacing w:line="480" w:lineRule="auto"/>
              <w:jc w:val="center"/>
              <w:rPr>
                <w:lang w:val="en-US"/>
              </w:rPr>
            </w:pPr>
            <w:r w:rsidRPr="00E600F8">
              <w:rPr>
                <w:lang w:val="en-US"/>
              </w:rPr>
              <w:t>1.10</w:t>
            </w:r>
          </w:p>
        </w:tc>
        <w:tc>
          <w:tcPr>
            <w:tcW w:w="851" w:type="dxa"/>
            <w:tcBorders>
              <w:top w:val="nil"/>
              <w:bottom w:val="nil"/>
            </w:tcBorders>
          </w:tcPr>
          <w:p w14:paraId="6435EBC8" w14:textId="77777777" w:rsidR="006E5BBC" w:rsidRPr="00E600F8" w:rsidRDefault="006E5BBC" w:rsidP="0046717D">
            <w:pPr>
              <w:spacing w:line="480" w:lineRule="auto"/>
              <w:jc w:val="center"/>
              <w:rPr>
                <w:lang w:val="en-US"/>
              </w:rPr>
            </w:pPr>
            <w:r w:rsidRPr="00E600F8">
              <w:rPr>
                <w:lang w:val="en-US"/>
              </w:rPr>
              <w:t>-1.37</w:t>
            </w:r>
          </w:p>
        </w:tc>
        <w:tc>
          <w:tcPr>
            <w:tcW w:w="850" w:type="dxa"/>
            <w:tcBorders>
              <w:top w:val="nil"/>
              <w:bottom w:val="nil"/>
            </w:tcBorders>
          </w:tcPr>
          <w:p w14:paraId="03A3522B" w14:textId="77777777" w:rsidR="006E5BBC" w:rsidRPr="00E600F8" w:rsidRDefault="006E5BBC" w:rsidP="0046717D">
            <w:pPr>
              <w:spacing w:line="480" w:lineRule="auto"/>
              <w:jc w:val="center"/>
              <w:rPr>
                <w:lang w:val="en-US"/>
              </w:rPr>
            </w:pPr>
            <w:r w:rsidRPr="00E600F8">
              <w:rPr>
                <w:lang w:val="en-US"/>
              </w:rPr>
              <w:t>2.98</w:t>
            </w:r>
          </w:p>
        </w:tc>
        <w:tc>
          <w:tcPr>
            <w:tcW w:w="3214" w:type="dxa"/>
            <w:tcBorders>
              <w:top w:val="nil"/>
              <w:bottom w:val="nil"/>
            </w:tcBorders>
          </w:tcPr>
          <w:p w14:paraId="2B93EE6D" w14:textId="77777777" w:rsidR="006E5BBC" w:rsidRPr="00E600F8" w:rsidRDefault="006E5BBC" w:rsidP="0046717D">
            <w:pPr>
              <w:spacing w:line="480" w:lineRule="auto"/>
              <w:jc w:val="center"/>
              <w:rPr>
                <w:lang w:val="en-US"/>
              </w:rPr>
            </w:pPr>
          </w:p>
        </w:tc>
      </w:tr>
      <w:tr w:rsidR="006E5BBC" w:rsidRPr="008E6031" w14:paraId="733E270A" w14:textId="77777777" w:rsidTr="0046717D">
        <w:tc>
          <w:tcPr>
            <w:tcW w:w="2410" w:type="dxa"/>
            <w:tcBorders>
              <w:top w:val="nil"/>
              <w:bottom w:val="nil"/>
            </w:tcBorders>
          </w:tcPr>
          <w:p w14:paraId="44AE037D" w14:textId="77777777" w:rsidR="006E5BBC" w:rsidRPr="00E600F8" w:rsidRDefault="006E5BBC" w:rsidP="0046717D">
            <w:pPr>
              <w:spacing w:line="480" w:lineRule="auto"/>
              <w:ind w:left="318"/>
              <w:rPr>
                <w:lang w:val="en-US"/>
              </w:rPr>
            </w:pPr>
            <w:r w:rsidRPr="00E600F8">
              <w:rPr>
                <w:lang w:val="en-US"/>
              </w:rPr>
              <w:t>Reward Sensitivity</w:t>
            </w:r>
          </w:p>
        </w:tc>
        <w:tc>
          <w:tcPr>
            <w:tcW w:w="996" w:type="dxa"/>
            <w:tcBorders>
              <w:top w:val="nil"/>
              <w:bottom w:val="nil"/>
            </w:tcBorders>
          </w:tcPr>
          <w:p w14:paraId="62C89D43" w14:textId="77777777" w:rsidR="006E5BBC" w:rsidRPr="00E600F8" w:rsidRDefault="006E5BBC" w:rsidP="0046717D">
            <w:pPr>
              <w:spacing w:line="480" w:lineRule="auto"/>
              <w:jc w:val="center"/>
              <w:rPr>
                <w:lang w:val="en-US"/>
              </w:rPr>
            </w:pPr>
            <w:r w:rsidRPr="00E600F8">
              <w:rPr>
                <w:lang w:val="en-US"/>
              </w:rPr>
              <w:t>4.02</w:t>
            </w:r>
          </w:p>
        </w:tc>
        <w:tc>
          <w:tcPr>
            <w:tcW w:w="705" w:type="dxa"/>
            <w:tcBorders>
              <w:top w:val="nil"/>
              <w:bottom w:val="nil"/>
            </w:tcBorders>
          </w:tcPr>
          <w:p w14:paraId="4545FEC9" w14:textId="77777777" w:rsidR="006E5BBC" w:rsidRPr="00E600F8" w:rsidRDefault="006E5BBC" w:rsidP="0046717D">
            <w:pPr>
              <w:spacing w:line="480" w:lineRule="auto"/>
              <w:jc w:val="center"/>
              <w:rPr>
                <w:lang w:val="en-US"/>
              </w:rPr>
            </w:pPr>
            <w:r w:rsidRPr="00E600F8">
              <w:rPr>
                <w:lang w:val="en-US"/>
              </w:rPr>
              <w:t>4.12</w:t>
            </w:r>
          </w:p>
        </w:tc>
        <w:tc>
          <w:tcPr>
            <w:tcW w:w="851" w:type="dxa"/>
            <w:tcBorders>
              <w:top w:val="nil"/>
              <w:bottom w:val="nil"/>
            </w:tcBorders>
          </w:tcPr>
          <w:p w14:paraId="294C50FE" w14:textId="77777777" w:rsidR="006E5BBC" w:rsidRPr="00E600F8" w:rsidRDefault="006E5BBC" w:rsidP="0046717D">
            <w:pPr>
              <w:spacing w:line="480" w:lineRule="auto"/>
              <w:jc w:val="center"/>
              <w:rPr>
                <w:lang w:val="en-US"/>
              </w:rPr>
            </w:pPr>
            <w:r w:rsidRPr="00E600F8">
              <w:rPr>
                <w:lang w:val="en-US"/>
              </w:rPr>
              <w:t>-4.12</w:t>
            </w:r>
          </w:p>
        </w:tc>
        <w:tc>
          <w:tcPr>
            <w:tcW w:w="850" w:type="dxa"/>
            <w:tcBorders>
              <w:top w:val="nil"/>
              <w:bottom w:val="nil"/>
            </w:tcBorders>
          </w:tcPr>
          <w:p w14:paraId="6FCBF04B" w14:textId="77777777" w:rsidR="006E5BBC" w:rsidRPr="00E600F8" w:rsidRDefault="006E5BBC" w:rsidP="0046717D">
            <w:pPr>
              <w:spacing w:line="480" w:lineRule="auto"/>
              <w:jc w:val="center"/>
              <w:rPr>
                <w:lang w:val="en-US"/>
              </w:rPr>
            </w:pPr>
            <w:r w:rsidRPr="00E600F8">
              <w:rPr>
                <w:lang w:val="en-US"/>
              </w:rPr>
              <w:t>12.16</w:t>
            </w:r>
          </w:p>
        </w:tc>
        <w:tc>
          <w:tcPr>
            <w:tcW w:w="3214" w:type="dxa"/>
            <w:tcBorders>
              <w:top w:val="nil"/>
              <w:bottom w:val="nil"/>
            </w:tcBorders>
          </w:tcPr>
          <w:p w14:paraId="7DCE6D25" w14:textId="77777777" w:rsidR="006E5BBC" w:rsidRPr="00E600F8" w:rsidRDefault="006E5BBC" w:rsidP="0046717D">
            <w:pPr>
              <w:spacing w:line="480" w:lineRule="auto"/>
              <w:jc w:val="center"/>
              <w:rPr>
                <w:lang w:val="en-US"/>
              </w:rPr>
            </w:pPr>
          </w:p>
        </w:tc>
      </w:tr>
      <w:tr w:rsidR="006E5BBC" w:rsidRPr="008E6031" w14:paraId="4E8F246E" w14:textId="77777777" w:rsidTr="0046717D">
        <w:tc>
          <w:tcPr>
            <w:tcW w:w="2410" w:type="dxa"/>
            <w:tcBorders>
              <w:top w:val="nil"/>
              <w:bottom w:val="nil"/>
            </w:tcBorders>
          </w:tcPr>
          <w:p w14:paraId="326C9B8D" w14:textId="77777777" w:rsidR="006E5BBC" w:rsidRPr="00E600F8" w:rsidRDefault="006E5BBC" w:rsidP="0046717D">
            <w:pPr>
              <w:spacing w:line="480" w:lineRule="auto"/>
              <w:ind w:left="318"/>
              <w:rPr>
                <w:lang w:val="en-US"/>
              </w:rPr>
            </w:pPr>
            <w:r w:rsidRPr="00E600F8">
              <w:rPr>
                <w:lang w:val="en-US"/>
              </w:rPr>
              <w:t>Inhibitory Control</w:t>
            </w:r>
          </w:p>
        </w:tc>
        <w:tc>
          <w:tcPr>
            <w:tcW w:w="996" w:type="dxa"/>
            <w:tcBorders>
              <w:top w:val="nil"/>
              <w:bottom w:val="nil"/>
            </w:tcBorders>
          </w:tcPr>
          <w:p w14:paraId="0B983FE0" w14:textId="77777777" w:rsidR="006E5BBC" w:rsidRPr="00E600F8" w:rsidRDefault="006E5BBC" w:rsidP="0046717D">
            <w:pPr>
              <w:spacing w:line="480" w:lineRule="auto"/>
              <w:jc w:val="center"/>
              <w:rPr>
                <w:lang w:val="en-US"/>
              </w:rPr>
            </w:pPr>
            <w:r w:rsidRPr="00E600F8">
              <w:rPr>
                <w:lang w:val="en-US"/>
              </w:rPr>
              <w:t>-3.18</w:t>
            </w:r>
          </w:p>
        </w:tc>
        <w:tc>
          <w:tcPr>
            <w:tcW w:w="705" w:type="dxa"/>
            <w:tcBorders>
              <w:top w:val="nil"/>
              <w:bottom w:val="nil"/>
            </w:tcBorders>
          </w:tcPr>
          <w:p w14:paraId="6AD72B12" w14:textId="77777777" w:rsidR="006E5BBC" w:rsidRPr="00E600F8" w:rsidRDefault="006E5BBC" w:rsidP="0046717D">
            <w:pPr>
              <w:spacing w:line="480" w:lineRule="auto"/>
              <w:jc w:val="center"/>
              <w:rPr>
                <w:lang w:val="en-US"/>
              </w:rPr>
            </w:pPr>
            <w:r w:rsidRPr="00E600F8">
              <w:rPr>
                <w:lang w:val="en-US"/>
              </w:rPr>
              <w:t>2.48</w:t>
            </w:r>
          </w:p>
        </w:tc>
        <w:tc>
          <w:tcPr>
            <w:tcW w:w="851" w:type="dxa"/>
            <w:tcBorders>
              <w:top w:val="nil"/>
              <w:bottom w:val="nil"/>
            </w:tcBorders>
          </w:tcPr>
          <w:p w14:paraId="5B9C424E" w14:textId="77777777" w:rsidR="006E5BBC" w:rsidRPr="00E600F8" w:rsidRDefault="006E5BBC" w:rsidP="0046717D">
            <w:pPr>
              <w:spacing w:line="480" w:lineRule="auto"/>
              <w:jc w:val="center"/>
              <w:rPr>
                <w:lang w:val="en-US"/>
              </w:rPr>
            </w:pPr>
            <w:r w:rsidRPr="00E600F8">
              <w:rPr>
                <w:lang w:val="en-US"/>
              </w:rPr>
              <w:t>-8.11</w:t>
            </w:r>
          </w:p>
        </w:tc>
        <w:tc>
          <w:tcPr>
            <w:tcW w:w="850" w:type="dxa"/>
            <w:tcBorders>
              <w:top w:val="nil"/>
              <w:bottom w:val="nil"/>
            </w:tcBorders>
          </w:tcPr>
          <w:p w14:paraId="14A8926A" w14:textId="77777777" w:rsidR="006E5BBC" w:rsidRPr="00E600F8" w:rsidRDefault="006E5BBC" w:rsidP="0046717D">
            <w:pPr>
              <w:spacing w:line="480" w:lineRule="auto"/>
              <w:jc w:val="center"/>
              <w:rPr>
                <w:lang w:val="en-US"/>
              </w:rPr>
            </w:pPr>
            <w:r w:rsidRPr="00E600F8">
              <w:rPr>
                <w:lang w:val="en-US"/>
              </w:rPr>
              <w:t>1.74</w:t>
            </w:r>
          </w:p>
        </w:tc>
        <w:tc>
          <w:tcPr>
            <w:tcW w:w="3214" w:type="dxa"/>
            <w:tcBorders>
              <w:top w:val="nil"/>
              <w:bottom w:val="nil"/>
            </w:tcBorders>
          </w:tcPr>
          <w:p w14:paraId="2205AB73" w14:textId="77777777" w:rsidR="006E5BBC" w:rsidRPr="00E600F8" w:rsidRDefault="006E5BBC" w:rsidP="0046717D">
            <w:pPr>
              <w:spacing w:line="480" w:lineRule="auto"/>
              <w:jc w:val="center"/>
              <w:rPr>
                <w:lang w:val="en-US"/>
              </w:rPr>
            </w:pPr>
          </w:p>
        </w:tc>
      </w:tr>
      <w:tr w:rsidR="006E5BBC" w:rsidRPr="008E6031" w14:paraId="44B818B8" w14:textId="77777777" w:rsidTr="0046717D">
        <w:tc>
          <w:tcPr>
            <w:tcW w:w="2410" w:type="dxa"/>
            <w:tcBorders>
              <w:top w:val="nil"/>
              <w:bottom w:val="dashed" w:sz="4" w:space="0" w:color="auto"/>
            </w:tcBorders>
          </w:tcPr>
          <w:p w14:paraId="64757F01" w14:textId="2C88E267" w:rsidR="006E5BBC" w:rsidRPr="00E600F8" w:rsidRDefault="00CB4ACA" w:rsidP="0046717D">
            <w:pPr>
              <w:spacing w:line="480" w:lineRule="auto"/>
              <w:ind w:left="318"/>
              <w:rPr>
                <w:lang w:val="en-US"/>
              </w:rPr>
            </w:pPr>
            <w:r w:rsidRPr="00E600F8">
              <w:rPr>
                <w:lang w:val="en-US"/>
              </w:rPr>
              <w:t>Group Membership</w:t>
            </w:r>
          </w:p>
        </w:tc>
        <w:tc>
          <w:tcPr>
            <w:tcW w:w="996" w:type="dxa"/>
            <w:tcBorders>
              <w:top w:val="nil"/>
              <w:bottom w:val="dashed" w:sz="4" w:space="0" w:color="auto"/>
            </w:tcBorders>
          </w:tcPr>
          <w:p w14:paraId="0A962A8D" w14:textId="77777777" w:rsidR="006E5BBC" w:rsidRPr="00E600F8" w:rsidRDefault="006E5BBC" w:rsidP="0046717D">
            <w:pPr>
              <w:spacing w:line="480" w:lineRule="auto"/>
              <w:jc w:val="center"/>
              <w:rPr>
                <w:lang w:val="en-US"/>
              </w:rPr>
            </w:pPr>
            <w:r w:rsidRPr="00E600F8">
              <w:rPr>
                <w:lang w:val="en-US"/>
              </w:rPr>
              <w:t>-0.28</w:t>
            </w:r>
          </w:p>
        </w:tc>
        <w:tc>
          <w:tcPr>
            <w:tcW w:w="705" w:type="dxa"/>
            <w:tcBorders>
              <w:top w:val="nil"/>
              <w:bottom w:val="dashed" w:sz="4" w:space="0" w:color="auto"/>
            </w:tcBorders>
          </w:tcPr>
          <w:p w14:paraId="3DEB06E4" w14:textId="77777777" w:rsidR="006E5BBC" w:rsidRPr="00E600F8" w:rsidRDefault="006E5BBC" w:rsidP="0046717D">
            <w:pPr>
              <w:spacing w:line="480" w:lineRule="auto"/>
              <w:jc w:val="center"/>
              <w:rPr>
                <w:lang w:val="en-US"/>
              </w:rPr>
            </w:pPr>
            <w:r w:rsidRPr="00E600F8">
              <w:rPr>
                <w:lang w:val="en-US"/>
              </w:rPr>
              <w:t>2.29</w:t>
            </w:r>
          </w:p>
        </w:tc>
        <w:tc>
          <w:tcPr>
            <w:tcW w:w="851" w:type="dxa"/>
            <w:tcBorders>
              <w:top w:val="nil"/>
              <w:bottom w:val="dashed" w:sz="4" w:space="0" w:color="auto"/>
            </w:tcBorders>
          </w:tcPr>
          <w:p w14:paraId="7C741DFC" w14:textId="77777777" w:rsidR="006E5BBC" w:rsidRPr="00E600F8" w:rsidRDefault="006E5BBC" w:rsidP="0046717D">
            <w:pPr>
              <w:spacing w:line="480" w:lineRule="auto"/>
              <w:jc w:val="center"/>
              <w:rPr>
                <w:lang w:val="en-US"/>
              </w:rPr>
            </w:pPr>
            <w:r w:rsidRPr="00E600F8">
              <w:rPr>
                <w:lang w:val="en-US"/>
              </w:rPr>
              <w:t>-4.83</w:t>
            </w:r>
          </w:p>
        </w:tc>
        <w:tc>
          <w:tcPr>
            <w:tcW w:w="850" w:type="dxa"/>
            <w:tcBorders>
              <w:top w:val="nil"/>
              <w:bottom w:val="dashed" w:sz="4" w:space="0" w:color="auto"/>
            </w:tcBorders>
          </w:tcPr>
          <w:p w14:paraId="0DAF3F7E" w14:textId="77777777" w:rsidR="006E5BBC" w:rsidRPr="00E600F8" w:rsidRDefault="006E5BBC" w:rsidP="0046717D">
            <w:pPr>
              <w:spacing w:line="480" w:lineRule="auto"/>
              <w:jc w:val="center"/>
              <w:rPr>
                <w:lang w:val="en-US"/>
              </w:rPr>
            </w:pPr>
            <w:r w:rsidRPr="00E600F8">
              <w:rPr>
                <w:lang w:val="en-US"/>
              </w:rPr>
              <w:t>4.27</w:t>
            </w:r>
          </w:p>
        </w:tc>
        <w:tc>
          <w:tcPr>
            <w:tcW w:w="3214" w:type="dxa"/>
            <w:tcBorders>
              <w:top w:val="nil"/>
              <w:bottom w:val="dashed" w:sz="4" w:space="0" w:color="auto"/>
            </w:tcBorders>
          </w:tcPr>
          <w:p w14:paraId="17236A77" w14:textId="77777777" w:rsidR="006E5BBC" w:rsidRPr="00E600F8" w:rsidRDefault="006E5BBC" w:rsidP="0046717D">
            <w:pPr>
              <w:spacing w:line="480" w:lineRule="auto"/>
              <w:jc w:val="center"/>
              <w:rPr>
                <w:lang w:val="en-US"/>
              </w:rPr>
            </w:pPr>
          </w:p>
        </w:tc>
      </w:tr>
      <w:tr w:rsidR="006E5BBC" w:rsidRPr="008E6031" w14:paraId="3DB6EF8B" w14:textId="77777777" w:rsidTr="0046717D">
        <w:tc>
          <w:tcPr>
            <w:tcW w:w="9026" w:type="dxa"/>
            <w:gridSpan w:val="6"/>
            <w:tcBorders>
              <w:bottom w:val="nil"/>
            </w:tcBorders>
          </w:tcPr>
          <w:p w14:paraId="65991B3D" w14:textId="77777777" w:rsidR="006E5BBC" w:rsidRPr="00E600F8" w:rsidRDefault="006E5BBC" w:rsidP="0046717D">
            <w:pPr>
              <w:spacing w:line="480" w:lineRule="auto"/>
              <w:rPr>
                <w:lang w:val="en-US"/>
              </w:rPr>
            </w:pPr>
            <w:r w:rsidRPr="00E600F8">
              <w:rPr>
                <w:i/>
                <w:lang w:val="en-US"/>
              </w:rPr>
              <w:t xml:space="preserve">Note. </w:t>
            </w:r>
            <w:r w:rsidRPr="00E600F8">
              <w:rPr>
                <w:lang w:val="en-US"/>
              </w:rPr>
              <w:t xml:space="preserve">CI = 95% Confidence Interval. </w:t>
            </w:r>
            <w:r w:rsidRPr="00E600F8">
              <w:rPr>
                <w:vertAlign w:val="superscript"/>
                <w:lang w:val="en-US"/>
              </w:rPr>
              <w:t>+</w:t>
            </w:r>
            <w:r w:rsidRPr="00E600F8">
              <w:rPr>
                <w:lang w:val="en-US"/>
              </w:rPr>
              <w:t xml:space="preserve"> </w:t>
            </w:r>
            <w:r w:rsidRPr="00E600F8">
              <w:rPr>
                <w:i/>
                <w:lang w:val="en-US"/>
              </w:rPr>
              <w:t>p</w:t>
            </w:r>
            <w:r w:rsidRPr="00E600F8">
              <w:rPr>
                <w:lang w:val="en-US"/>
              </w:rPr>
              <w:t>&lt;.10, *</w:t>
            </w:r>
            <w:r w:rsidRPr="00E600F8">
              <w:rPr>
                <w:i/>
                <w:lang w:val="en-US"/>
              </w:rPr>
              <w:t>p</w:t>
            </w:r>
            <w:r w:rsidRPr="00E600F8">
              <w:rPr>
                <w:lang w:val="en-US"/>
              </w:rPr>
              <w:t xml:space="preserve">&lt;.05, ** </w:t>
            </w:r>
            <w:r w:rsidRPr="00E600F8">
              <w:rPr>
                <w:i/>
                <w:lang w:val="en-US"/>
              </w:rPr>
              <w:t>p</w:t>
            </w:r>
            <w:r w:rsidRPr="00E600F8">
              <w:rPr>
                <w:lang w:val="en-US"/>
              </w:rPr>
              <w:t xml:space="preserve">&lt;.01, *** </w:t>
            </w:r>
            <w:r w:rsidRPr="00E600F8">
              <w:rPr>
                <w:i/>
                <w:lang w:val="en-US"/>
              </w:rPr>
              <w:t>p</w:t>
            </w:r>
            <w:r w:rsidRPr="00E600F8">
              <w:rPr>
                <w:lang w:val="en-US"/>
              </w:rPr>
              <w:t>&lt;.001</w:t>
            </w:r>
          </w:p>
        </w:tc>
      </w:tr>
    </w:tbl>
    <w:p w14:paraId="2E106F0E" w14:textId="77777777" w:rsidR="006E5BBC" w:rsidRPr="00E600F8" w:rsidRDefault="006E5BBC" w:rsidP="006E5BBC">
      <w:pPr>
        <w:rPr>
          <w:lang w:val="en-US"/>
        </w:rPr>
      </w:pPr>
    </w:p>
    <w:p w14:paraId="47813178" w14:textId="77777777" w:rsidR="006E5BBC" w:rsidRPr="00E600F8" w:rsidRDefault="006E5BBC" w:rsidP="006E5BBC">
      <w:pPr>
        <w:spacing w:line="480" w:lineRule="auto"/>
        <w:rPr>
          <w:lang w:val="en-US"/>
        </w:rPr>
      </w:pPr>
    </w:p>
    <w:p w14:paraId="4253AA13" w14:textId="77777777" w:rsidR="006E5BBC" w:rsidRPr="00E600F8" w:rsidRDefault="006E5BBC" w:rsidP="006E5BBC">
      <w:pPr>
        <w:spacing w:line="480" w:lineRule="auto"/>
        <w:rPr>
          <w:lang w:val="en-US"/>
        </w:rPr>
      </w:pPr>
    </w:p>
    <w:p w14:paraId="1EB080CF" w14:textId="77777777" w:rsidR="006E5BBC" w:rsidRPr="00E600F8" w:rsidRDefault="006E5BBC" w:rsidP="006E5BBC">
      <w:pPr>
        <w:spacing w:line="480" w:lineRule="auto"/>
        <w:rPr>
          <w:lang w:val="en-US"/>
        </w:rPr>
      </w:pPr>
    </w:p>
    <w:p w14:paraId="744A39DF" w14:textId="77777777" w:rsidR="006E5BBC" w:rsidRPr="00E600F8" w:rsidRDefault="006E5BBC" w:rsidP="006E5BBC">
      <w:pPr>
        <w:spacing w:line="480" w:lineRule="auto"/>
        <w:rPr>
          <w:lang w:val="en-US"/>
        </w:rPr>
      </w:pPr>
    </w:p>
    <w:p w14:paraId="5E9B1473" w14:textId="77777777" w:rsidR="006E5BBC" w:rsidRPr="00E600F8" w:rsidRDefault="006E5BBC" w:rsidP="006E5BBC">
      <w:pPr>
        <w:spacing w:line="480" w:lineRule="auto"/>
        <w:rPr>
          <w:lang w:val="en-US"/>
        </w:rPr>
      </w:pPr>
    </w:p>
    <w:p w14:paraId="7F1C66D8" w14:textId="01DE6043" w:rsidR="0072142F" w:rsidRPr="00E600F8" w:rsidRDefault="0072142F" w:rsidP="00DD5C21">
      <w:pPr>
        <w:rPr>
          <w:lang w:val="en-US"/>
        </w:rPr>
      </w:pPr>
    </w:p>
    <w:sectPr w:rsidR="0072142F" w:rsidRPr="00E600F8" w:rsidSect="0072142F">
      <w:headerReference w:type="default" r:id="rId24"/>
      <w:pgSz w:w="11894" w:h="1681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7B85" w14:textId="77777777" w:rsidR="001C124A" w:rsidRDefault="001C124A" w:rsidP="009A0B7B">
      <w:r>
        <w:separator/>
      </w:r>
    </w:p>
  </w:endnote>
  <w:endnote w:type="continuationSeparator" w:id="0">
    <w:p w14:paraId="205F02DF" w14:textId="77777777" w:rsidR="001C124A" w:rsidRDefault="001C124A" w:rsidP="009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0983" w14:textId="77777777" w:rsidR="001C124A" w:rsidRDefault="001C124A" w:rsidP="009A0B7B">
      <w:r>
        <w:separator/>
      </w:r>
    </w:p>
  </w:footnote>
  <w:footnote w:type="continuationSeparator" w:id="0">
    <w:p w14:paraId="5F946F0E" w14:textId="77777777" w:rsidR="001C124A" w:rsidRDefault="001C124A" w:rsidP="009A0B7B">
      <w:r>
        <w:continuationSeparator/>
      </w:r>
    </w:p>
  </w:footnote>
  <w:footnote w:id="1">
    <w:p w14:paraId="39DF93EB" w14:textId="77777777" w:rsidR="003A0F1B" w:rsidRPr="00AF617A" w:rsidRDefault="003A0F1B" w:rsidP="00236F1F">
      <w:pPr>
        <w:spacing w:line="480" w:lineRule="auto"/>
      </w:pPr>
      <w:r>
        <w:rPr>
          <w:rStyle w:val="FootnoteReference"/>
        </w:rPr>
        <w:footnoteRef/>
      </w:r>
      <w:r>
        <w:rPr>
          <w:vertAlign w:val="superscript"/>
        </w:rPr>
        <w:t xml:space="preserve">, 2 </w:t>
      </w:r>
      <w:r>
        <w:t>Reliability analyses showed that Cronbach’s alpha could not be significantly increased through deleting items.</w:t>
      </w:r>
    </w:p>
  </w:footnote>
  <w:footnote w:id="2">
    <w:p w14:paraId="14F387B7" w14:textId="766FB62D" w:rsidR="003A0F1B" w:rsidRPr="00B42CB3" w:rsidRDefault="003A0F1B">
      <w:pPr>
        <w:pStyle w:val="FootnoteText"/>
        <w:rPr>
          <w:lang w:val="en-GB"/>
        </w:rPr>
      </w:pPr>
      <w:r>
        <w:rPr>
          <w:rStyle w:val="FootnoteReference"/>
        </w:rPr>
        <w:t>3</w:t>
      </w:r>
      <w:r>
        <w:t xml:space="preserve"> </w:t>
      </w:r>
      <w:r>
        <w:rPr>
          <w:rFonts w:ascii="Times New Roman" w:hAnsi="Times New Roman" w:cs="Times New Roman"/>
        </w:rPr>
        <w:t>27 participants (16.8%) did not calculate their scores manually due to misunderstanding the task requirements; hence there was no cheating score for those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1DAD" w14:textId="77777777" w:rsidR="003A0F1B" w:rsidRDefault="003A0F1B" w:rsidP="003827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B8768" w14:textId="77777777" w:rsidR="003A0F1B" w:rsidRDefault="003A0F1B" w:rsidP="00C643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0E30" w14:textId="77777777" w:rsidR="004B7DF9" w:rsidRPr="00735FE5" w:rsidRDefault="004B7DF9" w:rsidP="004B7DF9">
    <w:pPr>
      <w:autoSpaceDE w:val="0"/>
      <w:autoSpaceDN w:val="0"/>
      <w:adjustRightInd w:val="0"/>
      <w:spacing w:line="480" w:lineRule="auto"/>
      <w:jc w:val="center"/>
      <w:outlineLvl w:val="0"/>
      <w:rPr>
        <w:lang w:val="en-US"/>
      </w:rPr>
    </w:pPr>
    <w:r>
      <w:rPr>
        <w:lang w:val="en-US"/>
      </w:rPr>
      <w:t>Accepted Manuscript</w:t>
    </w:r>
    <w:r w:rsidRPr="00735FE5">
      <w:rPr>
        <w:lang w:val="en-US"/>
      </w:rPr>
      <w:t xml:space="preserve">: MALE ADOLESCENTS’ </w:t>
    </w:r>
    <w:r>
      <w:rPr>
        <w:lang w:val="en-US"/>
      </w:rPr>
      <w:t>DECISION-MAKING</w:t>
    </w:r>
    <w:r w:rsidRPr="00735FE5">
      <w:rPr>
        <w:lang w:val="en-US"/>
      </w:rPr>
      <w:t xml:space="preserve"> UNDER AMBIGUITY</w:t>
    </w:r>
  </w:p>
  <w:p w14:paraId="609245E7" w14:textId="77777777" w:rsidR="003A0F1B" w:rsidRDefault="003A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D096" w14:textId="77777777" w:rsidR="003A0F1B" w:rsidRPr="00F43EDF" w:rsidRDefault="003A0F1B" w:rsidP="00382741">
    <w:pPr>
      <w:pStyle w:val="Header"/>
      <w:framePr w:wrap="none" w:vAnchor="text" w:hAnchor="margin" w:xAlign="right" w:y="1"/>
      <w:rPr>
        <w:rStyle w:val="PageNumber"/>
        <w:rFonts w:ascii="Times New Roman" w:hAnsi="Times New Roman" w:cs="Times New Roman"/>
      </w:rPr>
    </w:pPr>
    <w:r w:rsidRPr="00F43EDF">
      <w:rPr>
        <w:rStyle w:val="PageNumber"/>
        <w:rFonts w:ascii="Times New Roman" w:hAnsi="Times New Roman" w:cs="Times New Roman"/>
      </w:rPr>
      <w:fldChar w:fldCharType="begin"/>
    </w:r>
    <w:r w:rsidRPr="00F43EDF">
      <w:rPr>
        <w:rStyle w:val="PageNumber"/>
        <w:rFonts w:ascii="Times New Roman" w:hAnsi="Times New Roman" w:cs="Times New Roman"/>
      </w:rPr>
      <w:instrText xml:space="preserve">PAGE  </w:instrText>
    </w:r>
    <w:r w:rsidRPr="00F43EDF">
      <w:rPr>
        <w:rStyle w:val="PageNumber"/>
        <w:rFonts w:ascii="Times New Roman" w:hAnsi="Times New Roman" w:cs="Times New Roman"/>
      </w:rPr>
      <w:fldChar w:fldCharType="separate"/>
    </w:r>
    <w:r>
      <w:rPr>
        <w:rStyle w:val="PageNumber"/>
        <w:rFonts w:ascii="Times New Roman" w:hAnsi="Times New Roman" w:cs="Times New Roman"/>
        <w:noProof/>
      </w:rPr>
      <w:t>30</w:t>
    </w:r>
    <w:r w:rsidRPr="00F43EDF">
      <w:rPr>
        <w:rStyle w:val="PageNumber"/>
        <w:rFonts w:ascii="Times New Roman" w:hAnsi="Times New Roman" w:cs="Times New Roman"/>
      </w:rPr>
      <w:fldChar w:fldCharType="end"/>
    </w:r>
  </w:p>
  <w:p w14:paraId="3E13D75E" w14:textId="77777777" w:rsidR="003A0F1B" w:rsidRPr="00F43EDF" w:rsidRDefault="003A0F1B" w:rsidP="00C64381">
    <w:pPr>
      <w:pStyle w:val="Header"/>
      <w:ind w:right="360"/>
      <w:jc w:val="right"/>
      <w:rPr>
        <w:rFonts w:ascii="Times New Roman" w:hAnsi="Times New Roman" w:cs="Times New Roman"/>
      </w:rPr>
    </w:pPr>
  </w:p>
  <w:p w14:paraId="1A3A18ED" w14:textId="77777777" w:rsidR="003A0F1B" w:rsidRPr="00F43EDF" w:rsidRDefault="003A0F1B">
    <w:pPr>
      <w:pStyle w:val="Head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69EA" w14:textId="3CAA209B" w:rsidR="003A0F1B" w:rsidRPr="00F43EDF" w:rsidRDefault="003A0F1B" w:rsidP="00382741">
    <w:pPr>
      <w:pStyle w:val="Header"/>
      <w:framePr w:wrap="none" w:vAnchor="text" w:hAnchor="margin" w:xAlign="right" w:y="1"/>
      <w:rPr>
        <w:rStyle w:val="PageNumber"/>
        <w:rFonts w:ascii="Times New Roman" w:hAnsi="Times New Roman" w:cs="Times New Roman"/>
      </w:rPr>
    </w:pPr>
    <w:r w:rsidRPr="00F43EDF">
      <w:rPr>
        <w:rStyle w:val="PageNumber"/>
        <w:rFonts w:ascii="Times New Roman" w:hAnsi="Times New Roman" w:cs="Times New Roman"/>
      </w:rPr>
      <w:fldChar w:fldCharType="begin"/>
    </w:r>
    <w:r w:rsidRPr="00F43EDF">
      <w:rPr>
        <w:rStyle w:val="PageNumber"/>
        <w:rFonts w:ascii="Times New Roman" w:hAnsi="Times New Roman" w:cs="Times New Roman"/>
      </w:rPr>
      <w:instrText xml:space="preserve">PAGE  </w:instrText>
    </w:r>
    <w:r w:rsidRPr="00F43EDF">
      <w:rPr>
        <w:rStyle w:val="PageNumber"/>
        <w:rFonts w:ascii="Times New Roman" w:hAnsi="Times New Roman" w:cs="Times New Roman"/>
      </w:rPr>
      <w:fldChar w:fldCharType="separate"/>
    </w:r>
    <w:r>
      <w:rPr>
        <w:rStyle w:val="PageNumber"/>
        <w:rFonts w:ascii="Times New Roman" w:hAnsi="Times New Roman" w:cs="Times New Roman"/>
        <w:noProof/>
      </w:rPr>
      <w:t>30</w:t>
    </w:r>
    <w:r w:rsidRPr="00F43EDF">
      <w:rPr>
        <w:rStyle w:val="PageNumber"/>
        <w:rFonts w:ascii="Times New Roman" w:hAnsi="Times New Roman" w:cs="Times New Roman"/>
      </w:rPr>
      <w:fldChar w:fldCharType="end"/>
    </w:r>
  </w:p>
  <w:p w14:paraId="3E2E8FD8" w14:textId="77777777" w:rsidR="003A0F1B" w:rsidRPr="00F43EDF" w:rsidRDefault="003A0F1B" w:rsidP="00C64381">
    <w:pPr>
      <w:pStyle w:val="Header"/>
      <w:ind w:right="360"/>
      <w:jc w:val="right"/>
      <w:rPr>
        <w:rFonts w:ascii="Times New Roman" w:hAnsi="Times New Roman" w:cs="Times New Roman"/>
      </w:rPr>
    </w:pPr>
  </w:p>
  <w:p w14:paraId="1B512C6F" w14:textId="77777777" w:rsidR="003A0F1B" w:rsidRPr="00F43EDF" w:rsidRDefault="003A0F1B">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A622" w14:textId="77777777" w:rsidR="003A0F1B" w:rsidRPr="008A11D0" w:rsidRDefault="003A0F1B">
    <w:pPr>
      <w:pStyle w:val="Header"/>
      <w:jc w:val="right"/>
      <w:rPr>
        <w:rFonts w:ascii="Times New Roman" w:hAnsi="Times New Roman" w:cs="Times New Roman"/>
      </w:rPr>
    </w:pPr>
  </w:p>
  <w:p w14:paraId="1F642B96" w14:textId="77777777" w:rsidR="003A0F1B" w:rsidRDefault="003A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BAC"/>
    <w:multiLevelType w:val="hybridMultilevel"/>
    <w:tmpl w:val="69ECDAD4"/>
    <w:lvl w:ilvl="0" w:tplc="F16A0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576080"/>
    <w:multiLevelType w:val="hybridMultilevel"/>
    <w:tmpl w:val="BFB05A14"/>
    <w:lvl w:ilvl="0" w:tplc="226E27B6">
      <w:start w:val="201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9CB141F"/>
    <w:multiLevelType w:val="hybridMultilevel"/>
    <w:tmpl w:val="A184BB60"/>
    <w:lvl w:ilvl="0" w:tplc="E91A4D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94F4A"/>
    <w:multiLevelType w:val="hybridMultilevel"/>
    <w:tmpl w:val="3324457E"/>
    <w:lvl w:ilvl="0" w:tplc="D214DE4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B825457"/>
    <w:multiLevelType w:val="hybridMultilevel"/>
    <w:tmpl w:val="D652C816"/>
    <w:lvl w:ilvl="0" w:tplc="1FE26B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FD45716"/>
    <w:multiLevelType w:val="hybridMultilevel"/>
    <w:tmpl w:val="0938135A"/>
    <w:lvl w:ilvl="0" w:tplc="0128A088">
      <w:start w:val="201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QFelwB0LThFL0aTaWp2vcTZHqrH4ZPuLbUwfaJSLNqqI37MnOi6gqVWL9KpU1YuQCO0rmsh4pXlG0aRiDLPGfA==" w:salt="XRp2jRsuss38uF0EBAw1mg=="/>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4F"/>
    <w:rsid w:val="00000982"/>
    <w:rsid w:val="0000155F"/>
    <w:rsid w:val="000017E5"/>
    <w:rsid w:val="00001811"/>
    <w:rsid w:val="000022A2"/>
    <w:rsid w:val="0000372B"/>
    <w:rsid w:val="0000413A"/>
    <w:rsid w:val="00004498"/>
    <w:rsid w:val="000047A0"/>
    <w:rsid w:val="00005B25"/>
    <w:rsid w:val="00005DBF"/>
    <w:rsid w:val="000060D1"/>
    <w:rsid w:val="000064D3"/>
    <w:rsid w:val="00006754"/>
    <w:rsid w:val="000075E8"/>
    <w:rsid w:val="00010969"/>
    <w:rsid w:val="00010B40"/>
    <w:rsid w:val="00011598"/>
    <w:rsid w:val="00011901"/>
    <w:rsid w:val="00011AE3"/>
    <w:rsid w:val="00012F54"/>
    <w:rsid w:val="000133FD"/>
    <w:rsid w:val="000146FD"/>
    <w:rsid w:val="00014F91"/>
    <w:rsid w:val="0001599F"/>
    <w:rsid w:val="00015C1F"/>
    <w:rsid w:val="00015D06"/>
    <w:rsid w:val="00015E85"/>
    <w:rsid w:val="000164A2"/>
    <w:rsid w:val="000166F6"/>
    <w:rsid w:val="0002111E"/>
    <w:rsid w:val="00021768"/>
    <w:rsid w:val="00021CB2"/>
    <w:rsid w:val="00022BA5"/>
    <w:rsid w:val="000230FC"/>
    <w:rsid w:val="00023B93"/>
    <w:rsid w:val="00023EB8"/>
    <w:rsid w:val="000244D4"/>
    <w:rsid w:val="00024CCB"/>
    <w:rsid w:val="00025416"/>
    <w:rsid w:val="00025E8F"/>
    <w:rsid w:val="0002638E"/>
    <w:rsid w:val="00026D89"/>
    <w:rsid w:val="00031045"/>
    <w:rsid w:val="00031147"/>
    <w:rsid w:val="000311AC"/>
    <w:rsid w:val="000311E0"/>
    <w:rsid w:val="00031B5C"/>
    <w:rsid w:val="000337D9"/>
    <w:rsid w:val="00033A3F"/>
    <w:rsid w:val="00034426"/>
    <w:rsid w:val="00034473"/>
    <w:rsid w:val="000345ED"/>
    <w:rsid w:val="0003473C"/>
    <w:rsid w:val="00034D73"/>
    <w:rsid w:val="00035BC4"/>
    <w:rsid w:val="0003722C"/>
    <w:rsid w:val="000409BD"/>
    <w:rsid w:val="00040ADE"/>
    <w:rsid w:val="000418C6"/>
    <w:rsid w:val="00042060"/>
    <w:rsid w:val="00042BD9"/>
    <w:rsid w:val="0004392D"/>
    <w:rsid w:val="00043F75"/>
    <w:rsid w:val="00043FBB"/>
    <w:rsid w:val="00044A19"/>
    <w:rsid w:val="00046732"/>
    <w:rsid w:val="00046A86"/>
    <w:rsid w:val="00046DE0"/>
    <w:rsid w:val="00047C88"/>
    <w:rsid w:val="000526AE"/>
    <w:rsid w:val="00052C2A"/>
    <w:rsid w:val="00053435"/>
    <w:rsid w:val="000535E2"/>
    <w:rsid w:val="00053EC0"/>
    <w:rsid w:val="00054F53"/>
    <w:rsid w:val="00055C08"/>
    <w:rsid w:val="000565F0"/>
    <w:rsid w:val="00056BA5"/>
    <w:rsid w:val="00056F2B"/>
    <w:rsid w:val="00057337"/>
    <w:rsid w:val="00061611"/>
    <w:rsid w:val="000620E7"/>
    <w:rsid w:val="000625A7"/>
    <w:rsid w:val="00062948"/>
    <w:rsid w:val="00063F19"/>
    <w:rsid w:val="00063FC7"/>
    <w:rsid w:val="00064D7E"/>
    <w:rsid w:val="00065375"/>
    <w:rsid w:val="00065B1A"/>
    <w:rsid w:val="00065C34"/>
    <w:rsid w:val="00066048"/>
    <w:rsid w:val="000660DF"/>
    <w:rsid w:val="0006710E"/>
    <w:rsid w:val="000671B4"/>
    <w:rsid w:val="00072129"/>
    <w:rsid w:val="0007281B"/>
    <w:rsid w:val="000732FF"/>
    <w:rsid w:val="0007391E"/>
    <w:rsid w:val="000751F9"/>
    <w:rsid w:val="00076C49"/>
    <w:rsid w:val="000775EF"/>
    <w:rsid w:val="00080339"/>
    <w:rsid w:val="000806C6"/>
    <w:rsid w:val="0008175B"/>
    <w:rsid w:val="0008381F"/>
    <w:rsid w:val="0008395A"/>
    <w:rsid w:val="00084034"/>
    <w:rsid w:val="0008466D"/>
    <w:rsid w:val="00084871"/>
    <w:rsid w:val="00084B6C"/>
    <w:rsid w:val="00084E3A"/>
    <w:rsid w:val="00084F5E"/>
    <w:rsid w:val="00085594"/>
    <w:rsid w:val="0008559E"/>
    <w:rsid w:val="000858AB"/>
    <w:rsid w:val="00085A26"/>
    <w:rsid w:val="00085DC6"/>
    <w:rsid w:val="00086D3D"/>
    <w:rsid w:val="00086FD2"/>
    <w:rsid w:val="000874BD"/>
    <w:rsid w:val="000879C5"/>
    <w:rsid w:val="00087B4B"/>
    <w:rsid w:val="00091707"/>
    <w:rsid w:val="000926A3"/>
    <w:rsid w:val="000928F6"/>
    <w:rsid w:val="00092A25"/>
    <w:rsid w:val="000934E1"/>
    <w:rsid w:val="00093D9E"/>
    <w:rsid w:val="00095AE9"/>
    <w:rsid w:val="00095D6B"/>
    <w:rsid w:val="000962E5"/>
    <w:rsid w:val="000974AD"/>
    <w:rsid w:val="000A16D3"/>
    <w:rsid w:val="000A281D"/>
    <w:rsid w:val="000A32CD"/>
    <w:rsid w:val="000A3BE1"/>
    <w:rsid w:val="000A50E7"/>
    <w:rsid w:val="000A5C76"/>
    <w:rsid w:val="000A6540"/>
    <w:rsid w:val="000A6831"/>
    <w:rsid w:val="000A7F40"/>
    <w:rsid w:val="000B17B0"/>
    <w:rsid w:val="000B2678"/>
    <w:rsid w:val="000B34B2"/>
    <w:rsid w:val="000B34E5"/>
    <w:rsid w:val="000B4976"/>
    <w:rsid w:val="000B5505"/>
    <w:rsid w:val="000B5A9F"/>
    <w:rsid w:val="000B6A52"/>
    <w:rsid w:val="000B6DCF"/>
    <w:rsid w:val="000B720F"/>
    <w:rsid w:val="000B7EE6"/>
    <w:rsid w:val="000C1673"/>
    <w:rsid w:val="000C1EE0"/>
    <w:rsid w:val="000C2759"/>
    <w:rsid w:val="000C277A"/>
    <w:rsid w:val="000C2D32"/>
    <w:rsid w:val="000C357A"/>
    <w:rsid w:val="000C4222"/>
    <w:rsid w:val="000C4DD5"/>
    <w:rsid w:val="000C511A"/>
    <w:rsid w:val="000C76BE"/>
    <w:rsid w:val="000C7A82"/>
    <w:rsid w:val="000C7E15"/>
    <w:rsid w:val="000D0CEE"/>
    <w:rsid w:val="000D1A4E"/>
    <w:rsid w:val="000D1BC3"/>
    <w:rsid w:val="000D22F7"/>
    <w:rsid w:val="000D33DD"/>
    <w:rsid w:val="000D3E22"/>
    <w:rsid w:val="000D3EBA"/>
    <w:rsid w:val="000D52A9"/>
    <w:rsid w:val="000D5AA1"/>
    <w:rsid w:val="000D643B"/>
    <w:rsid w:val="000D648E"/>
    <w:rsid w:val="000D67DE"/>
    <w:rsid w:val="000D72EC"/>
    <w:rsid w:val="000D7CEA"/>
    <w:rsid w:val="000E1146"/>
    <w:rsid w:val="000E1565"/>
    <w:rsid w:val="000E1A29"/>
    <w:rsid w:val="000E2D6C"/>
    <w:rsid w:val="000E2ED3"/>
    <w:rsid w:val="000E4777"/>
    <w:rsid w:val="000E6698"/>
    <w:rsid w:val="000E6768"/>
    <w:rsid w:val="000F02A7"/>
    <w:rsid w:val="000F037C"/>
    <w:rsid w:val="000F0C0B"/>
    <w:rsid w:val="000F0F76"/>
    <w:rsid w:val="000F1135"/>
    <w:rsid w:val="000F1140"/>
    <w:rsid w:val="000F186C"/>
    <w:rsid w:val="000F19C4"/>
    <w:rsid w:val="000F2718"/>
    <w:rsid w:val="000F2B0B"/>
    <w:rsid w:val="000F2F77"/>
    <w:rsid w:val="000F3320"/>
    <w:rsid w:val="000F3CF7"/>
    <w:rsid w:val="000F4017"/>
    <w:rsid w:val="000F4263"/>
    <w:rsid w:val="000F4D09"/>
    <w:rsid w:val="000F6274"/>
    <w:rsid w:val="000F74B8"/>
    <w:rsid w:val="0010106C"/>
    <w:rsid w:val="0010273E"/>
    <w:rsid w:val="001027A6"/>
    <w:rsid w:val="00102C68"/>
    <w:rsid w:val="001032BE"/>
    <w:rsid w:val="00104211"/>
    <w:rsid w:val="00104EB5"/>
    <w:rsid w:val="00105039"/>
    <w:rsid w:val="00105437"/>
    <w:rsid w:val="00105C62"/>
    <w:rsid w:val="00105FA5"/>
    <w:rsid w:val="001068F2"/>
    <w:rsid w:val="0010718A"/>
    <w:rsid w:val="00110F0F"/>
    <w:rsid w:val="00112277"/>
    <w:rsid w:val="0011251B"/>
    <w:rsid w:val="00113907"/>
    <w:rsid w:val="001149B9"/>
    <w:rsid w:val="00114D3B"/>
    <w:rsid w:val="00115106"/>
    <w:rsid w:val="001155BF"/>
    <w:rsid w:val="00116043"/>
    <w:rsid w:val="001167FD"/>
    <w:rsid w:val="001173FC"/>
    <w:rsid w:val="00120D67"/>
    <w:rsid w:val="00121427"/>
    <w:rsid w:val="001232B1"/>
    <w:rsid w:val="0012360C"/>
    <w:rsid w:val="00124B31"/>
    <w:rsid w:val="0012538F"/>
    <w:rsid w:val="00125D15"/>
    <w:rsid w:val="00126BED"/>
    <w:rsid w:val="00127775"/>
    <w:rsid w:val="001301B8"/>
    <w:rsid w:val="00131C59"/>
    <w:rsid w:val="0013253E"/>
    <w:rsid w:val="00132938"/>
    <w:rsid w:val="00132FAE"/>
    <w:rsid w:val="00133DEA"/>
    <w:rsid w:val="0013458E"/>
    <w:rsid w:val="0013485F"/>
    <w:rsid w:val="00134B76"/>
    <w:rsid w:val="00134F9E"/>
    <w:rsid w:val="00135C2C"/>
    <w:rsid w:val="00136BF0"/>
    <w:rsid w:val="00136CAE"/>
    <w:rsid w:val="001371E9"/>
    <w:rsid w:val="00142FAB"/>
    <w:rsid w:val="00143179"/>
    <w:rsid w:val="00143CE5"/>
    <w:rsid w:val="00143E79"/>
    <w:rsid w:val="00144AA3"/>
    <w:rsid w:val="00144F3A"/>
    <w:rsid w:val="0014726A"/>
    <w:rsid w:val="001501C7"/>
    <w:rsid w:val="0015082E"/>
    <w:rsid w:val="00151DAB"/>
    <w:rsid w:val="00151F7D"/>
    <w:rsid w:val="001520DE"/>
    <w:rsid w:val="00152753"/>
    <w:rsid w:val="00152E4D"/>
    <w:rsid w:val="00155DA4"/>
    <w:rsid w:val="00155F3F"/>
    <w:rsid w:val="0015663B"/>
    <w:rsid w:val="0015684E"/>
    <w:rsid w:val="00157875"/>
    <w:rsid w:val="00162785"/>
    <w:rsid w:val="0016383B"/>
    <w:rsid w:val="00164928"/>
    <w:rsid w:val="00164EF7"/>
    <w:rsid w:val="00164FEA"/>
    <w:rsid w:val="0016723C"/>
    <w:rsid w:val="00167A53"/>
    <w:rsid w:val="00167C41"/>
    <w:rsid w:val="00170EFF"/>
    <w:rsid w:val="0017187F"/>
    <w:rsid w:val="00172125"/>
    <w:rsid w:val="001737BB"/>
    <w:rsid w:val="001738CA"/>
    <w:rsid w:val="00173DB3"/>
    <w:rsid w:val="00173DBC"/>
    <w:rsid w:val="00175667"/>
    <w:rsid w:val="00175D9E"/>
    <w:rsid w:val="00176FDD"/>
    <w:rsid w:val="00177033"/>
    <w:rsid w:val="0018056D"/>
    <w:rsid w:val="00180B3C"/>
    <w:rsid w:val="00180C30"/>
    <w:rsid w:val="00180F12"/>
    <w:rsid w:val="00182A10"/>
    <w:rsid w:val="00182C1A"/>
    <w:rsid w:val="00182EC5"/>
    <w:rsid w:val="00183597"/>
    <w:rsid w:val="0018374F"/>
    <w:rsid w:val="00183ACF"/>
    <w:rsid w:val="001843D9"/>
    <w:rsid w:val="001848A7"/>
    <w:rsid w:val="001853A4"/>
    <w:rsid w:val="001859F8"/>
    <w:rsid w:val="00185B95"/>
    <w:rsid w:val="00185F33"/>
    <w:rsid w:val="00186C88"/>
    <w:rsid w:val="00186D37"/>
    <w:rsid w:val="00186E5B"/>
    <w:rsid w:val="00187E8A"/>
    <w:rsid w:val="00190453"/>
    <w:rsid w:val="00190F22"/>
    <w:rsid w:val="0019124A"/>
    <w:rsid w:val="00191FEA"/>
    <w:rsid w:val="00192AB8"/>
    <w:rsid w:val="00192F6E"/>
    <w:rsid w:val="0019441D"/>
    <w:rsid w:val="001957F9"/>
    <w:rsid w:val="00195E81"/>
    <w:rsid w:val="001967A7"/>
    <w:rsid w:val="00196D6D"/>
    <w:rsid w:val="00196EDF"/>
    <w:rsid w:val="001978FE"/>
    <w:rsid w:val="00197A77"/>
    <w:rsid w:val="001A063A"/>
    <w:rsid w:val="001A419D"/>
    <w:rsid w:val="001A5B36"/>
    <w:rsid w:val="001A6EDB"/>
    <w:rsid w:val="001A7434"/>
    <w:rsid w:val="001B0122"/>
    <w:rsid w:val="001B0573"/>
    <w:rsid w:val="001B15A7"/>
    <w:rsid w:val="001B2DE6"/>
    <w:rsid w:val="001B3ECC"/>
    <w:rsid w:val="001B4F25"/>
    <w:rsid w:val="001B5B0F"/>
    <w:rsid w:val="001B6B4F"/>
    <w:rsid w:val="001B7329"/>
    <w:rsid w:val="001B791D"/>
    <w:rsid w:val="001B7F98"/>
    <w:rsid w:val="001C106C"/>
    <w:rsid w:val="001C124A"/>
    <w:rsid w:val="001C1D6A"/>
    <w:rsid w:val="001C2C86"/>
    <w:rsid w:val="001C38C5"/>
    <w:rsid w:val="001C3A91"/>
    <w:rsid w:val="001C3AED"/>
    <w:rsid w:val="001C414C"/>
    <w:rsid w:val="001C4C94"/>
    <w:rsid w:val="001C4F50"/>
    <w:rsid w:val="001C514B"/>
    <w:rsid w:val="001C52BB"/>
    <w:rsid w:val="001C55FE"/>
    <w:rsid w:val="001C73BC"/>
    <w:rsid w:val="001C7B6A"/>
    <w:rsid w:val="001D0030"/>
    <w:rsid w:val="001D0340"/>
    <w:rsid w:val="001D0BE0"/>
    <w:rsid w:val="001D13C7"/>
    <w:rsid w:val="001D2060"/>
    <w:rsid w:val="001D30A9"/>
    <w:rsid w:val="001D343E"/>
    <w:rsid w:val="001D3EAF"/>
    <w:rsid w:val="001D4876"/>
    <w:rsid w:val="001D49A1"/>
    <w:rsid w:val="001D504E"/>
    <w:rsid w:val="001D59DC"/>
    <w:rsid w:val="001D5B03"/>
    <w:rsid w:val="001D60FF"/>
    <w:rsid w:val="001D613D"/>
    <w:rsid w:val="001D65F0"/>
    <w:rsid w:val="001D70AE"/>
    <w:rsid w:val="001E01C5"/>
    <w:rsid w:val="001E277E"/>
    <w:rsid w:val="001E2995"/>
    <w:rsid w:val="001E31BD"/>
    <w:rsid w:val="001E3ABF"/>
    <w:rsid w:val="001E55B0"/>
    <w:rsid w:val="001E5BA2"/>
    <w:rsid w:val="001E5F7F"/>
    <w:rsid w:val="001E6CC9"/>
    <w:rsid w:val="001E7369"/>
    <w:rsid w:val="001E7A5C"/>
    <w:rsid w:val="001E7ADE"/>
    <w:rsid w:val="001E7DA0"/>
    <w:rsid w:val="001F02F5"/>
    <w:rsid w:val="001F1C34"/>
    <w:rsid w:val="001F1EA4"/>
    <w:rsid w:val="001F2464"/>
    <w:rsid w:val="001F2611"/>
    <w:rsid w:val="001F29AC"/>
    <w:rsid w:val="001F2E9E"/>
    <w:rsid w:val="001F364B"/>
    <w:rsid w:val="001F3C90"/>
    <w:rsid w:val="001F58AA"/>
    <w:rsid w:val="001F5C02"/>
    <w:rsid w:val="001F6A26"/>
    <w:rsid w:val="001F7A1F"/>
    <w:rsid w:val="001F7DFF"/>
    <w:rsid w:val="00200956"/>
    <w:rsid w:val="00200B2D"/>
    <w:rsid w:val="00202900"/>
    <w:rsid w:val="00203929"/>
    <w:rsid w:val="0020535E"/>
    <w:rsid w:val="00205661"/>
    <w:rsid w:val="0020683E"/>
    <w:rsid w:val="00206DDC"/>
    <w:rsid w:val="00207369"/>
    <w:rsid w:val="00207575"/>
    <w:rsid w:val="002136EE"/>
    <w:rsid w:val="00213842"/>
    <w:rsid w:val="002143D7"/>
    <w:rsid w:val="00214EF4"/>
    <w:rsid w:val="00215CEE"/>
    <w:rsid w:val="002161B1"/>
    <w:rsid w:val="00216FCC"/>
    <w:rsid w:val="002175FB"/>
    <w:rsid w:val="00217737"/>
    <w:rsid w:val="0022000E"/>
    <w:rsid w:val="00220DC5"/>
    <w:rsid w:val="00220F9D"/>
    <w:rsid w:val="00222401"/>
    <w:rsid w:val="00222963"/>
    <w:rsid w:val="00222CE0"/>
    <w:rsid w:val="002247BC"/>
    <w:rsid w:val="00225361"/>
    <w:rsid w:val="00225579"/>
    <w:rsid w:val="00226B54"/>
    <w:rsid w:val="00226C34"/>
    <w:rsid w:val="00231C1D"/>
    <w:rsid w:val="002323F0"/>
    <w:rsid w:val="0023252D"/>
    <w:rsid w:val="002326FF"/>
    <w:rsid w:val="002335C4"/>
    <w:rsid w:val="00234224"/>
    <w:rsid w:val="002347D6"/>
    <w:rsid w:val="00234DE5"/>
    <w:rsid w:val="00236D9D"/>
    <w:rsid w:val="00236F1F"/>
    <w:rsid w:val="0023788C"/>
    <w:rsid w:val="00237FD1"/>
    <w:rsid w:val="002408CE"/>
    <w:rsid w:val="00240C62"/>
    <w:rsid w:val="00241BEE"/>
    <w:rsid w:val="00241D88"/>
    <w:rsid w:val="00242469"/>
    <w:rsid w:val="00242BCB"/>
    <w:rsid w:val="00243272"/>
    <w:rsid w:val="00243609"/>
    <w:rsid w:val="00243A3F"/>
    <w:rsid w:val="00245A5B"/>
    <w:rsid w:val="00245B38"/>
    <w:rsid w:val="002463B3"/>
    <w:rsid w:val="002465FF"/>
    <w:rsid w:val="0024786F"/>
    <w:rsid w:val="00247C59"/>
    <w:rsid w:val="00250894"/>
    <w:rsid w:val="00251BE8"/>
    <w:rsid w:val="002521E2"/>
    <w:rsid w:val="00252E04"/>
    <w:rsid w:val="00253340"/>
    <w:rsid w:val="00253C1A"/>
    <w:rsid w:val="00254CB7"/>
    <w:rsid w:val="00260515"/>
    <w:rsid w:val="00261083"/>
    <w:rsid w:val="002625FE"/>
    <w:rsid w:val="00262810"/>
    <w:rsid w:val="00262DEA"/>
    <w:rsid w:val="00263392"/>
    <w:rsid w:val="00264557"/>
    <w:rsid w:val="00264C04"/>
    <w:rsid w:val="002650B9"/>
    <w:rsid w:val="00266110"/>
    <w:rsid w:val="00267CF3"/>
    <w:rsid w:val="002712A7"/>
    <w:rsid w:val="002717D2"/>
    <w:rsid w:val="00271A74"/>
    <w:rsid w:val="00272CEA"/>
    <w:rsid w:val="0027303D"/>
    <w:rsid w:val="00275007"/>
    <w:rsid w:val="002758F1"/>
    <w:rsid w:val="00275E28"/>
    <w:rsid w:val="00275F3E"/>
    <w:rsid w:val="00276F39"/>
    <w:rsid w:val="00277C8A"/>
    <w:rsid w:val="0028040B"/>
    <w:rsid w:val="0028071B"/>
    <w:rsid w:val="002809BA"/>
    <w:rsid w:val="00281E9F"/>
    <w:rsid w:val="00281F48"/>
    <w:rsid w:val="00282431"/>
    <w:rsid w:val="002824AD"/>
    <w:rsid w:val="002831AB"/>
    <w:rsid w:val="00283919"/>
    <w:rsid w:val="00283D2C"/>
    <w:rsid w:val="00283E7E"/>
    <w:rsid w:val="002840FA"/>
    <w:rsid w:val="002847F5"/>
    <w:rsid w:val="00284F9A"/>
    <w:rsid w:val="00285E8B"/>
    <w:rsid w:val="0028620F"/>
    <w:rsid w:val="002869FB"/>
    <w:rsid w:val="0028736A"/>
    <w:rsid w:val="00287CD7"/>
    <w:rsid w:val="00290AEB"/>
    <w:rsid w:val="002910B5"/>
    <w:rsid w:val="00291513"/>
    <w:rsid w:val="00292059"/>
    <w:rsid w:val="002933E2"/>
    <w:rsid w:val="00293BA1"/>
    <w:rsid w:val="00294359"/>
    <w:rsid w:val="0029491C"/>
    <w:rsid w:val="00295FDC"/>
    <w:rsid w:val="0029657C"/>
    <w:rsid w:val="002967FF"/>
    <w:rsid w:val="00297021"/>
    <w:rsid w:val="0029743C"/>
    <w:rsid w:val="002979B6"/>
    <w:rsid w:val="00297D51"/>
    <w:rsid w:val="00297E2D"/>
    <w:rsid w:val="00297F65"/>
    <w:rsid w:val="002A027F"/>
    <w:rsid w:val="002A0330"/>
    <w:rsid w:val="002A10FD"/>
    <w:rsid w:val="002A3235"/>
    <w:rsid w:val="002A3BE5"/>
    <w:rsid w:val="002A3F92"/>
    <w:rsid w:val="002A4A17"/>
    <w:rsid w:val="002A5418"/>
    <w:rsid w:val="002A5C14"/>
    <w:rsid w:val="002A5CF7"/>
    <w:rsid w:val="002A5FD2"/>
    <w:rsid w:val="002A60FD"/>
    <w:rsid w:val="002A6D41"/>
    <w:rsid w:val="002A73B4"/>
    <w:rsid w:val="002A7816"/>
    <w:rsid w:val="002A7A84"/>
    <w:rsid w:val="002B095F"/>
    <w:rsid w:val="002B1812"/>
    <w:rsid w:val="002B1879"/>
    <w:rsid w:val="002B2006"/>
    <w:rsid w:val="002B21DA"/>
    <w:rsid w:val="002B31D8"/>
    <w:rsid w:val="002B3301"/>
    <w:rsid w:val="002B3B9A"/>
    <w:rsid w:val="002B45AC"/>
    <w:rsid w:val="002B617B"/>
    <w:rsid w:val="002B69A1"/>
    <w:rsid w:val="002B6F95"/>
    <w:rsid w:val="002B713F"/>
    <w:rsid w:val="002B799D"/>
    <w:rsid w:val="002B7CE9"/>
    <w:rsid w:val="002C0041"/>
    <w:rsid w:val="002C2430"/>
    <w:rsid w:val="002C2F80"/>
    <w:rsid w:val="002C3051"/>
    <w:rsid w:val="002C33CE"/>
    <w:rsid w:val="002C3721"/>
    <w:rsid w:val="002C3A96"/>
    <w:rsid w:val="002C3F02"/>
    <w:rsid w:val="002C4AEA"/>
    <w:rsid w:val="002C53C2"/>
    <w:rsid w:val="002D4B85"/>
    <w:rsid w:val="002D4FE9"/>
    <w:rsid w:val="002D56B5"/>
    <w:rsid w:val="002D6FFE"/>
    <w:rsid w:val="002D706B"/>
    <w:rsid w:val="002D715F"/>
    <w:rsid w:val="002E0607"/>
    <w:rsid w:val="002E06D4"/>
    <w:rsid w:val="002E0933"/>
    <w:rsid w:val="002E126A"/>
    <w:rsid w:val="002E1860"/>
    <w:rsid w:val="002E1977"/>
    <w:rsid w:val="002E1C72"/>
    <w:rsid w:val="002E256B"/>
    <w:rsid w:val="002E29E1"/>
    <w:rsid w:val="002E3B21"/>
    <w:rsid w:val="002E40F0"/>
    <w:rsid w:val="002E54FA"/>
    <w:rsid w:val="002E5892"/>
    <w:rsid w:val="002E59E1"/>
    <w:rsid w:val="002E5C66"/>
    <w:rsid w:val="002E6833"/>
    <w:rsid w:val="002F0523"/>
    <w:rsid w:val="002F141F"/>
    <w:rsid w:val="002F169F"/>
    <w:rsid w:val="002F321C"/>
    <w:rsid w:val="002F3B80"/>
    <w:rsid w:val="002F4792"/>
    <w:rsid w:val="002F6A47"/>
    <w:rsid w:val="002F74A0"/>
    <w:rsid w:val="003011D0"/>
    <w:rsid w:val="00302A6C"/>
    <w:rsid w:val="00302B27"/>
    <w:rsid w:val="00302E49"/>
    <w:rsid w:val="00304226"/>
    <w:rsid w:val="00304341"/>
    <w:rsid w:val="00304A87"/>
    <w:rsid w:val="00306275"/>
    <w:rsid w:val="0030639E"/>
    <w:rsid w:val="00307644"/>
    <w:rsid w:val="00307FB1"/>
    <w:rsid w:val="003102F4"/>
    <w:rsid w:val="003103A4"/>
    <w:rsid w:val="00310542"/>
    <w:rsid w:val="00310F67"/>
    <w:rsid w:val="00311057"/>
    <w:rsid w:val="0031237E"/>
    <w:rsid w:val="003126EF"/>
    <w:rsid w:val="0031298A"/>
    <w:rsid w:val="00312B9E"/>
    <w:rsid w:val="0031306A"/>
    <w:rsid w:val="00313107"/>
    <w:rsid w:val="00313D98"/>
    <w:rsid w:val="003146A7"/>
    <w:rsid w:val="00316F9D"/>
    <w:rsid w:val="003175DD"/>
    <w:rsid w:val="0032077A"/>
    <w:rsid w:val="00321239"/>
    <w:rsid w:val="00323223"/>
    <w:rsid w:val="003232BE"/>
    <w:rsid w:val="0032345B"/>
    <w:rsid w:val="003234F5"/>
    <w:rsid w:val="0032383B"/>
    <w:rsid w:val="00324482"/>
    <w:rsid w:val="003246BA"/>
    <w:rsid w:val="00324BD9"/>
    <w:rsid w:val="003251D2"/>
    <w:rsid w:val="003255F8"/>
    <w:rsid w:val="00325AFF"/>
    <w:rsid w:val="00326B6D"/>
    <w:rsid w:val="0032766D"/>
    <w:rsid w:val="003302DE"/>
    <w:rsid w:val="00330712"/>
    <w:rsid w:val="00330F04"/>
    <w:rsid w:val="003338B9"/>
    <w:rsid w:val="00333BAA"/>
    <w:rsid w:val="00336A82"/>
    <w:rsid w:val="00336D62"/>
    <w:rsid w:val="00337023"/>
    <w:rsid w:val="0034014F"/>
    <w:rsid w:val="00341E8C"/>
    <w:rsid w:val="00341FBB"/>
    <w:rsid w:val="00343FCE"/>
    <w:rsid w:val="00344D50"/>
    <w:rsid w:val="00346A95"/>
    <w:rsid w:val="00351349"/>
    <w:rsid w:val="0035134B"/>
    <w:rsid w:val="00352FDA"/>
    <w:rsid w:val="00353A50"/>
    <w:rsid w:val="00355D87"/>
    <w:rsid w:val="003564B1"/>
    <w:rsid w:val="00356E3B"/>
    <w:rsid w:val="0035720A"/>
    <w:rsid w:val="0035778F"/>
    <w:rsid w:val="00357B22"/>
    <w:rsid w:val="00360FCC"/>
    <w:rsid w:val="0036152A"/>
    <w:rsid w:val="00361F73"/>
    <w:rsid w:val="00361FBC"/>
    <w:rsid w:val="00362072"/>
    <w:rsid w:val="0036212F"/>
    <w:rsid w:val="003628F5"/>
    <w:rsid w:val="0036409F"/>
    <w:rsid w:val="00365E06"/>
    <w:rsid w:val="00366AAE"/>
    <w:rsid w:val="0036750F"/>
    <w:rsid w:val="0037180E"/>
    <w:rsid w:val="0037217C"/>
    <w:rsid w:val="0037274B"/>
    <w:rsid w:val="00372780"/>
    <w:rsid w:val="00372B21"/>
    <w:rsid w:val="00373282"/>
    <w:rsid w:val="00373592"/>
    <w:rsid w:val="00373D73"/>
    <w:rsid w:val="003756DC"/>
    <w:rsid w:val="003758E6"/>
    <w:rsid w:val="00375FFB"/>
    <w:rsid w:val="00377747"/>
    <w:rsid w:val="00377957"/>
    <w:rsid w:val="00377D0B"/>
    <w:rsid w:val="00377D62"/>
    <w:rsid w:val="00380524"/>
    <w:rsid w:val="00380F5A"/>
    <w:rsid w:val="00381FFC"/>
    <w:rsid w:val="003823EB"/>
    <w:rsid w:val="00382741"/>
    <w:rsid w:val="00382B88"/>
    <w:rsid w:val="00383368"/>
    <w:rsid w:val="003836F4"/>
    <w:rsid w:val="00383E03"/>
    <w:rsid w:val="00384626"/>
    <w:rsid w:val="003856A2"/>
    <w:rsid w:val="00385D34"/>
    <w:rsid w:val="003863D7"/>
    <w:rsid w:val="00386552"/>
    <w:rsid w:val="0038696F"/>
    <w:rsid w:val="003874A6"/>
    <w:rsid w:val="00387D59"/>
    <w:rsid w:val="00387D94"/>
    <w:rsid w:val="00390307"/>
    <w:rsid w:val="00390D1E"/>
    <w:rsid w:val="003914A1"/>
    <w:rsid w:val="0039180E"/>
    <w:rsid w:val="003922D8"/>
    <w:rsid w:val="00392DFB"/>
    <w:rsid w:val="003934D4"/>
    <w:rsid w:val="00394901"/>
    <w:rsid w:val="00394AA0"/>
    <w:rsid w:val="00394C12"/>
    <w:rsid w:val="0039503C"/>
    <w:rsid w:val="00395E04"/>
    <w:rsid w:val="003963DF"/>
    <w:rsid w:val="00396526"/>
    <w:rsid w:val="00396A6D"/>
    <w:rsid w:val="003978A3"/>
    <w:rsid w:val="00397967"/>
    <w:rsid w:val="003A00A5"/>
    <w:rsid w:val="003A04C3"/>
    <w:rsid w:val="003A0595"/>
    <w:rsid w:val="003A0F1B"/>
    <w:rsid w:val="003A1BEE"/>
    <w:rsid w:val="003A1C17"/>
    <w:rsid w:val="003A305F"/>
    <w:rsid w:val="003A31F6"/>
    <w:rsid w:val="003A5DE5"/>
    <w:rsid w:val="003A670B"/>
    <w:rsid w:val="003A6CC0"/>
    <w:rsid w:val="003A6F35"/>
    <w:rsid w:val="003A701C"/>
    <w:rsid w:val="003A7189"/>
    <w:rsid w:val="003A7227"/>
    <w:rsid w:val="003A7CA4"/>
    <w:rsid w:val="003B06CB"/>
    <w:rsid w:val="003B08D7"/>
    <w:rsid w:val="003B1B1F"/>
    <w:rsid w:val="003B2AD6"/>
    <w:rsid w:val="003B3247"/>
    <w:rsid w:val="003B34E9"/>
    <w:rsid w:val="003B3FBA"/>
    <w:rsid w:val="003B458E"/>
    <w:rsid w:val="003B4B69"/>
    <w:rsid w:val="003B50FE"/>
    <w:rsid w:val="003B60BC"/>
    <w:rsid w:val="003B6916"/>
    <w:rsid w:val="003B6974"/>
    <w:rsid w:val="003B7CA9"/>
    <w:rsid w:val="003C180C"/>
    <w:rsid w:val="003C24FB"/>
    <w:rsid w:val="003C2FD3"/>
    <w:rsid w:val="003C33D3"/>
    <w:rsid w:val="003C381E"/>
    <w:rsid w:val="003C3C04"/>
    <w:rsid w:val="003C4351"/>
    <w:rsid w:val="003C48F0"/>
    <w:rsid w:val="003C48FF"/>
    <w:rsid w:val="003C59E1"/>
    <w:rsid w:val="003C6591"/>
    <w:rsid w:val="003C79B4"/>
    <w:rsid w:val="003D0369"/>
    <w:rsid w:val="003D084E"/>
    <w:rsid w:val="003D1D9A"/>
    <w:rsid w:val="003D29C4"/>
    <w:rsid w:val="003D2E57"/>
    <w:rsid w:val="003D2EB2"/>
    <w:rsid w:val="003D32C9"/>
    <w:rsid w:val="003D3A96"/>
    <w:rsid w:val="003D43CB"/>
    <w:rsid w:val="003D4CE3"/>
    <w:rsid w:val="003D4EC6"/>
    <w:rsid w:val="003D5854"/>
    <w:rsid w:val="003D60B0"/>
    <w:rsid w:val="003E01E1"/>
    <w:rsid w:val="003E0F8A"/>
    <w:rsid w:val="003E154C"/>
    <w:rsid w:val="003E2E51"/>
    <w:rsid w:val="003E351E"/>
    <w:rsid w:val="003E3B7C"/>
    <w:rsid w:val="003E3FA9"/>
    <w:rsid w:val="003E4808"/>
    <w:rsid w:val="003E5131"/>
    <w:rsid w:val="003E517D"/>
    <w:rsid w:val="003E6CC7"/>
    <w:rsid w:val="003E715A"/>
    <w:rsid w:val="003F02E1"/>
    <w:rsid w:val="003F144F"/>
    <w:rsid w:val="003F14FB"/>
    <w:rsid w:val="003F2AAA"/>
    <w:rsid w:val="003F2BA4"/>
    <w:rsid w:val="003F32B4"/>
    <w:rsid w:val="003F3338"/>
    <w:rsid w:val="003F3628"/>
    <w:rsid w:val="003F4397"/>
    <w:rsid w:val="003F4B71"/>
    <w:rsid w:val="003F5020"/>
    <w:rsid w:val="003F6323"/>
    <w:rsid w:val="003F66C6"/>
    <w:rsid w:val="003F6DF3"/>
    <w:rsid w:val="003F7729"/>
    <w:rsid w:val="00400C54"/>
    <w:rsid w:val="00401905"/>
    <w:rsid w:val="00402944"/>
    <w:rsid w:val="004031D8"/>
    <w:rsid w:val="00403552"/>
    <w:rsid w:val="00403D80"/>
    <w:rsid w:val="0040400C"/>
    <w:rsid w:val="00404747"/>
    <w:rsid w:val="0040622B"/>
    <w:rsid w:val="00407173"/>
    <w:rsid w:val="00410319"/>
    <w:rsid w:val="00410991"/>
    <w:rsid w:val="0041285C"/>
    <w:rsid w:val="00412DE8"/>
    <w:rsid w:val="004131D9"/>
    <w:rsid w:val="00414B4F"/>
    <w:rsid w:val="00415629"/>
    <w:rsid w:val="0041611A"/>
    <w:rsid w:val="00417AA8"/>
    <w:rsid w:val="00417DEE"/>
    <w:rsid w:val="00420002"/>
    <w:rsid w:val="0042011F"/>
    <w:rsid w:val="004202D0"/>
    <w:rsid w:val="00420534"/>
    <w:rsid w:val="0042103F"/>
    <w:rsid w:val="004221D0"/>
    <w:rsid w:val="004226BC"/>
    <w:rsid w:val="00422AE8"/>
    <w:rsid w:val="00422D2F"/>
    <w:rsid w:val="004237DC"/>
    <w:rsid w:val="00423E1E"/>
    <w:rsid w:val="004241D6"/>
    <w:rsid w:val="004247E8"/>
    <w:rsid w:val="00424BE8"/>
    <w:rsid w:val="004252F8"/>
    <w:rsid w:val="00425AF1"/>
    <w:rsid w:val="0042626F"/>
    <w:rsid w:val="004268E6"/>
    <w:rsid w:val="00426947"/>
    <w:rsid w:val="00426A73"/>
    <w:rsid w:val="004276A6"/>
    <w:rsid w:val="00427E93"/>
    <w:rsid w:val="00430C25"/>
    <w:rsid w:val="00432AD5"/>
    <w:rsid w:val="00432E1C"/>
    <w:rsid w:val="004336DC"/>
    <w:rsid w:val="00434188"/>
    <w:rsid w:val="00434B79"/>
    <w:rsid w:val="004351C7"/>
    <w:rsid w:val="00435625"/>
    <w:rsid w:val="00435917"/>
    <w:rsid w:val="00435DAC"/>
    <w:rsid w:val="00436818"/>
    <w:rsid w:val="00440334"/>
    <w:rsid w:val="0044045C"/>
    <w:rsid w:val="0044156E"/>
    <w:rsid w:val="00441EF4"/>
    <w:rsid w:val="004422AF"/>
    <w:rsid w:val="00442F19"/>
    <w:rsid w:val="0044362F"/>
    <w:rsid w:val="00443BD9"/>
    <w:rsid w:val="00443D13"/>
    <w:rsid w:val="00444895"/>
    <w:rsid w:val="0044569B"/>
    <w:rsid w:val="00445B1C"/>
    <w:rsid w:val="004477DC"/>
    <w:rsid w:val="00451765"/>
    <w:rsid w:val="004517CE"/>
    <w:rsid w:val="00451B98"/>
    <w:rsid w:val="00451CD4"/>
    <w:rsid w:val="004529C3"/>
    <w:rsid w:val="004530A1"/>
    <w:rsid w:val="004549B6"/>
    <w:rsid w:val="004554F0"/>
    <w:rsid w:val="004555E2"/>
    <w:rsid w:val="0045652B"/>
    <w:rsid w:val="00456988"/>
    <w:rsid w:val="00456D3D"/>
    <w:rsid w:val="00457A66"/>
    <w:rsid w:val="00457E16"/>
    <w:rsid w:val="0046051C"/>
    <w:rsid w:val="00460A84"/>
    <w:rsid w:val="00460F68"/>
    <w:rsid w:val="004613A1"/>
    <w:rsid w:val="004614F4"/>
    <w:rsid w:val="004615B8"/>
    <w:rsid w:val="00461B1D"/>
    <w:rsid w:val="00461C69"/>
    <w:rsid w:val="00461F9D"/>
    <w:rsid w:val="004648E4"/>
    <w:rsid w:val="00464C30"/>
    <w:rsid w:val="00464C89"/>
    <w:rsid w:val="00465679"/>
    <w:rsid w:val="00466078"/>
    <w:rsid w:val="004662B8"/>
    <w:rsid w:val="00466931"/>
    <w:rsid w:val="0046717D"/>
    <w:rsid w:val="0046726E"/>
    <w:rsid w:val="00467866"/>
    <w:rsid w:val="0046793B"/>
    <w:rsid w:val="00470842"/>
    <w:rsid w:val="00470D4B"/>
    <w:rsid w:val="004725D0"/>
    <w:rsid w:val="00472878"/>
    <w:rsid w:val="00472A5E"/>
    <w:rsid w:val="004736F5"/>
    <w:rsid w:val="00474A87"/>
    <w:rsid w:val="004769B0"/>
    <w:rsid w:val="004770CB"/>
    <w:rsid w:val="0047796A"/>
    <w:rsid w:val="0048068C"/>
    <w:rsid w:val="00480CD4"/>
    <w:rsid w:val="00481B09"/>
    <w:rsid w:val="00482088"/>
    <w:rsid w:val="00483A1E"/>
    <w:rsid w:val="00483DB5"/>
    <w:rsid w:val="004841B8"/>
    <w:rsid w:val="004853ED"/>
    <w:rsid w:val="00485593"/>
    <w:rsid w:val="00485F08"/>
    <w:rsid w:val="004926F8"/>
    <w:rsid w:val="0049280D"/>
    <w:rsid w:val="00492B2A"/>
    <w:rsid w:val="00492D91"/>
    <w:rsid w:val="0049319D"/>
    <w:rsid w:val="004933C4"/>
    <w:rsid w:val="00493ACD"/>
    <w:rsid w:val="00494110"/>
    <w:rsid w:val="00494BB2"/>
    <w:rsid w:val="0049541C"/>
    <w:rsid w:val="00496AAB"/>
    <w:rsid w:val="00496B8B"/>
    <w:rsid w:val="00497A5E"/>
    <w:rsid w:val="004A289A"/>
    <w:rsid w:val="004A442B"/>
    <w:rsid w:val="004A4B28"/>
    <w:rsid w:val="004A5B8D"/>
    <w:rsid w:val="004A69A1"/>
    <w:rsid w:val="004A6FFF"/>
    <w:rsid w:val="004B134C"/>
    <w:rsid w:val="004B2F94"/>
    <w:rsid w:val="004B3043"/>
    <w:rsid w:val="004B3F49"/>
    <w:rsid w:val="004B417D"/>
    <w:rsid w:val="004B5691"/>
    <w:rsid w:val="004B5BD6"/>
    <w:rsid w:val="004B672D"/>
    <w:rsid w:val="004B7957"/>
    <w:rsid w:val="004B7DF9"/>
    <w:rsid w:val="004C22BB"/>
    <w:rsid w:val="004C2A1F"/>
    <w:rsid w:val="004C392A"/>
    <w:rsid w:val="004C3E2B"/>
    <w:rsid w:val="004C40D9"/>
    <w:rsid w:val="004C5278"/>
    <w:rsid w:val="004C5A8C"/>
    <w:rsid w:val="004C5CF2"/>
    <w:rsid w:val="004C687B"/>
    <w:rsid w:val="004C7831"/>
    <w:rsid w:val="004D0601"/>
    <w:rsid w:val="004D0D74"/>
    <w:rsid w:val="004D145B"/>
    <w:rsid w:val="004D1962"/>
    <w:rsid w:val="004D2191"/>
    <w:rsid w:val="004D521A"/>
    <w:rsid w:val="004D5472"/>
    <w:rsid w:val="004D5A41"/>
    <w:rsid w:val="004D636E"/>
    <w:rsid w:val="004D6B60"/>
    <w:rsid w:val="004D7B0A"/>
    <w:rsid w:val="004D7E14"/>
    <w:rsid w:val="004D7E58"/>
    <w:rsid w:val="004E00B8"/>
    <w:rsid w:val="004E1927"/>
    <w:rsid w:val="004E1DF6"/>
    <w:rsid w:val="004E24E3"/>
    <w:rsid w:val="004E27EF"/>
    <w:rsid w:val="004E31F8"/>
    <w:rsid w:val="004E32DD"/>
    <w:rsid w:val="004E32FB"/>
    <w:rsid w:val="004E36DD"/>
    <w:rsid w:val="004E37FC"/>
    <w:rsid w:val="004E49D4"/>
    <w:rsid w:val="004E57D5"/>
    <w:rsid w:val="004E5EE1"/>
    <w:rsid w:val="004E61D7"/>
    <w:rsid w:val="004E6454"/>
    <w:rsid w:val="004E6FE4"/>
    <w:rsid w:val="004E73B3"/>
    <w:rsid w:val="004F148A"/>
    <w:rsid w:val="004F161A"/>
    <w:rsid w:val="004F1FEF"/>
    <w:rsid w:val="004F215D"/>
    <w:rsid w:val="004F27E9"/>
    <w:rsid w:val="004F29AF"/>
    <w:rsid w:val="004F3F47"/>
    <w:rsid w:val="004F7685"/>
    <w:rsid w:val="004F7ACB"/>
    <w:rsid w:val="00500F1F"/>
    <w:rsid w:val="005010A7"/>
    <w:rsid w:val="005035FD"/>
    <w:rsid w:val="00503738"/>
    <w:rsid w:val="005049C9"/>
    <w:rsid w:val="00504ED8"/>
    <w:rsid w:val="005057D8"/>
    <w:rsid w:val="00505A07"/>
    <w:rsid w:val="0050779F"/>
    <w:rsid w:val="00510406"/>
    <w:rsid w:val="00510525"/>
    <w:rsid w:val="005109C7"/>
    <w:rsid w:val="00510B45"/>
    <w:rsid w:val="005121F7"/>
    <w:rsid w:val="0051225D"/>
    <w:rsid w:val="00513C79"/>
    <w:rsid w:val="00517632"/>
    <w:rsid w:val="00517DAB"/>
    <w:rsid w:val="0052086B"/>
    <w:rsid w:val="005222EC"/>
    <w:rsid w:val="005223EB"/>
    <w:rsid w:val="0052262C"/>
    <w:rsid w:val="00522797"/>
    <w:rsid w:val="0052293B"/>
    <w:rsid w:val="00522B99"/>
    <w:rsid w:val="00523EF5"/>
    <w:rsid w:val="00525A80"/>
    <w:rsid w:val="0052656D"/>
    <w:rsid w:val="00526F34"/>
    <w:rsid w:val="005274DC"/>
    <w:rsid w:val="00530193"/>
    <w:rsid w:val="005306AC"/>
    <w:rsid w:val="00530743"/>
    <w:rsid w:val="00530B36"/>
    <w:rsid w:val="00530F6E"/>
    <w:rsid w:val="00531EF3"/>
    <w:rsid w:val="00531F2F"/>
    <w:rsid w:val="005329E7"/>
    <w:rsid w:val="005338BA"/>
    <w:rsid w:val="00533D51"/>
    <w:rsid w:val="00534505"/>
    <w:rsid w:val="005347F4"/>
    <w:rsid w:val="00534FA5"/>
    <w:rsid w:val="00535101"/>
    <w:rsid w:val="005358DF"/>
    <w:rsid w:val="0053682A"/>
    <w:rsid w:val="00537194"/>
    <w:rsid w:val="0053771B"/>
    <w:rsid w:val="00537F02"/>
    <w:rsid w:val="00541371"/>
    <w:rsid w:val="005416A3"/>
    <w:rsid w:val="00543DF5"/>
    <w:rsid w:val="00543F6A"/>
    <w:rsid w:val="0054468A"/>
    <w:rsid w:val="00544A57"/>
    <w:rsid w:val="00544E65"/>
    <w:rsid w:val="00545D3B"/>
    <w:rsid w:val="00547877"/>
    <w:rsid w:val="00550122"/>
    <w:rsid w:val="00551313"/>
    <w:rsid w:val="0055241A"/>
    <w:rsid w:val="00552594"/>
    <w:rsid w:val="0055268F"/>
    <w:rsid w:val="00553DD5"/>
    <w:rsid w:val="0055421B"/>
    <w:rsid w:val="00555054"/>
    <w:rsid w:val="00555655"/>
    <w:rsid w:val="005556E1"/>
    <w:rsid w:val="00555ECF"/>
    <w:rsid w:val="00556114"/>
    <w:rsid w:val="00556138"/>
    <w:rsid w:val="0055759D"/>
    <w:rsid w:val="00557B52"/>
    <w:rsid w:val="00561B2F"/>
    <w:rsid w:val="00561C2E"/>
    <w:rsid w:val="00561EB1"/>
    <w:rsid w:val="00563557"/>
    <w:rsid w:val="0056437A"/>
    <w:rsid w:val="00564703"/>
    <w:rsid w:val="00564C65"/>
    <w:rsid w:val="00564C86"/>
    <w:rsid w:val="0056529A"/>
    <w:rsid w:val="00565622"/>
    <w:rsid w:val="00565883"/>
    <w:rsid w:val="00565C7D"/>
    <w:rsid w:val="00566AAD"/>
    <w:rsid w:val="005670FE"/>
    <w:rsid w:val="00567968"/>
    <w:rsid w:val="0057153B"/>
    <w:rsid w:val="00572EE3"/>
    <w:rsid w:val="00573478"/>
    <w:rsid w:val="00573539"/>
    <w:rsid w:val="00574F2B"/>
    <w:rsid w:val="005750E9"/>
    <w:rsid w:val="00575465"/>
    <w:rsid w:val="0057575D"/>
    <w:rsid w:val="00575E81"/>
    <w:rsid w:val="0057736B"/>
    <w:rsid w:val="0057755F"/>
    <w:rsid w:val="00577E63"/>
    <w:rsid w:val="00580736"/>
    <w:rsid w:val="005809F6"/>
    <w:rsid w:val="00580A4A"/>
    <w:rsid w:val="005812BF"/>
    <w:rsid w:val="0058319F"/>
    <w:rsid w:val="00583C88"/>
    <w:rsid w:val="005845DA"/>
    <w:rsid w:val="00584FC4"/>
    <w:rsid w:val="0058515C"/>
    <w:rsid w:val="00585D0D"/>
    <w:rsid w:val="00585FC8"/>
    <w:rsid w:val="00587840"/>
    <w:rsid w:val="005902D7"/>
    <w:rsid w:val="00590E91"/>
    <w:rsid w:val="00591C3D"/>
    <w:rsid w:val="005922F2"/>
    <w:rsid w:val="005936CF"/>
    <w:rsid w:val="00593BD2"/>
    <w:rsid w:val="0059417C"/>
    <w:rsid w:val="00594EE3"/>
    <w:rsid w:val="00596A65"/>
    <w:rsid w:val="00596D36"/>
    <w:rsid w:val="00597284"/>
    <w:rsid w:val="0059784A"/>
    <w:rsid w:val="0059799C"/>
    <w:rsid w:val="005A0495"/>
    <w:rsid w:val="005A204B"/>
    <w:rsid w:val="005A2134"/>
    <w:rsid w:val="005A2C6F"/>
    <w:rsid w:val="005A2E59"/>
    <w:rsid w:val="005A2FA3"/>
    <w:rsid w:val="005A3994"/>
    <w:rsid w:val="005A3C42"/>
    <w:rsid w:val="005A3D11"/>
    <w:rsid w:val="005A4940"/>
    <w:rsid w:val="005B04A6"/>
    <w:rsid w:val="005B085C"/>
    <w:rsid w:val="005B1112"/>
    <w:rsid w:val="005B1C72"/>
    <w:rsid w:val="005B1FD3"/>
    <w:rsid w:val="005B2DD1"/>
    <w:rsid w:val="005B2E79"/>
    <w:rsid w:val="005B3960"/>
    <w:rsid w:val="005B3A52"/>
    <w:rsid w:val="005B3A7E"/>
    <w:rsid w:val="005B3C68"/>
    <w:rsid w:val="005B48E7"/>
    <w:rsid w:val="005B6CD4"/>
    <w:rsid w:val="005B72F7"/>
    <w:rsid w:val="005B7884"/>
    <w:rsid w:val="005B7996"/>
    <w:rsid w:val="005B7D69"/>
    <w:rsid w:val="005C095B"/>
    <w:rsid w:val="005C0B1D"/>
    <w:rsid w:val="005C0D6B"/>
    <w:rsid w:val="005C35C9"/>
    <w:rsid w:val="005C3D9F"/>
    <w:rsid w:val="005C4065"/>
    <w:rsid w:val="005C4A79"/>
    <w:rsid w:val="005C4DC3"/>
    <w:rsid w:val="005C5138"/>
    <w:rsid w:val="005C5935"/>
    <w:rsid w:val="005C5B6F"/>
    <w:rsid w:val="005C69CE"/>
    <w:rsid w:val="005C7D37"/>
    <w:rsid w:val="005C7E9D"/>
    <w:rsid w:val="005D032D"/>
    <w:rsid w:val="005D04DD"/>
    <w:rsid w:val="005D0E5E"/>
    <w:rsid w:val="005D115E"/>
    <w:rsid w:val="005D151F"/>
    <w:rsid w:val="005D33C4"/>
    <w:rsid w:val="005D41B1"/>
    <w:rsid w:val="005D4958"/>
    <w:rsid w:val="005D53DF"/>
    <w:rsid w:val="005D59BB"/>
    <w:rsid w:val="005D5B04"/>
    <w:rsid w:val="005D7591"/>
    <w:rsid w:val="005D7F53"/>
    <w:rsid w:val="005E029A"/>
    <w:rsid w:val="005E068F"/>
    <w:rsid w:val="005E080C"/>
    <w:rsid w:val="005E10F2"/>
    <w:rsid w:val="005E28DB"/>
    <w:rsid w:val="005E3E86"/>
    <w:rsid w:val="005E4D98"/>
    <w:rsid w:val="005E54AC"/>
    <w:rsid w:val="005E59E8"/>
    <w:rsid w:val="005E5AE4"/>
    <w:rsid w:val="005E76A9"/>
    <w:rsid w:val="005F01BD"/>
    <w:rsid w:val="005F206F"/>
    <w:rsid w:val="005F231D"/>
    <w:rsid w:val="005F32E3"/>
    <w:rsid w:val="005F449A"/>
    <w:rsid w:val="005F4B33"/>
    <w:rsid w:val="005F4CAF"/>
    <w:rsid w:val="005F4E30"/>
    <w:rsid w:val="005F5730"/>
    <w:rsid w:val="005F623F"/>
    <w:rsid w:val="005F62AC"/>
    <w:rsid w:val="005F653D"/>
    <w:rsid w:val="005F68AB"/>
    <w:rsid w:val="0060005D"/>
    <w:rsid w:val="006001AB"/>
    <w:rsid w:val="00601107"/>
    <w:rsid w:val="006022FA"/>
    <w:rsid w:val="006023E6"/>
    <w:rsid w:val="00603598"/>
    <w:rsid w:val="00604F31"/>
    <w:rsid w:val="00607115"/>
    <w:rsid w:val="00610307"/>
    <w:rsid w:val="006109A3"/>
    <w:rsid w:val="0061173B"/>
    <w:rsid w:val="00611750"/>
    <w:rsid w:val="00611B3B"/>
    <w:rsid w:val="00611BDB"/>
    <w:rsid w:val="00612849"/>
    <w:rsid w:val="00612AA8"/>
    <w:rsid w:val="00612AB3"/>
    <w:rsid w:val="00612CF1"/>
    <w:rsid w:val="006131E3"/>
    <w:rsid w:val="006150BA"/>
    <w:rsid w:val="00615228"/>
    <w:rsid w:val="00615BBA"/>
    <w:rsid w:val="0062070E"/>
    <w:rsid w:val="00620958"/>
    <w:rsid w:val="00620E4C"/>
    <w:rsid w:val="0062215D"/>
    <w:rsid w:val="0062263F"/>
    <w:rsid w:val="00624D2C"/>
    <w:rsid w:val="00626661"/>
    <w:rsid w:val="006266C0"/>
    <w:rsid w:val="006266D2"/>
    <w:rsid w:val="00626B9E"/>
    <w:rsid w:val="00626DFB"/>
    <w:rsid w:val="006270B0"/>
    <w:rsid w:val="00633025"/>
    <w:rsid w:val="0063369B"/>
    <w:rsid w:val="00633CF6"/>
    <w:rsid w:val="00634CD2"/>
    <w:rsid w:val="00634DAD"/>
    <w:rsid w:val="00635112"/>
    <w:rsid w:val="006362C0"/>
    <w:rsid w:val="006364D5"/>
    <w:rsid w:val="006365BC"/>
    <w:rsid w:val="006368A1"/>
    <w:rsid w:val="006372CE"/>
    <w:rsid w:val="00637326"/>
    <w:rsid w:val="0064097D"/>
    <w:rsid w:val="00640B18"/>
    <w:rsid w:val="00640C1F"/>
    <w:rsid w:val="00640F24"/>
    <w:rsid w:val="0064251E"/>
    <w:rsid w:val="00642FC4"/>
    <w:rsid w:val="006440B0"/>
    <w:rsid w:val="00647189"/>
    <w:rsid w:val="00647960"/>
    <w:rsid w:val="0065020F"/>
    <w:rsid w:val="00650DEC"/>
    <w:rsid w:val="00650FA5"/>
    <w:rsid w:val="00651E37"/>
    <w:rsid w:val="00652FCC"/>
    <w:rsid w:val="0065369F"/>
    <w:rsid w:val="006544E3"/>
    <w:rsid w:val="006545A9"/>
    <w:rsid w:val="00655890"/>
    <w:rsid w:val="0065601B"/>
    <w:rsid w:val="006570D1"/>
    <w:rsid w:val="006571B6"/>
    <w:rsid w:val="00657E04"/>
    <w:rsid w:val="00657E96"/>
    <w:rsid w:val="00660846"/>
    <w:rsid w:val="006609F2"/>
    <w:rsid w:val="00661D75"/>
    <w:rsid w:val="00662CA4"/>
    <w:rsid w:val="0066617C"/>
    <w:rsid w:val="00666961"/>
    <w:rsid w:val="0066718D"/>
    <w:rsid w:val="00670C8D"/>
    <w:rsid w:val="00670D53"/>
    <w:rsid w:val="00670E25"/>
    <w:rsid w:val="0067151E"/>
    <w:rsid w:val="00671891"/>
    <w:rsid w:val="00671960"/>
    <w:rsid w:val="006719D8"/>
    <w:rsid w:val="00672201"/>
    <w:rsid w:val="00672527"/>
    <w:rsid w:val="00672F49"/>
    <w:rsid w:val="00675608"/>
    <w:rsid w:val="00675A10"/>
    <w:rsid w:val="00676A4B"/>
    <w:rsid w:val="00676AFB"/>
    <w:rsid w:val="006803EB"/>
    <w:rsid w:val="00680913"/>
    <w:rsid w:val="00680CE7"/>
    <w:rsid w:val="00681CDE"/>
    <w:rsid w:val="0068247F"/>
    <w:rsid w:val="006826FA"/>
    <w:rsid w:val="00682BD7"/>
    <w:rsid w:val="00682D3E"/>
    <w:rsid w:val="0068537A"/>
    <w:rsid w:val="00685410"/>
    <w:rsid w:val="00685EF0"/>
    <w:rsid w:val="0068626E"/>
    <w:rsid w:val="006866A3"/>
    <w:rsid w:val="00686E29"/>
    <w:rsid w:val="00687166"/>
    <w:rsid w:val="00687497"/>
    <w:rsid w:val="006874FC"/>
    <w:rsid w:val="00687B6B"/>
    <w:rsid w:val="00687D29"/>
    <w:rsid w:val="00690F5C"/>
    <w:rsid w:val="006911E6"/>
    <w:rsid w:val="0069267D"/>
    <w:rsid w:val="00692BB9"/>
    <w:rsid w:val="00693737"/>
    <w:rsid w:val="006942ED"/>
    <w:rsid w:val="00694F5D"/>
    <w:rsid w:val="00696D99"/>
    <w:rsid w:val="006972A1"/>
    <w:rsid w:val="006A007F"/>
    <w:rsid w:val="006A04E1"/>
    <w:rsid w:val="006A0FC8"/>
    <w:rsid w:val="006A10CF"/>
    <w:rsid w:val="006A15CA"/>
    <w:rsid w:val="006A1911"/>
    <w:rsid w:val="006A24D4"/>
    <w:rsid w:val="006A347F"/>
    <w:rsid w:val="006A39FC"/>
    <w:rsid w:val="006A4643"/>
    <w:rsid w:val="006A4684"/>
    <w:rsid w:val="006A58DB"/>
    <w:rsid w:val="006A61FE"/>
    <w:rsid w:val="006A7465"/>
    <w:rsid w:val="006A7E60"/>
    <w:rsid w:val="006B0281"/>
    <w:rsid w:val="006B0944"/>
    <w:rsid w:val="006B0D95"/>
    <w:rsid w:val="006B279E"/>
    <w:rsid w:val="006B4018"/>
    <w:rsid w:val="006B4AFE"/>
    <w:rsid w:val="006B4CF9"/>
    <w:rsid w:val="006B510B"/>
    <w:rsid w:val="006B5F9C"/>
    <w:rsid w:val="006B6E1F"/>
    <w:rsid w:val="006B7C2A"/>
    <w:rsid w:val="006C03DF"/>
    <w:rsid w:val="006C2C7C"/>
    <w:rsid w:val="006C301C"/>
    <w:rsid w:val="006C3035"/>
    <w:rsid w:val="006C326D"/>
    <w:rsid w:val="006C3E70"/>
    <w:rsid w:val="006C4931"/>
    <w:rsid w:val="006C614E"/>
    <w:rsid w:val="006C645F"/>
    <w:rsid w:val="006C6669"/>
    <w:rsid w:val="006D0FF7"/>
    <w:rsid w:val="006D15C9"/>
    <w:rsid w:val="006D1B80"/>
    <w:rsid w:val="006D1F53"/>
    <w:rsid w:val="006D2A89"/>
    <w:rsid w:val="006D3A76"/>
    <w:rsid w:val="006D537C"/>
    <w:rsid w:val="006D636C"/>
    <w:rsid w:val="006D7DF6"/>
    <w:rsid w:val="006E2B5D"/>
    <w:rsid w:val="006E2DE3"/>
    <w:rsid w:val="006E350F"/>
    <w:rsid w:val="006E373F"/>
    <w:rsid w:val="006E51F4"/>
    <w:rsid w:val="006E5920"/>
    <w:rsid w:val="006E5BBC"/>
    <w:rsid w:val="006E679F"/>
    <w:rsid w:val="006E75C2"/>
    <w:rsid w:val="006E771E"/>
    <w:rsid w:val="006F070F"/>
    <w:rsid w:val="006F0872"/>
    <w:rsid w:val="006F0C5D"/>
    <w:rsid w:val="006F0F36"/>
    <w:rsid w:val="006F1110"/>
    <w:rsid w:val="006F2242"/>
    <w:rsid w:val="006F249C"/>
    <w:rsid w:val="006F27E9"/>
    <w:rsid w:val="006F701C"/>
    <w:rsid w:val="00700989"/>
    <w:rsid w:val="00701071"/>
    <w:rsid w:val="007020E9"/>
    <w:rsid w:val="00702983"/>
    <w:rsid w:val="007032E9"/>
    <w:rsid w:val="00703C01"/>
    <w:rsid w:val="00704469"/>
    <w:rsid w:val="007067FB"/>
    <w:rsid w:val="0071045B"/>
    <w:rsid w:val="007107E9"/>
    <w:rsid w:val="00710A25"/>
    <w:rsid w:val="00711A4C"/>
    <w:rsid w:val="00711AF2"/>
    <w:rsid w:val="00711B92"/>
    <w:rsid w:val="00711DEF"/>
    <w:rsid w:val="00713796"/>
    <w:rsid w:val="00713F18"/>
    <w:rsid w:val="007143FA"/>
    <w:rsid w:val="007149C2"/>
    <w:rsid w:val="00714FE2"/>
    <w:rsid w:val="00715101"/>
    <w:rsid w:val="00715554"/>
    <w:rsid w:val="007160BB"/>
    <w:rsid w:val="0071629E"/>
    <w:rsid w:val="00717558"/>
    <w:rsid w:val="00717EF8"/>
    <w:rsid w:val="00717F94"/>
    <w:rsid w:val="0072017C"/>
    <w:rsid w:val="00720196"/>
    <w:rsid w:val="0072104D"/>
    <w:rsid w:val="0072118F"/>
    <w:rsid w:val="0072142F"/>
    <w:rsid w:val="00722ADE"/>
    <w:rsid w:val="007231E3"/>
    <w:rsid w:val="00723214"/>
    <w:rsid w:val="00723F72"/>
    <w:rsid w:val="007241AE"/>
    <w:rsid w:val="0072532C"/>
    <w:rsid w:val="00725726"/>
    <w:rsid w:val="007257EF"/>
    <w:rsid w:val="00733E9A"/>
    <w:rsid w:val="007347E8"/>
    <w:rsid w:val="00734CF4"/>
    <w:rsid w:val="007359A8"/>
    <w:rsid w:val="00735D86"/>
    <w:rsid w:val="00735FE5"/>
    <w:rsid w:val="0073621A"/>
    <w:rsid w:val="00736BF1"/>
    <w:rsid w:val="0074098D"/>
    <w:rsid w:val="00740B81"/>
    <w:rsid w:val="00740D44"/>
    <w:rsid w:val="0074281B"/>
    <w:rsid w:val="00742920"/>
    <w:rsid w:val="007434C1"/>
    <w:rsid w:val="00743C5D"/>
    <w:rsid w:val="00744572"/>
    <w:rsid w:val="007447E3"/>
    <w:rsid w:val="00744E0C"/>
    <w:rsid w:val="00746362"/>
    <w:rsid w:val="00747339"/>
    <w:rsid w:val="0074749F"/>
    <w:rsid w:val="0074764C"/>
    <w:rsid w:val="00750C55"/>
    <w:rsid w:val="00751559"/>
    <w:rsid w:val="00751F4E"/>
    <w:rsid w:val="007524C9"/>
    <w:rsid w:val="0075342D"/>
    <w:rsid w:val="00753998"/>
    <w:rsid w:val="00753D02"/>
    <w:rsid w:val="00754CC9"/>
    <w:rsid w:val="00755BBA"/>
    <w:rsid w:val="00755C25"/>
    <w:rsid w:val="00756692"/>
    <w:rsid w:val="00756DB4"/>
    <w:rsid w:val="00756FD1"/>
    <w:rsid w:val="0076127E"/>
    <w:rsid w:val="0076288B"/>
    <w:rsid w:val="00763175"/>
    <w:rsid w:val="00763282"/>
    <w:rsid w:val="007632D0"/>
    <w:rsid w:val="00763751"/>
    <w:rsid w:val="0076440F"/>
    <w:rsid w:val="00765126"/>
    <w:rsid w:val="007654E3"/>
    <w:rsid w:val="00765605"/>
    <w:rsid w:val="007657DF"/>
    <w:rsid w:val="007668C0"/>
    <w:rsid w:val="007708BF"/>
    <w:rsid w:val="00770F16"/>
    <w:rsid w:val="0077190A"/>
    <w:rsid w:val="00771B89"/>
    <w:rsid w:val="00774DED"/>
    <w:rsid w:val="0077544C"/>
    <w:rsid w:val="00775BE9"/>
    <w:rsid w:val="0077602E"/>
    <w:rsid w:val="00776C7D"/>
    <w:rsid w:val="00776C9C"/>
    <w:rsid w:val="00777146"/>
    <w:rsid w:val="007801AC"/>
    <w:rsid w:val="00780781"/>
    <w:rsid w:val="00780A76"/>
    <w:rsid w:val="00780EF1"/>
    <w:rsid w:val="00780F16"/>
    <w:rsid w:val="00781256"/>
    <w:rsid w:val="00782BC7"/>
    <w:rsid w:val="00783923"/>
    <w:rsid w:val="007849BC"/>
    <w:rsid w:val="00784F2C"/>
    <w:rsid w:val="00785737"/>
    <w:rsid w:val="007857A1"/>
    <w:rsid w:val="007861D8"/>
    <w:rsid w:val="00787C19"/>
    <w:rsid w:val="00787D7C"/>
    <w:rsid w:val="00790096"/>
    <w:rsid w:val="007911A4"/>
    <w:rsid w:val="00791A0F"/>
    <w:rsid w:val="00791BD7"/>
    <w:rsid w:val="00792683"/>
    <w:rsid w:val="00792CD2"/>
    <w:rsid w:val="00792E0D"/>
    <w:rsid w:val="00793140"/>
    <w:rsid w:val="007939DA"/>
    <w:rsid w:val="00793D66"/>
    <w:rsid w:val="00795AA3"/>
    <w:rsid w:val="00796089"/>
    <w:rsid w:val="00796E58"/>
    <w:rsid w:val="007A08AA"/>
    <w:rsid w:val="007A0D2F"/>
    <w:rsid w:val="007A1D52"/>
    <w:rsid w:val="007A2437"/>
    <w:rsid w:val="007A270E"/>
    <w:rsid w:val="007A2D80"/>
    <w:rsid w:val="007A2E85"/>
    <w:rsid w:val="007A3972"/>
    <w:rsid w:val="007A58BC"/>
    <w:rsid w:val="007A7385"/>
    <w:rsid w:val="007A7CD2"/>
    <w:rsid w:val="007B0D31"/>
    <w:rsid w:val="007B166F"/>
    <w:rsid w:val="007B1CD1"/>
    <w:rsid w:val="007B1E6F"/>
    <w:rsid w:val="007B3E0A"/>
    <w:rsid w:val="007B5D56"/>
    <w:rsid w:val="007B61A9"/>
    <w:rsid w:val="007B6C65"/>
    <w:rsid w:val="007B6ED7"/>
    <w:rsid w:val="007B6FCD"/>
    <w:rsid w:val="007B7164"/>
    <w:rsid w:val="007B7B9E"/>
    <w:rsid w:val="007C19DE"/>
    <w:rsid w:val="007C29B1"/>
    <w:rsid w:val="007C2BC0"/>
    <w:rsid w:val="007C4377"/>
    <w:rsid w:val="007C5A22"/>
    <w:rsid w:val="007C69A3"/>
    <w:rsid w:val="007D00B4"/>
    <w:rsid w:val="007D0368"/>
    <w:rsid w:val="007D214D"/>
    <w:rsid w:val="007D3845"/>
    <w:rsid w:val="007D38DE"/>
    <w:rsid w:val="007D4060"/>
    <w:rsid w:val="007D42F1"/>
    <w:rsid w:val="007D4BE7"/>
    <w:rsid w:val="007D5636"/>
    <w:rsid w:val="007D5B98"/>
    <w:rsid w:val="007D5BDC"/>
    <w:rsid w:val="007D643A"/>
    <w:rsid w:val="007D67A1"/>
    <w:rsid w:val="007D6B5E"/>
    <w:rsid w:val="007D731C"/>
    <w:rsid w:val="007E0513"/>
    <w:rsid w:val="007E058F"/>
    <w:rsid w:val="007E0C85"/>
    <w:rsid w:val="007E17F6"/>
    <w:rsid w:val="007E303B"/>
    <w:rsid w:val="007E40D0"/>
    <w:rsid w:val="007E54D0"/>
    <w:rsid w:val="007E5AA1"/>
    <w:rsid w:val="007E7916"/>
    <w:rsid w:val="007F0263"/>
    <w:rsid w:val="007F16D4"/>
    <w:rsid w:val="007F2DB3"/>
    <w:rsid w:val="007F3432"/>
    <w:rsid w:val="007F39CD"/>
    <w:rsid w:val="007F4B33"/>
    <w:rsid w:val="007F4D89"/>
    <w:rsid w:val="007F4EAF"/>
    <w:rsid w:val="007F5332"/>
    <w:rsid w:val="007F58F6"/>
    <w:rsid w:val="007F5F46"/>
    <w:rsid w:val="007F6E5A"/>
    <w:rsid w:val="007F7C16"/>
    <w:rsid w:val="007F7F14"/>
    <w:rsid w:val="00800376"/>
    <w:rsid w:val="00800425"/>
    <w:rsid w:val="00800A47"/>
    <w:rsid w:val="00800A78"/>
    <w:rsid w:val="00800BB9"/>
    <w:rsid w:val="00800DC5"/>
    <w:rsid w:val="00800E66"/>
    <w:rsid w:val="00801125"/>
    <w:rsid w:val="00801176"/>
    <w:rsid w:val="0080130E"/>
    <w:rsid w:val="00802220"/>
    <w:rsid w:val="00804159"/>
    <w:rsid w:val="0080640F"/>
    <w:rsid w:val="00806B56"/>
    <w:rsid w:val="00806C04"/>
    <w:rsid w:val="00807542"/>
    <w:rsid w:val="00807DE9"/>
    <w:rsid w:val="0081059A"/>
    <w:rsid w:val="00811525"/>
    <w:rsid w:val="00812401"/>
    <w:rsid w:val="008124D7"/>
    <w:rsid w:val="008125B3"/>
    <w:rsid w:val="00814789"/>
    <w:rsid w:val="00814954"/>
    <w:rsid w:val="008157F1"/>
    <w:rsid w:val="00815A0C"/>
    <w:rsid w:val="00815D55"/>
    <w:rsid w:val="00816678"/>
    <w:rsid w:val="00817848"/>
    <w:rsid w:val="00820365"/>
    <w:rsid w:val="00821242"/>
    <w:rsid w:val="00821DE5"/>
    <w:rsid w:val="00823D4C"/>
    <w:rsid w:val="008250FE"/>
    <w:rsid w:val="00825794"/>
    <w:rsid w:val="0082679A"/>
    <w:rsid w:val="008268F2"/>
    <w:rsid w:val="0082692D"/>
    <w:rsid w:val="00826945"/>
    <w:rsid w:val="00826C1C"/>
    <w:rsid w:val="00827B5E"/>
    <w:rsid w:val="00827D8F"/>
    <w:rsid w:val="00830201"/>
    <w:rsid w:val="008302EB"/>
    <w:rsid w:val="00830726"/>
    <w:rsid w:val="00832220"/>
    <w:rsid w:val="00832550"/>
    <w:rsid w:val="008331F9"/>
    <w:rsid w:val="00834885"/>
    <w:rsid w:val="0083521A"/>
    <w:rsid w:val="00835B29"/>
    <w:rsid w:val="00835D53"/>
    <w:rsid w:val="00836E18"/>
    <w:rsid w:val="0083787D"/>
    <w:rsid w:val="00837C5C"/>
    <w:rsid w:val="00841E3E"/>
    <w:rsid w:val="00842A16"/>
    <w:rsid w:val="00842C44"/>
    <w:rsid w:val="00843538"/>
    <w:rsid w:val="0084386E"/>
    <w:rsid w:val="00844F40"/>
    <w:rsid w:val="00846266"/>
    <w:rsid w:val="00846F57"/>
    <w:rsid w:val="00847C43"/>
    <w:rsid w:val="0085044D"/>
    <w:rsid w:val="00851055"/>
    <w:rsid w:val="008513CD"/>
    <w:rsid w:val="00851E10"/>
    <w:rsid w:val="00851E13"/>
    <w:rsid w:val="00851F0B"/>
    <w:rsid w:val="00852219"/>
    <w:rsid w:val="00852E94"/>
    <w:rsid w:val="008535FC"/>
    <w:rsid w:val="008537E9"/>
    <w:rsid w:val="0085477B"/>
    <w:rsid w:val="008564EF"/>
    <w:rsid w:val="00856566"/>
    <w:rsid w:val="00857465"/>
    <w:rsid w:val="00857A30"/>
    <w:rsid w:val="0086061D"/>
    <w:rsid w:val="00860B84"/>
    <w:rsid w:val="00861800"/>
    <w:rsid w:val="0086266E"/>
    <w:rsid w:val="00862760"/>
    <w:rsid w:val="0086330A"/>
    <w:rsid w:val="00863AAB"/>
    <w:rsid w:val="00863AB1"/>
    <w:rsid w:val="00866DE7"/>
    <w:rsid w:val="00867644"/>
    <w:rsid w:val="008705B7"/>
    <w:rsid w:val="008715FC"/>
    <w:rsid w:val="00871FF7"/>
    <w:rsid w:val="0087257C"/>
    <w:rsid w:val="0087369E"/>
    <w:rsid w:val="00873BFD"/>
    <w:rsid w:val="008744D5"/>
    <w:rsid w:val="00874E7F"/>
    <w:rsid w:val="00877639"/>
    <w:rsid w:val="00880479"/>
    <w:rsid w:val="00880AC7"/>
    <w:rsid w:val="00880F7F"/>
    <w:rsid w:val="0088118C"/>
    <w:rsid w:val="00881D2F"/>
    <w:rsid w:val="00882988"/>
    <w:rsid w:val="008832B3"/>
    <w:rsid w:val="00884E47"/>
    <w:rsid w:val="0088590C"/>
    <w:rsid w:val="00885C0B"/>
    <w:rsid w:val="008862ED"/>
    <w:rsid w:val="0089143B"/>
    <w:rsid w:val="0089314C"/>
    <w:rsid w:val="0089326D"/>
    <w:rsid w:val="008932D6"/>
    <w:rsid w:val="00893B3E"/>
    <w:rsid w:val="008948E8"/>
    <w:rsid w:val="00896B93"/>
    <w:rsid w:val="008A052E"/>
    <w:rsid w:val="008A08E8"/>
    <w:rsid w:val="008A0A91"/>
    <w:rsid w:val="008A0DB4"/>
    <w:rsid w:val="008A11D0"/>
    <w:rsid w:val="008A415F"/>
    <w:rsid w:val="008A4BAA"/>
    <w:rsid w:val="008A4E24"/>
    <w:rsid w:val="008A517D"/>
    <w:rsid w:val="008A52B7"/>
    <w:rsid w:val="008A53A0"/>
    <w:rsid w:val="008A5549"/>
    <w:rsid w:val="008A59D9"/>
    <w:rsid w:val="008A74F7"/>
    <w:rsid w:val="008A77D4"/>
    <w:rsid w:val="008B138E"/>
    <w:rsid w:val="008B265E"/>
    <w:rsid w:val="008B530D"/>
    <w:rsid w:val="008B635C"/>
    <w:rsid w:val="008B6F41"/>
    <w:rsid w:val="008B7A26"/>
    <w:rsid w:val="008B7BCE"/>
    <w:rsid w:val="008C034C"/>
    <w:rsid w:val="008C0A18"/>
    <w:rsid w:val="008C1195"/>
    <w:rsid w:val="008C12B3"/>
    <w:rsid w:val="008C2394"/>
    <w:rsid w:val="008C259A"/>
    <w:rsid w:val="008C3DDE"/>
    <w:rsid w:val="008C56C2"/>
    <w:rsid w:val="008C6756"/>
    <w:rsid w:val="008C6BA0"/>
    <w:rsid w:val="008C76C0"/>
    <w:rsid w:val="008D162D"/>
    <w:rsid w:val="008D365B"/>
    <w:rsid w:val="008D36EC"/>
    <w:rsid w:val="008D4737"/>
    <w:rsid w:val="008D55F7"/>
    <w:rsid w:val="008D5DAD"/>
    <w:rsid w:val="008D5E2D"/>
    <w:rsid w:val="008D5E9D"/>
    <w:rsid w:val="008D6177"/>
    <w:rsid w:val="008D6B72"/>
    <w:rsid w:val="008D7067"/>
    <w:rsid w:val="008D7887"/>
    <w:rsid w:val="008E0D5B"/>
    <w:rsid w:val="008E1B82"/>
    <w:rsid w:val="008E2C42"/>
    <w:rsid w:val="008E2C9E"/>
    <w:rsid w:val="008E2CDB"/>
    <w:rsid w:val="008E403E"/>
    <w:rsid w:val="008E4438"/>
    <w:rsid w:val="008E5548"/>
    <w:rsid w:val="008E5745"/>
    <w:rsid w:val="008E6031"/>
    <w:rsid w:val="008E6E55"/>
    <w:rsid w:val="008E7B13"/>
    <w:rsid w:val="008F097B"/>
    <w:rsid w:val="008F0CAD"/>
    <w:rsid w:val="008F168F"/>
    <w:rsid w:val="008F1BD9"/>
    <w:rsid w:val="008F1D95"/>
    <w:rsid w:val="008F257D"/>
    <w:rsid w:val="008F4FA0"/>
    <w:rsid w:val="008F5123"/>
    <w:rsid w:val="008F697C"/>
    <w:rsid w:val="008F724D"/>
    <w:rsid w:val="008F7C84"/>
    <w:rsid w:val="008F7E10"/>
    <w:rsid w:val="009015E6"/>
    <w:rsid w:val="009026EC"/>
    <w:rsid w:val="00906097"/>
    <w:rsid w:val="009071D0"/>
    <w:rsid w:val="009077A0"/>
    <w:rsid w:val="009077C2"/>
    <w:rsid w:val="00912CCB"/>
    <w:rsid w:val="00914FD3"/>
    <w:rsid w:val="009154AC"/>
    <w:rsid w:val="00915B5F"/>
    <w:rsid w:val="009165A1"/>
    <w:rsid w:val="00916DF4"/>
    <w:rsid w:val="00916F5F"/>
    <w:rsid w:val="00920667"/>
    <w:rsid w:val="00920FE7"/>
    <w:rsid w:val="00921AAB"/>
    <w:rsid w:val="00921D52"/>
    <w:rsid w:val="00923842"/>
    <w:rsid w:val="00923E11"/>
    <w:rsid w:val="009249E3"/>
    <w:rsid w:val="00924EA4"/>
    <w:rsid w:val="009256AA"/>
    <w:rsid w:val="00925A44"/>
    <w:rsid w:val="00925DE1"/>
    <w:rsid w:val="00926922"/>
    <w:rsid w:val="009270CC"/>
    <w:rsid w:val="00932F56"/>
    <w:rsid w:val="00933C54"/>
    <w:rsid w:val="0093416C"/>
    <w:rsid w:val="00934B3E"/>
    <w:rsid w:val="0093556F"/>
    <w:rsid w:val="009355F7"/>
    <w:rsid w:val="00936A77"/>
    <w:rsid w:val="00936D36"/>
    <w:rsid w:val="00937E12"/>
    <w:rsid w:val="00940740"/>
    <w:rsid w:val="00940F63"/>
    <w:rsid w:val="00942342"/>
    <w:rsid w:val="009424F1"/>
    <w:rsid w:val="009428C8"/>
    <w:rsid w:val="00942B40"/>
    <w:rsid w:val="00942E65"/>
    <w:rsid w:val="009431CF"/>
    <w:rsid w:val="00943414"/>
    <w:rsid w:val="009441A5"/>
    <w:rsid w:val="0094530A"/>
    <w:rsid w:val="00945F7C"/>
    <w:rsid w:val="00946159"/>
    <w:rsid w:val="009461D9"/>
    <w:rsid w:val="00946A64"/>
    <w:rsid w:val="00947310"/>
    <w:rsid w:val="009474C7"/>
    <w:rsid w:val="00950924"/>
    <w:rsid w:val="00950B91"/>
    <w:rsid w:val="00950D93"/>
    <w:rsid w:val="009514DB"/>
    <w:rsid w:val="00951ECF"/>
    <w:rsid w:val="009527C5"/>
    <w:rsid w:val="00952F62"/>
    <w:rsid w:val="0095385D"/>
    <w:rsid w:val="00955295"/>
    <w:rsid w:val="00955BFA"/>
    <w:rsid w:val="00956402"/>
    <w:rsid w:val="00956BCF"/>
    <w:rsid w:val="00956E93"/>
    <w:rsid w:val="009608C6"/>
    <w:rsid w:val="00961021"/>
    <w:rsid w:val="00962FDD"/>
    <w:rsid w:val="00965EE2"/>
    <w:rsid w:val="00966025"/>
    <w:rsid w:val="00971786"/>
    <w:rsid w:val="009751E5"/>
    <w:rsid w:val="00975DBF"/>
    <w:rsid w:val="0097632A"/>
    <w:rsid w:val="00976976"/>
    <w:rsid w:val="0098454D"/>
    <w:rsid w:val="009857D2"/>
    <w:rsid w:val="00985AE2"/>
    <w:rsid w:val="0098617A"/>
    <w:rsid w:val="0098695A"/>
    <w:rsid w:val="00986D38"/>
    <w:rsid w:val="00990E78"/>
    <w:rsid w:val="00991C9E"/>
    <w:rsid w:val="009925BC"/>
    <w:rsid w:val="00993169"/>
    <w:rsid w:val="0099388A"/>
    <w:rsid w:val="00994B1B"/>
    <w:rsid w:val="00994D51"/>
    <w:rsid w:val="00996334"/>
    <w:rsid w:val="00996B27"/>
    <w:rsid w:val="00997163"/>
    <w:rsid w:val="00997ED4"/>
    <w:rsid w:val="009A0B7B"/>
    <w:rsid w:val="009A0FFA"/>
    <w:rsid w:val="009A1BAB"/>
    <w:rsid w:val="009A2280"/>
    <w:rsid w:val="009A2358"/>
    <w:rsid w:val="009A285F"/>
    <w:rsid w:val="009A2CA4"/>
    <w:rsid w:val="009A300B"/>
    <w:rsid w:val="009A32FD"/>
    <w:rsid w:val="009A4E3D"/>
    <w:rsid w:val="009A65A2"/>
    <w:rsid w:val="009A66AF"/>
    <w:rsid w:val="009A6CC1"/>
    <w:rsid w:val="009A78C8"/>
    <w:rsid w:val="009B03D3"/>
    <w:rsid w:val="009B12AF"/>
    <w:rsid w:val="009B1613"/>
    <w:rsid w:val="009B1AAD"/>
    <w:rsid w:val="009B2BCA"/>
    <w:rsid w:val="009B367B"/>
    <w:rsid w:val="009B4829"/>
    <w:rsid w:val="009B55CF"/>
    <w:rsid w:val="009B56BD"/>
    <w:rsid w:val="009B5B5B"/>
    <w:rsid w:val="009B670B"/>
    <w:rsid w:val="009B74E2"/>
    <w:rsid w:val="009C1792"/>
    <w:rsid w:val="009C27C2"/>
    <w:rsid w:val="009C33DB"/>
    <w:rsid w:val="009C43FE"/>
    <w:rsid w:val="009C46F0"/>
    <w:rsid w:val="009C55F2"/>
    <w:rsid w:val="009C5A77"/>
    <w:rsid w:val="009C6745"/>
    <w:rsid w:val="009C6791"/>
    <w:rsid w:val="009C683E"/>
    <w:rsid w:val="009C6BD5"/>
    <w:rsid w:val="009C76C0"/>
    <w:rsid w:val="009C7715"/>
    <w:rsid w:val="009D000C"/>
    <w:rsid w:val="009D06A6"/>
    <w:rsid w:val="009D0DF7"/>
    <w:rsid w:val="009D1BC0"/>
    <w:rsid w:val="009D331E"/>
    <w:rsid w:val="009D3B44"/>
    <w:rsid w:val="009D3F41"/>
    <w:rsid w:val="009D4F1A"/>
    <w:rsid w:val="009D5326"/>
    <w:rsid w:val="009D5EBE"/>
    <w:rsid w:val="009D63ED"/>
    <w:rsid w:val="009E19A9"/>
    <w:rsid w:val="009E1F7E"/>
    <w:rsid w:val="009E2B10"/>
    <w:rsid w:val="009E3F08"/>
    <w:rsid w:val="009E4138"/>
    <w:rsid w:val="009E45DB"/>
    <w:rsid w:val="009E4C9B"/>
    <w:rsid w:val="009E5CB6"/>
    <w:rsid w:val="009E67CB"/>
    <w:rsid w:val="009E691F"/>
    <w:rsid w:val="009E6CFE"/>
    <w:rsid w:val="009E6E3B"/>
    <w:rsid w:val="009E6F46"/>
    <w:rsid w:val="009E7E71"/>
    <w:rsid w:val="009E7F4A"/>
    <w:rsid w:val="009F238C"/>
    <w:rsid w:val="009F29CC"/>
    <w:rsid w:val="009F2EA7"/>
    <w:rsid w:val="009F34E8"/>
    <w:rsid w:val="009F3F65"/>
    <w:rsid w:val="009F4488"/>
    <w:rsid w:val="009F4861"/>
    <w:rsid w:val="009F4BAD"/>
    <w:rsid w:val="009F54D9"/>
    <w:rsid w:val="009F630A"/>
    <w:rsid w:val="009F68F2"/>
    <w:rsid w:val="00A000AF"/>
    <w:rsid w:val="00A00142"/>
    <w:rsid w:val="00A00B0E"/>
    <w:rsid w:val="00A01AE9"/>
    <w:rsid w:val="00A02520"/>
    <w:rsid w:val="00A0299A"/>
    <w:rsid w:val="00A03B2C"/>
    <w:rsid w:val="00A04663"/>
    <w:rsid w:val="00A0510C"/>
    <w:rsid w:val="00A05CFC"/>
    <w:rsid w:val="00A063B5"/>
    <w:rsid w:val="00A07030"/>
    <w:rsid w:val="00A07CD9"/>
    <w:rsid w:val="00A10098"/>
    <w:rsid w:val="00A10FB3"/>
    <w:rsid w:val="00A110FA"/>
    <w:rsid w:val="00A116CC"/>
    <w:rsid w:val="00A11C6B"/>
    <w:rsid w:val="00A12B30"/>
    <w:rsid w:val="00A1383E"/>
    <w:rsid w:val="00A13A0C"/>
    <w:rsid w:val="00A13E4C"/>
    <w:rsid w:val="00A1487E"/>
    <w:rsid w:val="00A15295"/>
    <w:rsid w:val="00A155C3"/>
    <w:rsid w:val="00A15991"/>
    <w:rsid w:val="00A1606E"/>
    <w:rsid w:val="00A16F1A"/>
    <w:rsid w:val="00A170C5"/>
    <w:rsid w:val="00A17518"/>
    <w:rsid w:val="00A17837"/>
    <w:rsid w:val="00A20D58"/>
    <w:rsid w:val="00A2154C"/>
    <w:rsid w:val="00A217ED"/>
    <w:rsid w:val="00A2194E"/>
    <w:rsid w:val="00A22187"/>
    <w:rsid w:val="00A2255E"/>
    <w:rsid w:val="00A22A74"/>
    <w:rsid w:val="00A230DA"/>
    <w:rsid w:val="00A23656"/>
    <w:rsid w:val="00A24726"/>
    <w:rsid w:val="00A26BA7"/>
    <w:rsid w:val="00A26C40"/>
    <w:rsid w:val="00A26CE0"/>
    <w:rsid w:val="00A27EB3"/>
    <w:rsid w:val="00A300AE"/>
    <w:rsid w:val="00A313F2"/>
    <w:rsid w:val="00A32531"/>
    <w:rsid w:val="00A3266D"/>
    <w:rsid w:val="00A343CC"/>
    <w:rsid w:val="00A35146"/>
    <w:rsid w:val="00A35B33"/>
    <w:rsid w:val="00A35B79"/>
    <w:rsid w:val="00A36668"/>
    <w:rsid w:val="00A37AD8"/>
    <w:rsid w:val="00A401F3"/>
    <w:rsid w:val="00A40708"/>
    <w:rsid w:val="00A41A4C"/>
    <w:rsid w:val="00A4388A"/>
    <w:rsid w:val="00A44689"/>
    <w:rsid w:val="00A447F0"/>
    <w:rsid w:val="00A45238"/>
    <w:rsid w:val="00A46176"/>
    <w:rsid w:val="00A46AC2"/>
    <w:rsid w:val="00A46AFD"/>
    <w:rsid w:val="00A4711F"/>
    <w:rsid w:val="00A47206"/>
    <w:rsid w:val="00A47438"/>
    <w:rsid w:val="00A475BE"/>
    <w:rsid w:val="00A4765B"/>
    <w:rsid w:val="00A47C32"/>
    <w:rsid w:val="00A47D62"/>
    <w:rsid w:val="00A47D79"/>
    <w:rsid w:val="00A512B9"/>
    <w:rsid w:val="00A5189F"/>
    <w:rsid w:val="00A5302D"/>
    <w:rsid w:val="00A5402D"/>
    <w:rsid w:val="00A55671"/>
    <w:rsid w:val="00A56F2C"/>
    <w:rsid w:val="00A6088A"/>
    <w:rsid w:val="00A608C8"/>
    <w:rsid w:val="00A60B06"/>
    <w:rsid w:val="00A60D74"/>
    <w:rsid w:val="00A618DB"/>
    <w:rsid w:val="00A6276A"/>
    <w:rsid w:val="00A6279A"/>
    <w:rsid w:val="00A63E84"/>
    <w:rsid w:val="00A640A7"/>
    <w:rsid w:val="00A643A6"/>
    <w:rsid w:val="00A6486A"/>
    <w:rsid w:val="00A64D6D"/>
    <w:rsid w:val="00A65656"/>
    <w:rsid w:val="00A665FB"/>
    <w:rsid w:val="00A6733D"/>
    <w:rsid w:val="00A709D4"/>
    <w:rsid w:val="00A71705"/>
    <w:rsid w:val="00A71C55"/>
    <w:rsid w:val="00A72724"/>
    <w:rsid w:val="00A72D66"/>
    <w:rsid w:val="00A72E90"/>
    <w:rsid w:val="00A7332F"/>
    <w:rsid w:val="00A733A1"/>
    <w:rsid w:val="00A74DE9"/>
    <w:rsid w:val="00A76466"/>
    <w:rsid w:val="00A808A2"/>
    <w:rsid w:val="00A819E5"/>
    <w:rsid w:val="00A820A9"/>
    <w:rsid w:val="00A8300C"/>
    <w:rsid w:val="00A84070"/>
    <w:rsid w:val="00A8537F"/>
    <w:rsid w:val="00A85809"/>
    <w:rsid w:val="00A85D3D"/>
    <w:rsid w:val="00A86AA2"/>
    <w:rsid w:val="00A872A9"/>
    <w:rsid w:val="00A87556"/>
    <w:rsid w:val="00A87EBC"/>
    <w:rsid w:val="00A91375"/>
    <w:rsid w:val="00A9196F"/>
    <w:rsid w:val="00A947DE"/>
    <w:rsid w:val="00A94A4E"/>
    <w:rsid w:val="00A94ADC"/>
    <w:rsid w:val="00A94D01"/>
    <w:rsid w:val="00A95035"/>
    <w:rsid w:val="00A9556A"/>
    <w:rsid w:val="00A973DC"/>
    <w:rsid w:val="00A97485"/>
    <w:rsid w:val="00A9779F"/>
    <w:rsid w:val="00A97A2B"/>
    <w:rsid w:val="00AA0013"/>
    <w:rsid w:val="00AA036C"/>
    <w:rsid w:val="00AA14EF"/>
    <w:rsid w:val="00AA1817"/>
    <w:rsid w:val="00AA1E59"/>
    <w:rsid w:val="00AA24C5"/>
    <w:rsid w:val="00AA2643"/>
    <w:rsid w:val="00AA2FC6"/>
    <w:rsid w:val="00AA4407"/>
    <w:rsid w:val="00AA566C"/>
    <w:rsid w:val="00AA5E84"/>
    <w:rsid w:val="00AA5FDE"/>
    <w:rsid w:val="00AA682B"/>
    <w:rsid w:val="00AA7FF2"/>
    <w:rsid w:val="00AB0388"/>
    <w:rsid w:val="00AB1ACB"/>
    <w:rsid w:val="00AB2F72"/>
    <w:rsid w:val="00AB3405"/>
    <w:rsid w:val="00AB362A"/>
    <w:rsid w:val="00AB37AD"/>
    <w:rsid w:val="00AB4A32"/>
    <w:rsid w:val="00AB534D"/>
    <w:rsid w:val="00AB6F74"/>
    <w:rsid w:val="00AB7826"/>
    <w:rsid w:val="00AB7DCF"/>
    <w:rsid w:val="00AC1456"/>
    <w:rsid w:val="00AC19AD"/>
    <w:rsid w:val="00AC1E7B"/>
    <w:rsid w:val="00AC205D"/>
    <w:rsid w:val="00AC2D9E"/>
    <w:rsid w:val="00AC3063"/>
    <w:rsid w:val="00AC585E"/>
    <w:rsid w:val="00AC6CA9"/>
    <w:rsid w:val="00AC6CC3"/>
    <w:rsid w:val="00AC6E69"/>
    <w:rsid w:val="00AC6F7A"/>
    <w:rsid w:val="00AC70C2"/>
    <w:rsid w:val="00AC7C43"/>
    <w:rsid w:val="00AC7C5F"/>
    <w:rsid w:val="00AD3D2C"/>
    <w:rsid w:val="00AD4483"/>
    <w:rsid w:val="00AD4759"/>
    <w:rsid w:val="00AD5FAD"/>
    <w:rsid w:val="00AD72D5"/>
    <w:rsid w:val="00AD7E8B"/>
    <w:rsid w:val="00AE069B"/>
    <w:rsid w:val="00AE30F8"/>
    <w:rsid w:val="00AE4677"/>
    <w:rsid w:val="00AE6282"/>
    <w:rsid w:val="00AE6D09"/>
    <w:rsid w:val="00AE79A9"/>
    <w:rsid w:val="00AF014B"/>
    <w:rsid w:val="00AF0DC9"/>
    <w:rsid w:val="00AF1AE9"/>
    <w:rsid w:val="00AF2205"/>
    <w:rsid w:val="00AF377E"/>
    <w:rsid w:val="00AF3F6A"/>
    <w:rsid w:val="00AF4EB6"/>
    <w:rsid w:val="00AF535A"/>
    <w:rsid w:val="00AF60D9"/>
    <w:rsid w:val="00AF6122"/>
    <w:rsid w:val="00AF617A"/>
    <w:rsid w:val="00AF68A1"/>
    <w:rsid w:val="00AF702D"/>
    <w:rsid w:val="00B0100E"/>
    <w:rsid w:val="00B010D4"/>
    <w:rsid w:val="00B013E1"/>
    <w:rsid w:val="00B01527"/>
    <w:rsid w:val="00B01E55"/>
    <w:rsid w:val="00B0291D"/>
    <w:rsid w:val="00B035B1"/>
    <w:rsid w:val="00B05753"/>
    <w:rsid w:val="00B058F9"/>
    <w:rsid w:val="00B05BDC"/>
    <w:rsid w:val="00B05CB2"/>
    <w:rsid w:val="00B0603A"/>
    <w:rsid w:val="00B104F3"/>
    <w:rsid w:val="00B11B01"/>
    <w:rsid w:val="00B11B52"/>
    <w:rsid w:val="00B12935"/>
    <w:rsid w:val="00B12A96"/>
    <w:rsid w:val="00B1327D"/>
    <w:rsid w:val="00B139FC"/>
    <w:rsid w:val="00B147C7"/>
    <w:rsid w:val="00B150A2"/>
    <w:rsid w:val="00B15820"/>
    <w:rsid w:val="00B15D80"/>
    <w:rsid w:val="00B1653F"/>
    <w:rsid w:val="00B16EFA"/>
    <w:rsid w:val="00B17242"/>
    <w:rsid w:val="00B17E9B"/>
    <w:rsid w:val="00B20121"/>
    <w:rsid w:val="00B21BA9"/>
    <w:rsid w:val="00B21C68"/>
    <w:rsid w:val="00B23339"/>
    <w:rsid w:val="00B234DB"/>
    <w:rsid w:val="00B243DB"/>
    <w:rsid w:val="00B244E1"/>
    <w:rsid w:val="00B25A94"/>
    <w:rsid w:val="00B2619E"/>
    <w:rsid w:val="00B269A0"/>
    <w:rsid w:val="00B2791A"/>
    <w:rsid w:val="00B27B06"/>
    <w:rsid w:val="00B30D09"/>
    <w:rsid w:val="00B32958"/>
    <w:rsid w:val="00B32A52"/>
    <w:rsid w:val="00B33657"/>
    <w:rsid w:val="00B3478F"/>
    <w:rsid w:val="00B34BD5"/>
    <w:rsid w:val="00B35548"/>
    <w:rsid w:val="00B3559E"/>
    <w:rsid w:val="00B357A9"/>
    <w:rsid w:val="00B35AFD"/>
    <w:rsid w:val="00B3608F"/>
    <w:rsid w:val="00B36DD4"/>
    <w:rsid w:val="00B37670"/>
    <w:rsid w:val="00B401BB"/>
    <w:rsid w:val="00B414A4"/>
    <w:rsid w:val="00B41B8A"/>
    <w:rsid w:val="00B41D56"/>
    <w:rsid w:val="00B4288E"/>
    <w:rsid w:val="00B42CB3"/>
    <w:rsid w:val="00B435F2"/>
    <w:rsid w:val="00B44288"/>
    <w:rsid w:val="00B452D9"/>
    <w:rsid w:val="00B45648"/>
    <w:rsid w:val="00B45723"/>
    <w:rsid w:val="00B45B6A"/>
    <w:rsid w:val="00B45F01"/>
    <w:rsid w:val="00B46438"/>
    <w:rsid w:val="00B46930"/>
    <w:rsid w:val="00B46EA3"/>
    <w:rsid w:val="00B479F6"/>
    <w:rsid w:val="00B47A2C"/>
    <w:rsid w:val="00B50E36"/>
    <w:rsid w:val="00B515BD"/>
    <w:rsid w:val="00B52ED1"/>
    <w:rsid w:val="00B53523"/>
    <w:rsid w:val="00B53B10"/>
    <w:rsid w:val="00B53E66"/>
    <w:rsid w:val="00B542EC"/>
    <w:rsid w:val="00B544EE"/>
    <w:rsid w:val="00B556F8"/>
    <w:rsid w:val="00B55879"/>
    <w:rsid w:val="00B56C89"/>
    <w:rsid w:val="00B5748E"/>
    <w:rsid w:val="00B575F7"/>
    <w:rsid w:val="00B5791C"/>
    <w:rsid w:val="00B61B30"/>
    <w:rsid w:val="00B6295C"/>
    <w:rsid w:val="00B64E28"/>
    <w:rsid w:val="00B65968"/>
    <w:rsid w:val="00B67BC9"/>
    <w:rsid w:val="00B67E71"/>
    <w:rsid w:val="00B7029E"/>
    <w:rsid w:val="00B71741"/>
    <w:rsid w:val="00B7243A"/>
    <w:rsid w:val="00B72E52"/>
    <w:rsid w:val="00B73580"/>
    <w:rsid w:val="00B7416D"/>
    <w:rsid w:val="00B74F00"/>
    <w:rsid w:val="00B7567B"/>
    <w:rsid w:val="00B75A7B"/>
    <w:rsid w:val="00B75AA6"/>
    <w:rsid w:val="00B7673A"/>
    <w:rsid w:val="00B76D13"/>
    <w:rsid w:val="00B77780"/>
    <w:rsid w:val="00B77F97"/>
    <w:rsid w:val="00B81CFA"/>
    <w:rsid w:val="00B833A0"/>
    <w:rsid w:val="00B83B99"/>
    <w:rsid w:val="00B83C2D"/>
    <w:rsid w:val="00B83DEA"/>
    <w:rsid w:val="00B842A0"/>
    <w:rsid w:val="00B84B0B"/>
    <w:rsid w:val="00B84C72"/>
    <w:rsid w:val="00B85091"/>
    <w:rsid w:val="00B86627"/>
    <w:rsid w:val="00B87D3B"/>
    <w:rsid w:val="00B915A9"/>
    <w:rsid w:val="00B91E0F"/>
    <w:rsid w:val="00B91F07"/>
    <w:rsid w:val="00B920C3"/>
    <w:rsid w:val="00B96954"/>
    <w:rsid w:val="00B974AE"/>
    <w:rsid w:val="00B97A39"/>
    <w:rsid w:val="00B97F48"/>
    <w:rsid w:val="00BA03DF"/>
    <w:rsid w:val="00BA041A"/>
    <w:rsid w:val="00BA08FD"/>
    <w:rsid w:val="00BA0A22"/>
    <w:rsid w:val="00BA10F2"/>
    <w:rsid w:val="00BA2546"/>
    <w:rsid w:val="00BA265F"/>
    <w:rsid w:val="00BA2E9A"/>
    <w:rsid w:val="00BA2ECA"/>
    <w:rsid w:val="00BA6388"/>
    <w:rsid w:val="00BA6785"/>
    <w:rsid w:val="00BA6DC6"/>
    <w:rsid w:val="00BA742D"/>
    <w:rsid w:val="00BB0517"/>
    <w:rsid w:val="00BB0A06"/>
    <w:rsid w:val="00BB0B03"/>
    <w:rsid w:val="00BB0EAE"/>
    <w:rsid w:val="00BB1451"/>
    <w:rsid w:val="00BB191A"/>
    <w:rsid w:val="00BB1C2F"/>
    <w:rsid w:val="00BB3794"/>
    <w:rsid w:val="00BB3ACC"/>
    <w:rsid w:val="00BB3C2C"/>
    <w:rsid w:val="00BB3CB8"/>
    <w:rsid w:val="00BB52B0"/>
    <w:rsid w:val="00BB59B8"/>
    <w:rsid w:val="00BB5FBB"/>
    <w:rsid w:val="00BB7006"/>
    <w:rsid w:val="00BB771F"/>
    <w:rsid w:val="00BB7E13"/>
    <w:rsid w:val="00BC082C"/>
    <w:rsid w:val="00BC17FE"/>
    <w:rsid w:val="00BC265C"/>
    <w:rsid w:val="00BC2E51"/>
    <w:rsid w:val="00BC3283"/>
    <w:rsid w:val="00BC4988"/>
    <w:rsid w:val="00BC5043"/>
    <w:rsid w:val="00BC5A85"/>
    <w:rsid w:val="00BC5ADF"/>
    <w:rsid w:val="00BC5BB0"/>
    <w:rsid w:val="00BC6073"/>
    <w:rsid w:val="00BC6CF2"/>
    <w:rsid w:val="00BC793E"/>
    <w:rsid w:val="00BD00E7"/>
    <w:rsid w:val="00BD0D48"/>
    <w:rsid w:val="00BD187F"/>
    <w:rsid w:val="00BD2573"/>
    <w:rsid w:val="00BD2A99"/>
    <w:rsid w:val="00BD4186"/>
    <w:rsid w:val="00BD4670"/>
    <w:rsid w:val="00BD519A"/>
    <w:rsid w:val="00BD5B14"/>
    <w:rsid w:val="00BD6DB0"/>
    <w:rsid w:val="00BE0041"/>
    <w:rsid w:val="00BE0648"/>
    <w:rsid w:val="00BE0C8B"/>
    <w:rsid w:val="00BE15FC"/>
    <w:rsid w:val="00BE1789"/>
    <w:rsid w:val="00BE2FF2"/>
    <w:rsid w:val="00BE3A3A"/>
    <w:rsid w:val="00BE41D2"/>
    <w:rsid w:val="00BE47DA"/>
    <w:rsid w:val="00BE4B1F"/>
    <w:rsid w:val="00BE57C1"/>
    <w:rsid w:val="00BE5D73"/>
    <w:rsid w:val="00BE775C"/>
    <w:rsid w:val="00BE7CBE"/>
    <w:rsid w:val="00BF1DBA"/>
    <w:rsid w:val="00BF1EFE"/>
    <w:rsid w:val="00BF2035"/>
    <w:rsid w:val="00BF2151"/>
    <w:rsid w:val="00BF32E4"/>
    <w:rsid w:val="00BF445F"/>
    <w:rsid w:val="00BF48FE"/>
    <w:rsid w:val="00BF50E1"/>
    <w:rsid w:val="00BF5940"/>
    <w:rsid w:val="00BF6656"/>
    <w:rsid w:val="00BF7201"/>
    <w:rsid w:val="00BF7BE4"/>
    <w:rsid w:val="00C01726"/>
    <w:rsid w:val="00C0197E"/>
    <w:rsid w:val="00C01ED8"/>
    <w:rsid w:val="00C020A4"/>
    <w:rsid w:val="00C02E69"/>
    <w:rsid w:val="00C038D5"/>
    <w:rsid w:val="00C0476D"/>
    <w:rsid w:val="00C05CB6"/>
    <w:rsid w:val="00C064A2"/>
    <w:rsid w:val="00C06E50"/>
    <w:rsid w:val="00C10E88"/>
    <w:rsid w:val="00C1147C"/>
    <w:rsid w:val="00C12E19"/>
    <w:rsid w:val="00C13740"/>
    <w:rsid w:val="00C155B1"/>
    <w:rsid w:val="00C15AB7"/>
    <w:rsid w:val="00C1638D"/>
    <w:rsid w:val="00C1707C"/>
    <w:rsid w:val="00C1793B"/>
    <w:rsid w:val="00C2136F"/>
    <w:rsid w:val="00C22510"/>
    <w:rsid w:val="00C2285D"/>
    <w:rsid w:val="00C22C10"/>
    <w:rsid w:val="00C230C5"/>
    <w:rsid w:val="00C230F1"/>
    <w:rsid w:val="00C2334C"/>
    <w:rsid w:val="00C23E08"/>
    <w:rsid w:val="00C24CD3"/>
    <w:rsid w:val="00C2523D"/>
    <w:rsid w:val="00C256EF"/>
    <w:rsid w:val="00C25D66"/>
    <w:rsid w:val="00C26F67"/>
    <w:rsid w:val="00C27F0D"/>
    <w:rsid w:val="00C30935"/>
    <w:rsid w:val="00C31427"/>
    <w:rsid w:val="00C319FA"/>
    <w:rsid w:val="00C31E2D"/>
    <w:rsid w:val="00C354F4"/>
    <w:rsid w:val="00C35933"/>
    <w:rsid w:val="00C35F90"/>
    <w:rsid w:val="00C35FC3"/>
    <w:rsid w:val="00C36A24"/>
    <w:rsid w:val="00C4068F"/>
    <w:rsid w:val="00C407E9"/>
    <w:rsid w:val="00C40E7A"/>
    <w:rsid w:val="00C428B2"/>
    <w:rsid w:val="00C42B52"/>
    <w:rsid w:val="00C42F65"/>
    <w:rsid w:val="00C44015"/>
    <w:rsid w:val="00C44147"/>
    <w:rsid w:val="00C450AF"/>
    <w:rsid w:val="00C5040A"/>
    <w:rsid w:val="00C50512"/>
    <w:rsid w:val="00C5085B"/>
    <w:rsid w:val="00C51447"/>
    <w:rsid w:val="00C5144C"/>
    <w:rsid w:val="00C521BA"/>
    <w:rsid w:val="00C53114"/>
    <w:rsid w:val="00C533FB"/>
    <w:rsid w:val="00C55215"/>
    <w:rsid w:val="00C55B2D"/>
    <w:rsid w:val="00C55C2B"/>
    <w:rsid w:val="00C5625A"/>
    <w:rsid w:val="00C5658A"/>
    <w:rsid w:val="00C56AE3"/>
    <w:rsid w:val="00C601CD"/>
    <w:rsid w:val="00C602FC"/>
    <w:rsid w:val="00C604AE"/>
    <w:rsid w:val="00C61237"/>
    <w:rsid w:val="00C6175C"/>
    <w:rsid w:val="00C618B5"/>
    <w:rsid w:val="00C62024"/>
    <w:rsid w:val="00C62A90"/>
    <w:rsid w:val="00C62EA4"/>
    <w:rsid w:val="00C63969"/>
    <w:rsid w:val="00C64381"/>
    <w:rsid w:val="00C65F85"/>
    <w:rsid w:val="00C65F98"/>
    <w:rsid w:val="00C6662D"/>
    <w:rsid w:val="00C676F3"/>
    <w:rsid w:val="00C67912"/>
    <w:rsid w:val="00C70231"/>
    <w:rsid w:val="00C707B5"/>
    <w:rsid w:val="00C70B4C"/>
    <w:rsid w:val="00C70FF1"/>
    <w:rsid w:val="00C71EDB"/>
    <w:rsid w:val="00C72129"/>
    <w:rsid w:val="00C7376A"/>
    <w:rsid w:val="00C73953"/>
    <w:rsid w:val="00C73C28"/>
    <w:rsid w:val="00C74017"/>
    <w:rsid w:val="00C75671"/>
    <w:rsid w:val="00C75BFB"/>
    <w:rsid w:val="00C805E8"/>
    <w:rsid w:val="00C817A6"/>
    <w:rsid w:val="00C81E71"/>
    <w:rsid w:val="00C81EA9"/>
    <w:rsid w:val="00C82893"/>
    <w:rsid w:val="00C8307E"/>
    <w:rsid w:val="00C84471"/>
    <w:rsid w:val="00C85BB9"/>
    <w:rsid w:val="00C86A58"/>
    <w:rsid w:val="00C87699"/>
    <w:rsid w:val="00C877B8"/>
    <w:rsid w:val="00C87E95"/>
    <w:rsid w:val="00C91132"/>
    <w:rsid w:val="00C91C57"/>
    <w:rsid w:val="00C9257D"/>
    <w:rsid w:val="00C92EDF"/>
    <w:rsid w:val="00C95429"/>
    <w:rsid w:val="00C963D7"/>
    <w:rsid w:val="00CA044F"/>
    <w:rsid w:val="00CA1CD5"/>
    <w:rsid w:val="00CA2394"/>
    <w:rsid w:val="00CA3115"/>
    <w:rsid w:val="00CA33DF"/>
    <w:rsid w:val="00CA3992"/>
    <w:rsid w:val="00CA44AC"/>
    <w:rsid w:val="00CA5335"/>
    <w:rsid w:val="00CA5AD0"/>
    <w:rsid w:val="00CA5CB4"/>
    <w:rsid w:val="00CA6400"/>
    <w:rsid w:val="00CA67A5"/>
    <w:rsid w:val="00CA69C0"/>
    <w:rsid w:val="00CA6DA4"/>
    <w:rsid w:val="00CA71EF"/>
    <w:rsid w:val="00CA76B3"/>
    <w:rsid w:val="00CA796A"/>
    <w:rsid w:val="00CA7B58"/>
    <w:rsid w:val="00CA7E2F"/>
    <w:rsid w:val="00CB1BE3"/>
    <w:rsid w:val="00CB1F84"/>
    <w:rsid w:val="00CB3D8E"/>
    <w:rsid w:val="00CB4ACA"/>
    <w:rsid w:val="00CB4F12"/>
    <w:rsid w:val="00CB5A10"/>
    <w:rsid w:val="00CB5AA5"/>
    <w:rsid w:val="00CB6560"/>
    <w:rsid w:val="00CB67C2"/>
    <w:rsid w:val="00CB7267"/>
    <w:rsid w:val="00CB77B7"/>
    <w:rsid w:val="00CC0613"/>
    <w:rsid w:val="00CC27B9"/>
    <w:rsid w:val="00CC35A8"/>
    <w:rsid w:val="00CC3D8B"/>
    <w:rsid w:val="00CC4DD1"/>
    <w:rsid w:val="00CC551F"/>
    <w:rsid w:val="00CC5E0C"/>
    <w:rsid w:val="00CC679A"/>
    <w:rsid w:val="00CC6983"/>
    <w:rsid w:val="00CC6C49"/>
    <w:rsid w:val="00CC7BFC"/>
    <w:rsid w:val="00CD0265"/>
    <w:rsid w:val="00CD0372"/>
    <w:rsid w:val="00CD0818"/>
    <w:rsid w:val="00CD253F"/>
    <w:rsid w:val="00CD33CF"/>
    <w:rsid w:val="00CD3663"/>
    <w:rsid w:val="00CD373D"/>
    <w:rsid w:val="00CD3B4E"/>
    <w:rsid w:val="00CD540F"/>
    <w:rsid w:val="00CD655A"/>
    <w:rsid w:val="00CD7E63"/>
    <w:rsid w:val="00CE0189"/>
    <w:rsid w:val="00CE0514"/>
    <w:rsid w:val="00CE21C8"/>
    <w:rsid w:val="00CE2754"/>
    <w:rsid w:val="00CE3EEB"/>
    <w:rsid w:val="00CE44E0"/>
    <w:rsid w:val="00CE5868"/>
    <w:rsid w:val="00CE5B64"/>
    <w:rsid w:val="00CE5BF9"/>
    <w:rsid w:val="00CE7789"/>
    <w:rsid w:val="00CE779D"/>
    <w:rsid w:val="00CF0468"/>
    <w:rsid w:val="00CF0CB7"/>
    <w:rsid w:val="00CF103D"/>
    <w:rsid w:val="00CF112F"/>
    <w:rsid w:val="00CF23B1"/>
    <w:rsid w:val="00CF28BB"/>
    <w:rsid w:val="00CF310F"/>
    <w:rsid w:val="00CF31A1"/>
    <w:rsid w:val="00CF384D"/>
    <w:rsid w:val="00CF3B28"/>
    <w:rsid w:val="00CF3EC2"/>
    <w:rsid w:val="00CF59D5"/>
    <w:rsid w:val="00CF66A2"/>
    <w:rsid w:val="00D01D83"/>
    <w:rsid w:val="00D02E2A"/>
    <w:rsid w:val="00D02ECD"/>
    <w:rsid w:val="00D03492"/>
    <w:rsid w:val="00D03CC8"/>
    <w:rsid w:val="00D04B20"/>
    <w:rsid w:val="00D05A9B"/>
    <w:rsid w:val="00D0683D"/>
    <w:rsid w:val="00D0690C"/>
    <w:rsid w:val="00D074C9"/>
    <w:rsid w:val="00D1002A"/>
    <w:rsid w:val="00D102C7"/>
    <w:rsid w:val="00D104B3"/>
    <w:rsid w:val="00D10531"/>
    <w:rsid w:val="00D10F18"/>
    <w:rsid w:val="00D13116"/>
    <w:rsid w:val="00D13AF2"/>
    <w:rsid w:val="00D13D63"/>
    <w:rsid w:val="00D13F20"/>
    <w:rsid w:val="00D14B24"/>
    <w:rsid w:val="00D1505D"/>
    <w:rsid w:val="00D15E34"/>
    <w:rsid w:val="00D162DB"/>
    <w:rsid w:val="00D16E31"/>
    <w:rsid w:val="00D1710D"/>
    <w:rsid w:val="00D21146"/>
    <w:rsid w:val="00D237F6"/>
    <w:rsid w:val="00D23839"/>
    <w:rsid w:val="00D23D94"/>
    <w:rsid w:val="00D24211"/>
    <w:rsid w:val="00D2422F"/>
    <w:rsid w:val="00D24409"/>
    <w:rsid w:val="00D24995"/>
    <w:rsid w:val="00D24EDD"/>
    <w:rsid w:val="00D25A75"/>
    <w:rsid w:val="00D26D22"/>
    <w:rsid w:val="00D272B7"/>
    <w:rsid w:val="00D277A3"/>
    <w:rsid w:val="00D303C5"/>
    <w:rsid w:val="00D30546"/>
    <w:rsid w:val="00D305BF"/>
    <w:rsid w:val="00D31021"/>
    <w:rsid w:val="00D31051"/>
    <w:rsid w:val="00D32065"/>
    <w:rsid w:val="00D34FD3"/>
    <w:rsid w:val="00D35D7F"/>
    <w:rsid w:val="00D36582"/>
    <w:rsid w:val="00D36B58"/>
    <w:rsid w:val="00D40627"/>
    <w:rsid w:val="00D40A82"/>
    <w:rsid w:val="00D40F65"/>
    <w:rsid w:val="00D4114E"/>
    <w:rsid w:val="00D41400"/>
    <w:rsid w:val="00D41639"/>
    <w:rsid w:val="00D4298F"/>
    <w:rsid w:val="00D42A3D"/>
    <w:rsid w:val="00D42DB7"/>
    <w:rsid w:val="00D448B5"/>
    <w:rsid w:val="00D44931"/>
    <w:rsid w:val="00D45CC4"/>
    <w:rsid w:val="00D46268"/>
    <w:rsid w:val="00D46D1D"/>
    <w:rsid w:val="00D474A0"/>
    <w:rsid w:val="00D47516"/>
    <w:rsid w:val="00D47A76"/>
    <w:rsid w:val="00D50280"/>
    <w:rsid w:val="00D503A0"/>
    <w:rsid w:val="00D50EF0"/>
    <w:rsid w:val="00D5284F"/>
    <w:rsid w:val="00D535C5"/>
    <w:rsid w:val="00D53F68"/>
    <w:rsid w:val="00D544E9"/>
    <w:rsid w:val="00D55049"/>
    <w:rsid w:val="00D55134"/>
    <w:rsid w:val="00D55EB3"/>
    <w:rsid w:val="00D563BE"/>
    <w:rsid w:val="00D5656F"/>
    <w:rsid w:val="00D5696A"/>
    <w:rsid w:val="00D5749C"/>
    <w:rsid w:val="00D609A4"/>
    <w:rsid w:val="00D60A93"/>
    <w:rsid w:val="00D63FDC"/>
    <w:rsid w:val="00D65734"/>
    <w:rsid w:val="00D659B0"/>
    <w:rsid w:val="00D65D1C"/>
    <w:rsid w:val="00D65E67"/>
    <w:rsid w:val="00D7048C"/>
    <w:rsid w:val="00D713B9"/>
    <w:rsid w:val="00D71DA9"/>
    <w:rsid w:val="00D7238F"/>
    <w:rsid w:val="00D7292F"/>
    <w:rsid w:val="00D74833"/>
    <w:rsid w:val="00D75961"/>
    <w:rsid w:val="00D75F7D"/>
    <w:rsid w:val="00D76E26"/>
    <w:rsid w:val="00D77D35"/>
    <w:rsid w:val="00D80D72"/>
    <w:rsid w:val="00D83097"/>
    <w:rsid w:val="00D83EA3"/>
    <w:rsid w:val="00D846F0"/>
    <w:rsid w:val="00D84A07"/>
    <w:rsid w:val="00D85623"/>
    <w:rsid w:val="00D863FF"/>
    <w:rsid w:val="00D8758D"/>
    <w:rsid w:val="00D87CA9"/>
    <w:rsid w:val="00D912EE"/>
    <w:rsid w:val="00D91459"/>
    <w:rsid w:val="00D91ACC"/>
    <w:rsid w:val="00D9333B"/>
    <w:rsid w:val="00D949FC"/>
    <w:rsid w:val="00D95336"/>
    <w:rsid w:val="00D95AB4"/>
    <w:rsid w:val="00D95C5C"/>
    <w:rsid w:val="00D968DD"/>
    <w:rsid w:val="00DA01AF"/>
    <w:rsid w:val="00DA2BAD"/>
    <w:rsid w:val="00DA3245"/>
    <w:rsid w:val="00DA38F8"/>
    <w:rsid w:val="00DA3919"/>
    <w:rsid w:val="00DA4F4D"/>
    <w:rsid w:val="00DA5A3A"/>
    <w:rsid w:val="00DA7376"/>
    <w:rsid w:val="00DA7A98"/>
    <w:rsid w:val="00DB03EE"/>
    <w:rsid w:val="00DB0446"/>
    <w:rsid w:val="00DB0814"/>
    <w:rsid w:val="00DB14D2"/>
    <w:rsid w:val="00DB1F3A"/>
    <w:rsid w:val="00DB26FA"/>
    <w:rsid w:val="00DB2732"/>
    <w:rsid w:val="00DB3EB0"/>
    <w:rsid w:val="00DB4766"/>
    <w:rsid w:val="00DB4947"/>
    <w:rsid w:val="00DB54D6"/>
    <w:rsid w:val="00DB5E4D"/>
    <w:rsid w:val="00DB6A4E"/>
    <w:rsid w:val="00DC04E8"/>
    <w:rsid w:val="00DC0769"/>
    <w:rsid w:val="00DC0A89"/>
    <w:rsid w:val="00DC181A"/>
    <w:rsid w:val="00DC1F46"/>
    <w:rsid w:val="00DC21CD"/>
    <w:rsid w:val="00DC2B36"/>
    <w:rsid w:val="00DC2CD2"/>
    <w:rsid w:val="00DC2F77"/>
    <w:rsid w:val="00DC36CB"/>
    <w:rsid w:val="00DC3830"/>
    <w:rsid w:val="00DC4FF1"/>
    <w:rsid w:val="00DC6071"/>
    <w:rsid w:val="00DC6304"/>
    <w:rsid w:val="00DC654B"/>
    <w:rsid w:val="00DC680A"/>
    <w:rsid w:val="00DC6C88"/>
    <w:rsid w:val="00DC73F6"/>
    <w:rsid w:val="00DC772A"/>
    <w:rsid w:val="00DC77D1"/>
    <w:rsid w:val="00DC7987"/>
    <w:rsid w:val="00DD0D4B"/>
    <w:rsid w:val="00DD26EB"/>
    <w:rsid w:val="00DD2EDC"/>
    <w:rsid w:val="00DD3FD6"/>
    <w:rsid w:val="00DD5C21"/>
    <w:rsid w:val="00DD6009"/>
    <w:rsid w:val="00DD601A"/>
    <w:rsid w:val="00DD75FE"/>
    <w:rsid w:val="00DD7B75"/>
    <w:rsid w:val="00DE0A17"/>
    <w:rsid w:val="00DE16DA"/>
    <w:rsid w:val="00DE1EE7"/>
    <w:rsid w:val="00DE3775"/>
    <w:rsid w:val="00DE4298"/>
    <w:rsid w:val="00DE4428"/>
    <w:rsid w:val="00DE4547"/>
    <w:rsid w:val="00DE59F6"/>
    <w:rsid w:val="00DE5E0A"/>
    <w:rsid w:val="00DE756E"/>
    <w:rsid w:val="00DE7F27"/>
    <w:rsid w:val="00DF07CD"/>
    <w:rsid w:val="00DF1971"/>
    <w:rsid w:val="00DF1C7F"/>
    <w:rsid w:val="00DF1F78"/>
    <w:rsid w:val="00DF24BA"/>
    <w:rsid w:val="00DF31B9"/>
    <w:rsid w:val="00DF5625"/>
    <w:rsid w:val="00DF7074"/>
    <w:rsid w:val="00DF7217"/>
    <w:rsid w:val="00DF7B16"/>
    <w:rsid w:val="00E0142D"/>
    <w:rsid w:val="00E01D2B"/>
    <w:rsid w:val="00E029A2"/>
    <w:rsid w:val="00E03246"/>
    <w:rsid w:val="00E034CB"/>
    <w:rsid w:val="00E03BC2"/>
    <w:rsid w:val="00E03E30"/>
    <w:rsid w:val="00E07607"/>
    <w:rsid w:val="00E102FF"/>
    <w:rsid w:val="00E104CF"/>
    <w:rsid w:val="00E107C3"/>
    <w:rsid w:val="00E1105D"/>
    <w:rsid w:val="00E11309"/>
    <w:rsid w:val="00E11336"/>
    <w:rsid w:val="00E118D6"/>
    <w:rsid w:val="00E1349B"/>
    <w:rsid w:val="00E14302"/>
    <w:rsid w:val="00E1562F"/>
    <w:rsid w:val="00E1679C"/>
    <w:rsid w:val="00E171BE"/>
    <w:rsid w:val="00E20419"/>
    <w:rsid w:val="00E21CC9"/>
    <w:rsid w:val="00E21F9F"/>
    <w:rsid w:val="00E223DA"/>
    <w:rsid w:val="00E23721"/>
    <w:rsid w:val="00E23978"/>
    <w:rsid w:val="00E23C08"/>
    <w:rsid w:val="00E2408E"/>
    <w:rsid w:val="00E24BB4"/>
    <w:rsid w:val="00E256D5"/>
    <w:rsid w:val="00E258D6"/>
    <w:rsid w:val="00E2597D"/>
    <w:rsid w:val="00E25CC1"/>
    <w:rsid w:val="00E25F1A"/>
    <w:rsid w:val="00E32DCD"/>
    <w:rsid w:val="00E33A5F"/>
    <w:rsid w:val="00E3529D"/>
    <w:rsid w:val="00E352DB"/>
    <w:rsid w:val="00E36504"/>
    <w:rsid w:val="00E36C72"/>
    <w:rsid w:val="00E40ADF"/>
    <w:rsid w:val="00E41218"/>
    <w:rsid w:val="00E418D4"/>
    <w:rsid w:val="00E41F08"/>
    <w:rsid w:val="00E449E7"/>
    <w:rsid w:val="00E44BDF"/>
    <w:rsid w:val="00E452A9"/>
    <w:rsid w:val="00E50B80"/>
    <w:rsid w:val="00E50C25"/>
    <w:rsid w:val="00E50D13"/>
    <w:rsid w:val="00E5102E"/>
    <w:rsid w:val="00E524D0"/>
    <w:rsid w:val="00E52EB4"/>
    <w:rsid w:val="00E54113"/>
    <w:rsid w:val="00E54702"/>
    <w:rsid w:val="00E569B8"/>
    <w:rsid w:val="00E56B5A"/>
    <w:rsid w:val="00E600F8"/>
    <w:rsid w:val="00E60243"/>
    <w:rsid w:val="00E60899"/>
    <w:rsid w:val="00E61001"/>
    <w:rsid w:val="00E6172C"/>
    <w:rsid w:val="00E61BBC"/>
    <w:rsid w:val="00E62315"/>
    <w:rsid w:val="00E62D21"/>
    <w:rsid w:val="00E63090"/>
    <w:rsid w:val="00E6334F"/>
    <w:rsid w:val="00E6450D"/>
    <w:rsid w:val="00E64550"/>
    <w:rsid w:val="00E678B6"/>
    <w:rsid w:val="00E67AB3"/>
    <w:rsid w:val="00E70468"/>
    <w:rsid w:val="00E70559"/>
    <w:rsid w:val="00E70953"/>
    <w:rsid w:val="00E71336"/>
    <w:rsid w:val="00E71BEB"/>
    <w:rsid w:val="00E71DC4"/>
    <w:rsid w:val="00E71F34"/>
    <w:rsid w:val="00E727E0"/>
    <w:rsid w:val="00E73371"/>
    <w:rsid w:val="00E7385D"/>
    <w:rsid w:val="00E73ED7"/>
    <w:rsid w:val="00E74478"/>
    <w:rsid w:val="00E75A01"/>
    <w:rsid w:val="00E760BC"/>
    <w:rsid w:val="00E763BC"/>
    <w:rsid w:val="00E7687A"/>
    <w:rsid w:val="00E76EC8"/>
    <w:rsid w:val="00E77447"/>
    <w:rsid w:val="00E77811"/>
    <w:rsid w:val="00E801B6"/>
    <w:rsid w:val="00E80D49"/>
    <w:rsid w:val="00E826B0"/>
    <w:rsid w:val="00E82CC7"/>
    <w:rsid w:val="00E82FA1"/>
    <w:rsid w:val="00E8350E"/>
    <w:rsid w:val="00E8371B"/>
    <w:rsid w:val="00E874CE"/>
    <w:rsid w:val="00E877F5"/>
    <w:rsid w:val="00E91864"/>
    <w:rsid w:val="00E91F83"/>
    <w:rsid w:val="00E92258"/>
    <w:rsid w:val="00E92394"/>
    <w:rsid w:val="00E932EE"/>
    <w:rsid w:val="00E9354C"/>
    <w:rsid w:val="00E94F09"/>
    <w:rsid w:val="00E9535F"/>
    <w:rsid w:val="00E957D4"/>
    <w:rsid w:val="00E96024"/>
    <w:rsid w:val="00E9728B"/>
    <w:rsid w:val="00E97DFF"/>
    <w:rsid w:val="00E97E4F"/>
    <w:rsid w:val="00EA0804"/>
    <w:rsid w:val="00EA0B35"/>
    <w:rsid w:val="00EA0DE5"/>
    <w:rsid w:val="00EA1B67"/>
    <w:rsid w:val="00EA1D4C"/>
    <w:rsid w:val="00EA40E2"/>
    <w:rsid w:val="00EA4398"/>
    <w:rsid w:val="00EA4FFE"/>
    <w:rsid w:val="00EA5346"/>
    <w:rsid w:val="00EA5352"/>
    <w:rsid w:val="00EA6202"/>
    <w:rsid w:val="00EA6411"/>
    <w:rsid w:val="00EA6FDB"/>
    <w:rsid w:val="00EA70F5"/>
    <w:rsid w:val="00EA7D0B"/>
    <w:rsid w:val="00EB0C2C"/>
    <w:rsid w:val="00EB13D8"/>
    <w:rsid w:val="00EB172B"/>
    <w:rsid w:val="00EB1B8D"/>
    <w:rsid w:val="00EB2895"/>
    <w:rsid w:val="00EB379C"/>
    <w:rsid w:val="00EB459B"/>
    <w:rsid w:val="00EB4BFD"/>
    <w:rsid w:val="00EB69C0"/>
    <w:rsid w:val="00EC0762"/>
    <w:rsid w:val="00EC098E"/>
    <w:rsid w:val="00EC0B23"/>
    <w:rsid w:val="00EC0D49"/>
    <w:rsid w:val="00EC2902"/>
    <w:rsid w:val="00EC372F"/>
    <w:rsid w:val="00EC42EB"/>
    <w:rsid w:val="00EC5294"/>
    <w:rsid w:val="00EC5EDC"/>
    <w:rsid w:val="00EC7A97"/>
    <w:rsid w:val="00ED06A4"/>
    <w:rsid w:val="00ED0766"/>
    <w:rsid w:val="00ED19E4"/>
    <w:rsid w:val="00ED1FED"/>
    <w:rsid w:val="00ED297E"/>
    <w:rsid w:val="00ED49EE"/>
    <w:rsid w:val="00EE03A4"/>
    <w:rsid w:val="00EE0E90"/>
    <w:rsid w:val="00EE16B7"/>
    <w:rsid w:val="00EE1910"/>
    <w:rsid w:val="00EE1CFE"/>
    <w:rsid w:val="00EE1D53"/>
    <w:rsid w:val="00EE2025"/>
    <w:rsid w:val="00EE27F9"/>
    <w:rsid w:val="00EE29D4"/>
    <w:rsid w:val="00EE3486"/>
    <w:rsid w:val="00EE35C3"/>
    <w:rsid w:val="00EE388A"/>
    <w:rsid w:val="00EE401E"/>
    <w:rsid w:val="00EE4049"/>
    <w:rsid w:val="00EE4795"/>
    <w:rsid w:val="00EE4950"/>
    <w:rsid w:val="00EE4CD4"/>
    <w:rsid w:val="00EE4D31"/>
    <w:rsid w:val="00EE4E4C"/>
    <w:rsid w:val="00EE5BBF"/>
    <w:rsid w:val="00EE64C4"/>
    <w:rsid w:val="00EE6506"/>
    <w:rsid w:val="00EE78F3"/>
    <w:rsid w:val="00EE7D52"/>
    <w:rsid w:val="00EF0B99"/>
    <w:rsid w:val="00EF1318"/>
    <w:rsid w:val="00EF1351"/>
    <w:rsid w:val="00EF19B4"/>
    <w:rsid w:val="00EF24CF"/>
    <w:rsid w:val="00EF322E"/>
    <w:rsid w:val="00EF3260"/>
    <w:rsid w:val="00EF3D2D"/>
    <w:rsid w:val="00EF4294"/>
    <w:rsid w:val="00EF4754"/>
    <w:rsid w:val="00EF4C4F"/>
    <w:rsid w:val="00EF5C26"/>
    <w:rsid w:val="00EF69DE"/>
    <w:rsid w:val="00EF7521"/>
    <w:rsid w:val="00F01BE5"/>
    <w:rsid w:val="00F0218C"/>
    <w:rsid w:val="00F02692"/>
    <w:rsid w:val="00F02A9E"/>
    <w:rsid w:val="00F02DEF"/>
    <w:rsid w:val="00F038BE"/>
    <w:rsid w:val="00F03D5C"/>
    <w:rsid w:val="00F06633"/>
    <w:rsid w:val="00F066DD"/>
    <w:rsid w:val="00F06EF5"/>
    <w:rsid w:val="00F078A6"/>
    <w:rsid w:val="00F07AEE"/>
    <w:rsid w:val="00F07EEF"/>
    <w:rsid w:val="00F10FC9"/>
    <w:rsid w:val="00F113C7"/>
    <w:rsid w:val="00F12445"/>
    <w:rsid w:val="00F1247B"/>
    <w:rsid w:val="00F1257C"/>
    <w:rsid w:val="00F12706"/>
    <w:rsid w:val="00F14094"/>
    <w:rsid w:val="00F14D6B"/>
    <w:rsid w:val="00F14F71"/>
    <w:rsid w:val="00F16B77"/>
    <w:rsid w:val="00F1729D"/>
    <w:rsid w:val="00F206A2"/>
    <w:rsid w:val="00F20EEE"/>
    <w:rsid w:val="00F2137E"/>
    <w:rsid w:val="00F220C8"/>
    <w:rsid w:val="00F24528"/>
    <w:rsid w:val="00F247AF"/>
    <w:rsid w:val="00F2512E"/>
    <w:rsid w:val="00F25177"/>
    <w:rsid w:val="00F25FE8"/>
    <w:rsid w:val="00F26A67"/>
    <w:rsid w:val="00F274EE"/>
    <w:rsid w:val="00F300C3"/>
    <w:rsid w:val="00F308D5"/>
    <w:rsid w:val="00F31299"/>
    <w:rsid w:val="00F31BB7"/>
    <w:rsid w:val="00F32995"/>
    <w:rsid w:val="00F32F6C"/>
    <w:rsid w:val="00F3345B"/>
    <w:rsid w:val="00F33A91"/>
    <w:rsid w:val="00F34515"/>
    <w:rsid w:val="00F355AC"/>
    <w:rsid w:val="00F360F1"/>
    <w:rsid w:val="00F36579"/>
    <w:rsid w:val="00F368CF"/>
    <w:rsid w:val="00F36DE5"/>
    <w:rsid w:val="00F37FED"/>
    <w:rsid w:val="00F40366"/>
    <w:rsid w:val="00F4047B"/>
    <w:rsid w:val="00F405B8"/>
    <w:rsid w:val="00F4102E"/>
    <w:rsid w:val="00F417D8"/>
    <w:rsid w:val="00F42DBE"/>
    <w:rsid w:val="00F4383D"/>
    <w:rsid w:val="00F4388A"/>
    <w:rsid w:val="00F43EDF"/>
    <w:rsid w:val="00F46E24"/>
    <w:rsid w:val="00F47726"/>
    <w:rsid w:val="00F5018C"/>
    <w:rsid w:val="00F5020A"/>
    <w:rsid w:val="00F50753"/>
    <w:rsid w:val="00F5108B"/>
    <w:rsid w:val="00F5137B"/>
    <w:rsid w:val="00F51C52"/>
    <w:rsid w:val="00F52146"/>
    <w:rsid w:val="00F522E6"/>
    <w:rsid w:val="00F525A3"/>
    <w:rsid w:val="00F52F9F"/>
    <w:rsid w:val="00F5338E"/>
    <w:rsid w:val="00F53942"/>
    <w:rsid w:val="00F5453D"/>
    <w:rsid w:val="00F5489F"/>
    <w:rsid w:val="00F55470"/>
    <w:rsid w:val="00F56CEC"/>
    <w:rsid w:val="00F56D5F"/>
    <w:rsid w:val="00F570ED"/>
    <w:rsid w:val="00F60211"/>
    <w:rsid w:val="00F6078C"/>
    <w:rsid w:val="00F61597"/>
    <w:rsid w:val="00F6254B"/>
    <w:rsid w:val="00F6333C"/>
    <w:rsid w:val="00F63B19"/>
    <w:rsid w:val="00F64458"/>
    <w:rsid w:val="00F6607A"/>
    <w:rsid w:val="00F676E5"/>
    <w:rsid w:val="00F6779D"/>
    <w:rsid w:val="00F6788D"/>
    <w:rsid w:val="00F701FB"/>
    <w:rsid w:val="00F70258"/>
    <w:rsid w:val="00F707B2"/>
    <w:rsid w:val="00F71096"/>
    <w:rsid w:val="00F71EED"/>
    <w:rsid w:val="00F71F8E"/>
    <w:rsid w:val="00F72376"/>
    <w:rsid w:val="00F73095"/>
    <w:rsid w:val="00F73435"/>
    <w:rsid w:val="00F73A15"/>
    <w:rsid w:val="00F74E78"/>
    <w:rsid w:val="00F74FD0"/>
    <w:rsid w:val="00F76F5A"/>
    <w:rsid w:val="00F77074"/>
    <w:rsid w:val="00F77EBE"/>
    <w:rsid w:val="00F77FCE"/>
    <w:rsid w:val="00F80FAE"/>
    <w:rsid w:val="00F8102F"/>
    <w:rsid w:val="00F81FCF"/>
    <w:rsid w:val="00F82769"/>
    <w:rsid w:val="00F827D5"/>
    <w:rsid w:val="00F837E9"/>
    <w:rsid w:val="00F84A0F"/>
    <w:rsid w:val="00F860EF"/>
    <w:rsid w:val="00F861AE"/>
    <w:rsid w:val="00F8688F"/>
    <w:rsid w:val="00F86F06"/>
    <w:rsid w:val="00F87026"/>
    <w:rsid w:val="00F875D3"/>
    <w:rsid w:val="00F87EC8"/>
    <w:rsid w:val="00F90E10"/>
    <w:rsid w:val="00F92A58"/>
    <w:rsid w:val="00F93B21"/>
    <w:rsid w:val="00F941AD"/>
    <w:rsid w:val="00F94B7E"/>
    <w:rsid w:val="00F95846"/>
    <w:rsid w:val="00F973F0"/>
    <w:rsid w:val="00FA0106"/>
    <w:rsid w:val="00FA08C2"/>
    <w:rsid w:val="00FA0F85"/>
    <w:rsid w:val="00FA121A"/>
    <w:rsid w:val="00FA12A7"/>
    <w:rsid w:val="00FA2E42"/>
    <w:rsid w:val="00FA3301"/>
    <w:rsid w:val="00FA367B"/>
    <w:rsid w:val="00FA49BE"/>
    <w:rsid w:val="00FA4F91"/>
    <w:rsid w:val="00FA5166"/>
    <w:rsid w:val="00FA59EB"/>
    <w:rsid w:val="00FA6C09"/>
    <w:rsid w:val="00FA74EE"/>
    <w:rsid w:val="00FA7600"/>
    <w:rsid w:val="00FB0608"/>
    <w:rsid w:val="00FB0D96"/>
    <w:rsid w:val="00FB1477"/>
    <w:rsid w:val="00FB221D"/>
    <w:rsid w:val="00FB2582"/>
    <w:rsid w:val="00FB26CF"/>
    <w:rsid w:val="00FB2D25"/>
    <w:rsid w:val="00FB300E"/>
    <w:rsid w:val="00FB42D5"/>
    <w:rsid w:val="00FB4349"/>
    <w:rsid w:val="00FB5469"/>
    <w:rsid w:val="00FB5DB0"/>
    <w:rsid w:val="00FB67B7"/>
    <w:rsid w:val="00FC03B7"/>
    <w:rsid w:val="00FC0B24"/>
    <w:rsid w:val="00FC0C21"/>
    <w:rsid w:val="00FC26D0"/>
    <w:rsid w:val="00FC29FC"/>
    <w:rsid w:val="00FC3B0B"/>
    <w:rsid w:val="00FC4CE8"/>
    <w:rsid w:val="00FC4F65"/>
    <w:rsid w:val="00FC4FE1"/>
    <w:rsid w:val="00FC5E17"/>
    <w:rsid w:val="00FC6ED1"/>
    <w:rsid w:val="00FC79F7"/>
    <w:rsid w:val="00FD182D"/>
    <w:rsid w:val="00FD1FF5"/>
    <w:rsid w:val="00FD282B"/>
    <w:rsid w:val="00FD36F8"/>
    <w:rsid w:val="00FD508A"/>
    <w:rsid w:val="00FD5B2E"/>
    <w:rsid w:val="00FD5FAD"/>
    <w:rsid w:val="00FD6704"/>
    <w:rsid w:val="00FD6C84"/>
    <w:rsid w:val="00FD7088"/>
    <w:rsid w:val="00FD773F"/>
    <w:rsid w:val="00FD7B88"/>
    <w:rsid w:val="00FE076F"/>
    <w:rsid w:val="00FE0965"/>
    <w:rsid w:val="00FE1F79"/>
    <w:rsid w:val="00FE2400"/>
    <w:rsid w:val="00FE26DB"/>
    <w:rsid w:val="00FE28CF"/>
    <w:rsid w:val="00FE2CB8"/>
    <w:rsid w:val="00FE3211"/>
    <w:rsid w:val="00FE3383"/>
    <w:rsid w:val="00FE43A8"/>
    <w:rsid w:val="00FE4695"/>
    <w:rsid w:val="00FE4897"/>
    <w:rsid w:val="00FE4CA4"/>
    <w:rsid w:val="00FE4F45"/>
    <w:rsid w:val="00FE585C"/>
    <w:rsid w:val="00FE6C50"/>
    <w:rsid w:val="00FE6CEA"/>
    <w:rsid w:val="00FE6D44"/>
    <w:rsid w:val="00FE70A0"/>
    <w:rsid w:val="00FE7A1A"/>
    <w:rsid w:val="00FF0048"/>
    <w:rsid w:val="00FF05B2"/>
    <w:rsid w:val="00FF06C3"/>
    <w:rsid w:val="00FF1742"/>
    <w:rsid w:val="00FF28C4"/>
    <w:rsid w:val="00FF342C"/>
    <w:rsid w:val="00FF4322"/>
    <w:rsid w:val="00FF48DC"/>
    <w:rsid w:val="00FF5147"/>
    <w:rsid w:val="00FF51D8"/>
    <w:rsid w:val="00FF574E"/>
    <w:rsid w:val="00FF57F2"/>
    <w:rsid w:val="00FF586A"/>
    <w:rsid w:val="00FF5AEF"/>
    <w:rsid w:val="00FF5C4B"/>
    <w:rsid w:val="00FF61F4"/>
    <w:rsid w:val="00FF68DB"/>
    <w:rsid w:val="00FF6BBC"/>
    <w:rsid w:val="00FF77FC"/>
    <w:rsid w:val="00FF788F"/>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94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A9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E8"/>
    <w:pPr>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9A0B7B"/>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9A0B7B"/>
  </w:style>
  <w:style w:type="character" w:styleId="FootnoteReference">
    <w:name w:val="footnote reference"/>
    <w:basedOn w:val="DefaultParagraphFont"/>
    <w:uiPriority w:val="99"/>
    <w:unhideWhenUsed/>
    <w:rsid w:val="009A0B7B"/>
    <w:rPr>
      <w:vertAlign w:val="superscript"/>
    </w:rPr>
  </w:style>
  <w:style w:type="paragraph" w:styleId="Caption">
    <w:name w:val="caption"/>
    <w:basedOn w:val="Normal"/>
    <w:next w:val="Normal"/>
    <w:uiPriority w:val="35"/>
    <w:unhideWhenUsed/>
    <w:qFormat/>
    <w:rsid w:val="00196D6D"/>
    <w:pPr>
      <w:spacing w:after="200"/>
    </w:pPr>
    <w:rPr>
      <w:rFonts w:eastAsiaTheme="minorHAnsi"/>
      <w:i/>
      <w:iCs/>
      <w:color w:val="44546A" w:themeColor="text2"/>
      <w:sz w:val="18"/>
      <w:szCs w:val="18"/>
      <w:lang w:val="en-US"/>
    </w:rPr>
  </w:style>
  <w:style w:type="table" w:styleId="TableGrid">
    <w:name w:val="Table Grid"/>
    <w:basedOn w:val="TableNormal"/>
    <w:uiPriority w:val="39"/>
    <w:rsid w:val="00A2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CE9"/>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B7CE9"/>
  </w:style>
  <w:style w:type="paragraph" w:styleId="Footer">
    <w:name w:val="footer"/>
    <w:basedOn w:val="Normal"/>
    <w:link w:val="FooterChar"/>
    <w:uiPriority w:val="99"/>
    <w:unhideWhenUsed/>
    <w:rsid w:val="002B7CE9"/>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B7CE9"/>
  </w:style>
  <w:style w:type="character" w:styleId="Hyperlink">
    <w:name w:val="Hyperlink"/>
    <w:basedOn w:val="DefaultParagraphFont"/>
    <w:uiPriority w:val="99"/>
    <w:unhideWhenUsed/>
    <w:rsid w:val="00D563BE"/>
    <w:rPr>
      <w:color w:val="0563C1" w:themeColor="hyperlink"/>
      <w:u w:val="single"/>
    </w:rPr>
  </w:style>
  <w:style w:type="character" w:customStyle="1" w:styleId="apple-converted-space">
    <w:name w:val="apple-converted-space"/>
    <w:basedOn w:val="DefaultParagraphFont"/>
    <w:rsid w:val="00D563BE"/>
  </w:style>
  <w:style w:type="character" w:customStyle="1" w:styleId="ref-journal">
    <w:name w:val="ref-journal"/>
    <w:basedOn w:val="DefaultParagraphFont"/>
    <w:rsid w:val="00D563BE"/>
  </w:style>
  <w:style w:type="character" w:customStyle="1" w:styleId="ref-vol">
    <w:name w:val="ref-vol"/>
    <w:basedOn w:val="DefaultParagraphFont"/>
    <w:rsid w:val="00D563BE"/>
  </w:style>
  <w:style w:type="character" w:customStyle="1" w:styleId="citation">
    <w:name w:val="citation"/>
    <w:basedOn w:val="DefaultParagraphFont"/>
    <w:rsid w:val="00D563BE"/>
  </w:style>
  <w:style w:type="character" w:customStyle="1" w:styleId="cit-pub-date">
    <w:name w:val="cit-pub-date"/>
    <w:basedOn w:val="DefaultParagraphFont"/>
    <w:rsid w:val="00D563BE"/>
  </w:style>
  <w:style w:type="character" w:customStyle="1" w:styleId="cit-source">
    <w:name w:val="cit-source"/>
    <w:basedOn w:val="DefaultParagraphFont"/>
    <w:rsid w:val="00D563BE"/>
  </w:style>
  <w:style w:type="character" w:customStyle="1" w:styleId="cit-vol">
    <w:name w:val="cit-vol"/>
    <w:basedOn w:val="DefaultParagraphFont"/>
    <w:rsid w:val="00D563BE"/>
  </w:style>
  <w:style w:type="character" w:customStyle="1" w:styleId="cit-fpage">
    <w:name w:val="cit-fpage"/>
    <w:basedOn w:val="DefaultParagraphFont"/>
    <w:rsid w:val="00D563BE"/>
  </w:style>
  <w:style w:type="character" w:customStyle="1" w:styleId="UnresolvedMention1">
    <w:name w:val="Unresolved Mention1"/>
    <w:basedOn w:val="DefaultParagraphFont"/>
    <w:uiPriority w:val="99"/>
    <w:rsid w:val="00034426"/>
    <w:rPr>
      <w:color w:val="808080"/>
      <w:shd w:val="clear" w:color="auto" w:fill="E6E6E6"/>
    </w:rPr>
  </w:style>
  <w:style w:type="paragraph" w:styleId="BalloonText">
    <w:name w:val="Balloon Text"/>
    <w:basedOn w:val="Normal"/>
    <w:link w:val="BalloonTextChar"/>
    <w:uiPriority w:val="99"/>
    <w:semiHidden/>
    <w:unhideWhenUsed/>
    <w:rsid w:val="003B3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FBA"/>
    <w:rPr>
      <w:rFonts w:ascii="Segoe UI" w:hAnsi="Segoe UI" w:cs="Segoe UI"/>
      <w:sz w:val="18"/>
      <w:szCs w:val="18"/>
    </w:rPr>
  </w:style>
  <w:style w:type="character" w:styleId="CommentReference">
    <w:name w:val="annotation reference"/>
    <w:basedOn w:val="DefaultParagraphFont"/>
    <w:uiPriority w:val="99"/>
    <w:semiHidden/>
    <w:unhideWhenUsed/>
    <w:rsid w:val="003B3FBA"/>
    <w:rPr>
      <w:sz w:val="16"/>
      <w:szCs w:val="16"/>
    </w:rPr>
  </w:style>
  <w:style w:type="paragraph" w:styleId="CommentText">
    <w:name w:val="annotation text"/>
    <w:basedOn w:val="Normal"/>
    <w:link w:val="CommentTextChar"/>
    <w:uiPriority w:val="99"/>
    <w:semiHidden/>
    <w:unhideWhenUsed/>
    <w:rsid w:val="003B3FBA"/>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B3FBA"/>
    <w:rPr>
      <w:sz w:val="20"/>
      <w:szCs w:val="20"/>
    </w:rPr>
  </w:style>
  <w:style w:type="paragraph" w:styleId="CommentSubject">
    <w:name w:val="annotation subject"/>
    <w:basedOn w:val="CommentText"/>
    <w:next w:val="CommentText"/>
    <w:link w:val="CommentSubjectChar"/>
    <w:uiPriority w:val="99"/>
    <w:semiHidden/>
    <w:unhideWhenUsed/>
    <w:rsid w:val="003B3FBA"/>
    <w:rPr>
      <w:b/>
      <w:bCs/>
    </w:rPr>
  </w:style>
  <w:style w:type="character" w:customStyle="1" w:styleId="CommentSubjectChar">
    <w:name w:val="Comment Subject Char"/>
    <w:basedOn w:val="CommentTextChar"/>
    <w:link w:val="CommentSubject"/>
    <w:uiPriority w:val="99"/>
    <w:semiHidden/>
    <w:rsid w:val="003B3FBA"/>
    <w:rPr>
      <w:b/>
      <w:bCs/>
      <w:sz w:val="20"/>
      <w:szCs w:val="20"/>
    </w:rPr>
  </w:style>
  <w:style w:type="character" w:styleId="PageNumber">
    <w:name w:val="page number"/>
    <w:basedOn w:val="DefaultParagraphFont"/>
    <w:uiPriority w:val="99"/>
    <w:semiHidden/>
    <w:unhideWhenUsed/>
    <w:rsid w:val="00CB77B7"/>
  </w:style>
  <w:style w:type="paragraph" w:styleId="Revision">
    <w:name w:val="Revision"/>
    <w:hidden/>
    <w:uiPriority w:val="99"/>
    <w:semiHidden/>
    <w:rsid w:val="00F1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371">
      <w:bodyDiv w:val="1"/>
      <w:marLeft w:val="0"/>
      <w:marRight w:val="0"/>
      <w:marTop w:val="0"/>
      <w:marBottom w:val="0"/>
      <w:divBdr>
        <w:top w:val="none" w:sz="0" w:space="0" w:color="auto"/>
        <w:left w:val="none" w:sz="0" w:space="0" w:color="auto"/>
        <w:bottom w:val="none" w:sz="0" w:space="0" w:color="auto"/>
        <w:right w:val="none" w:sz="0" w:space="0" w:color="auto"/>
      </w:divBdr>
    </w:div>
    <w:div w:id="63534431">
      <w:bodyDiv w:val="1"/>
      <w:marLeft w:val="0"/>
      <w:marRight w:val="0"/>
      <w:marTop w:val="0"/>
      <w:marBottom w:val="0"/>
      <w:divBdr>
        <w:top w:val="none" w:sz="0" w:space="0" w:color="auto"/>
        <w:left w:val="none" w:sz="0" w:space="0" w:color="auto"/>
        <w:bottom w:val="none" w:sz="0" w:space="0" w:color="auto"/>
        <w:right w:val="none" w:sz="0" w:space="0" w:color="auto"/>
      </w:divBdr>
    </w:div>
    <w:div w:id="103041835">
      <w:bodyDiv w:val="1"/>
      <w:marLeft w:val="0"/>
      <w:marRight w:val="0"/>
      <w:marTop w:val="0"/>
      <w:marBottom w:val="0"/>
      <w:divBdr>
        <w:top w:val="none" w:sz="0" w:space="0" w:color="auto"/>
        <w:left w:val="none" w:sz="0" w:space="0" w:color="auto"/>
        <w:bottom w:val="none" w:sz="0" w:space="0" w:color="auto"/>
        <w:right w:val="none" w:sz="0" w:space="0" w:color="auto"/>
      </w:divBdr>
    </w:div>
    <w:div w:id="396172252">
      <w:bodyDiv w:val="1"/>
      <w:marLeft w:val="0"/>
      <w:marRight w:val="0"/>
      <w:marTop w:val="0"/>
      <w:marBottom w:val="0"/>
      <w:divBdr>
        <w:top w:val="none" w:sz="0" w:space="0" w:color="auto"/>
        <w:left w:val="none" w:sz="0" w:space="0" w:color="auto"/>
        <w:bottom w:val="none" w:sz="0" w:space="0" w:color="auto"/>
        <w:right w:val="none" w:sz="0" w:space="0" w:color="auto"/>
      </w:divBdr>
    </w:div>
    <w:div w:id="398020823">
      <w:bodyDiv w:val="1"/>
      <w:marLeft w:val="0"/>
      <w:marRight w:val="0"/>
      <w:marTop w:val="0"/>
      <w:marBottom w:val="0"/>
      <w:divBdr>
        <w:top w:val="none" w:sz="0" w:space="0" w:color="auto"/>
        <w:left w:val="none" w:sz="0" w:space="0" w:color="auto"/>
        <w:bottom w:val="none" w:sz="0" w:space="0" w:color="auto"/>
        <w:right w:val="none" w:sz="0" w:space="0" w:color="auto"/>
      </w:divBdr>
    </w:div>
    <w:div w:id="501047963">
      <w:bodyDiv w:val="1"/>
      <w:marLeft w:val="0"/>
      <w:marRight w:val="0"/>
      <w:marTop w:val="0"/>
      <w:marBottom w:val="0"/>
      <w:divBdr>
        <w:top w:val="none" w:sz="0" w:space="0" w:color="auto"/>
        <w:left w:val="none" w:sz="0" w:space="0" w:color="auto"/>
        <w:bottom w:val="none" w:sz="0" w:space="0" w:color="auto"/>
        <w:right w:val="none" w:sz="0" w:space="0" w:color="auto"/>
      </w:divBdr>
    </w:div>
    <w:div w:id="529997784">
      <w:bodyDiv w:val="1"/>
      <w:marLeft w:val="0"/>
      <w:marRight w:val="0"/>
      <w:marTop w:val="0"/>
      <w:marBottom w:val="0"/>
      <w:divBdr>
        <w:top w:val="none" w:sz="0" w:space="0" w:color="auto"/>
        <w:left w:val="none" w:sz="0" w:space="0" w:color="auto"/>
        <w:bottom w:val="none" w:sz="0" w:space="0" w:color="auto"/>
        <w:right w:val="none" w:sz="0" w:space="0" w:color="auto"/>
      </w:divBdr>
    </w:div>
    <w:div w:id="547030596">
      <w:bodyDiv w:val="1"/>
      <w:marLeft w:val="0"/>
      <w:marRight w:val="0"/>
      <w:marTop w:val="0"/>
      <w:marBottom w:val="0"/>
      <w:divBdr>
        <w:top w:val="none" w:sz="0" w:space="0" w:color="auto"/>
        <w:left w:val="none" w:sz="0" w:space="0" w:color="auto"/>
        <w:bottom w:val="none" w:sz="0" w:space="0" w:color="auto"/>
        <w:right w:val="none" w:sz="0" w:space="0" w:color="auto"/>
      </w:divBdr>
    </w:div>
    <w:div w:id="569460958">
      <w:bodyDiv w:val="1"/>
      <w:marLeft w:val="0"/>
      <w:marRight w:val="0"/>
      <w:marTop w:val="0"/>
      <w:marBottom w:val="0"/>
      <w:divBdr>
        <w:top w:val="none" w:sz="0" w:space="0" w:color="auto"/>
        <w:left w:val="none" w:sz="0" w:space="0" w:color="auto"/>
        <w:bottom w:val="none" w:sz="0" w:space="0" w:color="auto"/>
        <w:right w:val="none" w:sz="0" w:space="0" w:color="auto"/>
      </w:divBdr>
    </w:div>
    <w:div w:id="593977210">
      <w:bodyDiv w:val="1"/>
      <w:marLeft w:val="0"/>
      <w:marRight w:val="0"/>
      <w:marTop w:val="0"/>
      <w:marBottom w:val="0"/>
      <w:divBdr>
        <w:top w:val="none" w:sz="0" w:space="0" w:color="auto"/>
        <w:left w:val="none" w:sz="0" w:space="0" w:color="auto"/>
        <w:bottom w:val="none" w:sz="0" w:space="0" w:color="auto"/>
        <w:right w:val="none" w:sz="0" w:space="0" w:color="auto"/>
      </w:divBdr>
    </w:div>
    <w:div w:id="609506365">
      <w:bodyDiv w:val="1"/>
      <w:marLeft w:val="0"/>
      <w:marRight w:val="0"/>
      <w:marTop w:val="0"/>
      <w:marBottom w:val="0"/>
      <w:divBdr>
        <w:top w:val="none" w:sz="0" w:space="0" w:color="auto"/>
        <w:left w:val="none" w:sz="0" w:space="0" w:color="auto"/>
        <w:bottom w:val="none" w:sz="0" w:space="0" w:color="auto"/>
        <w:right w:val="none" w:sz="0" w:space="0" w:color="auto"/>
      </w:divBdr>
    </w:div>
    <w:div w:id="694355011">
      <w:bodyDiv w:val="1"/>
      <w:marLeft w:val="0"/>
      <w:marRight w:val="0"/>
      <w:marTop w:val="0"/>
      <w:marBottom w:val="0"/>
      <w:divBdr>
        <w:top w:val="none" w:sz="0" w:space="0" w:color="auto"/>
        <w:left w:val="none" w:sz="0" w:space="0" w:color="auto"/>
        <w:bottom w:val="none" w:sz="0" w:space="0" w:color="auto"/>
        <w:right w:val="none" w:sz="0" w:space="0" w:color="auto"/>
      </w:divBdr>
    </w:div>
    <w:div w:id="733041839">
      <w:bodyDiv w:val="1"/>
      <w:marLeft w:val="0"/>
      <w:marRight w:val="0"/>
      <w:marTop w:val="0"/>
      <w:marBottom w:val="0"/>
      <w:divBdr>
        <w:top w:val="none" w:sz="0" w:space="0" w:color="auto"/>
        <w:left w:val="none" w:sz="0" w:space="0" w:color="auto"/>
        <w:bottom w:val="none" w:sz="0" w:space="0" w:color="auto"/>
        <w:right w:val="none" w:sz="0" w:space="0" w:color="auto"/>
      </w:divBdr>
    </w:div>
    <w:div w:id="820004017">
      <w:bodyDiv w:val="1"/>
      <w:marLeft w:val="0"/>
      <w:marRight w:val="0"/>
      <w:marTop w:val="0"/>
      <w:marBottom w:val="0"/>
      <w:divBdr>
        <w:top w:val="none" w:sz="0" w:space="0" w:color="auto"/>
        <w:left w:val="none" w:sz="0" w:space="0" w:color="auto"/>
        <w:bottom w:val="none" w:sz="0" w:space="0" w:color="auto"/>
        <w:right w:val="none" w:sz="0" w:space="0" w:color="auto"/>
      </w:divBdr>
    </w:div>
    <w:div w:id="903877712">
      <w:bodyDiv w:val="1"/>
      <w:marLeft w:val="0"/>
      <w:marRight w:val="0"/>
      <w:marTop w:val="0"/>
      <w:marBottom w:val="0"/>
      <w:divBdr>
        <w:top w:val="none" w:sz="0" w:space="0" w:color="auto"/>
        <w:left w:val="none" w:sz="0" w:space="0" w:color="auto"/>
        <w:bottom w:val="none" w:sz="0" w:space="0" w:color="auto"/>
        <w:right w:val="none" w:sz="0" w:space="0" w:color="auto"/>
      </w:divBdr>
    </w:div>
    <w:div w:id="956370846">
      <w:bodyDiv w:val="1"/>
      <w:marLeft w:val="0"/>
      <w:marRight w:val="0"/>
      <w:marTop w:val="0"/>
      <w:marBottom w:val="0"/>
      <w:divBdr>
        <w:top w:val="none" w:sz="0" w:space="0" w:color="auto"/>
        <w:left w:val="none" w:sz="0" w:space="0" w:color="auto"/>
        <w:bottom w:val="none" w:sz="0" w:space="0" w:color="auto"/>
        <w:right w:val="none" w:sz="0" w:space="0" w:color="auto"/>
      </w:divBdr>
    </w:div>
    <w:div w:id="983585262">
      <w:bodyDiv w:val="1"/>
      <w:marLeft w:val="0"/>
      <w:marRight w:val="0"/>
      <w:marTop w:val="0"/>
      <w:marBottom w:val="0"/>
      <w:divBdr>
        <w:top w:val="none" w:sz="0" w:space="0" w:color="auto"/>
        <w:left w:val="none" w:sz="0" w:space="0" w:color="auto"/>
        <w:bottom w:val="none" w:sz="0" w:space="0" w:color="auto"/>
        <w:right w:val="none" w:sz="0" w:space="0" w:color="auto"/>
      </w:divBdr>
    </w:div>
    <w:div w:id="1053654022">
      <w:bodyDiv w:val="1"/>
      <w:marLeft w:val="0"/>
      <w:marRight w:val="0"/>
      <w:marTop w:val="0"/>
      <w:marBottom w:val="0"/>
      <w:divBdr>
        <w:top w:val="none" w:sz="0" w:space="0" w:color="auto"/>
        <w:left w:val="none" w:sz="0" w:space="0" w:color="auto"/>
        <w:bottom w:val="none" w:sz="0" w:space="0" w:color="auto"/>
        <w:right w:val="none" w:sz="0" w:space="0" w:color="auto"/>
      </w:divBdr>
    </w:div>
    <w:div w:id="1100906276">
      <w:bodyDiv w:val="1"/>
      <w:marLeft w:val="0"/>
      <w:marRight w:val="0"/>
      <w:marTop w:val="0"/>
      <w:marBottom w:val="0"/>
      <w:divBdr>
        <w:top w:val="none" w:sz="0" w:space="0" w:color="auto"/>
        <w:left w:val="none" w:sz="0" w:space="0" w:color="auto"/>
        <w:bottom w:val="none" w:sz="0" w:space="0" w:color="auto"/>
        <w:right w:val="none" w:sz="0" w:space="0" w:color="auto"/>
      </w:divBdr>
    </w:div>
    <w:div w:id="1196772347">
      <w:bodyDiv w:val="1"/>
      <w:marLeft w:val="0"/>
      <w:marRight w:val="0"/>
      <w:marTop w:val="0"/>
      <w:marBottom w:val="0"/>
      <w:divBdr>
        <w:top w:val="none" w:sz="0" w:space="0" w:color="auto"/>
        <w:left w:val="none" w:sz="0" w:space="0" w:color="auto"/>
        <w:bottom w:val="none" w:sz="0" w:space="0" w:color="auto"/>
        <w:right w:val="none" w:sz="0" w:space="0" w:color="auto"/>
      </w:divBdr>
    </w:div>
    <w:div w:id="1234774680">
      <w:bodyDiv w:val="1"/>
      <w:marLeft w:val="0"/>
      <w:marRight w:val="0"/>
      <w:marTop w:val="0"/>
      <w:marBottom w:val="0"/>
      <w:divBdr>
        <w:top w:val="none" w:sz="0" w:space="0" w:color="auto"/>
        <w:left w:val="none" w:sz="0" w:space="0" w:color="auto"/>
        <w:bottom w:val="none" w:sz="0" w:space="0" w:color="auto"/>
        <w:right w:val="none" w:sz="0" w:space="0" w:color="auto"/>
      </w:divBdr>
    </w:div>
    <w:div w:id="1241451300">
      <w:bodyDiv w:val="1"/>
      <w:marLeft w:val="0"/>
      <w:marRight w:val="0"/>
      <w:marTop w:val="0"/>
      <w:marBottom w:val="0"/>
      <w:divBdr>
        <w:top w:val="none" w:sz="0" w:space="0" w:color="auto"/>
        <w:left w:val="none" w:sz="0" w:space="0" w:color="auto"/>
        <w:bottom w:val="none" w:sz="0" w:space="0" w:color="auto"/>
        <w:right w:val="none" w:sz="0" w:space="0" w:color="auto"/>
      </w:divBdr>
    </w:div>
    <w:div w:id="1271088449">
      <w:bodyDiv w:val="1"/>
      <w:marLeft w:val="0"/>
      <w:marRight w:val="0"/>
      <w:marTop w:val="0"/>
      <w:marBottom w:val="0"/>
      <w:divBdr>
        <w:top w:val="none" w:sz="0" w:space="0" w:color="auto"/>
        <w:left w:val="none" w:sz="0" w:space="0" w:color="auto"/>
        <w:bottom w:val="none" w:sz="0" w:space="0" w:color="auto"/>
        <w:right w:val="none" w:sz="0" w:space="0" w:color="auto"/>
      </w:divBdr>
    </w:div>
    <w:div w:id="1272542971">
      <w:bodyDiv w:val="1"/>
      <w:marLeft w:val="0"/>
      <w:marRight w:val="0"/>
      <w:marTop w:val="0"/>
      <w:marBottom w:val="0"/>
      <w:divBdr>
        <w:top w:val="none" w:sz="0" w:space="0" w:color="auto"/>
        <w:left w:val="none" w:sz="0" w:space="0" w:color="auto"/>
        <w:bottom w:val="none" w:sz="0" w:space="0" w:color="auto"/>
        <w:right w:val="none" w:sz="0" w:space="0" w:color="auto"/>
      </w:divBdr>
    </w:div>
    <w:div w:id="1434714672">
      <w:bodyDiv w:val="1"/>
      <w:marLeft w:val="0"/>
      <w:marRight w:val="0"/>
      <w:marTop w:val="0"/>
      <w:marBottom w:val="0"/>
      <w:divBdr>
        <w:top w:val="none" w:sz="0" w:space="0" w:color="auto"/>
        <w:left w:val="none" w:sz="0" w:space="0" w:color="auto"/>
        <w:bottom w:val="none" w:sz="0" w:space="0" w:color="auto"/>
        <w:right w:val="none" w:sz="0" w:space="0" w:color="auto"/>
      </w:divBdr>
    </w:div>
    <w:div w:id="1642954127">
      <w:bodyDiv w:val="1"/>
      <w:marLeft w:val="0"/>
      <w:marRight w:val="0"/>
      <w:marTop w:val="0"/>
      <w:marBottom w:val="0"/>
      <w:divBdr>
        <w:top w:val="none" w:sz="0" w:space="0" w:color="auto"/>
        <w:left w:val="none" w:sz="0" w:space="0" w:color="auto"/>
        <w:bottom w:val="none" w:sz="0" w:space="0" w:color="auto"/>
        <w:right w:val="none" w:sz="0" w:space="0" w:color="auto"/>
      </w:divBdr>
    </w:div>
    <w:div w:id="1658027567">
      <w:bodyDiv w:val="1"/>
      <w:marLeft w:val="0"/>
      <w:marRight w:val="0"/>
      <w:marTop w:val="0"/>
      <w:marBottom w:val="0"/>
      <w:divBdr>
        <w:top w:val="none" w:sz="0" w:space="0" w:color="auto"/>
        <w:left w:val="none" w:sz="0" w:space="0" w:color="auto"/>
        <w:bottom w:val="none" w:sz="0" w:space="0" w:color="auto"/>
        <w:right w:val="none" w:sz="0" w:space="0" w:color="auto"/>
      </w:divBdr>
    </w:div>
    <w:div w:id="1721050458">
      <w:bodyDiv w:val="1"/>
      <w:marLeft w:val="0"/>
      <w:marRight w:val="0"/>
      <w:marTop w:val="0"/>
      <w:marBottom w:val="0"/>
      <w:divBdr>
        <w:top w:val="none" w:sz="0" w:space="0" w:color="auto"/>
        <w:left w:val="none" w:sz="0" w:space="0" w:color="auto"/>
        <w:bottom w:val="none" w:sz="0" w:space="0" w:color="auto"/>
        <w:right w:val="none" w:sz="0" w:space="0" w:color="auto"/>
      </w:divBdr>
    </w:div>
    <w:div w:id="1736781682">
      <w:bodyDiv w:val="1"/>
      <w:marLeft w:val="0"/>
      <w:marRight w:val="0"/>
      <w:marTop w:val="0"/>
      <w:marBottom w:val="0"/>
      <w:divBdr>
        <w:top w:val="none" w:sz="0" w:space="0" w:color="auto"/>
        <w:left w:val="none" w:sz="0" w:space="0" w:color="auto"/>
        <w:bottom w:val="none" w:sz="0" w:space="0" w:color="auto"/>
        <w:right w:val="none" w:sz="0" w:space="0" w:color="auto"/>
      </w:divBdr>
    </w:div>
    <w:div w:id="1767188520">
      <w:bodyDiv w:val="1"/>
      <w:marLeft w:val="0"/>
      <w:marRight w:val="0"/>
      <w:marTop w:val="0"/>
      <w:marBottom w:val="0"/>
      <w:divBdr>
        <w:top w:val="none" w:sz="0" w:space="0" w:color="auto"/>
        <w:left w:val="none" w:sz="0" w:space="0" w:color="auto"/>
        <w:bottom w:val="none" w:sz="0" w:space="0" w:color="auto"/>
        <w:right w:val="none" w:sz="0" w:space="0" w:color="auto"/>
      </w:divBdr>
    </w:div>
    <w:div w:id="1795246811">
      <w:bodyDiv w:val="1"/>
      <w:marLeft w:val="0"/>
      <w:marRight w:val="0"/>
      <w:marTop w:val="0"/>
      <w:marBottom w:val="0"/>
      <w:divBdr>
        <w:top w:val="none" w:sz="0" w:space="0" w:color="auto"/>
        <w:left w:val="none" w:sz="0" w:space="0" w:color="auto"/>
        <w:bottom w:val="none" w:sz="0" w:space="0" w:color="auto"/>
        <w:right w:val="none" w:sz="0" w:space="0" w:color="auto"/>
      </w:divBdr>
    </w:div>
    <w:div w:id="1797946987">
      <w:bodyDiv w:val="1"/>
      <w:marLeft w:val="0"/>
      <w:marRight w:val="0"/>
      <w:marTop w:val="0"/>
      <w:marBottom w:val="0"/>
      <w:divBdr>
        <w:top w:val="none" w:sz="0" w:space="0" w:color="auto"/>
        <w:left w:val="none" w:sz="0" w:space="0" w:color="auto"/>
        <w:bottom w:val="none" w:sz="0" w:space="0" w:color="auto"/>
        <w:right w:val="none" w:sz="0" w:space="0" w:color="auto"/>
      </w:divBdr>
    </w:div>
    <w:div w:id="1853571176">
      <w:bodyDiv w:val="1"/>
      <w:marLeft w:val="0"/>
      <w:marRight w:val="0"/>
      <w:marTop w:val="0"/>
      <w:marBottom w:val="0"/>
      <w:divBdr>
        <w:top w:val="none" w:sz="0" w:space="0" w:color="auto"/>
        <w:left w:val="none" w:sz="0" w:space="0" w:color="auto"/>
        <w:bottom w:val="none" w:sz="0" w:space="0" w:color="auto"/>
        <w:right w:val="none" w:sz="0" w:space="0" w:color="auto"/>
      </w:divBdr>
    </w:div>
    <w:div w:id="1857114226">
      <w:bodyDiv w:val="1"/>
      <w:marLeft w:val="0"/>
      <w:marRight w:val="0"/>
      <w:marTop w:val="0"/>
      <w:marBottom w:val="0"/>
      <w:divBdr>
        <w:top w:val="none" w:sz="0" w:space="0" w:color="auto"/>
        <w:left w:val="none" w:sz="0" w:space="0" w:color="auto"/>
        <w:bottom w:val="none" w:sz="0" w:space="0" w:color="auto"/>
        <w:right w:val="none" w:sz="0" w:space="0" w:color="auto"/>
      </w:divBdr>
    </w:div>
    <w:div w:id="1908297520">
      <w:bodyDiv w:val="1"/>
      <w:marLeft w:val="0"/>
      <w:marRight w:val="0"/>
      <w:marTop w:val="0"/>
      <w:marBottom w:val="0"/>
      <w:divBdr>
        <w:top w:val="none" w:sz="0" w:space="0" w:color="auto"/>
        <w:left w:val="none" w:sz="0" w:space="0" w:color="auto"/>
        <w:bottom w:val="none" w:sz="0" w:space="0" w:color="auto"/>
        <w:right w:val="none" w:sz="0" w:space="0" w:color="auto"/>
      </w:divBdr>
    </w:div>
    <w:div w:id="1924754694">
      <w:bodyDiv w:val="1"/>
      <w:marLeft w:val="0"/>
      <w:marRight w:val="0"/>
      <w:marTop w:val="0"/>
      <w:marBottom w:val="0"/>
      <w:divBdr>
        <w:top w:val="none" w:sz="0" w:space="0" w:color="auto"/>
        <w:left w:val="none" w:sz="0" w:space="0" w:color="auto"/>
        <w:bottom w:val="none" w:sz="0" w:space="0" w:color="auto"/>
        <w:right w:val="none" w:sz="0" w:space="0" w:color="auto"/>
      </w:divBdr>
      <w:divsChild>
        <w:div w:id="1884513680">
          <w:marLeft w:val="0"/>
          <w:marRight w:val="0"/>
          <w:marTop w:val="0"/>
          <w:marBottom w:val="0"/>
          <w:divBdr>
            <w:top w:val="none" w:sz="0" w:space="0" w:color="auto"/>
            <w:left w:val="none" w:sz="0" w:space="0" w:color="auto"/>
            <w:bottom w:val="none" w:sz="0" w:space="0" w:color="auto"/>
            <w:right w:val="none" w:sz="0" w:space="0" w:color="auto"/>
          </w:divBdr>
          <w:divsChild>
            <w:div w:id="1885211458">
              <w:marLeft w:val="0"/>
              <w:marRight w:val="0"/>
              <w:marTop w:val="0"/>
              <w:marBottom w:val="0"/>
              <w:divBdr>
                <w:top w:val="none" w:sz="0" w:space="0" w:color="auto"/>
                <w:left w:val="none" w:sz="0" w:space="0" w:color="auto"/>
                <w:bottom w:val="none" w:sz="0" w:space="0" w:color="auto"/>
                <w:right w:val="none" w:sz="0" w:space="0" w:color="auto"/>
              </w:divBdr>
            </w:div>
            <w:div w:id="1626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6904">
      <w:bodyDiv w:val="1"/>
      <w:marLeft w:val="0"/>
      <w:marRight w:val="0"/>
      <w:marTop w:val="0"/>
      <w:marBottom w:val="0"/>
      <w:divBdr>
        <w:top w:val="none" w:sz="0" w:space="0" w:color="auto"/>
        <w:left w:val="none" w:sz="0" w:space="0" w:color="auto"/>
        <w:bottom w:val="none" w:sz="0" w:space="0" w:color="auto"/>
        <w:right w:val="none" w:sz="0" w:space="0" w:color="auto"/>
      </w:divBdr>
    </w:div>
    <w:div w:id="2035187159">
      <w:bodyDiv w:val="1"/>
      <w:marLeft w:val="0"/>
      <w:marRight w:val="0"/>
      <w:marTop w:val="0"/>
      <w:marBottom w:val="0"/>
      <w:divBdr>
        <w:top w:val="none" w:sz="0" w:space="0" w:color="auto"/>
        <w:left w:val="none" w:sz="0" w:space="0" w:color="auto"/>
        <w:bottom w:val="none" w:sz="0" w:space="0" w:color="auto"/>
        <w:right w:val="none" w:sz="0" w:space="0" w:color="auto"/>
      </w:divBdr>
    </w:div>
    <w:div w:id="2098865333">
      <w:bodyDiv w:val="1"/>
      <w:marLeft w:val="0"/>
      <w:marRight w:val="0"/>
      <w:marTop w:val="0"/>
      <w:marBottom w:val="0"/>
      <w:divBdr>
        <w:top w:val="none" w:sz="0" w:space="0" w:color="auto"/>
        <w:left w:val="none" w:sz="0" w:space="0" w:color="auto"/>
        <w:bottom w:val="none" w:sz="0" w:space="0" w:color="auto"/>
        <w:right w:val="none" w:sz="0" w:space="0" w:color="auto"/>
      </w:divBdr>
    </w:div>
    <w:div w:id="21184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dr.2007.08.003" TargetMode="External"/><Relationship Id="rId18" Type="http://schemas.openxmlformats.org/officeDocument/2006/relationships/hyperlink" Target="https://dx.doi.org/10.1002%2Fdev.204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x.doi.org/10.1016%2Fj.dr.2007.08.002" TargetMode="External"/><Relationship Id="rId7" Type="http://schemas.openxmlformats.org/officeDocument/2006/relationships/endnotes" Target="endnotes.xml"/><Relationship Id="rId12" Type="http://schemas.openxmlformats.org/officeDocument/2006/relationships/hyperlink" Target="https://doi.org/10.1006/jado.1993.1014" TargetMode="External"/><Relationship Id="rId17" Type="http://schemas.openxmlformats.org/officeDocument/2006/relationships/hyperlink" Target="https://doi.org/10.1037/0012-1649.41.4.6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ycnet.apa.org/doi/10.1177/1948550613509286" TargetMode="External"/><Relationship Id="rId20" Type="http://schemas.openxmlformats.org/officeDocument/2006/relationships/hyperlink" Target="http://dx.doi.org/10.1016/j.jadohealth.2012.05.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0273-2297(92)90013-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doi.org/10.1016/j.neuropsychologia.2004.05.011" TargetMode="External"/><Relationship Id="rId23" Type="http://schemas.openxmlformats.org/officeDocument/2006/relationships/header" Target="header4.xml"/><Relationship Id="rId10" Type="http://schemas.openxmlformats.org/officeDocument/2006/relationships/hyperlink" Target="https://dx.doi.org/10.1177%2F0963721412471347" TargetMode="External"/><Relationship Id="rId19" Type="http://schemas.openxmlformats.org/officeDocument/2006/relationships/hyperlink" Target="https://doi.org/10.1016/j.dcn.2015.12.0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37/dev00001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FB8C-6086-D940-95FA-8F7C3536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9700</Words>
  <Characters>55294</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Lloyd;Anna Doering</dc:creator>
  <cp:keywords/>
  <dc:description/>
  <cp:lastModifiedBy>Lloyd, Alex (2018)</cp:lastModifiedBy>
  <cp:revision>3</cp:revision>
  <dcterms:created xsi:type="dcterms:W3CDTF">2020-02-01T13:25:00Z</dcterms:created>
  <dcterms:modified xsi:type="dcterms:W3CDTF">2020-02-01T13:25:00Z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825a54bb-1ca8-3bed-920a-fde09c88a6c1</vt:lpwstr>
  </property>
</Properties>
</file>