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4BCEA" w14:textId="77777777" w:rsidR="0077005B" w:rsidRDefault="00E718B1" w:rsidP="00A04F9D">
      <w:pPr>
        <w:spacing w:line="290" w:lineRule="exact"/>
        <w:contextualSpacing/>
        <w:rPr>
          <w:rFonts w:ascii="Calibri" w:hAnsi="Calibri"/>
          <w:b/>
          <w:sz w:val="22"/>
        </w:rPr>
      </w:pPr>
      <w:r>
        <w:rPr>
          <w:rFonts w:ascii="Calibri" w:hAnsi="Calibri"/>
          <w:b/>
          <w:sz w:val="22"/>
        </w:rPr>
        <w:t xml:space="preserve">The Politics </w:t>
      </w:r>
      <w:r w:rsidR="0002305E">
        <w:rPr>
          <w:rFonts w:ascii="Calibri" w:hAnsi="Calibri"/>
          <w:b/>
          <w:sz w:val="22"/>
        </w:rPr>
        <w:t>of Location and the Location of Politics: Thinking about Feminist Security Studies</w:t>
      </w:r>
    </w:p>
    <w:p w14:paraId="1FC03008" w14:textId="2A7107DC" w:rsidR="0002305E" w:rsidRDefault="008029AA" w:rsidP="00A04F9D">
      <w:pPr>
        <w:spacing w:line="290" w:lineRule="exact"/>
        <w:contextualSpacing/>
        <w:rPr>
          <w:rFonts w:ascii="Calibri" w:hAnsi="Calibri"/>
          <w:b/>
          <w:sz w:val="22"/>
        </w:rPr>
      </w:pPr>
      <w:r>
        <w:rPr>
          <w:rFonts w:ascii="Calibri" w:hAnsi="Calibri"/>
          <w:b/>
          <w:sz w:val="22"/>
        </w:rPr>
        <w:t>Laura Sjoberg</w:t>
      </w:r>
    </w:p>
    <w:p w14:paraId="3B9DA934" w14:textId="77777777" w:rsidR="008029AA" w:rsidRDefault="008029AA" w:rsidP="00A04F9D">
      <w:pPr>
        <w:spacing w:line="290" w:lineRule="exact"/>
        <w:contextualSpacing/>
        <w:rPr>
          <w:rFonts w:ascii="Calibri" w:hAnsi="Calibri"/>
          <w:b/>
          <w:sz w:val="22"/>
        </w:rPr>
      </w:pPr>
    </w:p>
    <w:p w14:paraId="1DA1E30C" w14:textId="577F489F" w:rsidR="003E73BB" w:rsidRDefault="00FD0E7E" w:rsidP="00A04F9D">
      <w:pPr>
        <w:spacing w:line="290" w:lineRule="exact"/>
        <w:contextualSpacing/>
        <w:rPr>
          <w:rFonts w:ascii="Calibri" w:hAnsi="Calibri"/>
          <w:sz w:val="22"/>
        </w:rPr>
      </w:pPr>
      <w:r>
        <w:rPr>
          <w:rFonts w:ascii="Calibri" w:hAnsi="Calibri"/>
          <w:sz w:val="22"/>
        </w:rPr>
        <w:tab/>
        <w:t xml:space="preserve">“The State of Feminist </w:t>
      </w:r>
      <w:r w:rsidR="009654D4">
        <w:rPr>
          <w:rFonts w:ascii="Calibri" w:hAnsi="Calibri"/>
          <w:sz w:val="22"/>
        </w:rPr>
        <w:t>Security Studies”</w:t>
      </w:r>
      <w:r w:rsidR="00F00F98">
        <w:rPr>
          <w:rFonts w:ascii="Calibri" w:hAnsi="Calibri"/>
          <w:sz w:val="22"/>
        </w:rPr>
        <w:t xml:space="preserve"> (Sjoberg and Lobasz 2011; Sjoberg 2011)</w:t>
      </w:r>
      <w:r w:rsidR="009654D4">
        <w:rPr>
          <w:rFonts w:ascii="Calibri" w:hAnsi="Calibri"/>
          <w:sz w:val="22"/>
        </w:rPr>
        <w:t xml:space="preserve"> was</w:t>
      </w:r>
      <w:r w:rsidR="00310B3B">
        <w:rPr>
          <w:rFonts w:ascii="Calibri" w:hAnsi="Calibri"/>
          <w:sz w:val="22"/>
        </w:rPr>
        <w:t xml:space="preserve"> </w:t>
      </w:r>
      <w:r w:rsidR="000E65B6">
        <w:rPr>
          <w:rFonts w:ascii="Calibri" w:hAnsi="Calibri"/>
          <w:sz w:val="22"/>
        </w:rPr>
        <w:t>ne</w:t>
      </w:r>
      <w:r w:rsidR="00A501BE">
        <w:rPr>
          <w:rFonts w:ascii="Calibri" w:hAnsi="Calibri"/>
          <w:sz w:val="22"/>
        </w:rPr>
        <w:t>ve</w:t>
      </w:r>
      <w:r w:rsidR="006600D6">
        <w:rPr>
          <w:rFonts w:ascii="Calibri" w:hAnsi="Calibri"/>
          <w:sz w:val="22"/>
        </w:rPr>
        <w:t>r meant to be a representative</w:t>
      </w:r>
      <w:r w:rsidR="000E65B6">
        <w:rPr>
          <w:rFonts w:ascii="Calibri" w:hAnsi="Calibri"/>
          <w:sz w:val="22"/>
        </w:rPr>
        <w:t xml:space="preserve"> (e.g., Shepherd, th</w:t>
      </w:r>
      <w:r w:rsidR="00FE4198">
        <w:rPr>
          <w:rFonts w:ascii="Calibri" w:hAnsi="Calibri"/>
          <w:sz w:val="22"/>
        </w:rPr>
        <w:t>is</w:t>
      </w:r>
      <w:r w:rsidR="000E65B6">
        <w:rPr>
          <w:rFonts w:ascii="Calibri" w:hAnsi="Calibri"/>
          <w:sz w:val="22"/>
        </w:rPr>
        <w:t xml:space="preserve"> f</w:t>
      </w:r>
      <w:r w:rsidR="00A501BE">
        <w:rPr>
          <w:rFonts w:ascii="Calibri" w:hAnsi="Calibri"/>
          <w:sz w:val="22"/>
        </w:rPr>
        <w:t>orum, p.1) or hegemonic (Parashar, this forum, p.3)</w:t>
      </w:r>
      <w:r w:rsidR="009654D4">
        <w:rPr>
          <w:rFonts w:ascii="Calibri" w:hAnsi="Calibri"/>
          <w:sz w:val="22"/>
        </w:rPr>
        <w:t xml:space="preserve"> statement </w:t>
      </w:r>
      <w:r w:rsidR="009F20E7">
        <w:rPr>
          <w:rFonts w:ascii="Calibri" w:hAnsi="Calibri"/>
          <w:sz w:val="22"/>
        </w:rPr>
        <w:t xml:space="preserve">defining </w:t>
      </w:r>
      <w:r w:rsidR="00E06AEE">
        <w:rPr>
          <w:rFonts w:ascii="Calibri" w:hAnsi="Calibri"/>
          <w:sz w:val="22"/>
        </w:rPr>
        <w:t>Feminist Security Studies (</w:t>
      </w:r>
      <w:r w:rsidR="00E750B7">
        <w:rPr>
          <w:rFonts w:ascii="Calibri" w:hAnsi="Calibri"/>
          <w:sz w:val="22"/>
        </w:rPr>
        <w:t xml:space="preserve">FSS). Instead, it </w:t>
      </w:r>
      <w:r w:rsidR="00E06AEE">
        <w:rPr>
          <w:rFonts w:ascii="Calibri" w:hAnsi="Calibri"/>
          <w:sz w:val="22"/>
        </w:rPr>
        <w:t>reproduced</w:t>
      </w:r>
      <w:r w:rsidR="00E750B7">
        <w:rPr>
          <w:rFonts w:ascii="Calibri" w:hAnsi="Calibri"/>
          <w:sz w:val="22"/>
        </w:rPr>
        <w:t xml:space="preserve"> one conversation (of many) </w:t>
      </w:r>
      <w:r w:rsidR="00623AC4">
        <w:rPr>
          <w:rFonts w:ascii="Calibri" w:hAnsi="Calibri"/>
          <w:sz w:val="22"/>
        </w:rPr>
        <w:t>among members of a 2010 ISA Working Group</w:t>
      </w:r>
      <w:r w:rsidR="00E750B7">
        <w:rPr>
          <w:rFonts w:ascii="Calibri" w:hAnsi="Calibri"/>
          <w:sz w:val="22"/>
        </w:rPr>
        <w:t xml:space="preserve"> “Gender and Security: Theory and Practice”</w:t>
      </w:r>
      <w:r w:rsidR="00623AC4">
        <w:rPr>
          <w:rFonts w:ascii="Calibri" w:hAnsi="Calibri"/>
          <w:sz w:val="22"/>
        </w:rPr>
        <w:t xml:space="preserve"> (which included contributors to this forum).</w:t>
      </w:r>
      <w:r w:rsidR="00E32B90">
        <w:rPr>
          <w:rFonts w:ascii="Calibri" w:hAnsi="Calibri"/>
          <w:sz w:val="22"/>
        </w:rPr>
        <w:t xml:space="preserve"> </w:t>
      </w:r>
      <w:r w:rsidR="003E73BB">
        <w:rPr>
          <w:rFonts w:ascii="Calibri" w:hAnsi="Calibri"/>
          <w:sz w:val="22"/>
        </w:rPr>
        <w:t xml:space="preserve"> While I absolutely agree with Bina D’Costa and Katrina Lee-Koo </w:t>
      </w:r>
      <w:r w:rsidR="006016D7">
        <w:rPr>
          <w:rFonts w:ascii="Calibri" w:hAnsi="Calibri"/>
          <w:sz w:val="22"/>
        </w:rPr>
        <w:t xml:space="preserve">(this forum, p.3) </w:t>
      </w:r>
      <w:r w:rsidR="009F20E7">
        <w:rPr>
          <w:rFonts w:ascii="Calibri" w:hAnsi="Calibri"/>
          <w:sz w:val="22"/>
        </w:rPr>
        <w:t>about the importance of reinforcing</w:t>
      </w:r>
      <w:r w:rsidR="003E73BB">
        <w:rPr>
          <w:rFonts w:ascii="Calibri" w:hAnsi="Calibri"/>
          <w:sz w:val="22"/>
        </w:rPr>
        <w:t xml:space="preserve"> “the feminist claim that the politics of location plays a role in shaping knowledge claims,” </w:t>
      </w:r>
      <w:r w:rsidR="006016D7">
        <w:rPr>
          <w:rFonts w:ascii="Calibri" w:hAnsi="Calibri"/>
          <w:sz w:val="22"/>
        </w:rPr>
        <w:t xml:space="preserve">I think that context matters too. </w:t>
      </w:r>
    </w:p>
    <w:p w14:paraId="72FEBE14" w14:textId="3258C7C1" w:rsidR="00461586" w:rsidRDefault="00DD6899" w:rsidP="006E6970">
      <w:pPr>
        <w:spacing w:line="290" w:lineRule="exact"/>
        <w:ind w:firstLine="720"/>
        <w:contextualSpacing/>
        <w:rPr>
          <w:rFonts w:ascii="Calibri" w:hAnsi="Calibri"/>
          <w:sz w:val="22"/>
        </w:rPr>
      </w:pPr>
      <w:r>
        <w:rPr>
          <w:rFonts w:ascii="Calibri" w:hAnsi="Calibri"/>
          <w:i/>
          <w:sz w:val="22"/>
        </w:rPr>
        <w:t xml:space="preserve">Politics &amp; Gender </w:t>
      </w:r>
      <w:r>
        <w:rPr>
          <w:rFonts w:ascii="Calibri" w:hAnsi="Calibri"/>
          <w:sz w:val="22"/>
        </w:rPr>
        <w:t>is the journal of the Women &amp; Politics section of the America</w:t>
      </w:r>
      <w:r w:rsidR="00B53CF0">
        <w:rPr>
          <w:rFonts w:ascii="Calibri" w:hAnsi="Calibri"/>
          <w:sz w:val="22"/>
        </w:rPr>
        <w:t xml:space="preserve">n Political Science Association. </w:t>
      </w:r>
      <w:r w:rsidR="00CD28F4">
        <w:rPr>
          <w:rFonts w:ascii="Calibri" w:hAnsi="Calibri"/>
          <w:sz w:val="22"/>
        </w:rPr>
        <w:t>Its</w:t>
      </w:r>
      <w:r w:rsidR="00B53CF0">
        <w:rPr>
          <w:rFonts w:ascii="Calibri" w:hAnsi="Calibri"/>
          <w:sz w:val="22"/>
        </w:rPr>
        <w:t xml:space="preserve"> </w:t>
      </w:r>
      <w:r w:rsidR="008103D3">
        <w:rPr>
          <w:rFonts w:ascii="Calibri" w:hAnsi="Calibri"/>
          <w:sz w:val="22"/>
        </w:rPr>
        <w:t xml:space="preserve">“Critical Perspectives” (CP) sections are often (if not always) </w:t>
      </w:r>
      <w:r w:rsidR="00D32263">
        <w:rPr>
          <w:rFonts w:ascii="Calibri" w:hAnsi="Calibri"/>
          <w:sz w:val="22"/>
        </w:rPr>
        <w:t>explorations of</w:t>
      </w:r>
      <w:r w:rsidR="008103D3">
        <w:rPr>
          <w:rFonts w:ascii="Calibri" w:hAnsi="Calibri"/>
          <w:sz w:val="22"/>
        </w:rPr>
        <w:t xml:space="preserve"> </w:t>
      </w:r>
      <w:r w:rsidR="00D32263">
        <w:rPr>
          <w:rFonts w:ascii="Calibri" w:hAnsi="Calibri"/>
          <w:sz w:val="22"/>
        </w:rPr>
        <w:t xml:space="preserve">the state of </w:t>
      </w:r>
      <w:r w:rsidR="00CD28F4">
        <w:rPr>
          <w:rFonts w:ascii="Calibri" w:hAnsi="Calibri"/>
          <w:sz w:val="22"/>
        </w:rPr>
        <w:t>research programs</w:t>
      </w:r>
      <w:r w:rsidR="008103D3">
        <w:rPr>
          <w:rFonts w:ascii="Calibri" w:hAnsi="Calibri"/>
          <w:sz w:val="22"/>
        </w:rPr>
        <w:t xml:space="preserve">: positioning, growth, status, and future directions. </w:t>
      </w:r>
      <w:r w:rsidR="006016D7">
        <w:rPr>
          <w:rFonts w:ascii="Calibri" w:hAnsi="Calibri"/>
          <w:sz w:val="22"/>
        </w:rPr>
        <w:t>For me, the</w:t>
      </w:r>
      <w:r w:rsidR="00E32B90">
        <w:rPr>
          <w:rFonts w:ascii="Calibri" w:hAnsi="Calibri"/>
          <w:sz w:val="22"/>
        </w:rPr>
        <w:t xml:space="preserve"> conversation </w:t>
      </w:r>
      <w:r w:rsidR="006016D7">
        <w:rPr>
          <w:rFonts w:ascii="Calibri" w:hAnsi="Calibri"/>
          <w:sz w:val="22"/>
        </w:rPr>
        <w:t xml:space="preserve">that </w:t>
      </w:r>
      <w:r w:rsidR="00D8065B">
        <w:rPr>
          <w:rFonts w:ascii="Calibri" w:hAnsi="Calibri"/>
          <w:sz w:val="22"/>
        </w:rPr>
        <w:t xml:space="preserve">became </w:t>
      </w:r>
      <w:r w:rsidR="006016D7">
        <w:rPr>
          <w:rFonts w:ascii="Calibri" w:hAnsi="Calibri"/>
          <w:sz w:val="22"/>
        </w:rPr>
        <w:t xml:space="preserve">the CP section </w:t>
      </w:r>
      <w:r w:rsidR="00E32B90">
        <w:rPr>
          <w:rFonts w:ascii="Calibri" w:hAnsi="Calibri"/>
          <w:sz w:val="22"/>
        </w:rPr>
        <w:t>was</w:t>
      </w:r>
      <w:r w:rsidR="00461586">
        <w:rPr>
          <w:rFonts w:ascii="Calibri" w:hAnsi="Calibri"/>
          <w:sz w:val="22"/>
        </w:rPr>
        <w:t xml:space="preserve"> a positioning </w:t>
      </w:r>
      <w:r w:rsidR="006E6970">
        <w:rPr>
          <w:rFonts w:ascii="Calibri" w:hAnsi="Calibri"/>
          <w:sz w:val="22"/>
        </w:rPr>
        <w:t xml:space="preserve">exercise in a particular, narrow debate. </w:t>
      </w:r>
    </w:p>
    <w:p w14:paraId="1DC7B341" w14:textId="443D7053" w:rsidR="00FD0E7E" w:rsidRDefault="006E6970" w:rsidP="006E6970">
      <w:pPr>
        <w:spacing w:line="290" w:lineRule="exact"/>
        <w:ind w:firstLine="720"/>
        <w:contextualSpacing/>
        <w:rPr>
          <w:rFonts w:ascii="Calibri" w:hAnsi="Calibri"/>
          <w:sz w:val="22"/>
        </w:rPr>
      </w:pPr>
      <w:r>
        <w:rPr>
          <w:rFonts w:ascii="Calibri" w:hAnsi="Calibri"/>
          <w:sz w:val="22"/>
        </w:rPr>
        <w:t>Specifically, it was a conversation</w:t>
      </w:r>
      <w:r w:rsidR="00E32B90">
        <w:rPr>
          <w:rFonts w:ascii="Calibri" w:hAnsi="Calibri"/>
          <w:sz w:val="22"/>
        </w:rPr>
        <w:t xml:space="preserve"> </w:t>
      </w:r>
      <w:r w:rsidR="00E32B90">
        <w:rPr>
          <w:rFonts w:ascii="Calibri" w:hAnsi="Calibri"/>
          <w:i/>
          <w:sz w:val="22"/>
        </w:rPr>
        <w:t xml:space="preserve">about </w:t>
      </w:r>
      <w:r w:rsidR="00833556">
        <w:rPr>
          <w:rFonts w:ascii="Calibri" w:hAnsi="Calibri"/>
          <w:sz w:val="22"/>
        </w:rPr>
        <w:t>the politics of critiquing</w:t>
      </w:r>
      <w:r w:rsidR="00E32B90">
        <w:rPr>
          <w:rFonts w:ascii="Calibri" w:hAnsi="Calibri"/>
          <w:sz w:val="22"/>
        </w:rPr>
        <w:t xml:space="preserve"> American positivi</w:t>
      </w:r>
      <w:r w:rsidR="0050476F">
        <w:rPr>
          <w:rFonts w:ascii="Calibri" w:hAnsi="Calibri"/>
          <w:sz w:val="22"/>
        </w:rPr>
        <w:t>st, liberal feminist</w:t>
      </w:r>
      <w:r w:rsidR="00833556">
        <w:rPr>
          <w:rFonts w:ascii="Calibri" w:hAnsi="Calibri"/>
          <w:sz w:val="22"/>
        </w:rPr>
        <w:t xml:space="preserve"> work in</w:t>
      </w:r>
      <w:r w:rsidR="00E32B90">
        <w:rPr>
          <w:rFonts w:ascii="Calibri" w:hAnsi="Calibri"/>
          <w:sz w:val="22"/>
        </w:rPr>
        <w:t xml:space="preserve"> FSS </w:t>
      </w:r>
      <w:r w:rsidR="00D5777B">
        <w:rPr>
          <w:rFonts w:ascii="Calibri" w:hAnsi="Calibri"/>
          <w:sz w:val="22"/>
        </w:rPr>
        <w:t xml:space="preserve">(e.g., Hudson et al 2009; </w:t>
      </w:r>
      <w:r w:rsidR="00833556">
        <w:rPr>
          <w:rFonts w:ascii="Calibri" w:hAnsi="Calibri"/>
          <w:sz w:val="22"/>
        </w:rPr>
        <w:t xml:space="preserve">Thayer </w:t>
      </w:r>
      <w:r w:rsidR="002C7A9E">
        <w:rPr>
          <w:rFonts w:ascii="Calibri" w:hAnsi="Calibri"/>
          <w:sz w:val="22"/>
        </w:rPr>
        <w:t xml:space="preserve">and Hudson </w:t>
      </w:r>
      <w:r w:rsidR="00833556">
        <w:rPr>
          <w:rFonts w:ascii="Calibri" w:hAnsi="Calibri"/>
          <w:sz w:val="22"/>
        </w:rPr>
        <w:t xml:space="preserve">2010). </w:t>
      </w:r>
      <w:r w:rsidR="00677FDA">
        <w:rPr>
          <w:rFonts w:ascii="Calibri" w:hAnsi="Calibri"/>
          <w:sz w:val="22"/>
        </w:rPr>
        <w:t xml:space="preserve">I found that work </w:t>
      </w:r>
      <w:r w:rsidR="00677FDA">
        <w:rPr>
          <w:rFonts w:ascii="Calibri" w:hAnsi="Calibri"/>
          <w:i/>
          <w:sz w:val="22"/>
        </w:rPr>
        <w:t xml:space="preserve">counterproductive </w:t>
      </w:r>
      <w:r w:rsidR="00677FDA">
        <w:rPr>
          <w:rFonts w:ascii="Calibri" w:hAnsi="Calibri"/>
          <w:sz w:val="22"/>
        </w:rPr>
        <w:t>to whatever common normative agenda (e.g., Basu, this forum, p.2) FSS has</w:t>
      </w:r>
      <w:r w:rsidR="002C7A9E">
        <w:rPr>
          <w:rFonts w:ascii="Calibri" w:hAnsi="Calibri"/>
          <w:sz w:val="22"/>
        </w:rPr>
        <w:t xml:space="preserve">, given its gender essentialism and racialization of violence (see Sjoberg, forthcoming). </w:t>
      </w:r>
      <w:r w:rsidR="00C64601">
        <w:rPr>
          <w:rFonts w:ascii="Calibri" w:hAnsi="Calibri"/>
          <w:sz w:val="22"/>
        </w:rPr>
        <w:t xml:space="preserve">Still, I </w:t>
      </w:r>
      <w:r w:rsidR="0013367D">
        <w:rPr>
          <w:rFonts w:ascii="Calibri" w:hAnsi="Calibri"/>
          <w:sz w:val="22"/>
        </w:rPr>
        <w:t>could not declare</w:t>
      </w:r>
      <w:r w:rsidR="00521144">
        <w:rPr>
          <w:rFonts w:ascii="Calibri" w:hAnsi="Calibri"/>
          <w:sz w:val="22"/>
        </w:rPr>
        <w:t xml:space="preserve"> that work </w:t>
      </w:r>
      <w:r w:rsidR="00323177">
        <w:rPr>
          <w:rFonts w:ascii="Calibri" w:hAnsi="Calibri"/>
          <w:sz w:val="22"/>
        </w:rPr>
        <w:t>outside of</w:t>
      </w:r>
      <w:r w:rsidR="00C64601">
        <w:rPr>
          <w:rFonts w:ascii="Calibri" w:hAnsi="Calibri"/>
          <w:sz w:val="22"/>
        </w:rPr>
        <w:t xml:space="preserve"> </w:t>
      </w:r>
      <w:r w:rsidR="00323177">
        <w:rPr>
          <w:rFonts w:ascii="Calibri" w:hAnsi="Calibri"/>
          <w:sz w:val="22"/>
        </w:rPr>
        <w:t>‘</w:t>
      </w:r>
      <w:r w:rsidR="00C64601">
        <w:rPr>
          <w:rFonts w:ascii="Calibri" w:hAnsi="Calibri"/>
          <w:sz w:val="22"/>
        </w:rPr>
        <w:t>FSS</w:t>
      </w:r>
      <w:r w:rsidR="00323177">
        <w:rPr>
          <w:rFonts w:ascii="Calibri" w:hAnsi="Calibri"/>
          <w:sz w:val="22"/>
        </w:rPr>
        <w:t>’</w:t>
      </w:r>
      <w:r w:rsidR="00D8065B">
        <w:rPr>
          <w:rFonts w:ascii="Calibri" w:hAnsi="Calibri"/>
          <w:sz w:val="22"/>
        </w:rPr>
        <w:t xml:space="preserve"> when its</w:t>
      </w:r>
      <w:r w:rsidR="00BF54A0">
        <w:rPr>
          <w:rFonts w:ascii="Calibri" w:hAnsi="Calibri"/>
          <w:sz w:val="22"/>
        </w:rPr>
        <w:t xml:space="preserve"> proponents</w:t>
      </w:r>
      <w:r w:rsidR="00C64601">
        <w:rPr>
          <w:rFonts w:ascii="Calibri" w:hAnsi="Calibri"/>
          <w:sz w:val="22"/>
        </w:rPr>
        <w:t xml:space="preserve"> </w:t>
      </w:r>
      <w:r w:rsidR="0013367D">
        <w:rPr>
          <w:rFonts w:ascii="Calibri" w:hAnsi="Calibri"/>
          <w:sz w:val="22"/>
        </w:rPr>
        <w:t>saw it as belonging</w:t>
      </w:r>
      <w:r w:rsidR="00C64601">
        <w:rPr>
          <w:rFonts w:ascii="Calibri" w:hAnsi="Calibri"/>
          <w:sz w:val="22"/>
        </w:rPr>
        <w:t xml:space="preserve"> (e.g., Hudson 2011). </w:t>
      </w:r>
      <w:r w:rsidR="00CD5AAC">
        <w:rPr>
          <w:rFonts w:ascii="Calibri" w:hAnsi="Calibri"/>
          <w:sz w:val="22"/>
        </w:rPr>
        <w:t>Carol Cohn’s (2011</w:t>
      </w:r>
      <w:r w:rsidR="00905CB9">
        <w:rPr>
          <w:rFonts w:ascii="Calibri" w:hAnsi="Calibri"/>
          <w:sz w:val="22"/>
        </w:rPr>
        <w:t>, 581</w:t>
      </w:r>
      <w:r w:rsidR="00CD5AAC">
        <w:rPr>
          <w:rFonts w:ascii="Calibri" w:hAnsi="Calibri"/>
          <w:sz w:val="22"/>
        </w:rPr>
        <w:t xml:space="preserve">) description of the difference between “feminist security” studies and feminist “security </w:t>
      </w:r>
      <w:r w:rsidR="00AF18E7">
        <w:rPr>
          <w:rFonts w:ascii="Calibri" w:hAnsi="Calibri"/>
          <w:sz w:val="22"/>
        </w:rPr>
        <w:t xml:space="preserve">studies” </w:t>
      </w:r>
      <w:r w:rsidR="00951880">
        <w:rPr>
          <w:rFonts w:ascii="Calibri" w:hAnsi="Calibri"/>
          <w:sz w:val="22"/>
        </w:rPr>
        <w:t>provided a way forward,</w:t>
      </w:r>
      <w:r w:rsidR="00B82EF9">
        <w:rPr>
          <w:rFonts w:ascii="Calibri" w:hAnsi="Calibri"/>
          <w:sz w:val="22"/>
        </w:rPr>
        <w:t xml:space="preserve"> but was not, to me, enough.</w:t>
      </w:r>
      <w:r w:rsidR="00DC7602">
        <w:rPr>
          <w:rFonts w:ascii="Calibri" w:hAnsi="Calibri"/>
          <w:sz w:val="22"/>
        </w:rPr>
        <w:t xml:space="preserve"> Ann Tickner’s</w:t>
      </w:r>
      <w:r w:rsidR="00905CB9">
        <w:rPr>
          <w:rFonts w:ascii="Calibri" w:hAnsi="Calibri"/>
          <w:sz w:val="22"/>
        </w:rPr>
        <w:t xml:space="preserve"> (2011, 579)</w:t>
      </w:r>
      <w:r w:rsidR="00DC7602">
        <w:rPr>
          <w:rFonts w:ascii="Calibri" w:hAnsi="Calibri"/>
          <w:sz w:val="22"/>
        </w:rPr>
        <w:t xml:space="preserve"> reminder to “recognize the value of this rich and varied research</w:t>
      </w:r>
      <w:r w:rsidR="00905CB9">
        <w:rPr>
          <w:rFonts w:ascii="Calibri" w:hAnsi="Calibri"/>
          <w:sz w:val="22"/>
        </w:rPr>
        <w:t xml:space="preserve">” </w:t>
      </w:r>
      <w:r w:rsidR="00D34259">
        <w:rPr>
          <w:rFonts w:ascii="Calibri" w:hAnsi="Calibri"/>
          <w:sz w:val="22"/>
        </w:rPr>
        <w:t xml:space="preserve">was hard to </w:t>
      </w:r>
      <w:r w:rsidR="00764473">
        <w:rPr>
          <w:rFonts w:ascii="Calibri" w:hAnsi="Calibri"/>
          <w:sz w:val="22"/>
        </w:rPr>
        <w:t>reconcile with</w:t>
      </w:r>
      <w:r w:rsidR="00905CB9">
        <w:rPr>
          <w:rFonts w:ascii="Calibri" w:hAnsi="Calibri"/>
          <w:sz w:val="22"/>
        </w:rPr>
        <w:t xml:space="preserve"> Annick Wibben’s </w:t>
      </w:r>
      <w:r w:rsidR="00797678">
        <w:rPr>
          <w:rFonts w:ascii="Calibri" w:hAnsi="Calibri"/>
          <w:sz w:val="22"/>
        </w:rPr>
        <w:t xml:space="preserve">(2011, 591) </w:t>
      </w:r>
      <w:r w:rsidR="00B82EF9">
        <w:rPr>
          <w:rFonts w:ascii="Calibri" w:hAnsi="Calibri"/>
          <w:sz w:val="22"/>
        </w:rPr>
        <w:t>insistence</w:t>
      </w:r>
      <w:r w:rsidR="00797678">
        <w:rPr>
          <w:rFonts w:ascii="Calibri" w:hAnsi="Calibri"/>
          <w:sz w:val="22"/>
        </w:rPr>
        <w:t xml:space="preserve"> that feminist politics is a</w:t>
      </w:r>
      <w:r w:rsidR="00764473">
        <w:rPr>
          <w:rFonts w:ascii="Calibri" w:hAnsi="Calibri"/>
          <w:sz w:val="22"/>
        </w:rPr>
        <w:t xml:space="preserve"> necessary</w:t>
      </w:r>
      <w:r w:rsidR="00797678">
        <w:rPr>
          <w:rFonts w:ascii="Calibri" w:hAnsi="Calibri"/>
          <w:sz w:val="22"/>
        </w:rPr>
        <w:t xml:space="preserve"> part of feminist scholarship.</w:t>
      </w:r>
      <w:r w:rsidR="001D6BF5">
        <w:rPr>
          <w:rFonts w:ascii="Calibri" w:hAnsi="Calibri"/>
          <w:sz w:val="22"/>
        </w:rPr>
        <w:t xml:space="preserve"> I felt caught between valuing the diversity </w:t>
      </w:r>
      <w:r w:rsidR="00A52661">
        <w:rPr>
          <w:rFonts w:ascii="Calibri" w:hAnsi="Calibri"/>
          <w:sz w:val="22"/>
        </w:rPr>
        <w:t>that positivist, liberal feminist work adds to FSS</w:t>
      </w:r>
      <w:r w:rsidR="001D6BF5">
        <w:rPr>
          <w:rFonts w:ascii="Calibri" w:hAnsi="Calibri"/>
          <w:sz w:val="22"/>
        </w:rPr>
        <w:t xml:space="preserve"> and valuing</w:t>
      </w:r>
      <w:r w:rsidR="00A52661">
        <w:rPr>
          <w:rFonts w:ascii="Calibri" w:hAnsi="Calibri"/>
          <w:sz w:val="22"/>
        </w:rPr>
        <w:t xml:space="preserve"> a politics that it contradicts. </w:t>
      </w:r>
    </w:p>
    <w:p w14:paraId="277C31ED" w14:textId="714B7F0B" w:rsidR="00E142E8" w:rsidRDefault="00E142E8" w:rsidP="00A04F9D">
      <w:pPr>
        <w:spacing w:line="290" w:lineRule="exact"/>
        <w:contextualSpacing/>
        <w:rPr>
          <w:rFonts w:ascii="Calibri" w:hAnsi="Calibri"/>
          <w:sz w:val="22"/>
        </w:rPr>
      </w:pPr>
      <w:r>
        <w:rPr>
          <w:rFonts w:ascii="Calibri" w:hAnsi="Calibri"/>
          <w:sz w:val="22"/>
        </w:rPr>
        <w:tab/>
      </w:r>
      <w:r w:rsidR="004401B4">
        <w:rPr>
          <w:rFonts w:ascii="Calibri" w:hAnsi="Calibri"/>
          <w:sz w:val="22"/>
        </w:rPr>
        <w:t>As I edited the CP section, I came to understand that I could (and should) do both.</w:t>
      </w:r>
      <w:r w:rsidR="00C92989">
        <w:rPr>
          <w:rFonts w:ascii="Calibri" w:hAnsi="Calibri"/>
          <w:sz w:val="22"/>
        </w:rPr>
        <w:t xml:space="preserve"> I concluded the section with that realization, suggesting, with Hayward Alker (1996) </w:t>
      </w:r>
      <w:r w:rsidR="001606FD">
        <w:rPr>
          <w:rFonts w:ascii="Calibri" w:hAnsi="Calibri"/>
          <w:sz w:val="22"/>
        </w:rPr>
        <w:t xml:space="preserve">that “knowledge, truth, and field definition are </w:t>
      </w:r>
      <w:r w:rsidR="001606FD">
        <w:rPr>
          <w:rFonts w:ascii="Calibri" w:hAnsi="Calibri"/>
          <w:i/>
          <w:sz w:val="22"/>
        </w:rPr>
        <w:t>in the contestation</w:t>
      </w:r>
      <w:r w:rsidR="00C92989">
        <w:rPr>
          <w:rFonts w:ascii="Calibri" w:hAnsi="Calibri"/>
          <w:sz w:val="22"/>
        </w:rPr>
        <w:t>.</w:t>
      </w:r>
      <w:r w:rsidR="005E289C">
        <w:rPr>
          <w:rFonts w:ascii="Calibri" w:hAnsi="Calibri"/>
          <w:sz w:val="22"/>
        </w:rPr>
        <w:t xml:space="preserve">” </w:t>
      </w:r>
      <w:r w:rsidR="006F755A">
        <w:rPr>
          <w:rFonts w:ascii="Calibri" w:hAnsi="Calibri"/>
          <w:sz w:val="22"/>
        </w:rPr>
        <w:t xml:space="preserve">This position suggests that there is no ‘right’ and ‘wrong,’ but instead FSS is </w:t>
      </w:r>
      <w:r w:rsidR="006F755A">
        <w:rPr>
          <w:rFonts w:ascii="Calibri" w:hAnsi="Calibri"/>
          <w:i/>
          <w:sz w:val="22"/>
        </w:rPr>
        <w:t xml:space="preserve">in </w:t>
      </w:r>
      <w:r w:rsidR="006F755A">
        <w:rPr>
          <w:rFonts w:ascii="Calibri" w:hAnsi="Calibri"/>
          <w:sz w:val="22"/>
        </w:rPr>
        <w:t>its diverse approaches, and “the</w:t>
      </w:r>
      <w:r w:rsidR="00627BEF">
        <w:rPr>
          <w:rFonts w:ascii="Calibri" w:hAnsi="Calibri"/>
          <w:sz w:val="22"/>
        </w:rPr>
        <w:t xml:space="preserve"> </w:t>
      </w:r>
      <w:r w:rsidR="00E04110">
        <w:rPr>
          <w:rFonts w:ascii="Calibri" w:hAnsi="Calibri"/>
          <w:sz w:val="22"/>
        </w:rPr>
        <w:t>narrative generated from their arguments, disagreements, and compromises”</w:t>
      </w:r>
      <w:r w:rsidR="001606FD">
        <w:rPr>
          <w:rFonts w:ascii="Calibri" w:hAnsi="Calibri"/>
          <w:i/>
          <w:sz w:val="22"/>
        </w:rPr>
        <w:t xml:space="preserve"> </w:t>
      </w:r>
      <w:r w:rsidR="001606FD">
        <w:rPr>
          <w:rFonts w:ascii="Calibri" w:hAnsi="Calibri"/>
          <w:sz w:val="22"/>
        </w:rPr>
        <w:t>(Sjoberg 2011, 601</w:t>
      </w:r>
      <w:r w:rsidR="00E04110">
        <w:rPr>
          <w:rFonts w:ascii="Calibri" w:hAnsi="Calibri"/>
          <w:sz w:val="22"/>
        </w:rPr>
        <w:t>, 602</w:t>
      </w:r>
      <w:r w:rsidR="001606FD">
        <w:rPr>
          <w:rFonts w:ascii="Calibri" w:hAnsi="Calibri"/>
          <w:sz w:val="22"/>
        </w:rPr>
        <w:t>)</w:t>
      </w:r>
      <w:r w:rsidR="00E04110">
        <w:rPr>
          <w:rFonts w:ascii="Calibri" w:hAnsi="Calibri"/>
          <w:sz w:val="22"/>
        </w:rPr>
        <w:t xml:space="preserve">. </w:t>
      </w:r>
      <w:r w:rsidR="005858ED">
        <w:rPr>
          <w:rFonts w:ascii="Calibri" w:hAnsi="Calibri"/>
          <w:sz w:val="22"/>
        </w:rPr>
        <w:t xml:space="preserve">Recognizing </w:t>
      </w:r>
      <w:r w:rsidR="00325CF8">
        <w:rPr>
          <w:rFonts w:ascii="Calibri" w:hAnsi="Calibri"/>
          <w:sz w:val="22"/>
        </w:rPr>
        <w:t>discussion about what FSS is</w:t>
      </w:r>
      <w:r w:rsidR="005858ED">
        <w:rPr>
          <w:rFonts w:ascii="Calibri" w:hAnsi="Calibri"/>
          <w:sz w:val="22"/>
        </w:rPr>
        <w:t xml:space="preserve"> “also creates, performs, and constitutes” it, </w:t>
      </w:r>
      <w:r w:rsidR="00325CF8">
        <w:rPr>
          <w:rFonts w:ascii="Calibri" w:hAnsi="Calibri"/>
          <w:sz w:val="22"/>
        </w:rPr>
        <w:t xml:space="preserve">I suggest that I </w:t>
      </w:r>
      <w:r w:rsidR="0099373F">
        <w:rPr>
          <w:rFonts w:ascii="Calibri" w:hAnsi="Calibri"/>
          <w:sz w:val="22"/>
        </w:rPr>
        <w:t>do not</w:t>
      </w:r>
      <w:r w:rsidR="00325CF8">
        <w:rPr>
          <w:rFonts w:ascii="Calibri" w:hAnsi="Calibri"/>
          <w:sz w:val="22"/>
        </w:rPr>
        <w:t xml:space="preserve"> have </w:t>
      </w:r>
      <w:r w:rsidR="009C7CB5">
        <w:rPr>
          <w:rFonts w:ascii="Calibri" w:hAnsi="Calibri"/>
          <w:sz w:val="22"/>
        </w:rPr>
        <w:t xml:space="preserve">all the </w:t>
      </w:r>
      <w:r w:rsidR="00325CF8">
        <w:rPr>
          <w:rFonts w:ascii="Calibri" w:hAnsi="Calibri"/>
          <w:sz w:val="22"/>
        </w:rPr>
        <w:t>answers</w:t>
      </w:r>
      <w:r w:rsidR="00F4295E">
        <w:rPr>
          <w:rFonts w:ascii="Calibri" w:hAnsi="Calibri"/>
          <w:sz w:val="22"/>
        </w:rPr>
        <w:t>, and characterize FSS as undecidable and dialogical</w:t>
      </w:r>
      <w:r w:rsidR="005858ED">
        <w:rPr>
          <w:rFonts w:ascii="Calibri" w:hAnsi="Calibri"/>
          <w:sz w:val="22"/>
        </w:rPr>
        <w:t xml:space="preserve"> (</w:t>
      </w:r>
      <w:r w:rsidR="00035CC1">
        <w:rPr>
          <w:rFonts w:ascii="Calibri" w:hAnsi="Calibri"/>
          <w:sz w:val="22"/>
        </w:rPr>
        <w:t xml:space="preserve">603). </w:t>
      </w:r>
    </w:p>
    <w:p w14:paraId="7E3BABA7" w14:textId="6AF18E22" w:rsidR="008D60B3" w:rsidRDefault="00035CC1" w:rsidP="000E4A9F">
      <w:pPr>
        <w:spacing w:line="290" w:lineRule="exact"/>
        <w:contextualSpacing/>
        <w:rPr>
          <w:rFonts w:ascii="Calibri" w:hAnsi="Calibri"/>
          <w:sz w:val="22"/>
        </w:rPr>
      </w:pPr>
      <w:r>
        <w:rPr>
          <w:rFonts w:ascii="Calibri" w:hAnsi="Calibri"/>
          <w:sz w:val="22"/>
        </w:rPr>
        <w:tab/>
        <w:t>I was surprised,</w:t>
      </w:r>
      <w:r w:rsidR="00FB7205">
        <w:rPr>
          <w:rFonts w:ascii="Calibri" w:hAnsi="Calibri"/>
          <w:sz w:val="22"/>
        </w:rPr>
        <w:t xml:space="preserve"> then, </w:t>
      </w:r>
      <w:r w:rsidR="00423FCE">
        <w:rPr>
          <w:rFonts w:ascii="Calibri" w:hAnsi="Calibri"/>
          <w:sz w:val="22"/>
        </w:rPr>
        <w:t>at the suggestion that the CP section</w:t>
      </w:r>
      <w:r w:rsidR="00DB1257">
        <w:rPr>
          <w:rFonts w:ascii="Calibri" w:hAnsi="Calibri"/>
          <w:sz w:val="22"/>
        </w:rPr>
        <w:t xml:space="preserve"> “clearly </w:t>
      </w:r>
      <w:r w:rsidR="003522E8">
        <w:rPr>
          <w:rFonts w:ascii="Calibri" w:hAnsi="Calibri"/>
          <w:sz w:val="22"/>
        </w:rPr>
        <w:t xml:space="preserve">[normatively] </w:t>
      </w:r>
      <w:r w:rsidR="00DB1257">
        <w:rPr>
          <w:rFonts w:ascii="Calibri" w:hAnsi="Calibri"/>
          <w:sz w:val="22"/>
        </w:rPr>
        <w:t>situates FSS within American scholarship”</w:t>
      </w:r>
      <w:r w:rsidR="00B80C2B">
        <w:rPr>
          <w:rFonts w:ascii="Calibri" w:hAnsi="Calibri"/>
          <w:sz w:val="22"/>
        </w:rPr>
        <w:t xml:space="preserve"> </w:t>
      </w:r>
      <w:r w:rsidR="00DB1257">
        <w:rPr>
          <w:rFonts w:ascii="Calibri" w:hAnsi="Calibri"/>
          <w:sz w:val="22"/>
        </w:rPr>
        <w:t>(Para</w:t>
      </w:r>
      <w:r w:rsidR="00B80C2B">
        <w:rPr>
          <w:rFonts w:ascii="Calibri" w:hAnsi="Calibri"/>
          <w:sz w:val="22"/>
        </w:rPr>
        <w:t>shar, this forum, p.2, 1</w:t>
      </w:r>
      <w:r w:rsidR="00DB1257">
        <w:rPr>
          <w:rFonts w:ascii="Calibri" w:hAnsi="Calibri"/>
          <w:sz w:val="22"/>
        </w:rPr>
        <w:t xml:space="preserve">). </w:t>
      </w:r>
      <w:r w:rsidR="009C7CB5">
        <w:rPr>
          <w:rFonts w:ascii="Calibri" w:hAnsi="Calibri"/>
          <w:sz w:val="22"/>
        </w:rPr>
        <w:t xml:space="preserve">Swati </w:t>
      </w:r>
      <w:r w:rsidR="00204FDD">
        <w:rPr>
          <w:rFonts w:ascii="Calibri" w:hAnsi="Calibri"/>
          <w:sz w:val="22"/>
        </w:rPr>
        <w:t xml:space="preserve">Parashar (this forum, p.2) characterizes the </w:t>
      </w:r>
      <w:r w:rsidR="00EC3527">
        <w:rPr>
          <w:rFonts w:ascii="Calibri" w:hAnsi="Calibri"/>
          <w:sz w:val="22"/>
        </w:rPr>
        <w:t>section</w:t>
      </w:r>
      <w:r w:rsidR="00204FDD">
        <w:rPr>
          <w:rFonts w:ascii="Calibri" w:hAnsi="Calibri"/>
          <w:sz w:val="22"/>
        </w:rPr>
        <w:t xml:space="preserve"> as “gatekeeping” and</w:t>
      </w:r>
      <w:r w:rsidR="00EC3527">
        <w:rPr>
          <w:rFonts w:ascii="Calibri" w:hAnsi="Calibri"/>
          <w:sz w:val="22"/>
        </w:rPr>
        <w:t xml:space="preserve"> argues </w:t>
      </w:r>
      <w:r w:rsidR="00204FDD">
        <w:rPr>
          <w:rFonts w:ascii="Calibri" w:hAnsi="Calibri"/>
          <w:sz w:val="22"/>
        </w:rPr>
        <w:t>that it “reflects an inability to speak to other camps and appreciate the knowledge produced in non-American settings.”</w:t>
      </w:r>
      <w:r w:rsidR="00F13A81">
        <w:rPr>
          <w:rFonts w:ascii="Calibri" w:hAnsi="Calibri"/>
          <w:sz w:val="22"/>
        </w:rPr>
        <w:t xml:space="preserve"> </w:t>
      </w:r>
      <w:r w:rsidR="009C7CB5">
        <w:rPr>
          <w:rFonts w:ascii="Calibri" w:hAnsi="Calibri"/>
          <w:sz w:val="22"/>
        </w:rPr>
        <w:t xml:space="preserve">She </w:t>
      </w:r>
      <w:r w:rsidR="002F5567">
        <w:rPr>
          <w:rFonts w:ascii="Calibri" w:hAnsi="Calibri"/>
          <w:sz w:val="22"/>
        </w:rPr>
        <w:t>(this forum, p.2, 3)</w:t>
      </w:r>
      <w:r w:rsidR="0024248C">
        <w:rPr>
          <w:rFonts w:ascii="Calibri" w:hAnsi="Calibri"/>
          <w:sz w:val="22"/>
        </w:rPr>
        <w:t xml:space="preserve"> </w:t>
      </w:r>
      <w:r w:rsidR="002F5567">
        <w:rPr>
          <w:rFonts w:ascii="Calibri" w:hAnsi="Calibri"/>
          <w:sz w:val="22"/>
        </w:rPr>
        <w:t xml:space="preserve">sees the section </w:t>
      </w:r>
      <w:r w:rsidR="0024248C">
        <w:rPr>
          <w:rFonts w:ascii="Calibri" w:hAnsi="Calibri"/>
          <w:sz w:val="22"/>
        </w:rPr>
        <w:t xml:space="preserve">as </w:t>
      </w:r>
      <w:r w:rsidR="001C40FE">
        <w:rPr>
          <w:rFonts w:ascii="Calibri" w:hAnsi="Calibri"/>
          <w:sz w:val="22"/>
        </w:rPr>
        <w:t xml:space="preserve">a site of “hegemonic power,” </w:t>
      </w:r>
      <w:r w:rsidR="0024248C">
        <w:rPr>
          <w:rFonts w:ascii="Calibri" w:hAnsi="Calibri"/>
          <w:sz w:val="22"/>
        </w:rPr>
        <w:t xml:space="preserve"> “epistemic violence,”</w:t>
      </w:r>
      <w:r w:rsidR="001C40FE">
        <w:rPr>
          <w:rFonts w:ascii="Calibri" w:hAnsi="Calibri"/>
          <w:sz w:val="22"/>
        </w:rPr>
        <w:t xml:space="preserve"> and “censorship,” understood to be “parochial,” “intolerant,” and “imperial</w:t>
      </w:r>
      <w:r w:rsidR="000E4A9F">
        <w:rPr>
          <w:rFonts w:ascii="Calibri" w:hAnsi="Calibri"/>
          <w:sz w:val="22"/>
        </w:rPr>
        <w:t>.</w:t>
      </w:r>
      <w:r w:rsidR="001C40FE">
        <w:rPr>
          <w:rFonts w:ascii="Calibri" w:hAnsi="Calibri"/>
          <w:sz w:val="22"/>
        </w:rPr>
        <w:t xml:space="preserve">” </w:t>
      </w:r>
      <w:r w:rsidR="000E4A9F">
        <w:rPr>
          <w:rFonts w:ascii="Calibri" w:hAnsi="Calibri"/>
          <w:sz w:val="22"/>
        </w:rPr>
        <w:t xml:space="preserve"> I disagree. </w:t>
      </w:r>
    </w:p>
    <w:p w14:paraId="1BE0FD30" w14:textId="5AA624BC" w:rsidR="00994938" w:rsidRDefault="008D60B3" w:rsidP="00A04F9D">
      <w:pPr>
        <w:spacing w:line="290" w:lineRule="exact"/>
        <w:contextualSpacing/>
        <w:rPr>
          <w:rFonts w:ascii="Calibri" w:hAnsi="Calibri"/>
          <w:sz w:val="22"/>
        </w:rPr>
      </w:pPr>
      <w:r>
        <w:rPr>
          <w:rFonts w:ascii="Calibri" w:hAnsi="Calibri"/>
          <w:sz w:val="22"/>
        </w:rPr>
        <w:tab/>
      </w:r>
      <w:r w:rsidR="0032125D">
        <w:rPr>
          <w:rFonts w:ascii="Calibri" w:hAnsi="Calibri"/>
          <w:sz w:val="22"/>
        </w:rPr>
        <w:t xml:space="preserve">I am not arguing that the CP section </w:t>
      </w:r>
      <w:r>
        <w:rPr>
          <w:rFonts w:ascii="Calibri" w:hAnsi="Calibri"/>
          <w:sz w:val="22"/>
        </w:rPr>
        <w:t>is beyond reproach. It</w:t>
      </w:r>
      <w:r w:rsidR="0032125D">
        <w:rPr>
          <w:rFonts w:ascii="Calibri" w:hAnsi="Calibri"/>
          <w:sz w:val="22"/>
        </w:rPr>
        <w:t>s authors live in the US,</w:t>
      </w:r>
      <w:r w:rsidR="00C84A58">
        <w:rPr>
          <w:rFonts w:ascii="Calibri" w:hAnsi="Calibri"/>
          <w:sz w:val="22"/>
        </w:rPr>
        <w:t xml:space="preserve"> and </w:t>
      </w:r>
      <w:r w:rsidR="0032125D">
        <w:rPr>
          <w:rFonts w:ascii="Calibri" w:hAnsi="Calibri"/>
          <w:sz w:val="22"/>
        </w:rPr>
        <w:t xml:space="preserve">it was </w:t>
      </w:r>
      <w:r w:rsidR="00C84A58">
        <w:rPr>
          <w:rFonts w:ascii="Calibri" w:hAnsi="Calibri"/>
          <w:sz w:val="22"/>
        </w:rPr>
        <w:t xml:space="preserve">published in </w:t>
      </w:r>
      <w:r w:rsidR="0032125D">
        <w:rPr>
          <w:rFonts w:ascii="Calibri" w:hAnsi="Calibri"/>
          <w:sz w:val="22"/>
        </w:rPr>
        <w:t>a US</w:t>
      </w:r>
      <w:r w:rsidR="009C7CB5">
        <w:rPr>
          <w:rFonts w:ascii="Calibri" w:hAnsi="Calibri"/>
          <w:sz w:val="22"/>
        </w:rPr>
        <w:t>-based</w:t>
      </w:r>
      <w:r w:rsidR="00C84A58">
        <w:rPr>
          <w:rFonts w:ascii="Calibri" w:hAnsi="Calibri"/>
          <w:sz w:val="22"/>
        </w:rPr>
        <w:t xml:space="preserve"> journal. While</w:t>
      </w:r>
      <w:r w:rsidR="00BF4B44">
        <w:rPr>
          <w:rFonts w:ascii="Calibri" w:hAnsi="Calibri"/>
          <w:sz w:val="22"/>
        </w:rPr>
        <w:t xml:space="preserve"> it does not claim </w:t>
      </w:r>
      <w:r w:rsidR="00285CBC">
        <w:rPr>
          <w:rFonts w:ascii="Calibri" w:hAnsi="Calibri"/>
          <w:sz w:val="22"/>
        </w:rPr>
        <w:t>representation</w:t>
      </w:r>
      <w:r w:rsidR="00BF4B44">
        <w:rPr>
          <w:rFonts w:ascii="Calibri" w:hAnsi="Calibri"/>
          <w:sz w:val="22"/>
        </w:rPr>
        <w:t>,</w:t>
      </w:r>
      <w:r w:rsidR="00C84A58">
        <w:rPr>
          <w:rFonts w:ascii="Calibri" w:hAnsi="Calibri"/>
          <w:sz w:val="22"/>
        </w:rPr>
        <w:t xml:space="preserve"> it also does not </w:t>
      </w:r>
      <w:r w:rsidR="00A9036D">
        <w:rPr>
          <w:rFonts w:ascii="Calibri" w:hAnsi="Calibri"/>
          <w:sz w:val="22"/>
        </w:rPr>
        <w:t>discuss</w:t>
      </w:r>
      <w:r w:rsidR="00C84A58">
        <w:rPr>
          <w:rFonts w:ascii="Calibri" w:hAnsi="Calibri"/>
          <w:sz w:val="22"/>
        </w:rPr>
        <w:t xml:space="preserve"> its unrepresentativeness. As Laura Shepherd (this forum, p.1)</w:t>
      </w:r>
      <w:r w:rsidR="009C7CB5">
        <w:rPr>
          <w:rFonts w:ascii="Calibri" w:hAnsi="Calibri"/>
          <w:sz w:val="22"/>
        </w:rPr>
        <w:t xml:space="preserve"> </w:t>
      </w:r>
      <w:r w:rsidR="00A9036D">
        <w:rPr>
          <w:rFonts w:ascii="Calibri" w:hAnsi="Calibri"/>
          <w:sz w:val="22"/>
        </w:rPr>
        <w:t>contends</w:t>
      </w:r>
      <w:r w:rsidR="00C84A58">
        <w:rPr>
          <w:rFonts w:ascii="Calibri" w:hAnsi="Calibri"/>
          <w:sz w:val="22"/>
        </w:rPr>
        <w:t xml:space="preserve">, </w:t>
      </w:r>
      <w:r w:rsidR="00CF1EFB">
        <w:rPr>
          <w:rFonts w:ascii="Calibri" w:hAnsi="Calibri"/>
          <w:sz w:val="22"/>
        </w:rPr>
        <w:t>I</w:t>
      </w:r>
      <w:r w:rsidR="007C5E62">
        <w:rPr>
          <w:rFonts w:ascii="Calibri" w:hAnsi="Calibri"/>
          <w:sz w:val="22"/>
        </w:rPr>
        <w:t xml:space="preserve"> </w:t>
      </w:r>
      <w:r w:rsidR="00A9036D">
        <w:rPr>
          <w:rFonts w:ascii="Calibri" w:hAnsi="Calibri"/>
          <w:sz w:val="22"/>
        </w:rPr>
        <w:t xml:space="preserve">was responsible for </w:t>
      </w:r>
      <w:r w:rsidR="005544A8">
        <w:rPr>
          <w:rFonts w:ascii="Calibri" w:hAnsi="Calibri"/>
          <w:sz w:val="22"/>
        </w:rPr>
        <w:t>explicitly recognizing its partiality.</w:t>
      </w:r>
      <w:r w:rsidR="007C5E62">
        <w:rPr>
          <w:rFonts w:ascii="Calibri" w:hAnsi="Calibri"/>
          <w:sz w:val="22"/>
        </w:rPr>
        <w:t xml:space="preserve"> </w:t>
      </w:r>
    </w:p>
    <w:p w14:paraId="780E75BC" w14:textId="3A747CE9" w:rsidR="008D60B3" w:rsidRDefault="00FC4F38" w:rsidP="00B148D2">
      <w:pPr>
        <w:spacing w:line="290" w:lineRule="exact"/>
        <w:ind w:firstLine="720"/>
        <w:contextualSpacing/>
        <w:rPr>
          <w:rFonts w:ascii="Calibri" w:hAnsi="Calibri"/>
          <w:sz w:val="22"/>
        </w:rPr>
      </w:pPr>
      <w:r>
        <w:rPr>
          <w:rFonts w:ascii="Calibri" w:hAnsi="Calibri"/>
          <w:sz w:val="22"/>
        </w:rPr>
        <w:lastRenderedPageBreak/>
        <w:t>Still, Shepherd’s</w:t>
      </w:r>
      <w:r w:rsidR="007B4467">
        <w:rPr>
          <w:rFonts w:ascii="Calibri" w:hAnsi="Calibri"/>
          <w:sz w:val="22"/>
        </w:rPr>
        <w:t xml:space="preserve"> (t</w:t>
      </w:r>
      <w:r w:rsidR="005B13C0">
        <w:rPr>
          <w:rFonts w:ascii="Calibri" w:hAnsi="Calibri"/>
          <w:sz w:val="22"/>
        </w:rPr>
        <w:t xml:space="preserve">his forum, p.3) conclusion that </w:t>
      </w:r>
      <w:r w:rsidR="004D50B2">
        <w:rPr>
          <w:rFonts w:ascii="Calibri" w:hAnsi="Calibri"/>
          <w:sz w:val="22"/>
        </w:rPr>
        <w:t>the section’s</w:t>
      </w:r>
      <w:r w:rsidR="00B148D2">
        <w:rPr>
          <w:rFonts w:ascii="Calibri" w:hAnsi="Calibri"/>
          <w:sz w:val="22"/>
        </w:rPr>
        <w:t xml:space="preserve"> effect is</w:t>
      </w:r>
      <w:r w:rsidR="00A71993">
        <w:rPr>
          <w:rFonts w:ascii="Calibri" w:hAnsi="Calibri"/>
          <w:sz w:val="22"/>
        </w:rPr>
        <w:t xml:space="preserve"> “to construct FSS in the image of White Western femininity” </w:t>
      </w:r>
      <w:r w:rsidR="005B13C0">
        <w:rPr>
          <w:rFonts w:ascii="Calibri" w:hAnsi="Calibri"/>
          <w:sz w:val="22"/>
        </w:rPr>
        <w:t xml:space="preserve">relies on </w:t>
      </w:r>
      <w:r>
        <w:rPr>
          <w:rFonts w:ascii="Calibri" w:hAnsi="Calibri"/>
          <w:sz w:val="22"/>
        </w:rPr>
        <w:t>claim</w:t>
      </w:r>
      <w:r w:rsidR="005B13C0">
        <w:rPr>
          <w:rFonts w:ascii="Calibri" w:hAnsi="Calibri"/>
          <w:sz w:val="22"/>
        </w:rPr>
        <w:t>s</w:t>
      </w:r>
      <w:r>
        <w:rPr>
          <w:rFonts w:ascii="Calibri" w:hAnsi="Calibri"/>
          <w:sz w:val="22"/>
        </w:rPr>
        <w:t xml:space="preserve"> to </w:t>
      </w:r>
      <w:r w:rsidR="0018135A">
        <w:rPr>
          <w:rFonts w:ascii="Calibri" w:hAnsi="Calibri"/>
          <w:i/>
          <w:sz w:val="22"/>
        </w:rPr>
        <w:t>speak for</w:t>
      </w:r>
      <w:r>
        <w:rPr>
          <w:rFonts w:ascii="Calibri" w:hAnsi="Calibri"/>
          <w:sz w:val="22"/>
        </w:rPr>
        <w:t xml:space="preserve"> </w:t>
      </w:r>
      <w:r w:rsidR="005B13C0">
        <w:rPr>
          <w:rFonts w:ascii="Calibri" w:hAnsi="Calibri"/>
          <w:sz w:val="22"/>
        </w:rPr>
        <w:t>that just are not there</w:t>
      </w:r>
      <w:r>
        <w:rPr>
          <w:rFonts w:ascii="Calibri" w:hAnsi="Calibri"/>
          <w:sz w:val="22"/>
        </w:rPr>
        <w:t>.</w:t>
      </w:r>
      <w:r w:rsidR="00B91255">
        <w:rPr>
          <w:rFonts w:ascii="Calibri" w:hAnsi="Calibri"/>
          <w:sz w:val="22"/>
        </w:rPr>
        <w:t xml:space="preserve"> The section was </w:t>
      </w:r>
      <w:r w:rsidR="00B91255">
        <w:rPr>
          <w:rFonts w:ascii="Calibri" w:hAnsi="Calibri"/>
          <w:i/>
          <w:sz w:val="22"/>
        </w:rPr>
        <w:t xml:space="preserve">a </w:t>
      </w:r>
      <w:r w:rsidR="00B91255">
        <w:rPr>
          <w:rFonts w:ascii="Calibri" w:hAnsi="Calibri"/>
          <w:sz w:val="22"/>
        </w:rPr>
        <w:t xml:space="preserve">conversation about FSS, not </w:t>
      </w:r>
      <w:r w:rsidR="00B91255">
        <w:rPr>
          <w:rFonts w:ascii="Calibri" w:hAnsi="Calibri"/>
          <w:i/>
          <w:sz w:val="22"/>
        </w:rPr>
        <w:t xml:space="preserve">the </w:t>
      </w:r>
      <w:r w:rsidR="00B91255">
        <w:rPr>
          <w:rFonts w:ascii="Calibri" w:hAnsi="Calibri"/>
          <w:sz w:val="22"/>
        </w:rPr>
        <w:t>conversation, and never claimed otherwise.</w:t>
      </w:r>
      <w:r>
        <w:rPr>
          <w:rFonts w:ascii="Calibri" w:hAnsi="Calibri"/>
          <w:sz w:val="22"/>
        </w:rPr>
        <w:t xml:space="preserve"> </w:t>
      </w:r>
      <w:r w:rsidR="00BE1F78">
        <w:rPr>
          <w:rFonts w:ascii="Calibri" w:hAnsi="Calibri"/>
          <w:sz w:val="22"/>
        </w:rPr>
        <w:t>In it,</w:t>
      </w:r>
      <w:r w:rsidR="002D20F6">
        <w:rPr>
          <w:rFonts w:ascii="Calibri" w:hAnsi="Calibri"/>
          <w:sz w:val="22"/>
        </w:rPr>
        <w:t xml:space="preserve"> I and</w:t>
      </w:r>
      <w:r w:rsidR="00BE1F78">
        <w:rPr>
          <w:rFonts w:ascii="Calibri" w:hAnsi="Calibri"/>
          <w:sz w:val="22"/>
        </w:rPr>
        <w:t xml:space="preserve"> </w:t>
      </w:r>
      <w:r w:rsidR="002D20F6">
        <w:rPr>
          <w:rFonts w:ascii="Calibri" w:hAnsi="Calibri"/>
          <w:sz w:val="22"/>
        </w:rPr>
        <w:t xml:space="preserve">other </w:t>
      </w:r>
      <w:r w:rsidR="00BE1F78">
        <w:rPr>
          <w:rFonts w:ascii="Calibri" w:hAnsi="Calibri"/>
          <w:sz w:val="22"/>
        </w:rPr>
        <w:t>contributors</w:t>
      </w:r>
      <w:r w:rsidR="002D20F6">
        <w:rPr>
          <w:rFonts w:ascii="Calibri" w:hAnsi="Calibri"/>
          <w:sz w:val="22"/>
        </w:rPr>
        <w:t xml:space="preserve"> </w:t>
      </w:r>
      <w:r w:rsidR="00BE1F78">
        <w:rPr>
          <w:rFonts w:ascii="Calibri" w:hAnsi="Calibri"/>
          <w:sz w:val="22"/>
        </w:rPr>
        <w:t xml:space="preserve">talk about </w:t>
      </w:r>
      <w:r w:rsidR="002D20F6">
        <w:rPr>
          <w:rFonts w:ascii="Calibri" w:hAnsi="Calibri"/>
          <w:sz w:val="22"/>
        </w:rPr>
        <w:t xml:space="preserve">our </w:t>
      </w:r>
      <w:r w:rsidR="00A63698">
        <w:rPr>
          <w:rFonts w:ascii="Calibri" w:hAnsi="Calibri"/>
          <w:i/>
          <w:sz w:val="22"/>
        </w:rPr>
        <w:t xml:space="preserve">journeys </w:t>
      </w:r>
      <w:r w:rsidR="00A63698">
        <w:rPr>
          <w:rFonts w:ascii="Calibri" w:hAnsi="Calibri"/>
          <w:sz w:val="22"/>
        </w:rPr>
        <w:t xml:space="preserve">(sometimes personal, sometimes scholarly) through FSS and </w:t>
      </w:r>
      <w:r w:rsidR="002D20F6">
        <w:rPr>
          <w:rFonts w:ascii="Calibri" w:hAnsi="Calibri"/>
          <w:sz w:val="22"/>
        </w:rPr>
        <w:t xml:space="preserve">our </w:t>
      </w:r>
      <w:r w:rsidR="00A63698">
        <w:rPr>
          <w:rFonts w:ascii="Calibri" w:hAnsi="Calibri"/>
          <w:i/>
          <w:sz w:val="22"/>
        </w:rPr>
        <w:t>hopes</w:t>
      </w:r>
      <w:r w:rsidR="00A63698">
        <w:rPr>
          <w:rFonts w:ascii="Calibri" w:hAnsi="Calibri"/>
          <w:sz w:val="22"/>
        </w:rPr>
        <w:t xml:space="preserve"> for it. </w:t>
      </w:r>
      <w:r w:rsidR="004701C1">
        <w:rPr>
          <w:rFonts w:ascii="Calibri" w:hAnsi="Calibri"/>
          <w:sz w:val="22"/>
        </w:rPr>
        <w:t xml:space="preserve"> We did so </w:t>
      </w:r>
      <w:r w:rsidR="00323ACE">
        <w:rPr>
          <w:rFonts w:ascii="Calibri" w:hAnsi="Calibri"/>
          <w:sz w:val="22"/>
        </w:rPr>
        <w:t>looking</w:t>
      </w:r>
      <w:r w:rsidR="00B95A4B">
        <w:rPr>
          <w:rFonts w:ascii="Calibri" w:hAnsi="Calibri"/>
          <w:sz w:val="22"/>
        </w:rPr>
        <w:t xml:space="preserve"> “to provoke discussion, rather than serve as a systematic treatise” (Sjoberg 2011, 602).</w:t>
      </w:r>
      <w:r w:rsidR="0018135A">
        <w:rPr>
          <w:rFonts w:ascii="Calibri" w:hAnsi="Calibri"/>
          <w:sz w:val="22"/>
        </w:rPr>
        <w:t xml:space="preserve"> </w:t>
      </w:r>
    </w:p>
    <w:p w14:paraId="7523534C" w14:textId="0396E2E1" w:rsidR="00EE5F72" w:rsidRDefault="0018135A" w:rsidP="00CA7314">
      <w:pPr>
        <w:spacing w:line="290" w:lineRule="exact"/>
        <w:ind w:firstLine="720"/>
        <w:contextualSpacing/>
        <w:rPr>
          <w:rFonts w:ascii="Calibri" w:hAnsi="Calibri"/>
          <w:sz w:val="22"/>
        </w:rPr>
      </w:pPr>
      <w:r>
        <w:rPr>
          <w:rFonts w:ascii="Calibri" w:hAnsi="Calibri"/>
          <w:sz w:val="22"/>
        </w:rPr>
        <w:t>How that (admitted</w:t>
      </w:r>
      <w:r w:rsidR="004450FF">
        <w:rPr>
          <w:rFonts w:ascii="Calibri" w:hAnsi="Calibri"/>
          <w:sz w:val="22"/>
        </w:rPr>
        <w:t>) incompleteness</w:t>
      </w:r>
      <w:r>
        <w:rPr>
          <w:rFonts w:ascii="Calibri" w:hAnsi="Calibri"/>
          <w:sz w:val="22"/>
        </w:rPr>
        <w:t xml:space="preserve"> matters, then,</w:t>
      </w:r>
      <w:r w:rsidR="00CA7314">
        <w:rPr>
          <w:rFonts w:ascii="Calibri" w:hAnsi="Calibri"/>
          <w:sz w:val="22"/>
        </w:rPr>
        <w:t xml:space="preserve"> becomes </w:t>
      </w:r>
      <w:r w:rsidR="00142229">
        <w:rPr>
          <w:rFonts w:ascii="Calibri" w:hAnsi="Calibri"/>
          <w:sz w:val="22"/>
        </w:rPr>
        <w:t>key</w:t>
      </w:r>
      <w:r w:rsidR="00CA7314">
        <w:rPr>
          <w:rFonts w:ascii="Calibri" w:hAnsi="Calibri"/>
          <w:sz w:val="22"/>
        </w:rPr>
        <w:t>. T</w:t>
      </w:r>
      <w:r w:rsidR="00EE5F72">
        <w:rPr>
          <w:rFonts w:ascii="Calibri" w:hAnsi="Calibri"/>
          <w:sz w:val="22"/>
        </w:rPr>
        <w:t xml:space="preserve">eresia Teaiwa and Claire Slatter (this forum, p.1) </w:t>
      </w:r>
      <w:r w:rsidR="00CA7314">
        <w:rPr>
          <w:rFonts w:ascii="Calibri" w:hAnsi="Calibri"/>
          <w:sz w:val="22"/>
        </w:rPr>
        <w:t xml:space="preserve">worry </w:t>
      </w:r>
      <w:r w:rsidR="00EE5F72">
        <w:rPr>
          <w:rFonts w:ascii="Calibri" w:hAnsi="Calibri"/>
          <w:sz w:val="22"/>
        </w:rPr>
        <w:t xml:space="preserve">that </w:t>
      </w:r>
      <w:r w:rsidR="00E90E8F">
        <w:rPr>
          <w:rFonts w:ascii="Calibri" w:hAnsi="Calibri"/>
          <w:sz w:val="22"/>
        </w:rPr>
        <w:t xml:space="preserve">the CP section characterized </w:t>
      </w:r>
      <w:r w:rsidR="00EE5F72">
        <w:rPr>
          <w:rFonts w:ascii="Calibri" w:hAnsi="Calibri"/>
          <w:sz w:val="22"/>
        </w:rPr>
        <w:t xml:space="preserve">the Pacific Islands </w:t>
      </w:r>
      <w:r w:rsidR="00E90E8F">
        <w:rPr>
          <w:rFonts w:ascii="Calibri" w:hAnsi="Calibri"/>
          <w:sz w:val="22"/>
        </w:rPr>
        <w:t>as</w:t>
      </w:r>
      <w:r w:rsidR="00EE5F72">
        <w:rPr>
          <w:rFonts w:ascii="Calibri" w:hAnsi="Calibri"/>
          <w:sz w:val="22"/>
        </w:rPr>
        <w:t xml:space="preserve"> </w:t>
      </w:r>
      <w:r w:rsidR="00E90E8F">
        <w:rPr>
          <w:rFonts w:ascii="Calibri" w:hAnsi="Calibri"/>
          <w:sz w:val="22"/>
        </w:rPr>
        <w:t>“</w:t>
      </w:r>
      <w:r w:rsidR="00EE5F72">
        <w:rPr>
          <w:rFonts w:ascii="Calibri" w:hAnsi="Calibri"/>
          <w:sz w:val="22"/>
        </w:rPr>
        <w:t xml:space="preserve">geo-politically marginal to the field” and </w:t>
      </w:r>
      <w:r w:rsidR="00E90E8F">
        <w:rPr>
          <w:rFonts w:ascii="Calibri" w:hAnsi="Calibri"/>
          <w:sz w:val="22"/>
        </w:rPr>
        <w:t xml:space="preserve">see that sort of exclusivity as counterproductive to FSS. </w:t>
      </w:r>
      <w:r w:rsidR="00EE5F72">
        <w:rPr>
          <w:rFonts w:ascii="Calibri" w:hAnsi="Calibri"/>
          <w:sz w:val="22"/>
        </w:rPr>
        <w:t xml:space="preserve"> I could not agree more with the</w:t>
      </w:r>
      <w:r w:rsidR="00BE6A73">
        <w:rPr>
          <w:rFonts w:ascii="Calibri" w:hAnsi="Calibri"/>
          <w:sz w:val="22"/>
        </w:rPr>
        <w:t>ir</w:t>
      </w:r>
      <w:r w:rsidR="00EE5F72">
        <w:rPr>
          <w:rFonts w:ascii="Calibri" w:hAnsi="Calibri"/>
          <w:sz w:val="22"/>
        </w:rPr>
        <w:t xml:space="preserve"> conclusion, and regret if it was possible to read the CP section as marginalizing any location. I can only speak for myself, but </w:t>
      </w:r>
      <w:r w:rsidR="00C41D9A">
        <w:rPr>
          <w:rFonts w:ascii="Calibri" w:hAnsi="Calibri"/>
          <w:sz w:val="22"/>
        </w:rPr>
        <w:t>I should have been</w:t>
      </w:r>
      <w:r w:rsidR="00EE5F72">
        <w:rPr>
          <w:rFonts w:ascii="Calibri" w:hAnsi="Calibri"/>
          <w:sz w:val="22"/>
        </w:rPr>
        <w:t xml:space="preserve"> more careful </w:t>
      </w:r>
      <w:r w:rsidR="008D09C7">
        <w:rPr>
          <w:rFonts w:ascii="Calibri" w:hAnsi="Calibri"/>
          <w:sz w:val="22"/>
        </w:rPr>
        <w:t xml:space="preserve">than I was </w:t>
      </w:r>
      <w:r w:rsidR="00EE5F72">
        <w:rPr>
          <w:rFonts w:ascii="Calibri" w:hAnsi="Calibri"/>
          <w:sz w:val="22"/>
        </w:rPr>
        <w:t xml:space="preserve">to make it clear that no </w:t>
      </w:r>
      <w:r w:rsidR="002A6AC4">
        <w:rPr>
          <w:rFonts w:ascii="Calibri" w:hAnsi="Calibri"/>
          <w:sz w:val="22"/>
        </w:rPr>
        <w:t xml:space="preserve">homogenizing, </w:t>
      </w:r>
      <w:r w:rsidR="00EE5F72">
        <w:rPr>
          <w:rFonts w:ascii="Calibri" w:hAnsi="Calibri"/>
          <w:sz w:val="22"/>
        </w:rPr>
        <w:t>exclusive</w:t>
      </w:r>
      <w:r w:rsidR="002A6AC4">
        <w:rPr>
          <w:rFonts w:ascii="Calibri" w:hAnsi="Calibri"/>
          <w:sz w:val="22"/>
        </w:rPr>
        <w:t>,</w:t>
      </w:r>
      <w:r w:rsidR="00EE5F72">
        <w:rPr>
          <w:rFonts w:ascii="Calibri" w:hAnsi="Calibri"/>
          <w:sz w:val="22"/>
        </w:rPr>
        <w:t xml:space="preserve"> or marginalizing intent accompanied my construction of what I saw as an explicitly inclusive framework. </w:t>
      </w:r>
      <w:r w:rsidR="001120AF">
        <w:rPr>
          <w:rFonts w:ascii="Calibri" w:hAnsi="Calibri"/>
          <w:sz w:val="22"/>
        </w:rPr>
        <w:t xml:space="preserve">As I described then, “the conflicts and contestations among </w:t>
      </w:r>
      <w:r w:rsidR="00644194">
        <w:rPr>
          <w:rFonts w:ascii="Calibri" w:hAnsi="Calibri"/>
          <w:sz w:val="22"/>
        </w:rPr>
        <w:t xml:space="preserve">feminists in Feminist Security Studies and between feminists ….constitute </w:t>
      </w:r>
      <w:r w:rsidR="00007771">
        <w:rPr>
          <w:rFonts w:ascii="Calibri" w:hAnsi="Calibri"/>
          <w:sz w:val="22"/>
        </w:rPr>
        <w:t xml:space="preserve">Feminist Security Studies” (Sjoberg 2011, 602). </w:t>
      </w:r>
      <w:r w:rsidR="00754190">
        <w:rPr>
          <w:rFonts w:ascii="Calibri" w:hAnsi="Calibri"/>
          <w:sz w:val="22"/>
        </w:rPr>
        <w:t xml:space="preserve">I meant that to suggest that differences of theoretical orientation, location, </w:t>
      </w:r>
      <w:r w:rsidR="004F7E5B">
        <w:rPr>
          <w:rFonts w:ascii="Calibri" w:hAnsi="Calibri"/>
          <w:sz w:val="22"/>
        </w:rPr>
        <w:t xml:space="preserve">nationality, </w:t>
      </w:r>
      <w:r w:rsidR="00754190">
        <w:rPr>
          <w:rFonts w:ascii="Calibri" w:hAnsi="Calibri"/>
          <w:sz w:val="22"/>
        </w:rPr>
        <w:t xml:space="preserve">substantive focus, race, gender, gender identity, sexuality, perspectival orientation, </w:t>
      </w:r>
      <w:r w:rsidR="004F7E5B">
        <w:rPr>
          <w:rFonts w:ascii="Calibri" w:hAnsi="Calibri"/>
          <w:sz w:val="22"/>
        </w:rPr>
        <w:t xml:space="preserve">and </w:t>
      </w:r>
      <w:r w:rsidR="007E0759">
        <w:rPr>
          <w:rFonts w:ascii="Calibri" w:hAnsi="Calibri"/>
          <w:sz w:val="22"/>
        </w:rPr>
        <w:t>epistemology</w:t>
      </w:r>
      <w:r w:rsidR="0048400C">
        <w:rPr>
          <w:rFonts w:ascii="Calibri" w:hAnsi="Calibri"/>
          <w:sz w:val="22"/>
        </w:rPr>
        <w:t xml:space="preserve"> are parts of an argument that make FSS.</w:t>
      </w:r>
      <w:r w:rsidR="004F7E5B">
        <w:rPr>
          <w:rFonts w:ascii="Calibri" w:hAnsi="Calibri"/>
          <w:sz w:val="22"/>
        </w:rPr>
        <w:t xml:space="preserve"> </w:t>
      </w:r>
      <w:bookmarkStart w:id="0" w:name="_GoBack"/>
      <w:r w:rsidR="0096510E">
        <w:rPr>
          <w:rFonts w:ascii="Calibri" w:hAnsi="Calibri"/>
          <w:sz w:val="22"/>
        </w:rPr>
        <w:t>This is similar to the methodo</w:t>
      </w:r>
      <w:r w:rsidR="00042B10">
        <w:rPr>
          <w:rFonts w:ascii="Calibri" w:hAnsi="Calibri"/>
          <w:sz w:val="22"/>
        </w:rPr>
        <w:t>logical argument that Jacq</w:t>
      </w:r>
      <w:r w:rsidR="00CE7FDF">
        <w:rPr>
          <w:rFonts w:ascii="Calibri" w:hAnsi="Calibri"/>
          <w:sz w:val="22"/>
        </w:rPr>
        <w:t>ui True and Brooke Ackerly (2010</w:t>
      </w:r>
      <w:r w:rsidR="00042B10">
        <w:rPr>
          <w:rFonts w:ascii="Calibri" w:hAnsi="Calibri"/>
          <w:sz w:val="22"/>
        </w:rPr>
        <w:t>)</w:t>
      </w:r>
      <w:r w:rsidR="00CE7FDF">
        <w:rPr>
          <w:rFonts w:ascii="Calibri" w:hAnsi="Calibri"/>
          <w:sz w:val="22"/>
        </w:rPr>
        <w:t xml:space="preserve"> make about how to do feminist research. </w:t>
      </w:r>
      <w:bookmarkEnd w:id="0"/>
    </w:p>
    <w:p w14:paraId="57EC605F" w14:textId="717B5835" w:rsidR="00CC38B6" w:rsidRPr="00DE1991" w:rsidRDefault="00EE7A39" w:rsidP="00DE1991">
      <w:pPr>
        <w:spacing w:line="290" w:lineRule="exact"/>
        <w:ind w:firstLine="720"/>
        <w:contextualSpacing/>
        <w:rPr>
          <w:rFonts w:ascii="Calibri" w:hAnsi="Calibri"/>
          <w:sz w:val="22"/>
        </w:rPr>
      </w:pPr>
      <w:r>
        <w:rPr>
          <w:rFonts w:ascii="Calibri" w:hAnsi="Calibri"/>
          <w:sz w:val="22"/>
        </w:rPr>
        <w:t xml:space="preserve">While the (possible) effects of my scholarly and editorial choices as relates to the CP section are important to discuss (and critique), </w:t>
      </w:r>
      <w:r w:rsidR="0080268E">
        <w:rPr>
          <w:rFonts w:ascii="Calibri" w:hAnsi="Calibri"/>
          <w:sz w:val="22"/>
        </w:rPr>
        <w:t xml:space="preserve">some of the critiques </w:t>
      </w:r>
      <w:r w:rsidR="002D20F6">
        <w:rPr>
          <w:rFonts w:ascii="Calibri" w:hAnsi="Calibri"/>
          <w:sz w:val="22"/>
        </w:rPr>
        <w:t xml:space="preserve">are </w:t>
      </w:r>
      <w:r w:rsidR="0080268E">
        <w:rPr>
          <w:rFonts w:ascii="Calibri" w:hAnsi="Calibri"/>
          <w:sz w:val="22"/>
        </w:rPr>
        <w:t>reify</w:t>
      </w:r>
      <w:r w:rsidR="002D20F6">
        <w:rPr>
          <w:rFonts w:ascii="Calibri" w:hAnsi="Calibri"/>
          <w:sz w:val="22"/>
        </w:rPr>
        <w:t>ing</w:t>
      </w:r>
      <w:r w:rsidR="000115ED">
        <w:rPr>
          <w:rFonts w:ascii="Calibri" w:hAnsi="Calibri"/>
          <w:sz w:val="22"/>
        </w:rPr>
        <w:t xml:space="preserve">. Particularly, </w:t>
      </w:r>
      <w:r w:rsidR="00BF0D6B">
        <w:rPr>
          <w:rFonts w:ascii="Calibri" w:hAnsi="Calibri"/>
          <w:sz w:val="22"/>
        </w:rPr>
        <w:t xml:space="preserve">I am </w:t>
      </w:r>
      <w:r w:rsidR="002D20F6">
        <w:rPr>
          <w:rFonts w:ascii="Calibri" w:hAnsi="Calibri"/>
          <w:sz w:val="22"/>
        </w:rPr>
        <w:t xml:space="preserve">concerned </w:t>
      </w:r>
      <w:r w:rsidR="00BF0D6B">
        <w:rPr>
          <w:rFonts w:ascii="Calibri" w:hAnsi="Calibri"/>
          <w:sz w:val="22"/>
        </w:rPr>
        <w:t xml:space="preserve">by Parashar’s argument (this forum, p.1) that </w:t>
      </w:r>
      <w:r w:rsidR="009E3390">
        <w:rPr>
          <w:rFonts w:ascii="Calibri" w:hAnsi="Calibri"/>
          <w:sz w:val="22"/>
        </w:rPr>
        <w:t>FSS has</w:t>
      </w:r>
      <w:r w:rsidR="00BF0D6B">
        <w:rPr>
          <w:rFonts w:ascii="Calibri" w:hAnsi="Calibri"/>
          <w:sz w:val="22"/>
        </w:rPr>
        <w:t xml:space="preserve"> a “camp structure</w:t>
      </w:r>
      <w:r w:rsidR="009E3390">
        <w:rPr>
          <w:rFonts w:ascii="Calibri" w:hAnsi="Calibri"/>
          <w:sz w:val="22"/>
        </w:rPr>
        <w:t>,</w:t>
      </w:r>
      <w:r w:rsidR="00BF0D6B">
        <w:rPr>
          <w:rFonts w:ascii="Calibri" w:hAnsi="Calibri"/>
          <w:sz w:val="22"/>
        </w:rPr>
        <w:t>”</w:t>
      </w:r>
      <w:r w:rsidR="007641AF">
        <w:rPr>
          <w:rFonts w:ascii="Calibri" w:hAnsi="Calibri"/>
          <w:sz w:val="22"/>
        </w:rPr>
        <w:t xml:space="preserve"> </w:t>
      </w:r>
      <w:r w:rsidR="00DB742E">
        <w:rPr>
          <w:rFonts w:ascii="Calibri" w:hAnsi="Calibri"/>
          <w:sz w:val="22"/>
        </w:rPr>
        <w:t>and see camp construction in this forum</w:t>
      </w:r>
      <w:r w:rsidR="000D1C0D">
        <w:rPr>
          <w:rFonts w:ascii="Calibri" w:hAnsi="Calibri"/>
          <w:sz w:val="22"/>
        </w:rPr>
        <w:t xml:space="preserve">. While the CP section neither claimed nor discussed representative politics, contributions to this forum do. </w:t>
      </w:r>
      <w:r w:rsidR="009E3390">
        <w:rPr>
          <w:rFonts w:ascii="Calibri" w:hAnsi="Calibri"/>
          <w:sz w:val="22"/>
        </w:rPr>
        <w:t xml:space="preserve"> For example, Sylvester’s (this forum, p.1, 2) dichotomy </w:t>
      </w:r>
      <w:r w:rsidR="007641AF">
        <w:rPr>
          <w:rFonts w:ascii="Calibri" w:hAnsi="Calibri"/>
          <w:sz w:val="22"/>
        </w:rPr>
        <w:t>between “people in the United States</w:t>
      </w:r>
      <w:r w:rsidR="00B15385">
        <w:rPr>
          <w:rFonts w:ascii="Calibri" w:hAnsi="Calibri"/>
          <w:sz w:val="22"/>
        </w:rPr>
        <w:t>” and ”</w:t>
      </w:r>
      <w:r w:rsidR="007641AF">
        <w:rPr>
          <w:rFonts w:ascii="Calibri" w:hAnsi="Calibri"/>
          <w:sz w:val="22"/>
        </w:rPr>
        <w:t>people who do not … experience the world as American security studies feminist</w:t>
      </w:r>
      <w:r w:rsidR="00672D81">
        <w:rPr>
          <w:rFonts w:ascii="Calibri" w:hAnsi="Calibri"/>
          <w:sz w:val="22"/>
        </w:rPr>
        <w:t xml:space="preserve">s,” assumes that ‘American security studies feminists’ have </w:t>
      </w:r>
      <w:r w:rsidR="00B15385">
        <w:rPr>
          <w:rFonts w:ascii="Calibri" w:hAnsi="Calibri"/>
          <w:sz w:val="22"/>
        </w:rPr>
        <w:t>necessary commonalities</w:t>
      </w:r>
      <w:r w:rsidR="00672D81">
        <w:rPr>
          <w:rFonts w:ascii="Calibri" w:hAnsi="Calibri"/>
          <w:sz w:val="22"/>
        </w:rPr>
        <w:t xml:space="preserve">, apparently </w:t>
      </w:r>
      <w:r w:rsidR="00DF7BFA">
        <w:rPr>
          <w:rFonts w:ascii="Calibri" w:hAnsi="Calibri"/>
          <w:sz w:val="22"/>
        </w:rPr>
        <w:t>including their ability</w:t>
      </w:r>
      <w:r w:rsidR="00672D81">
        <w:rPr>
          <w:rFonts w:ascii="Calibri" w:hAnsi="Calibri"/>
          <w:sz w:val="22"/>
        </w:rPr>
        <w:t xml:space="preserve"> </w:t>
      </w:r>
      <w:r w:rsidR="002D20F6">
        <w:rPr>
          <w:rFonts w:ascii="Calibri" w:hAnsi="Calibri"/>
          <w:sz w:val="22"/>
        </w:rPr>
        <w:t xml:space="preserve">to </w:t>
      </w:r>
      <w:r w:rsidR="00672D81">
        <w:rPr>
          <w:rFonts w:ascii="Calibri" w:hAnsi="Calibri"/>
          <w:sz w:val="22"/>
        </w:rPr>
        <w:t>“dwell comfortably in an abstracted world</w:t>
      </w:r>
      <w:r w:rsidR="00B15385">
        <w:rPr>
          <w:rFonts w:ascii="Calibri" w:hAnsi="Calibri"/>
          <w:sz w:val="22"/>
        </w:rPr>
        <w:t>.</w:t>
      </w:r>
      <w:r w:rsidR="00672D81">
        <w:rPr>
          <w:rFonts w:ascii="Calibri" w:hAnsi="Calibri"/>
          <w:sz w:val="22"/>
        </w:rPr>
        <w:t>”</w:t>
      </w:r>
      <w:r w:rsidR="00B15385">
        <w:rPr>
          <w:rFonts w:ascii="Calibri" w:hAnsi="Calibri"/>
          <w:sz w:val="22"/>
        </w:rPr>
        <w:t xml:space="preserve"> This claim</w:t>
      </w:r>
      <w:r w:rsidR="00DF7BFA">
        <w:rPr>
          <w:rFonts w:ascii="Calibri" w:hAnsi="Calibri"/>
          <w:sz w:val="22"/>
        </w:rPr>
        <w:t xml:space="preserve"> is not only esse</w:t>
      </w:r>
      <w:r w:rsidR="00B15385">
        <w:rPr>
          <w:rFonts w:ascii="Calibri" w:hAnsi="Calibri"/>
          <w:sz w:val="22"/>
        </w:rPr>
        <w:t xml:space="preserve">ntialist but camp-constructing, categorizing </w:t>
      </w:r>
      <w:r w:rsidR="00502373">
        <w:rPr>
          <w:rFonts w:ascii="Calibri" w:hAnsi="Calibri"/>
          <w:sz w:val="22"/>
        </w:rPr>
        <w:t>American-based FSS work as by-definition</w:t>
      </w:r>
      <w:r w:rsidR="003747EC">
        <w:rPr>
          <w:rFonts w:ascii="Calibri" w:hAnsi="Calibri"/>
          <w:sz w:val="22"/>
        </w:rPr>
        <w:t xml:space="preserve"> fantasy</w:t>
      </w:r>
      <w:r w:rsidR="00B679E4">
        <w:rPr>
          <w:rFonts w:ascii="Calibri" w:hAnsi="Calibri"/>
          <w:sz w:val="22"/>
        </w:rPr>
        <w:t>.</w:t>
      </w:r>
      <w:r w:rsidR="00EA17C6">
        <w:rPr>
          <w:rFonts w:ascii="Calibri" w:hAnsi="Calibri"/>
          <w:sz w:val="22"/>
        </w:rPr>
        <w:t xml:space="preserve"> </w:t>
      </w:r>
      <w:r w:rsidR="00B679E4">
        <w:rPr>
          <w:rFonts w:ascii="Calibri" w:hAnsi="Calibri"/>
          <w:sz w:val="22"/>
        </w:rPr>
        <w:t>The result is two camps</w:t>
      </w:r>
      <w:r w:rsidR="00397EB3">
        <w:rPr>
          <w:rFonts w:ascii="Calibri" w:hAnsi="Calibri"/>
          <w:sz w:val="22"/>
        </w:rPr>
        <w:t>: the non-American one, where “scholars ‘over there’ are doing fantastic feminist security research” (Sylvester, this forum, p.2)</w:t>
      </w:r>
      <w:r w:rsidR="00D03D6C">
        <w:rPr>
          <w:rFonts w:ascii="Calibri" w:hAnsi="Calibri"/>
          <w:sz w:val="22"/>
        </w:rPr>
        <w:t xml:space="preserve">, and the American one, from which we should “walk away” (Sylvester, panel comments, ISA 2013). </w:t>
      </w:r>
      <w:r w:rsidR="00F36953">
        <w:rPr>
          <w:rFonts w:ascii="Calibri" w:hAnsi="Calibri"/>
          <w:sz w:val="22"/>
        </w:rPr>
        <w:t>There is as much field divisiveness in that bound</w:t>
      </w:r>
      <w:r w:rsidR="0082016D">
        <w:rPr>
          <w:rFonts w:ascii="Calibri" w:hAnsi="Calibri"/>
          <w:sz w:val="22"/>
        </w:rPr>
        <w:t xml:space="preserve">ary-drawing as there is in the </w:t>
      </w:r>
      <w:r w:rsidR="00F36953">
        <w:rPr>
          <w:rFonts w:ascii="Calibri" w:hAnsi="Calibri"/>
          <w:sz w:val="22"/>
        </w:rPr>
        <w:t>omission</w:t>
      </w:r>
      <w:r w:rsidR="0082016D">
        <w:rPr>
          <w:rFonts w:ascii="Calibri" w:hAnsi="Calibri"/>
          <w:sz w:val="22"/>
        </w:rPr>
        <w:t>, intentional or unintentional,</w:t>
      </w:r>
      <w:r w:rsidR="00F36953">
        <w:rPr>
          <w:rFonts w:ascii="Calibri" w:hAnsi="Calibri"/>
          <w:sz w:val="22"/>
        </w:rPr>
        <w:t xml:space="preserve"> of</w:t>
      </w:r>
      <w:r w:rsidR="00903858">
        <w:rPr>
          <w:rFonts w:ascii="Calibri" w:hAnsi="Calibri"/>
          <w:sz w:val="22"/>
        </w:rPr>
        <w:t xml:space="preserve"> “feminist ‘security’ scholarship and empirical analysis from non-US locations” </w:t>
      </w:r>
      <w:r w:rsidR="00CC38B6">
        <w:rPr>
          <w:rFonts w:ascii="Calibri" w:hAnsi="Calibri"/>
          <w:sz w:val="22"/>
        </w:rPr>
        <w:t xml:space="preserve">(Parashar, this forum, p.1) in the CP section. That does </w:t>
      </w:r>
      <w:r w:rsidR="00CC38B6">
        <w:rPr>
          <w:rFonts w:ascii="Calibri" w:hAnsi="Calibri"/>
          <w:i/>
          <w:sz w:val="22"/>
        </w:rPr>
        <w:t xml:space="preserve">not </w:t>
      </w:r>
      <w:r w:rsidR="00CC38B6">
        <w:rPr>
          <w:rFonts w:ascii="Calibri" w:hAnsi="Calibri"/>
          <w:sz w:val="22"/>
        </w:rPr>
        <w:t xml:space="preserve">excuse a parochial view of FSS. As many contributors to this forum suggest (e.g., Parashar, Sylvester, D’Costa and Lee-Koo), much of the best work in FSS right now (and for the foreseeable future) is </w:t>
      </w:r>
      <w:r w:rsidR="00DE1991">
        <w:rPr>
          <w:rFonts w:ascii="Calibri" w:hAnsi="Calibri"/>
          <w:sz w:val="22"/>
        </w:rPr>
        <w:t xml:space="preserve">being done outside of the US. But that does </w:t>
      </w:r>
      <w:r w:rsidR="00DE1991">
        <w:rPr>
          <w:rFonts w:ascii="Calibri" w:hAnsi="Calibri"/>
          <w:i/>
          <w:sz w:val="22"/>
        </w:rPr>
        <w:t xml:space="preserve">not </w:t>
      </w:r>
      <w:r w:rsidR="00DE1991">
        <w:rPr>
          <w:rFonts w:ascii="Calibri" w:hAnsi="Calibri"/>
          <w:sz w:val="22"/>
        </w:rPr>
        <w:t xml:space="preserve">excuse FSS rejecting American work on </w:t>
      </w:r>
      <w:r w:rsidR="00A241FD">
        <w:rPr>
          <w:rFonts w:ascii="Calibri" w:hAnsi="Calibri"/>
          <w:sz w:val="22"/>
        </w:rPr>
        <w:t xml:space="preserve">its </w:t>
      </w:r>
      <w:r w:rsidR="00DE1991">
        <w:rPr>
          <w:rFonts w:ascii="Calibri" w:hAnsi="Calibri"/>
          <w:sz w:val="22"/>
        </w:rPr>
        <w:t xml:space="preserve">face either. </w:t>
      </w:r>
    </w:p>
    <w:p w14:paraId="79237036" w14:textId="5E75A002" w:rsidR="008D4D59" w:rsidRDefault="00D35ED7" w:rsidP="00A04F9D">
      <w:pPr>
        <w:spacing w:line="290" w:lineRule="exact"/>
        <w:contextualSpacing/>
        <w:rPr>
          <w:rFonts w:ascii="Calibri" w:hAnsi="Calibri"/>
          <w:sz w:val="22"/>
        </w:rPr>
      </w:pPr>
      <w:r>
        <w:rPr>
          <w:rFonts w:ascii="Calibri" w:hAnsi="Calibri"/>
          <w:sz w:val="22"/>
        </w:rPr>
        <w:tab/>
        <w:t xml:space="preserve">That said, I think there is something deeper to this discussion Parashar’s recognition of camps and Sylvester’s drawing their lines. It is that encampment, as described in this forum </w:t>
      </w:r>
      <w:r w:rsidR="005204A3">
        <w:rPr>
          <w:rFonts w:ascii="Calibri" w:hAnsi="Calibri"/>
          <w:sz w:val="22"/>
        </w:rPr>
        <w:t xml:space="preserve">(see also Sylvester 2010) is antithetical to </w:t>
      </w:r>
      <w:r w:rsidR="007329D3">
        <w:rPr>
          <w:rFonts w:ascii="Calibri" w:hAnsi="Calibri"/>
          <w:sz w:val="22"/>
        </w:rPr>
        <w:t xml:space="preserve">how I see </w:t>
      </w:r>
      <w:r w:rsidR="005204A3">
        <w:rPr>
          <w:rFonts w:ascii="Calibri" w:hAnsi="Calibri"/>
          <w:sz w:val="22"/>
        </w:rPr>
        <w:t>the politics of feminist research.</w:t>
      </w:r>
      <w:r w:rsidR="00006A27">
        <w:rPr>
          <w:rFonts w:ascii="Calibri" w:hAnsi="Calibri"/>
          <w:sz w:val="22"/>
        </w:rPr>
        <w:t xml:space="preserve"> Even early feminist IR work (e.g., Tickner 1992; Pettman 1996) suggested that feminists are uniquely positioned to break down inherited boundaries and dichotomies in the field of IR </w:t>
      </w:r>
      <w:r w:rsidR="006D2106">
        <w:rPr>
          <w:rFonts w:ascii="Calibri" w:hAnsi="Calibri"/>
          <w:sz w:val="22"/>
        </w:rPr>
        <w:t xml:space="preserve">and </w:t>
      </w:r>
      <w:r w:rsidR="00006A27">
        <w:rPr>
          <w:rFonts w:ascii="Calibri" w:hAnsi="Calibri"/>
          <w:sz w:val="22"/>
        </w:rPr>
        <w:t xml:space="preserve">in global politics. </w:t>
      </w:r>
      <w:r w:rsidR="00A81F70">
        <w:rPr>
          <w:rFonts w:ascii="Calibri" w:hAnsi="Calibri"/>
          <w:sz w:val="22"/>
        </w:rPr>
        <w:t xml:space="preserve">Feminist work on IR methodology </w:t>
      </w:r>
      <w:r w:rsidR="00813180">
        <w:rPr>
          <w:rFonts w:ascii="Calibri" w:hAnsi="Calibri"/>
          <w:sz w:val="22"/>
        </w:rPr>
        <w:t xml:space="preserve">(e.g., D’Costa 2006; Cohn 2006) </w:t>
      </w:r>
      <w:r w:rsidR="006D2106">
        <w:rPr>
          <w:rFonts w:ascii="Calibri" w:hAnsi="Calibri"/>
          <w:sz w:val="22"/>
        </w:rPr>
        <w:t xml:space="preserve">urges paying </w:t>
      </w:r>
      <w:r w:rsidR="00813180">
        <w:rPr>
          <w:rFonts w:ascii="Calibri" w:hAnsi="Calibri"/>
          <w:sz w:val="22"/>
        </w:rPr>
        <w:lastRenderedPageBreak/>
        <w:t>attention t</w:t>
      </w:r>
      <w:r w:rsidR="006D2106">
        <w:rPr>
          <w:rFonts w:ascii="Calibri" w:hAnsi="Calibri"/>
          <w:sz w:val="22"/>
        </w:rPr>
        <w:t xml:space="preserve">o location in a multi-sited way. </w:t>
      </w:r>
      <w:r w:rsidR="00813180">
        <w:rPr>
          <w:rFonts w:ascii="Calibri" w:hAnsi="Calibri"/>
          <w:sz w:val="22"/>
        </w:rPr>
        <w:t xml:space="preserve">Postcolonial feminist IR work </w:t>
      </w:r>
      <w:r w:rsidR="002012C2">
        <w:rPr>
          <w:rFonts w:ascii="Calibri" w:hAnsi="Calibri"/>
          <w:sz w:val="22"/>
        </w:rPr>
        <w:t>argues</w:t>
      </w:r>
      <w:r w:rsidR="00367D84">
        <w:rPr>
          <w:rFonts w:ascii="Calibri" w:hAnsi="Calibri"/>
          <w:sz w:val="22"/>
        </w:rPr>
        <w:t xml:space="preserve"> that t</w:t>
      </w:r>
      <w:r w:rsidR="008D4D59">
        <w:rPr>
          <w:rFonts w:ascii="Calibri" w:hAnsi="Calibri"/>
          <w:sz w:val="22"/>
        </w:rPr>
        <w:t>he multiple layers of power in the “house of IR</w:t>
      </w:r>
      <w:r w:rsidR="00367D84">
        <w:rPr>
          <w:rFonts w:ascii="Calibri" w:hAnsi="Calibri"/>
          <w:sz w:val="22"/>
        </w:rPr>
        <w:t>”</w:t>
      </w:r>
      <w:r w:rsidR="008D4D59">
        <w:rPr>
          <w:rFonts w:ascii="Calibri" w:hAnsi="Calibri"/>
          <w:sz w:val="22"/>
        </w:rPr>
        <w:t xml:space="preserve"> should be looked at with complexity (Agathangelou and Ling 2004). The combined lesson I take from this work is that the totalizing characterization of any work (including the CP section) as a one-dimensional part of a bounded camp </w:t>
      </w:r>
      <w:r w:rsidR="008D4D59">
        <w:rPr>
          <w:rFonts w:ascii="Calibri" w:hAnsi="Calibri"/>
          <w:i/>
          <w:sz w:val="22"/>
        </w:rPr>
        <w:t xml:space="preserve">is exactly what feminist IR means to fight </w:t>
      </w:r>
      <w:r w:rsidR="008D4D59">
        <w:rPr>
          <w:rFonts w:ascii="Calibri" w:hAnsi="Calibri"/>
          <w:sz w:val="22"/>
        </w:rPr>
        <w:t>in the discipline and in the world</w:t>
      </w:r>
      <w:r w:rsidR="001D05D0">
        <w:rPr>
          <w:rFonts w:ascii="Calibri" w:hAnsi="Calibri"/>
          <w:sz w:val="22"/>
        </w:rPr>
        <w:t xml:space="preserve"> (see, e.g., Basu, this forum)</w:t>
      </w:r>
      <w:r w:rsidR="008D4D59">
        <w:rPr>
          <w:rFonts w:ascii="Calibri" w:hAnsi="Calibri"/>
          <w:sz w:val="22"/>
        </w:rPr>
        <w:t>.</w:t>
      </w:r>
    </w:p>
    <w:p w14:paraId="221D2E34" w14:textId="1CA96BB7" w:rsidR="0007127B" w:rsidRDefault="00346FE4" w:rsidP="00A04F9D">
      <w:pPr>
        <w:spacing w:line="290" w:lineRule="exact"/>
        <w:contextualSpacing/>
        <w:rPr>
          <w:rFonts w:ascii="Calibri" w:hAnsi="Calibri"/>
          <w:sz w:val="22"/>
        </w:rPr>
      </w:pPr>
      <w:r>
        <w:rPr>
          <w:rFonts w:ascii="Calibri" w:hAnsi="Calibri"/>
          <w:sz w:val="22"/>
        </w:rPr>
        <w:tab/>
        <w:t xml:space="preserve">In critiquing the critiques, I do not mean to devalue the interventions in this forum, intellectually or politically. Instead, I find them crucially important. Perhaps ironically, though, it is my investment in that importance </w:t>
      </w:r>
      <w:r w:rsidR="00206305">
        <w:rPr>
          <w:rFonts w:ascii="Calibri" w:hAnsi="Calibri"/>
          <w:sz w:val="22"/>
        </w:rPr>
        <w:t>that inspires me to revisit</w:t>
      </w:r>
      <w:r w:rsidR="009B2119">
        <w:rPr>
          <w:rFonts w:ascii="Calibri" w:hAnsi="Calibri"/>
          <w:sz w:val="22"/>
        </w:rPr>
        <w:t xml:space="preserve"> my conclusion in the CP section</w:t>
      </w:r>
      <w:r w:rsidR="00D453C4">
        <w:rPr>
          <w:rFonts w:ascii="Calibri" w:hAnsi="Calibri"/>
          <w:sz w:val="22"/>
        </w:rPr>
        <w:t xml:space="preserve">: </w:t>
      </w:r>
      <w:r w:rsidR="00C9293E">
        <w:rPr>
          <w:rFonts w:ascii="Calibri" w:hAnsi="Calibri"/>
          <w:sz w:val="22"/>
        </w:rPr>
        <w:t xml:space="preserve">“these challenges and tensions are, I believe, real, and fundamental” where “we might see these questions as areas of conversation, and conversations around them </w:t>
      </w:r>
      <w:r w:rsidR="008029AA">
        <w:rPr>
          <w:rFonts w:ascii="Calibri" w:hAnsi="Calibri"/>
          <w:sz w:val="22"/>
        </w:rPr>
        <w:t>as the core of FSS;</w:t>
      </w:r>
      <w:r w:rsidR="002046F3">
        <w:rPr>
          <w:rFonts w:ascii="Calibri" w:hAnsi="Calibri"/>
          <w:sz w:val="22"/>
        </w:rPr>
        <w:t>” a core that “creates, performs, and constitutes FSS” as we are doing now (Sjoberg 2011, 603).</w:t>
      </w:r>
      <w:r w:rsidR="009B2119">
        <w:rPr>
          <w:rFonts w:ascii="Calibri" w:hAnsi="Calibri"/>
          <w:sz w:val="22"/>
        </w:rPr>
        <w:t xml:space="preserve"> If I had the chance to rewrite those words, </w:t>
      </w:r>
      <w:r w:rsidR="00206305">
        <w:rPr>
          <w:rFonts w:ascii="Calibri" w:hAnsi="Calibri"/>
          <w:sz w:val="22"/>
        </w:rPr>
        <w:t xml:space="preserve">I would </w:t>
      </w:r>
      <w:r w:rsidR="009B2119">
        <w:rPr>
          <w:rFonts w:ascii="Calibri" w:hAnsi="Calibri"/>
          <w:sz w:val="22"/>
        </w:rPr>
        <w:t>certainly explicitly mention inclusiveness. Still,</w:t>
      </w:r>
      <w:r w:rsidR="002046F3">
        <w:rPr>
          <w:rFonts w:ascii="Calibri" w:hAnsi="Calibri"/>
          <w:sz w:val="22"/>
        </w:rPr>
        <w:t xml:space="preserve"> </w:t>
      </w:r>
      <w:r w:rsidR="009B2119">
        <w:rPr>
          <w:rFonts w:ascii="Calibri" w:hAnsi="Calibri"/>
          <w:sz w:val="22"/>
        </w:rPr>
        <w:t>m</w:t>
      </w:r>
      <w:r w:rsidR="00C47DE8">
        <w:rPr>
          <w:rFonts w:ascii="Calibri" w:hAnsi="Calibri"/>
          <w:sz w:val="22"/>
        </w:rPr>
        <w:t xml:space="preserve">y call to that effect was always meant to be both substantively and representationally inclusive, </w:t>
      </w:r>
      <w:r w:rsidR="00A41763">
        <w:rPr>
          <w:rFonts w:ascii="Calibri" w:hAnsi="Calibri"/>
          <w:sz w:val="22"/>
        </w:rPr>
        <w:t>looking to expand FSS</w:t>
      </w:r>
      <w:r w:rsidR="00A41763">
        <w:rPr>
          <w:rStyle w:val="FootnoteReference"/>
          <w:rFonts w:ascii="Calibri" w:hAnsi="Calibri"/>
          <w:sz w:val="22"/>
        </w:rPr>
        <w:footnoteReference w:id="1"/>
      </w:r>
      <w:r w:rsidR="00D33110">
        <w:rPr>
          <w:rFonts w:ascii="Calibri" w:hAnsi="Calibri"/>
          <w:sz w:val="22"/>
        </w:rPr>
        <w:t xml:space="preserve"> rather than constrict it. To the extent that this conversation furthers that g</w:t>
      </w:r>
      <w:r w:rsidR="00F57E4C">
        <w:rPr>
          <w:rFonts w:ascii="Calibri" w:hAnsi="Calibri"/>
          <w:sz w:val="22"/>
        </w:rPr>
        <w:t>oal, I am happy to</w:t>
      </w:r>
      <w:r w:rsidR="004115D5">
        <w:rPr>
          <w:rFonts w:ascii="Calibri" w:hAnsi="Calibri"/>
          <w:sz w:val="22"/>
        </w:rPr>
        <w:t xml:space="preserve"> have had it and to continue it – especially as it produces discussions about how t</w:t>
      </w:r>
      <w:r w:rsidR="007A62B0">
        <w:rPr>
          <w:rFonts w:ascii="Calibri" w:hAnsi="Calibri"/>
          <w:sz w:val="22"/>
        </w:rPr>
        <w:t>o promote diversity and avoid any (and any perception of) gatekeeping.</w:t>
      </w:r>
    </w:p>
    <w:p w14:paraId="54825363" w14:textId="77777777" w:rsidR="0007127B" w:rsidRDefault="0007127B" w:rsidP="00A04F9D">
      <w:pPr>
        <w:spacing w:line="290" w:lineRule="exact"/>
        <w:contextualSpacing/>
        <w:rPr>
          <w:rFonts w:ascii="Calibri" w:hAnsi="Calibri"/>
          <w:sz w:val="22"/>
        </w:rPr>
      </w:pPr>
    </w:p>
    <w:p w14:paraId="142D5251" w14:textId="4D473FD7" w:rsidR="002C7A9E" w:rsidRPr="008029AA" w:rsidRDefault="008029AA" w:rsidP="00A04F9D">
      <w:pPr>
        <w:spacing w:line="290" w:lineRule="exact"/>
        <w:contextualSpacing/>
        <w:rPr>
          <w:rFonts w:ascii="Calibri" w:hAnsi="Calibri"/>
          <w:b/>
          <w:sz w:val="22"/>
        </w:rPr>
      </w:pPr>
      <w:r>
        <w:rPr>
          <w:rFonts w:ascii="Calibri" w:hAnsi="Calibri"/>
          <w:b/>
          <w:sz w:val="22"/>
        </w:rPr>
        <w:t>Sources Cited</w:t>
      </w:r>
    </w:p>
    <w:p w14:paraId="51F0E642" w14:textId="77777777" w:rsidR="00A14075" w:rsidRDefault="00893427" w:rsidP="00A04F9D">
      <w:pPr>
        <w:spacing w:line="290" w:lineRule="exact"/>
        <w:contextualSpacing/>
        <w:rPr>
          <w:rFonts w:ascii="Calibri" w:hAnsi="Calibri"/>
          <w:i/>
          <w:sz w:val="22"/>
        </w:rPr>
      </w:pPr>
      <w:r>
        <w:rPr>
          <w:rFonts w:ascii="Calibri" w:hAnsi="Calibri"/>
          <w:sz w:val="22"/>
        </w:rPr>
        <w:t xml:space="preserve">Ackerly, Brooke and Jacqui True. 2010. </w:t>
      </w:r>
      <w:r>
        <w:rPr>
          <w:rFonts w:ascii="Calibri" w:hAnsi="Calibri"/>
          <w:i/>
          <w:sz w:val="22"/>
        </w:rPr>
        <w:t xml:space="preserve">Doing Feminist Research in Political and </w:t>
      </w:r>
      <w:r w:rsidR="00A14075">
        <w:rPr>
          <w:rFonts w:ascii="Calibri" w:hAnsi="Calibri"/>
          <w:i/>
          <w:sz w:val="22"/>
        </w:rPr>
        <w:t xml:space="preserve">Social Science </w:t>
      </w:r>
    </w:p>
    <w:p w14:paraId="39EFE8D0" w14:textId="21BE5FD3" w:rsidR="00893427" w:rsidRPr="00A14075" w:rsidRDefault="00A14075" w:rsidP="005C4DEF">
      <w:pPr>
        <w:spacing w:line="290" w:lineRule="exact"/>
        <w:ind w:firstLine="720"/>
        <w:contextualSpacing/>
        <w:rPr>
          <w:rFonts w:ascii="Calibri" w:hAnsi="Calibri"/>
          <w:sz w:val="22"/>
        </w:rPr>
      </w:pPr>
      <w:r>
        <w:rPr>
          <w:rFonts w:ascii="Calibri" w:hAnsi="Calibri"/>
          <w:sz w:val="22"/>
        </w:rPr>
        <w:t xml:space="preserve">London: Palgrave MacMillan. </w:t>
      </w:r>
    </w:p>
    <w:p w14:paraId="6B8098CF" w14:textId="77777777" w:rsidR="000978F7" w:rsidRDefault="00042B8F" w:rsidP="00A04F9D">
      <w:pPr>
        <w:spacing w:line="290" w:lineRule="exact"/>
        <w:contextualSpacing/>
        <w:rPr>
          <w:rFonts w:ascii="Calibri" w:hAnsi="Calibri"/>
          <w:sz w:val="22"/>
        </w:rPr>
      </w:pPr>
      <w:r>
        <w:rPr>
          <w:rFonts w:ascii="Calibri" w:hAnsi="Calibri"/>
          <w:sz w:val="22"/>
        </w:rPr>
        <w:t xml:space="preserve">Agathangelou, Anna and LHM Ling. 2004. “The House of IR: From Family Power Politics to the </w:t>
      </w:r>
    </w:p>
    <w:p w14:paraId="38DCFA6F" w14:textId="3F733742" w:rsidR="00042B8F" w:rsidRPr="000978F7" w:rsidRDefault="00042B8F" w:rsidP="000978F7">
      <w:pPr>
        <w:spacing w:line="290" w:lineRule="exact"/>
        <w:ind w:firstLine="720"/>
        <w:contextualSpacing/>
        <w:rPr>
          <w:rFonts w:ascii="Calibri" w:hAnsi="Calibri"/>
          <w:sz w:val="22"/>
        </w:rPr>
      </w:pPr>
      <w:r>
        <w:rPr>
          <w:rFonts w:ascii="Calibri" w:hAnsi="Calibri"/>
          <w:i/>
          <w:sz w:val="22"/>
        </w:rPr>
        <w:t xml:space="preserve">Poisies </w:t>
      </w:r>
      <w:r>
        <w:rPr>
          <w:rFonts w:ascii="Calibri" w:hAnsi="Calibri"/>
          <w:sz w:val="22"/>
        </w:rPr>
        <w:t>of Worldism</w:t>
      </w:r>
      <w:r w:rsidR="000978F7">
        <w:rPr>
          <w:rFonts w:ascii="Calibri" w:hAnsi="Calibri"/>
          <w:sz w:val="22"/>
        </w:rPr>
        <w:t xml:space="preserve">.” </w:t>
      </w:r>
      <w:r w:rsidR="000978F7">
        <w:rPr>
          <w:rFonts w:ascii="Calibri" w:hAnsi="Calibri"/>
          <w:i/>
          <w:sz w:val="22"/>
        </w:rPr>
        <w:t xml:space="preserve">International Studies Review </w:t>
      </w:r>
      <w:r w:rsidR="000978F7">
        <w:rPr>
          <w:rFonts w:ascii="Calibri" w:hAnsi="Calibri"/>
          <w:sz w:val="22"/>
        </w:rPr>
        <w:t>6(4): 21-50.</w:t>
      </w:r>
    </w:p>
    <w:p w14:paraId="313C0298" w14:textId="77777777" w:rsidR="003518DC" w:rsidRDefault="003518DC" w:rsidP="00A04F9D">
      <w:pPr>
        <w:spacing w:line="290" w:lineRule="exact"/>
        <w:contextualSpacing/>
        <w:rPr>
          <w:rFonts w:ascii="Calibri" w:hAnsi="Calibri"/>
          <w:i/>
          <w:sz w:val="22"/>
        </w:rPr>
      </w:pPr>
      <w:r>
        <w:rPr>
          <w:rFonts w:ascii="Calibri" w:hAnsi="Calibri"/>
          <w:sz w:val="22"/>
        </w:rPr>
        <w:t xml:space="preserve">Alker, Hayward. 1996. </w:t>
      </w:r>
      <w:r>
        <w:rPr>
          <w:rFonts w:ascii="Calibri" w:hAnsi="Calibri"/>
          <w:i/>
          <w:sz w:val="22"/>
        </w:rPr>
        <w:t xml:space="preserve">Rediscoveries and Reformulations: Humanistic Methodologies for </w:t>
      </w:r>
    </w:p>
    <w:p w14:paraId="4C4C046C" w14:textId="663C5A3B" w:rsidR="003518DC" w:rsidRPr="003518DC" w:rsidRDefault="003518DC" w:rsidP="003518DC">
      <w:pPr>
        <w:spacing w:line="290" w:lineRule="exact"/>
        <w:ind w:firstLine="720"/>
        <w:contextualSpacing/>
        <w:rPr>
          <w:rFonts w:ascii="Calibri" w:hAnsi="Calibri"/>
          <w:sz w:val="22"/>
        </w:rPr>
      </w:pPr>
      <w:r>
        <w:rPr>
          <w:rFonts w:ascii="Calibri" w:hAnsi="Calibri"/>
          <w:i/>
          <w:sz w:val="22"/>
        </w:rPr>
        <w:t xml:space="preserve">International Studies. </w:t>
      </w:r>
      <w:r>
        <w:rPr>
          <w:rFonts w:ascii="Calibri" w:hAnsi="Calibri"/>
          <w:sz w:val="22"/>
        </w:rPr>
        <w:t>Cambridge: Cambridge University Press.</w:t>
      </w:r>
    </w:p>
    <w:p w14:paraId="1D20D70D" w14:textId="77777777" w:rsidR="00DC7602" w:rsidRDefault="00AF18E7" w:rsidP="00A04F9D">
      <w:pPr>
        <w:spacing w:line="290" w:lineRule="exact"/>
        <w:contextualSpacing/>
        <w:rPr>
          <w:rFonts w:ascii="Calibri" w:hAnsi="Calibri"/>
          <w:i/>
          <w:sz w:val="22"/>
        </w:rPr>
      </w:pPr>
      <w:r>
        <w:rPr>
          <w:rFonts w:ascii="Calibri" w:hAnsi="Calibri"/>
          <w:sz w:val="22"/>
        </w:rPr>
        <w:t xml:space="preserve">Cohn, Carol. 2011. “’Feminist Security Studies: Toward a Reflexive Practice,” </w:t>
      </w:r>
      <w:r>
        <w:rPr>
          <w:rFonts w:ascii="Calibri" w:hAnsi="Calibri"/>
          <w:i/>
          <w:sz w:val="22"/>
        </w:rPr>
        <w:t xml:space="preserve">Politics &amp; Gender </w:t>
      </w:r>
    </w:p>
    <w:p w14:paraId="1E4703E4" w14:textId="0FE6C254" w:rsidR="00AF18E7" w:rsidRPr="00AF18E7" w:rsidRDefault="00AF18E7" w:rsidP="00DC7602">
      <w:pPr>
        <w:spacing w:line="290" w:lineRule="exact"/>
        <w:ind w:firstLine="720"/>
        <w:contextualSpacing/>
        <w:rPr>
          <w:rFonts w:ascii="Calibri" w:hAnsi="Calibri"/>
          <w:sz w:val="22"/>
        </w:rPr>
      </w:pPr>
      <w:r>
        <w:rPr>
          <w:rFonts w:ascii="Calibri" w:hAnsi="Calibri"/>
          <w:sz w:val="22"/>
        </w:rPr>
        <w:t xml:space="preserve">7(4): </w:t>
      </w:r>
      <w:r w:rsidR="00DC7602">
        <w:rPr>
          <w:rFonts w:ascii="Calibri" w:hAnsi="Calibri"/>
          <w:sz w:val="22"/>
        </w:rPr>
        <w:t xml:space="preserve"> 581-586.</w:t>
      </w:r>
    </w:p>
    <w:p w14:paraId="705B042C" w14:textId="77777777" w:rsidR="005E731A" w:rsidRDefault="005E731A" w:rsidP="00A04F9D">
      <w:pPr>
        <w:spacing w:line="290" w:lineRule="exact"/>
        <w:contextualSpacing/>
        <w:rPr>
          <w:rFonts w:ascii="Calibri" w:hAnsi="Calibri"/>
          <w:sz w:val="22"/>
        </w:rPr>
      </w:pPr>
      <w:r>
        <w:rPr>
          <w:rFonts w:ascii="Calibri" w:hAnsi="Calibri"/>
          <w:sz w:val="22"/>
        </w:rPr>
        <w:t xml:space="preserve">Cohn, Carol. 2006. “Motives and Methods: Using Multi-Sited Ethnography to Study US National </w:t>
      </w:r>
    </w:p>
    <w:p w14:paraId="0BB31F36" w14:textId="6EBC0597" w:rsidR="005E731A" w:rsidRDefault="005E731A" w:rsidP="005E731A">
      <w:pPr>
        <w:spacing w:line="290" w:lineRule="exact"/>
        <w:ind w:left="720"/>
        <w:contextualSpacing/>
        <w:rPr>
          <w:rFonts w:ascii="Calibri" w:hAnsi="Calibri"/>
          <w:sz w:val="22"/>
        </w:rPr>
      </w:pPr>
      <w:r>
        <w:rPr>
          <w:rFonts w:ascii="Calibri" w:hAnsi="Calibri"/>
          <w:sz w:val="22"/>
        </w:rPr>
        <w:t xml:space="preserve">Security Discourses,” in </w:t>
      </w:r>
      <w:r>
        <w:rPr>
          <w:rFonts w:ascii="Calibri" w:hAnsi="Calibri"/>
          <w:i/>
          <w:sz w:val="22"/>
        </w:rPr>
        <w:t>Feminist Methodologies for International Relations</w:t>
      </w:r>
      <w:r>
        <w:rPr>
          <w:rFonts w:ascii="Calibri" w:hAnsi="Calibri"/>
          <w:sz w:val="22"/>
        </w:rPr>
        <w:t>, ed. Brooke Ackerly, Maria Stern, and Jacqui True. Cambridge: Cambridge University Press, p.91-107.</w:t>
      </w:r>
    </w:p>
    <w:p w14:paraId="799D0FCB" w14:textId="77777777" w:rsidR="005E731A" w:rsidRDefault="001B3BF2" w:rsidP="00A04F9D">
      <w:pPr>
        <w:spacing w:line="290" w:lineRule="exact"/>
        <w:contextualSpacing/>
        <w:rPr>
          <w:rFonts w:ascii="Calibri" w:hAnsi="Calibri"/>
          <w:i/>
          <w:sz w:val="22"/>
        </w:rPr>
      </w:pPr>
      <w:r>
        <w:rPr>
          <w:rFonts w:ascii="Calibri" w:hAnsi="Calibri"/>
          <w:sz w:val="22"/>
        </w:rPr>
        <w:t xml:space="preserve">D’Costa, Bina. 2006. “Marginalized Identity: New Frontiers of Research for IR?” in </w:t>
      </w:r>
      <w:r>
        <w:rPr>
          <w:rFonts w:ascii="Calibri" w:hAnsi="Calibri"/>
          <w:i/>
          <w:sz w:val="22"/>
        </w:rPr>
        <w:t xml:space="preserve">Feminist </w:t>
      </w:r>
    </w:p>
    <w:p w14:paraId="6B1F9FE0" w14:textId="1973D4B0" w:rsidR="001B3BF2" w:rsidRPr="001B3BF2" w:rsidRDefault="001B3BF2" w:rsidP="005E731A">
      <w:pPr>
        <w:spacing w:line="290" w:lineRule="exact"/>
        <w:ind w:left="720"/>
        <w:contextualSpacing/>
        <w:rPr>
          <w:rFonts w:ascii="Calibri" w:hAnsi="Calibri"/>
          <w:sz w:val="22"/>
        </w:rPr>
      </w:pPr>
      <w:r>
        <w:rPr>
          <w:rFonts w:ascii="Calibri" w:hAnsi="Calibri"/>
          <w:i/>
          <w:sz w:val="22"/>
        </w:rPr>
        <w:t>Methodologies for International Relations</w:t>
      </w:r>
      <w:r>
        <w:rPr>
          <w:rFonts w:ascii="Calibri" w:hAnsi="Calibri"/>
          <w:sz w:val="22"/>
        </w:rPr>
        <w:t xml:space="preserve">, ed. Brooke Ackerly, Maria Stern, and Jacqui True. Cambridge: Cambridge University Press, </w:t>
      </w:r>
      <w:r w:rsidR="005E731A">
        <w:rPr>
          <w:rFonts w:ascii="Calibri" w:hAnsi="Calibri"/>
          <w:sz w:val="22"/>
        </w:rPr>
        <w:t>129-152.</w:t>
      </w:r>
    </w:p>
    <w:p w14:paraId="093BA9AD" w14:textId="77777777" w:rsidR="00CD5AAC" w:rsidRDefault="00323177" w:rsidP="00A04F9D">
      <w:pPr>
        <w:spacing w:line="290" w:lineRule="exact"/>
        <w:contextualSpacing/>
        <w:rPr>
          <w:rFonts w:ascii="Calibri" w:hAnsi="Calibri"/>
          <w:sz w:val="22"/>
        </w:rPr>
      </w:pPr>
      <w:r>
        <w:rPr>
          <w:rFonts w:ascii="Calibri" w:hAnsi="Calibri"/>
          <w:sz w:val="22"/>
        </w:rPr>
        <w:t xml:space="preserve">Hudson, Valerie. 2011. “But Now Can See: One Academic’s Journey to Feminist Security </w:t>
      </w:r>
    </w:p>
    <w:p w14:paraId="5D8B6F00" w14:textId="50E910DD" w:rsidR="00323177" w:rsidRPr="00CD5AAC" w:rsidRDefault="00323177" w:rsidP="00CD5AAC">
      <w:pPr>
        <w:spacing w:line="290" w:lineRule="exact"/>
        <w:ind w:firstLine="720"/>
        <w:contextualSpacing/>
        <w:rPr>
          <w:rFonts w:ascii="Calibri" w:hAnsi="Calibri"/>
          <w:sz w:val="22"/>
        </w:rPr>
      </w:pPr>
      <w:r>
        <w:rPr>
          <w:rFonts w:ascii="Calibri" w:hAnsi="Calibri"/>
          <w:sz w:val="22"/>
        </w:rPr>
        <w:t>Studies</w:t>
      </w:r>
      <w:r w:rsidR="00CD5AAC">
        <w:rPr>
          <w:rFonts w:ascii="Calibri" w:hAnsi="Calibri"/>
          <w:sz w:val="22"/>
        </w:rPr>
        <w:t xml:space="preserve">,” </w:t>
      </w:r>
      <w:r w:rsidR="00CD5AAC">
        <w:rPr>
          <w:rFonts w:ascii="Calibri" w:hAnsi="Calibri"/>
          <w:i/>
          <w:sz w:val="22"/>
        </w:rPr>
        <w:t>Politics &amp; Gender</w:t>
      </w:r>
      <w:r w:rsidR="00CD5AAC">
        <w:rPr>
          <w:rFonts w:ascii="Calibri" w:hAnsi="Calibri"/>
          <w:sz w:val="22"/>
        </w:rPr>
        <w:t xml:space="preserve"> 7(4): 586-590. </w:t>
      </w:r>
    </w:p>
    <w:p w14:paraId="009BA772" w14:textId="77777777" w:rsidR="00BB7C26" w:rsidRDefault="00B02963" w:rsidP="00A04F9D">
      <w:pPr>
        <w:spacing w:line="290" w:lineRule="exact"/>
        <w:contextualSpacing/>
        <w:rPr>
          <w:rFonts w:ascii="Calibri" w:hAnsi="Calibri"/>
          <w:sz w:val="22"/>
        </w:rPr>
      </w:pPr>
      <w:r>
        <w:rPr>
          <w:rFonts w:ascii="Calibri" w:hAnsi="Calibri"/>
          <w:sz w:val="22"/>
        </w:rPr>
        <w:t xml:space="preserve">Hudson, Valerie; Mary Caprioli; Bonnie Ballif-Spanvill; Rose McDermott; and Chad F. Emmett. </w:t>
      </w:r>
    </w:p>
    <w:p w14:paraId="1A57008B" w14:textId="6E737FA7" w:rsidR="00B02963" w:rsidRDefault="00B02963" w:rsidP="00BB7C26">
      <w:pPr>
        <w:spacing w:line="290" w:lineRule="exact"/>
        <w:ind w:left="720"/>
        <w:contextualSpacing/>
        <w:rPr>
          <w:rFonts w:ascii="Calibri" w:hAnsi="Calibri"/>
          <w:sz w:val="22"/>
        </w:rPr>
      </w:pPr>
      <w:r>
        <w:rPr>
          <w:rFonts w:ascii="Calibri" w:hAnsi="Calibri"/>
          <w:sz w:val="22"/>
        </w:rPr>
        <w:t xml:space="preserve">2009. </w:t>
      </w:r>
      <w:r w:rsidR="00BB7C26">
        <w:rPr>
          <w:rFonts w:ascii="Calibri" w:hAnsi="Calibri"/>
          <w:sz w:val="22"/>
        </w:rPr>
        <w:t>“</w:t>
      </w:r>
      <w:r w:rsidRPr="00B02963">
        <w:rPr>
          <w:rFonts w:ascii="Calibri" w:hAnsi="Calibri"/>
          <w:sz w:val="22"/>
        </w:rPr>
        <w:t>The Heart of the Matter: The Security of Women and the S</w:t>
      </w:r>
      <w:r w:rsidR="00BB7C26">
        <w:rPr>
          <w:rFonts w:ascii="Calibri" w:hAnsi="Calibri"/>
          <w:sz w:val="22"/>
        </w:rPr>
        <w:t xml:space="preserve">ecurity of States,” </w:t>
      </w:r>
      <w:r w:rsidR="00BB7C26">
        <w:rPr>
          <w:rFonts w:ascii="Calibri" w:hAnsi="Calibri"/>
          <w:i/>
          <w:sz w:val="22"/>
        </w:rPr>
        <w:t xml:space="preserve">International Security </w:t>
      </w:r>
      <w:r w:rsidR="00BB7C26">
        <w:rPr>
          <w:rFonts w:ascii="Calibri" w:hAnsi="Calibri"/>
          <w:sz w:val="22"/>
        </w:rPr>
        <w:t>33(3): 7-45.</w:t>
      </w:r>
    </w:p>
    <w:p w14:paraId="174CB12C" w14:textId="77777777" w:rsidR="00ED2120" w:rsidRDefault="00B10B64" w:rsidP="00B10B64">
      <w:pPr>
        <w:spacing w:line="290" w:lineRule="exact"/>
        <w:contextualSpacing/>
        <w:rPr>
          <w:rFonts w:ascii="Calibri" w:hAnsi="Calibri"/>
          <w:sz w:val="22"/>
        </w:rPr>
      </w:pPr>
      <w:r>
        <w:rPr>
          <w:rFonts w:ascii="Calibri" w:hAnsi="Calibri"/>
          <w:sz w:val="22"/>
        </w:rPr>
        <w:t xml:space="preserve">Pettman, Jan Jindy. </w:t>
      </w:r>
      <w:r w:rsidR="00ED2120">
        <w:rPr>
          <w:rFonts w:ascii="Calibri" w:hAnsi="Calibri"/>
          <w:sz w:val="22"/>
        </w:rPr>
        <w:t xml:space="preserve">1996. </w:t>
      </w:r>
      <w:r w:rsidR="00ED2120">
        <w:rPr>
          <w:rFonts w:ascii="Calibri" w:hAnsi="Calibri"/>
          <w:i/>
          <w:sz w:val="22"/>
        </w:rPr>
        <w:t>Worlding Women: A Feminist International Politics</w:t>
      </w:r>
      <w:r w:rsidR="00ED2120">
        <w:rPr>
          <w:rFonts w:ascii="Calibri" w:hAnsi="Calibri"/>
          <w:sz w:val="22"/>
        </w:rPr>
        <w:t xml:space="preserve">. London: </w:t>
      </w:r>
    </w:p>
    <w:p w14:paraId="5B62B768" w14:textId="7435B1DC" w:rsidR="00B10B64" w:rsidRPr="00ED2120" w:rsidRDefault="00ED2120" w:rsidP="00ED2120">
      <w:pPr>
        <w:spacing w:line="290" w:lineRule="exact"/>
        <w:ind w:firstLine="720"/>
        <w:contextualSpacing/>
        <w:rPr>
          <w:rFonts w:ascii="Calibri" w:hAnsi="Calibri"/>
          <w:sz w:val="22"/>
        </w:rPr>
      </w:pPr>
      <w:r>
        <w:rPr>
          <w:rFonts w:ascii="Calibri" w:hAnsi="Calibri"/>
          <w:sz w:val="22"/>
        </w:rPr>
        <w:lastRenderedPageBreak/>
        <w:t>Routledge.</w:t>
      </w:r>
    </w:p>
    <w:p w14:paraId="4D0352EA" w14:textId="77777777" w:rsidR="006E63FC" w:rsidRDefault="00BB7C26" w:rsidP="00A04F9D">
      <w:pPr>
        <w:spacing w:line="290" w:lineRule="exact"/>
        <w:contextualSpacing/>
        <w:rPr>
          <w:rFonts w:ascii="Calibri" w:hAnsi="Calibri"/>
          <w:i/>
          <w:sz w:val="22"/>
        </w:rPr>
      </w:pPr>
      <w:r>
        <w:rPr>
          <w:rFonts w:ascii="Calibri" w:hAnsi="Calibri"/>
          <w:sz w:val="22"/>
        </w:rPr>
        <w:t xml:space="preserve">Sjoberg, Laura. Forthcoming. </w:t>
      </w:r>
      <w:r w:rsidR="006E63FC">
        <w:rPr>
          <w:rFonts w:ascii="Calibri" w:hAnsi="Calibri"/>
          <w:sz w:val="22"/>
        </w:rPr>
        <w:t xml:space="preserve">“Gender/Violence in a Gendered/Violent World,” </w:t>
      </w:r>
      <w:r w:rsidR="006E63FC">
        <w:rPr>
          <w:rFonts w:ascii="Calibri" w:hAnsi="Calibri"/>
          <w:i/>
          <w:sz w:val="22"/>
        </w:rPr>
        <w:t xml:space="preserve">Millennium: </w:t>
      </w:r>
    </w:p>
    <w:p w14:paraId="5FF50F32" w14:textId="1390CAF4" w:rsidR="00BB7C26" w:rsidRPr="006E63FC" w:rsidRDefault="006E63FC" w:rsidP="006E63FC">
      <w:pPr>
        <w:spacing w:line="290" w:lineRule="exact"/>
        <w:ind w:firstLine="720"/>
        <w:contextualSpacing/>
        <w:rPr>
          <w:rFonts w:ascii="Calibri" w:hAnsi="Calibri"/>
          <w:i/>
          <w:sz w:val="22"/>
        </w:rPr>
      </w:pPr>
      <w:r>
        <w:rPr>
          <w:rFonts w:ascii="Calibri" w:hAnsi="Calibri"/>
          <w:i/>
          <w:sz w:val="22"/>
        </w:rPr>
        <w:t xml:space="preserve">Journal of International Studies. </w:t>
      </w:r>
    </w:p>
    <w:p w14:paraId="0EBA4F6B" w14:textId="77777777" w:rsidR="00DC794F" w:rsidRDefault="00AB2A09" w:rsidP="00A04F9D">
      <w:pPr>
        <w:spacing w:line="290" w:lineRule="exact"/>
        <w:contextualSpacing/>
        <w:rPr>
          <w:rFonts w:ascii="Calibri" w:hAnsi="Calibri"/>
          <w:i/>
          <w:sz w:val="22"/>
        </w:rPr>
      </w:pPr>
      <w:r>
        <w:rPr>
          <w:rFonts w:ascii="Calibri" w:hAnsi="Calibri"/>
          <w:sz w:val="22"/>
        </w:rPr>
        <w:t xml:space="preserve">Sjoberg, Laura. 2011. “Looking Forward, Conceptualizing Feminist Security Studies,” </w:t>
      </w:r>
      <w:r>
        <w:rPr>
          <w:rFonts w:ascii="Calibri" w:hAnsi="Calibri"/>
          <w:i/>
          <w:sz w:val="22"/>
        </w:rPr>
        <w:t xml:space="preserve">Politics &amp; </w:t>
      </w:r>
    </w:p>
    <w:p w14:paraId="1C856562" w14:textId="77777777" w:rsidR="0007127B" w:rsidRDefault="00AB2A09" w:rsidP="00DC794F">
      <w:pPr>
        <w:spacing w:line="290" w:lineRule="exact"/>
        <w:ind w:firstLine="720"/>
        <w:contextualSpacing/>
        <w:rPr>
          <w:rFonts w:ascii="Calibri" w:hAnsi="Calibri"/>
          <w:sz w:val="22"/>
        </w:rPr>
      </w:pPr>
      <w:r>
        <w:rPr>
          <w:rFonts w:ascii="Calibri" w:hAnsi="Calibri"/>
          <w:i/>
          <w:sz w:val="22"/>
        </w:rPr>
        <w:t xml:space="preserve">Gender </w:t>
      </w:r>
      <w:r>
        <w:rPr>
          <w:rFonts w:ascii="Calibri" w:hAnsi="Calibri"/>
          <w:sz w:val="22"/>
        </w:rPr>
        <w:t>7(4): 600-</w:t>
      </w:r>
      <w:r w:rsidR="00DC794F">
        <w:rPr>
          <w:rFonts w:ascii="Calibri" w:hAnsi="Calibri"/>
          <w:sz w:val="22"/>
        </w:rPr>
        <w:t xml:space="preserve">604. </w:t>
      </w:r>
    </w:p>
    <w:p w14:paraId="5F7B455E" w14:textId="77777777" w:rsidR="00D76D3F" w:rsidRDefault="00D76D3F" w:rsidP="00DC794F">
      <w:pPr>
        <w:spacing w:line="290" w:lineRule="exact"/>
        <w:contextualSpacing/>
        <w:rPr>
          <w:rFonts w:ascii="Calibri" w:hAnsi="Calibri"/>
          <w:i/>
          <w:sz w:val="22"/>
        </w:rPr>
      </w:pPr>
      <w:r>
        <w:rPr>
          <w:rFonts w:ascii="Calibri" w:hAnsi="Calibri"/>
          <w:sz w:val="22"/>
        </w:rPr>
        <w:t xml:space="preserve">Sjoberg, Laura and Jennifer Lobasz, eds. 2011. “The State of Feminist Security Studies,” </w:t>
      </w:r>
      <w:r>
        <w:rPr>
          <w:rFonts w:ascii="Calibri" w:hAnsi="Calibri"/>
          <w:i/>
          <w:sz w:val="22"/>
        </w:rPr>
        <w:t>Politics &amp;</w:t>
      </w:r>
    </w:p>
    <w:p w14:paraId="17212149" w14:textId="77777777" w:rsidR="00D76D3F" w:rsidRDefault="00D76D3F" w:rsidP="00D76D3F">
      <w:pPr>
        <w:spacing w:line="290" w:lineRule="exact"/>
        <w:ind w:firstLine="720"/>
        <w:contextualSpacing/>
        <w:rPr>
          <w:rFonts w:ascii="Calibri" w:hAnsi="Calibri"/>
          <w:sz w:val="22"/>
        </w:rPr>
      </w:pPr>
      <w:r>
        <w:rPr>
          <w:rFonts w:ascii="Calibri" w:hAnsi="Calibri"/>
          <w:i/>
          <w:sz w:val="22"/>
        </w:rPr>
        <w:t xml:space="preserve"> Gender </w:t>
      </w:r>
      <w:r>
        <w:rPr>
          <w:rFonts w:ascii="Calibri" w:hAnsi="Calibri"/>
          <w:sz w:val="22"/>
        </w:rPr>
        <w:t xml:space="preserve">7(4): 573-604. </w:t>
      </w:r>
    </w:p>
    <w:p w14:paraId="489AD2BE" w14:textId="77777777" w:rsidR="00B02963" w:rsidRDefault="002C7A9E" w:rsidP="002C7A9E">
      <w:pPr>
        <w:spacing w:line="290" w:lineRule="exact"/>
        <w:contextualSpacing/>
        <w:rPr>
          <w:rFonts w:ascii="Calibri" w:hAnsi="Calibri"/>
          <w:sz w:val="22"/>
        </w:rPr>
      </w:pPr>
      <w:r>
        <w:rPr>
          <w:rFonts w:ascii="Calibri" w:hAnsi="Calibri"/>
          <w:sz w:val="22"/>
        </w:rPr>
        <w:t xml:space="preserve">Thayer, Bradley and Valerie Hudson. 2010. “Sex and the Shaheed: Insights from the Life Sciences </w:t>
      </w:r>
    </w:p>
    <w:p w14:paraId="3CF70103" w14:textId="7693ACBF" w:rsidR="002C7A9E" w:rsidRDefault="002C7A9E" w:rsidP="00B02963">
      <w:pPr>
        <w:spacing w:line="290" w:lineRule="exact"/>
        <w:ind w:firstLine="720"/>
        <w:contextualSpacing/>
        <w:rPr>
          <w:rFonts w:ascii="Calibri" w:hAnsi="Calibri"/>
          <w:sz w:val="22"/>
        </w:rPr>
      </w:pPr>
      <w:r>
        <w:rPr>
          <w:rFonts w:ascii="Calibri" w:hAnsi="Calibri"/>
          <w:sz w:val="22"/>
        </w:rPr>
        <w:t xml:space="preserve">on Islamic Suicide Terrorism,” </w:t>
      </w:r>
      <w:r>
        <w:rPr>
          <w:rFonts w:ascii="Calibri" w:hAnsi="Calibri"/>
          <w:i/>
          <w:sz w:val="22"/>
        </w:rPr>
        <w:t xml:space="preserve">International Security </w:t>
      </w:r>
      <w:r>
        <w:rPr>
          <w:rFonts w:ascii="Calibri" w:hAnsi="Calibri"/>
          <w:sz w:val="22"/>
        </w:rPr>
        <w:t>34(4):</w:t>
      </w:r>
      <w:r w:rsidR="00B02963">
        <w:rPr>
          <w:rFonts w:ascii="Calibri" w:hAnsi="Calibri"/>
          <w:sz w:val="22"/>
        </w:rPr>
        <w:t xml:space="preserve"> 37-62.</w:t>
      </w:r>
    </w:p>
    <w:p w14:paraId="7D546D90" w14:textId="77777777" w:rsidR="00E142E8" w:rsidRDefault="00F975C5" w:rsidP="00F975C5">
      <w:pPr>
        <w:spacing w:line="290" w:lineRule="exact"/>
        <w:contextualSpacing/>
        <w:rPr>
          <w:rFonts w:ascii="Calibri" w:hAnsi="Calibri"/>
          <w:i/>
          <w:sz w:val="22"/>
        </w:rPr>
      </w:pPr>
      <w:r>
        <w:rPr>
          <w:rFonts w:ascii="Calibri" w:hAnsi="Calibri"/>
          <w:sz w:val="22"/>
        </w:rPr>
        <w:t xml:space="preserve">Tickner, J. Ann. 2011. “Feminist Security Studies: Celebrating an Emerging Subfield,” </w:t>
      </w:r>
      <w:r>
        <w:rPr>
          <w:rFonts w:ascii="Calibri" w:hAnsi="Calibri"/>
          <w:i/>
          <w:sz w:val="22"/>
        </w:rPr>
        <w:t xml:space="preserve">Politics &amp; </w:t>
      </w:r>
    </w:p>
    <w:p w14:paraId="6341585A" w14:textId="2AFC2DF7" w:rsidR="00F975C5" w:rsidRPr="00E142E8" w:rsidRDefault="00F975C5" w:rsidP="00E142E8">
      <w:pPr>
        <w:spacing w:line="290" w:lineRule="exact"/>
        <w:ind w:firstLine="720"/>
        <w:contextualSpacing/>
        <w:rPr>
          <w:rFonts w:ascii="Calibri" w:hAnsi="Calibri"/>
          <w:sz w:val="22"/>
        </w:rPr>
      </w:pPr>
      <w:r>
        <w:rPr>
          <w:rFonts w:ascii="Calibri" w:hAnsi="Calibri"/>
          <w:i/>
          <w:sz w:val="22"/>
        </w:rPr>
        <w:t>Gender</w:t>
      </w:r>
      <w:r w:rsidR="00E142E8">
        <w:rPr>
          <w:rFonts w:ascii="Calibri" w:hAnsi="Calibri"/>
          <w:i/>
          <w:sz w:val="22"/>
        </w:rPr>
        <w:t xml:space="preserve"> </w:t>
      </w:r>
      <w:r w:rsidR="00E142E8">
        <w:rPr>
          <w:rFonts w:ascii="Calibri" w:hAnsi="Calibri"/>
          <w:sz w:val="22"/>
        </w:rPr>
        <w:t xml:space="preserve">7(4): 576-581. </w:t>
      </w:r>
    </w:p>
    <w:p w14:paraId="00BAFA39" w14:textId="201DFFED" w:rsidR="00893427" w:rsidRPr="00B10B64" w:rsidRDefault="00B10B64" w:rsidP="00A52661">
      <w:pPr>
        <w:spacing w:line="290" w:lineRule="exact"/>
        <w:contextualSpacing/>
        <w:rPr>
          <w:rFonts w:ascii="Calibri" w:hAnsi="Calibri"/>
          <w:sz w:val="22"/>
        </w:rPr>
      </w:pPr>
      <w:r>
        <w:rPr>
          <w:rFonts w:ascii="Calibri" w:hAnsi="Calibri"/>
          <w:sz w:val="22"/>
        </w:rPr>
        <w:t xml:space="preserve">Tickner, J. Ann. 1992. </w:t>
      </w:r>
      <w:r>
        <w:rPr>
          <w:rFonts w:ascii="Calibri" w:hAnsi="Calibri"/>
          <w:i/>
          <w:sz w:val="22"/>
        </w:rPr>
        <w:t xml:space="preserve">Gender in International Relations. </w:t>
      </w:r>
      <w:r>
        <w:rPr>
          <w:rFonts w:ascii="Calibri" w:hAnsi="Calibri"/>
          <w:sz w:val="22"/>
        </w:rPr>
        <w:t xml:space="preserve">New York: Columbia University Press. </w:t>
      </w:r>
    </w:p>
    <w:p w14:paraId="2663E50E" w14:textId="77777777" w:rsidR="00F975C5" w:rsidRDefault="00A52661" w:rsidP="00A52661">
      <w:pPr>
        <w:spacing w:line="290" w:lineRule="exact"/>
        <w:contextualSpacing/>
        <w:rPr>
          <w:rFonts w:ascii="Calibri" w:hAnsi="Calibri"/>
          <w:i/>
          <w:sz w:val="22"/>
        </w:rPr>
      </w:pPr>
      <w:r>
        <w:rPr>
          <w:rFonts w:ascii="Calibri" w:hAnsi="Calibri"/>
          <w:sz w:val="22"/>
        </w:rPr>
        <w:t xml:space="preserve">Wibben, Annick T. R. 2011. “Feminist Politics in Feminist Security Studies,” </w:t>
      </w:r>
      <w:r>
        <w:rPr>
          <w:rFonts w:ascii="Calibri" w:hAnsi="Calibri"/>
          <w:i/>
          <w:sz w:val="22"/>
        </w:rPr>
        <w:t>Politics &amp; Gender</w:t>
      </w:r>
    </w:p>
    <w:p w14:paraId="50F9EE32" w14:textId="61570AAC" w:rsidR="00A52661" w:rsidRDefault="00A52661" w:rsidP="00F975C5">
      <w:pPr>
        <w:spacing w:line="290" w:lineRule="exact"/>
        <w:ind w:firstLine="720"/>
        <w:contextualSpacing/>
        <w:rPr>
          <w:rFonts w:ascii="Calibri" w:hAnsi="Calibri"/>
          <w:sz w:val="22"/>
        </w:rPr>
      </w:pPr>
      <w:r>
        <w:rPr>
          <w:rFonts w:ascii="Calibri" w:hAnsi="Calibri"/>
          <w:i/>
          <w:sz w:val="22"/>
        </w:rPr>
        <w:t xml:space="preserve"> </w:t>
      </w:r>
      <w:r>
        <w:rPr>
          <w:rFonts w:ascii="Calibri" w:hAnsi="Calibri"/>
          <w:sz w:val="22"/>
        </w:rPr>
        <w:t xml:space="preserve">7(4): </w:t>
      </w:r>
      <w:r w:rsidR="00F975C5">
        <w:rPr>
          <w:rFonts w:ascii="Calibri" w:hAnsi="Calibri"/>
          <w:sz w:val="22"/>
        </w:rPr>
        <w:t xml:space="preserve">590-595. </w:t>
      </w:r>
    </w:p>
    <w:p w14:paraId="29E71276" w14:textId="77777777" w:rsidR="002D0F04" w:rsidRDefault="002D0F04" w:rsidP="002D0F04">
      <w:pPr>
        <w:spacing w:line="290" w:lineRule="exact"/>
        <w:contextualSpacing/>
        <w:rPr>
          <w:rFonts w:ascii="Calibri" w:hAnsi="Calibri"/>
          <w:sz w:val="22"/>
        </w:rPr>
      </w:pPr>
      <w:r>
        <w:rPr>
          <w:rFonts w:ascii="Calibri" w:hAnsi="Calibri"/>
          <w:sz w:val="22"/>
        </w:rPr>
        <w:t xml:space="preserve">Wilcox, Lauren. 2011. “Beyond Sex/Gender: The Feminist Body of Security,” </w:t>
      </w:r>
      <w:r>
        <w:rPr>
          <w:rFonts w:ascii="Calibri" w:hAnsi="Calibri"/>
          <w:i/>
          <w:sz w:val="22"/>
        </w:rPr>
        <w:t>Politics &amp; Gender</w:t>
      </w:r>
      <w:r>
        <w:rPr>
          <w:rFonts w:ascii="Calibri" w:hAnsi="Calibri"/>
          <w:sz w:val="22"/>
        </w:rPr>
        <w:t xml:space="preserve"> </w:t>
      </w:r>
    </w:p>
    <w:p w14:paraId="3EEE269F" w14:textId="20BC139C" w:rsidR="002D0F04" w:rsidRPr="002D0F04" w:rsidRDefault="002D0F04" w:rsidP="002D0F04">
      <w:pPr>
        <w:spacing w:line="290" w:lineRule="exact"/>
        <w:ind w:firstLine="720"/>
        <w:contextualSpacing/>
        <w:rPr>
          <w:rFonts w:ascii="Calibri" w:hAnsi="Calibri"/>
          <w:sz w:val="22"/>
        </w:rPr>
      </w:pPr>
      <w:r>
        <w:rPr>
          <w:rFonts w:ascii="Calibri" w:hAnsi="Calibri"/>
          <w:sz w:val="22"/>
        </w:rPr>
        <w:t>7(4): 595-600.</w:t>
      </w:r>
    </w:p>
    <w:sectPr w:rsidR="002D0F04" w:rsidRPr="002D0F04" w:rsidSect="00954799">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B7805" w14:textId="77777777" w:rsidR="00E40103" w:rsidRDefault="00E40103" w:rsidP="00A41763">
      <w:r>
        <w:separator/>
      </w:r>
    </w:p>
  </w:endnote>
  <w:endnote w:type="continuationSeparator" w:id="0">
    <w:p w14:paraId="0D06396E" w14:textId="77777777" w:rsidR="00E40103" w:rsidRDefault="00E40103" w:rsidP="00A41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0979C" w14:textId="77777777" w:rsidR="00893427" w:rsidRDefault="00893427" w:rsidP="009C7C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4CAA5E" w14:textId="77777777" w:rsidR="00893427" w:rsidRDefault="00893427" w:rsidP="007F23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CD5FD" w14:textId="77777777" w:rsidR="00893427" w:rsidRDefault="00893427" w:rsidP="009C7C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4075">
      <w:rPr>
        <w:rStyle w:val="PageNumber"/>
        <w:noProof/>
      </w:rPr>
      <w:t>1</w:t>
    </w:r>
    <w:r>
      <w:rPr>
        <w:rStyle w:val="PageNumber"/>
      </w:rPr>
      <w:fldChar w:fldCharType="end"/>
    </w:r>
  </w:p>
  <w:p w14:paraId="44697C28" w14:textId="77777777" w:rsidR="00893427" w:rsidRDefault="00893427" w:rsidP="007F23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BBC5C" w14:textId="77777777" w:rsidR="00E40103" w:rsidRDefault="00E40103" w:rsidP="00A41763">
      <w:r>
        <w:separator/>
      </w:r>
    </w:p>
  </w:footnote>
  <w:footnote w:type="continuationSeparator" w:id="0">
    <w:p w14:paraId="7242DB90" w14:textId="77777777" w:rsidR="00E40103" w:rsidRDefault="00E40103" w:rsidP="00A41763">
      <w:r>
        <w:continuationSeparator/>
      </w:r>
    </w:p>
  </w:footnote>
  <w:footnote w:id="1">
    <w:p w14:paraId="198CAFD0" w14:textId="15A1D0D3" w:rsidR="00893427" w:rsidRPr="00CA402D" w:rsidRDefault="00893427" w:rsidP="00A41763">
      <w:pPr>
        <w:spacing w:line="290" w:lineRule="exact"/>
        <w:contextualSpacing/>
        <w:rPr>
          <w:rFonts w:ascii="Calibri" w:hAnsi="Calibri"/>
          <w:sz w:val="22"/>
        </w:rPr>
      </w:pPr>
      <w:r>
        <w:rPr>
          <w:rStyle w:val="FootnoteReference"/>
        </w:rPr>
        <w:footnoteRef/>
      </w:r>
      <w:r>
        <w:t xml:space="preserve"> </w:t>
      </w:r>
      <w:r>
        <w:rPr>
          <w:rFonts w:ascii="Calibri" w:hAnsi="Calibri"/>
          <w:sz w:val="22"/>
        </w:rPr>
        <w:t xml:space="preserve">Not only along the axes of nationality and perspective, as discussed in this forum, but across sexualities and gender identities, which were unfortunately left out of this forum, and only briefly mentioned in the CP section (Wilcox 2011)  </w:t>
      </w:r>
    </w:p>
    <w:p w14:paraId="45417A5B" w14:textId="77777777" w:rsidR="00893427" w:rsidRPr="00DB0FAF" w:rsidRDefault="00893427" w:rsidP="00A41763">
      <w:pPr>
        <w:spacing w:line="290" w:lineRule="exact"/>
        <w:contextualSpacing/>
        <w:rPr>
          <w:rFonts w:ascii="Calibri" w:hAnsi="Calibri"/>
          <w:sz w:val="22"/>
        </w:rPr>
      </w:pPr>
      <w:r>
        <w:rPr>
          <w:rFonts w:ascii="Calibri" w:hAnsi="Calibri"/>
          <w:sz w:val="22"/>
        </w:rPr>
        <w:tab/>
      </w:r>
    </w:p>
    <w:p w14:paraId="2AFE0ADF" w14:textId="1B11EBB8" w:rsidR="00893427" w:rsidRDefault="0089342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4B5B"/>
    <w:rsid w:val="00006A27"/>
    <w:rsid w:val="00007771"/>
    <w:rsid w:val="000115ED"/>
    <w:rsid w:val="00016E2D"/>
    <w:rsid w:val="0002305E"/>
    <w:rsid w:val="00035A65"/>
    <w:rsid w:val="00035CC1"/>
    <w:rsid w:val="00042B10"/>
    <w:rsid w:val="00042B8F"/>
    <w:rsid w:val="000564AC"/>
    <w:rsid w:val="0007127B"/>
    <w:rsid w:val="00082252"/>
    <w:rsid w:val="00084F98"/>
    <w:rsid w:val="000978F7"/>
    <w:rsid w:val="000D1C0D"/>
    <w:rsid w:val="000E4A9F"/>
    <w:rsid w:val="000E65B6"/>
    <w:rsid w:val="001026B2"/>
    <w:rsid w:val="001120AF"/>
    <w:rsid w:val="0013367D"/>
    <w:rsid w:val="00142229"/>
    <w:rsid w:val="001460E6"/>
    <w:rsid w:val="001561B1"/>
    <w:rsid w:val="001606FD"/>
    <w:rsid w:val="0017258B"/>
    <w:rsid w:val="0018135A"/>
    <w:rsid w:val="001B3BF2"/>
    <w:rsid w:val="001C40FE"/>
    <w:rsid w:val="001D05D0"/>
    <w:rsid w:val="001D6BF5"/>
    <w:rsid w:val="002012C2"/>
    <w:rsid w:val="002046F3"/>
    <w:rsid w:val="00204FDD"/>
    <w:rsid w:val="00204FF5"/>
    <w:rsid w:val="00206305"/>
    <w:rsid w:val="0024248C"/>
    <w:rsid w:val="00285CBC"/>
    <w:rsid w:val="00293A96"/>
    <w:rsid w:val="002A6AC4"/>
    <w:rsid w:val="002C05F1"/>
    <w:rsid w:val="002C7A9E"/>
    <w:rsid w:val="002D0F04"/>
    <w:rsid w:val="002D20F6"/>
    <w:rsid w:val="002E3C17"/>
    <w:rsid w:val="002F5567"/>
    <w:rsid w:val="00304C07"/>
    <w:rsid w:val="003054D0"/>
    <w:rsid w:val="00310B3B"/>
    <w:rsid w:val="0032125D"/>
    <w:rsid w:val="00323177"/>
    <w:rsid w:val="00323ACE"/>
    <w:rsid w:val="00325CF8"/>
    <w:rsid w:val="00346FE4"/>
    <w:rsid w:val="003518DC"/>
    <w:rsid w:val="003522E8"/>
    <w:rsid w:val="00367D84"/>
    <w:rsid w:val="003747EC"/>
    <w:rsid w:val="003941FA"/>
    <w:rsid w:val="00397EB3"/>
    <w:rsid w:val="003E73BB"/>
    <w:rsid w:val="004115D5"/>
    <w:rsid w:val="00423FCE"/>
    <w:rsid w:val="004401B4"/>
    <w:rsid w:val="004450FF"/>
    <w:rsid w:val="004470D2"/>
    <w:rsid w:val="00454C37"/>
    <w:rsid w:val="00461586"/>
    <w:rsid w:val="004701C1"/>
    <w:rsid w:val="00470A7A"/>
    <w:rsid w:val="00480CA6"/>
    <w:rsid w:val="0048400C"/>
    <w:rsid w:val="00486C76"/>
    <w:rsid w:val="004D50B2"/>
    <w:rsid w:val="004F7E5B"/>
    <w:rsid w:val="00502373"/>
    <w:rsid w:val="0050476F"/>
    <w:rsid w:val="005204A3"/>
    <w:rsid w:val="00521144"/>
    <w:rsid w:val="005544A8"/>
    <w:rsid w:val="005858ED"/>
    <w:rsid w:val="005B13C0"/>
    <w:rsid w:val="005B6586"/>
    <w:rsid w:val="005C4DEF"/>
    <w:rsid w:val="005E289C"/>
    <w:rsid w:val="005E731A"/>
    <w:rsid w:val="006016D7"/>
    <w:rsid w:val="00623AC4"/>
    <w:rsid w:val="00627BEF"/>
    <w:rsid w:val="00644194"/>
    <w:rsid w:val="006600D6"/>
    <w:rsid w:val="00672D81"/>
    <w:rsid w:val="00677FDA"/>
    <w:rsid w:val="006C3B0D"/>
    <w:rsid w:val="006C79DD"/>
    <w:rsid w:val="006D2106"/>
    <w:rsid w:val="006E63FC"/>
    <w:rsid w:val="006E6970"/>
    <w:rsid w:val="006F541F"/>
    <w:rsid w:val="006F690F"/>
    <w:rsid w:val="006F755A"/>
    <w:rsid w:val="007024B4"/>
    <w:rsid w:val="007329D3"/>
    <w:rsid w:val="00743500"/>
    <w:rsid w:val="00754190"/>
    <w:rsid w:val="007641AF"/>
    <w:rsid w:val="00764473"/>
    <w:rsid w:val="0077005B"/>
    <w:rsid w:val="00791FDB"/>
    <w:rsid w:val="00797678"/>
    <w:rsid w:val="007A62B0"/>
    <w:rsid w:val="007B4467"/>
    <w:rsid w:val="007C5E62"/>
    <w:rsid w:val="007E0759"/>
    <w:rsid w:val="007F2352"/>
    <w:rsid w:val="0080268E"/>
    <w:rsid w:val="008029AA"/>
    <w:rsid w:val="008103D3"/>
    <w:rsid w:val="00813180"/>
    <w:rsid w:val="0082016D"/>
    <w:rsid w:val="00833556"/>
    <w:rsid w:val="008364B6"/>
    <w:rsid w:val="00893427"/>
    <w:rsid w:val="008B5C6B"/>
    <w:rsid w:val="008D09C7"/>
    <w:rsid w:val="008D4D59"/>
    <w:rsid w:val="008D60B3"/>
    <w:rsid w:val="008E2826"/>
    <w:rsid w:val="00902BFD"/>
    <w:rsid w:val="00903858"/>
    <w:rsid w:val="00905CB9"/>
    <w:rsid w:val="00910F0D"/>
    <w:rsid w:val="00951880"/>
    <w:rsid w:val="00953FEB"/>
    <w:rsid w:val="00954799"/>
    <w:rsid w:val="00955ABA"/>
    <w:rsid w:val="0096510E"/>
    <w:rsid w:val="009654D4"/>
    <w:rsid w:val="0099373F"/>
    <w:rsid w:val="00994938"/>
    <w:rsid w:val="009A4B5B"/>
    <w:rsid w:val="009B2119"/>
    <w:rsid w:val="009C7CB5"/>
    <w:rsid w:val="009E3390"/>
    <w:rsid w:val="009F20E7"/>
    <w:rsid w:val="00A04F9D"/>
    <w:rsid w:val="00A14075"/>
    <w:rsid w:val="00A241FD"/>
    <w:rsid w:val="00A41763"/>
    <w:rsid w:val="00A501BE"/>
    <w:rsid w:val="00A52661"/>
    <w:rsid w:val="00A63698"/>
    <w:rsid w:val="00A71993"/>
    <w:rsid w:val="00A81F70"/>
    <w:rsid w:val="00A8561F"/>
    <w:rsid w:val="00A86F03"/>
    <w:rsid w:val="00A9036D"/>
    <w:rsid w:val="00AB2A09"/>
    <w:rsid w:val="00AC7C32"/>
    <w:rsid w:val="00AF18E7"/>
    <w:rsid w:val="00B02963"/>
    <w:rsid w:val="00B10B64"/>
    <w:rsid w:val="00B11851"/>
    <w:rsid w:val="00B148D2"/>
    <w:rsid w:val="00B15385"/>
    <w:rsid w:val="00B53CF0"/>
    <w:rsid w:val="00B60577"/>
    <w:rsid w:val="00B679E4"/>
    <w:rsid w:val="00B80C2B"/>
    <w:rsid w:val="00B82EF9"/>
    <w:rsid w:val="00B908F4"/>
    <w:rsid w:val="00B91255"/>
    <w:rsid w:val="00B95A4B"/>
    <w:rsid w:val="00BB7C26"/>
    <w:rsid w:val="00BE1F78"/>
    <w:rsid w:val="00BE6A73"/>
    <w:rsid w:val="00BF0D6B"/>
    <w:rsid w:val="00BF4B44"/>
    <w:rsid w:val="00BF54A0"/>
    <w:rsid w:val="00C3163A"/>
    <w:rsid w:val="00C32CC8"/>
    <w:rsid w:val="00C41D9A"/>
    <w:rsid w:val="00C47DE8"/>
    <w:rsid w:val="00C64601"/>
    <w:rsid w:val="00C84A58"/>
    <w:rsid w:val="00C86F1A"/>
    <w:rsid w:val="00C9293E"/>
    <w:rsid w:val="00C92989"/>
    <w:rsid w:val="00CA402D"/>
    <w:rsid w:val="00CA7314"/>
    <w:rsid w:val="00CC38B6"/>
    <w:rsid w:val="00CD28F4"/>
    <w:rsid w:val="00CD5AAC"/>
    <w:rsid w:val="00CE7FDF"/>
    <w:rsid w:val="00CF1EFB"/>
    <w:rsid w:val="00D03D6C"/>
    <w:rsid w:val="00D0629F"/>
    <w:rsid w:val="00D32263"/>
    <w:rsid w:val="00D33110"/>
    <w:rsid w:val="00D34259"/>
    <w:rsid w:val="00D35ED7"/>
    <w:rsid w:val="00D453C4"/>
    <w:rsid w:val="00D5777B"/>
    <w:rsid w:val="00D76D3F"/>
    <w:rsid w:val="00D8065B"/>
    <w:rsid w:val="00DB0FAF"/>
    <w:rsid w:val="00DB1257"/>
    <w:rsid w:val="00DB742E"/>
    <w:rsid w:val="00DC7602"/>
    <w:rsid w:val="00DC794F"/>
    <w:rsid w:val="00DD6899"/>
    <w:rsid w:val="00DD7CD6"/>
    <w:rsid w:val="00DE1991"/>
    <w:rsid w:val="00DF7BFA"/>
    <w:rsid w:val="00E021EB"/>
    <w:rsid w:val="00E04110"/>
    <w:rsid w:val="00E06AEE"/>
    <w:rsid w:val="00E142E8"/>
    <w:rsid w:val="00E32B90"/>
    <w:rsid w:val="00E40103"/>
    <w:rsid w:val="00E40E42"/>
    <w:rsid w:val="00E51B3A"/>
    <w:rsid w:val="00E718B1"/>
    <w:rsid w:val="00E750B7"/>
    <w:rsid w:val="00E90E8F"/>
    <w:rsid w:val="00E961F7"/>
    <w:rsid w:val="00EA17C6"/>
    <w:rsid w:val="00EB1F9B"/>
    <w:rsid w:val="00EC3527"/>
    <w:rsid w:val="00ED2120"/>
    <w:rsid w:val="00EE5F72"/>
    <w:rsid w:val="00EE7A39"/>
    <w:rsid w:val="00EF668A"/>
    <w:rsid w:val="00F00F98"/>
    <w:rsid w:val="00F105D8"/>
    <w:rsid w:val="00F13A81"/>
    <w:rsid w:val="00F36953"/>
    <w:rsid w:val="00F414D0"/>
    <w:rsid w:val="00F4295E"/>
    <w:rsid w:val="00F57E4C"/>
    <w:rsid w:val="00F975C5"/>
    <w:rsid w:val="00FB7205"/>
    <w:rsid w:val="00FC4F38"/>
    <w:rsid w:val="00FD0E7E"/>
    <w:rsid w:val="00FE41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C86365"/>
  <w15:docId w15:val="{19FC4C6E-B317-5448-97CF-6D5D593F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41763"/>
  </w:style>
  <w:style w:type="character" w:customStyle="1" w:styleId="FootnoteTextChar">
    <w:name w:val="Footnote Text Char"/>
    <w:basedOn w:val="DefaultParagraphFont"/>
    <w:link w:val="FootnoteText"/>
    <w:uiPriority w:val="99"/>
    <w:rsid w:val="00A41763"/>
  </w:style>
  <w:style w:type="character" w:styleId="FootnoteReference">
    <w:name w:val="footnote reference"/>
    <w:basedOn w:val="DefaultParagraphFont"/>
    <w:uiPriority w:val="99"/>
    <w:unhideWhenUsed/>
    <w:rsid w:val="00A41763"/>
    <w:rPr>
      <w:vertAlign w:val="superscript"/>
    </w:rPr>
  </w:style>
  <w:style w:type="paragraph" w:styleId="BalloonText">
    <w:name w:val="Balloon Text"/>
    <w:basedOn w:val="Normal"/>
    <w:link w:val="BalloonTextChar"/>
    <w:uiPriority w:val="99"/>
    <w:semiHidden/>
    <w:unhideWhenUsed/>
    <w:rsid w:val="000822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2252"/>
    <w:rPr>
      <w:rFonts w:ascii="Lucida Grande" w:hAnsi="Lucida Grande" w:cs="Lucida Grande"/>
      <w:sz w:val="18"/>
      <w:szCs w:val="18"/>
    </w:rPr>
  </w:style>
  <w:style w:type="character" w:styleId="CommentReference">
    <w:name w:val="annotation reference"/>
    <w:basedOn w:val="DefaultParagraphFont"/>
    <w:uiPriority w:val="99"/>
    <w:semiHidden/>
    <w:unhideWhenUsed/>
    <w:rsid w:val="009C7CB5"/>
    <w:rPr>
      <w:sz w:val="18"/>
      <w:szCs w:val="18"/>
    </w:rPr>
  </w:style>
  <w:style w:type="paragraph" w:styleId="CommentText">
    <w:name w:val="annotation text"/>
    <w:basedOn w:val="Normal"/>
    <w:link w:val="CommentTextChar"/>
    <w:uiPriority w:val="99"/>
    <w:semiHidden/>
    <w:unhideWhenUsed/>
    <w:rsid w:val="009C7CB5"/>
  </w:style>
  <w:style w:type="character" w:customStyle="1" w:styleId="CommentTextChar">
    <w:name w:val="Comment Text Char"/>
    <w:basedOn w:val="DefaultParagraphFont"/>
    <w:link w:val="CommentText"/>
    <w:uiPriority w:val="99"/>
    <w:semiHidden/>
    <w:rsid w:val="009C7CB5"/>
  </w:style>
  <w:style w:type="paragraph" w:styleId="CommentSubject">
    <w:name w:val="annotation subject"/>
    <w:basedOn w:val="CommentText"/>
    <w:next w:val="CommentText"/>
    <w:link w:val="CommentSubjectChar"/>
    <w:uiPriority w:val="99"/>
    <w:semiHidden/>
    <w:unhideWhenUsed/>
    <w:rsid w:val="009C7CB5"/>
    <w:rPr>
      <w:b/>
      <w:bCs/>
      <w:sz w:val="20"/>
      <w:szCs w:val="20"/>
    </w:rPr>
  </w:style>
  <w:style w:type="character" w:customStyle="1" w:styleId="CommentSubjectChar">
    <w:name w:val="Comment Subject Char"/>
    <w:basedOn w:val="CommentTextChar"/>
    <w:link w:val="CommentSubject"/>
    <w:uiPriority w:val="99"/>
    <w:semiHidden/>
    <w:rsid w:val="009C7CB5"/>
    <w:rPr>
      <w:b/>
      <w:bCs/>
      <w:sz w:val="20"/>
      <w:szCs w:val="20"/>
    </w:rPr>
  </w:style>
  <w:style w:type="paragraph" w:styleId="Footer">
    <w:name w:val="footer"/>
    <w:basedOn w:val="Normal"/>
    <w:link w:val="FooterChar"/>
    <w:uiPriority w:val="99"/>
    <w:unhideWhenUsed/>
    <w:rsid w:val="009C7CB5"/>
    <w:pPr>
      <w:tabs>
        <w:tab w:val="center" w:pos="4320"/>
        <w:tab w:val="right" w:pos="8640"/>
      </w:tabs>
    </w:pPr>
  </w:style>
  <w:style w:type="character" w:customStyle="1" w:styleId="FooterChar">
    <w:name w:val="Footer Char"/>
    <w:basedOn w:val="DefaultParagraphFont"/>
    <w:link w:val="Footer"/>
    <w:uiPriority w:val="99"/>
    <w:rsid w:val="009C7CB5"/>
  </w:style>
  <w:style w:type="character" w:styleId="PageNumber">
    <w:name w:val="page number"/>
    <w:basedOn w:val="DefaultParagraphFont"/>
    <w:uiPriority w:val="99"/>
    <w:semiHidden/>
    <w:unhideWhenUsed/>
    <w:rsid w:val="009C7CB5"/>
  </w:style>
  <w:style w:type="paragraph" w:styleId="Revision">
    <w:name w:val="Revision"/>
    <w:hidden/>
    <w:uiPriority w:val="99"/>
    <w:semiHidden/>
    <w:rsid w:val="00B82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CECA2-2A77-8644-92CE-FF800159F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1746</Words>
  <Characters>9954</Characters>
  <Application>Microsoft Office Word</Application>
  <DocSecurity>0</DocSecurity>
  <Lines>82</Lines>
  <Paragraphs>23</Paragraphs>
  <ScaleCrop>false</ScaleCrop>
  <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Sjoberg</dc:creator>
  <cp:keywords/>
  <dc:description/>
  <cp:lastModifiedBy>Sjoberg, Laura</cp:lastModifiedBy>
  <cp:revision>4</cp:revision>
  <dcterms:created xsi:type="dcterms:W3CDTF">2013-10-17T02:34:00Z</dcterms:created>
  <dcterms:modified xsi:type="dcterms:W3CDTF">2020-01-27T20:03:00Z</dcterms:modified>
</cp:coreProperties>
</file>