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2AADE" w14:textId="77777777" w:rsidR="003342FC" w:rsidRDefault="003342FC" w:rsidP="003342FC">
      <w:pPr>
        <w:spacing w:line="480" w:lineRule="auto"/>
        <w:jc w:val="left"/>
      </w:pPr>
      <w:bookmarkStart w:id="0" w:name="_GoBack"/>
      <w:bookmarkEnd w:id="0"/>
    </w:p>
    <w:p w14:paraId="2F21AB37" w14:textId="77777777" w:rsidR="003342FC" w:rsidRDefault="003342FC" w:rsidP="003342FC">
      <w:pPr>
        <w:spacing w:line="480" w:lineRule="auto"/>
        <w:jc w:val="left"/>
      </w:pPr>
    </w:p>
    <w:p w14:paraId="39B22909" w14:textId="77777777" w:rsidR="003342FC" w:rsidRDefault="003342FC" w:rsidP="003342FC">
      <w:pPr>
        <w:spacing w:line="480" w:lineRule="auto"/>
        <w:jc w:val="left"/>
      </w:pPr>
    </w:p>
    <w:p w14:paraId="02DCFFC3" w14:textId="77777777" w:rsidR="003342FC" w:rsidRDefault="003342FC" w:rsidP="003342FC">
      <w:pPr>
        <w:spacing w:line="480" w:lineRule="auto"/>
        <w:jc w:val="left"/>
      </w:pPr>
    </w:p>
    <w:p w14:paraId="734C85DF" w14:textId="77777777" w:rsidR="003342FC" w:rsidRDefault="003342FC" w:rsidP="003342FC">
      <w:pPr>
        <w:spacing w:line="480" w:lineRule="auto"/>
      </w:pPr>
    </w:p>
    <w:p w14:paraId="59B8B865" w14:textId="77777777" w:rsidR="003342FC" w:rsidRPr="003342FC" w:rsidRDefault="003342FC" w:rsidP="003342FC">
      <w:pPr>
        <w:spacing w:line="480" w:lineRule="auto"/>
      </w:pPr>
      <w:r w:rsidRPr="003342FC">
        <w:t>Future-directed Thinking and its Relationship to Subjective Well-being in Older Adults.</w:t>
      </w:r>
    </w:p>
    <w:p w14:paraId="1E86D954" w14:textId="77777777" w:rsidR="003342FC" w:rsidRPr="003342FC" w:rsidRDefault="003342FC" w:rsidP="003342FC">
      <w:pPr>
        <w:spacing w:line="480" w:lineRule="auto"/>
      </w:pPr>
    </w:p>
    <w:p w14:paraId="364C2ECD" w14:textId="77777777" w:rsidR="003342FC" w:rsidRPr="003342FC" w:rsidRDefault="003342FC" w:rsidP="003342FC">
      <w:pPr>
        <w:spacing w:line="480" w:lineRule="auto"/>
      </w:pPr>
    </w:p>
    <w:p w14:paraId="23AC4CA9" w14:textId="77777777" w:rsidR="003342FC" w:rsidRPr="003342FC" w:rsidRDefault="003342FC" w:rsidP="003342FC">
      <w:pPr>
        <w:spacing w:line="480" w:lineRule="auto"/>
      </w:pPr>
    </w:p>
    <w:p w14:paraId="2405AF3C" w14:textId="77777777" w:rsidR="003342FC" w:rsidRPr="003342FC" w:rsidRDefault="003342FC" w:rsidP="003342FC">
      <w:pPr>
        <w:spacing w:line="480" w:lineRule="auto"/>
      </w:pPr>
    </w:p>
    <w:p w14:paraId="09206159" w14:textId="77777777" w:rsidR="003342FC" w:rsidRPr="003342FC" w:rsidRDefault="003342FC" w:rsidP="003342FC">
      <w:pPr>
        <w:spacing w:line="480" w:lineRule="auto"/>
      </w:pPr>
      <w:r w:rsidRPr="003342FC">
        <w:t>Holly Corlett and Andrew K. MacLeod</w:t>
      </w:r>
    </w:p>
    <w:p w14:paraId="3A4350EC" w14:textId="77777777" w:rsidR="003342FC" w:rsidRPr="003342FC" w:rsidRDefault="003342FC" w:rsidP="003342FC">
      <w:pPr>
        <w:spacing w:line="480" w:lineRule="auto"/>
      </w:pPr>
      <w:r w:rsidRPr="003342FC">
        <w:t>Royal Holloway University of London.</w:t>
      </w:r>
    </w:p>
    <w:p w14:paraId="4384536A" w14:textId="77777777" w:rsidR="003342FC" w:rsidRPr="003342FC" w:rsidRDefault="003342FC" w:rsidP="003342FC">
      <w:pPr>
        <w:spacing w:line="480" w:lineRule="auto"/>
        <w:jc w:val="left"/>
      </w:pPr>
    </w:p>
    <w:p w14:paraId="4680CFA4" w14:textId="77777777" w:rsidR="003342FC" w:rsidRPr="003342FC" w:rsidRDefault="003342FC" w:rsidP="003342FC">
      <w:pPr>
        <w:spacing w:line="480" w:lineRule="auto"/>
        <w:jc w:val="left"/>
      </w:pPr>
    </w:p>
    <w:p w14:paraId="56AAA104" w14:textId="77777777" w:rsidR="003342FC" w:rsidRPr="003342FC" w:rsidRDefault="003342FC" w:rsidP="003342FC">
      <w:pPr>
        <w:spacing w:line="480" w:lineRule="auto"/>
        <w:jc w:val="left"/>
      </w:pPr>
    </w:p>
    <w:p w14:paraId="6AEFF982" w14:textId="77777777" w:rsidR="003342FC" w:rsidRPr="003342FC" w:rsidRDefault="003342FC" w:rsidP="003342FC">
      <w:pPr>
        <w:spacing w:line="480" w:lineRule="auto"/>
        <w:jc w:val="left"/>
      </w:pPr>
    </w:p>
    <w:p w14:paraId="1343CF04" w14:textId="77777777" w:rsidR="003342FC" w:rsidRPr="003342FC" w:rsidRDefault="003342FC" w:rsidP="003342FC">
      <w:pPr>
        <w:spacing w:line="480" w:lineRule="auto"/>
        <w:jc w:val="left"/>
      </w:pPr>
    </w:p>
    <w:p w14:paraId="2B697763" w14:textId="77777777" w:rsidR="003342FC" w:rsidRPr="003342FC" w:rsidRDefault="003342FC" w:rsidP="003342FC">
      <w:pPr>
        <w:spacing w:line="480" w:lineRule="auto"/>
      </w:pPr>
      <w:r w:rsidRPr="003342FC">
        <w:t>Author Note</w:t>
      </w:r>
    </w:p>
    <w:p w14:paraId="0815EDE1" w14:textId="77777777" w:rsidR="003342FC" w:rsidRPr="003342FC" w:rsidRDefault="003342FC" w:rsidP="003342FC">
      <w:pPr>
        <w:spacing w:line="480" w:lineRule="auto"/>
        <w:jc w:val="left"/>
      </w:pPr>
    </w:p>
    <w:p w14:paraId="4C538D34" w14:textId="77777777" w:rsidR="003342FC" w:rsidRPr="003342FC" w:rsidRDefault="003342FC" w:rsidP="003342FC">
      <w:pPr>
        <w:spacing w:line="480" w:lineRule="auto"/>
        <w:ind w:firstLine="720"/>
        <w:jc w:val="left"/>
      </w:pPr>
      <w:r w:rsidRPr="003342FC">
        <w:t xml:space="preserve">Andrew K. MacLeod and Holly Corlett, Department of Psychology, Royal Holloway, University of London, </w:t>
      </w:r>
    </w:p>
    <w:p w14:paraId="3C5CF422" w14:textId="77777777" w:rsidR="003342FC" w:rsidRPr="003342FC" w:rsidRDefault="003342FC" w:rsidP="003342FC">
      <w:r w:rsidRPr="003342FC">
        <w:t xml:space="preserve">Correspondence concerning this article should be addressed to Andrew MacLeod, Department of Psychology, Royal Holloway University of London, Egham, Surrey. TW10 0EX, UK. Email: </w:t>
      </w:r>
      <w:hyperlink r:id="rId8" w:history="1">
        <w:r w:rsidRPr="003342FC">
          <w:rPr>
            <w:rStyle w:val="Hyperlink"/>
          </w:rPr>
          <w:t>a.macleod@rhul.ac.uk</w:t>
        </w:r>
      </w:hyperlink>
    </w:p>
    <w:p w14:paraId="76DC4E87" w14:textId="77777777" w:rsidR="00C313E1" w:rsidRPr="003342FC" w:rsidRDefault="00C313E1" w:rsidP="00C313E1">
      <w:pPr>
        <w:spacing w:line="480" w:lineRule="auto"/>
        <w:jc w:val="left"/>
      </w:pPr>
    </w:p>
    <w:p w14:paraId="2E664923" w14:textId="77777777" w:rsidR="00C313E1" w:rsidRPr="003342FC" w:rsidRDefault="00C313E1" w:rsidP="00C313E1">
      <w:pPr>
        <w:spacing w:line="480" w:lineRule="auto"/>
      </w:pPr>
    </w:p>
    <w:p w14:paraId="48C40E31" w14:textId="369C89FC" w:rsidR="00C313E1" w:rsidRPr="003342FC" w:rsidRDefault="00C313E1" w:rsidP="00C313E1">
      <w:pPr>
        <w:spacing w:line="480" w:lineRule="auto"/>
      </w:pPr>
      <w:r w:rsidRPr="003342FC">
        <w:lastRenderedPageBreak/>
        <w:t>Future-directed Thinking and its Relationship to Subjective Well-being in Older Adults.</w:t>
      </w:r>
    </w:p>
    <w:p w14:paraId="4E894AE5" w14:textId="77777777" w:rsidR="00C313E1" w:rsidRPr="003342FC" w:rsidRDefault="00C313E1" w:rsidP="00EC2D3C">
      <w:pPr>
        <w:pStyle w:val="Heading1"/>
      </w:pPr>
    </w:p>
    <w:p w14:paraId="2A1A678F" w14:textId="6C428230" w:rsidR="00590355" w:rsidRPr="003342FC" w:rsidRDefault="003C0818" w:rsidP="00EC2D3C">
      <w:pPr>
        <w:pStyle w:val="Heading1"/>
      </w:pPr>
      <w:r w:rsidRPr="003342FC">
        <w:t>Abstract</w:t>
      </w:r>
    </w:p>
    <w:p w14:paraId="1F7FD282" w14:textId="77777777" w:rsidR="009D51B9" w:rsidRPr="003342FC" w:rsidRDefault="009D51B9" w:rsidP="009D51B9">
      <w:pPr>
        <w:spacing w:line="480" w:lineRule="auto"/>
        <w:jc w:val="left"/>
      </w:pPr>
    </w:p>
    <w:p w14:paraId="09E829E1" w14:textId="27B83045" w:rsidR="009D51B9" w:rsidRPr="003342FC" w:rsidRDefault="009D51B9" w:rsidP="009D51B9">
      <w:pPr>
        <w:spacing w:line="480" w:lineRule="auto"/>
        <w:jc w:val="left"/>
      </w:pPr>
      <w:r w:rsidRPr="003342FC">
        <w:t xml:space="preserve">Age-related changes in future-directed thinking may be important for well-being.  Older and younger adults generated idiographic anticipated experiences for the next week, the next year and the next five to ten years, using an adapted fluency measure.  Relative to younger adults, older adults maintained a focus on the immediate future but frequency of anticipated events declined for the medium- and longer-term.  The presence of negative thoughts for those two more distant time periods was related to lower life satisfaction in older adults.  Content differences in thoughts illustrated the differing concerns of the two groups.  </w:t>
      </w:r>
      <w:r w:rsidR="00B001B7" w:rsidRPr="003342FC">
        <w:t xml:space="preserve">The results align </w:t>
      </w:r>
      <w:r w:rsidR="00E05259" w:rsidRPr="003342FC">
        <w:t xml:space="preserve">broadly </w:t>
      </w:r>
      <w:r w:rsidR="00B001B7" w:rsidRPr="003342FC">
        <w:t xml:space="preserve">with previous findings in the literature on Socioemotional Selectivity Theory. </w:t>
      </w:r>
    </w:p>
    <w:p w14:paraId="2A8CAD2B" w14:textId="77777777" w:rsidR="00BF531A" w:rsidRPr="003342FC" w:rsidRDefault="00BF531A" w:rsidP="00EC2D3C">
      <w:pPr>
        <w:spacing w:line="480" w:lineRule="auto"/>
        <w:jc w:val="left"/>
      </w:pPr>
    </w:p>
    <w:p w14:paraId="3E8BFDB6" w14:textId="4288359A" w:rsidR="00BF531A" w:rsidRPr="003342FC" w:rsidRDefault="003C0818" w:rsidP="00BF531A">
      <w:pPr>
        <w:spacing w:line="480" w:lineRule="auto"/>
      </w:pPr>
      <w:r w:rsidRPr="003342FC">
        <w:br w:type="page"/>
      </w:r>
    </w:p>
    <w:p w14:paraId="4D6C195D" w14:textId="77777777" w:rsidR="00DD46E1" w:rsidRPr="003342FC" w:rsidRDefault="00DD46E1" w:rsidP="00EC2D3C">
      <w:pPr>
        <w:spacing w:line="480" w:lineRule="auto"/>
        <w:jc w:val="left"/>
      </w:pPr>
    </w:p>
    <w:p w14:paraId="647EBE0D" w14:textId="07631C06" w:rsidR="00613649" w:rsidRPr="003342FC" w:rsidRDefault="00DD46E1" w:rsidP="00EC2D3C">
      <w:pPr>
        <w:spacing w:line="480" w:lineRule="auto"/>
        <w:ind w:firstLine="720"/>
        <w:jc w:val="left"/>
      </w:pPr>
      <w:r w:rsidRPr="003342FC">
        <w:t>The pace of population aging is increasing, with the number of people aged over 60 years expected to double by the year 2050 (World Health Organisation, 2015).  Understanding how aging impacts on well-being is imperative for maximising quality of life in those extra years. Interestingly, e</w:t>
      </w:r>
      <w:r w:rsidR="0041266B" w:rsidRPr="003342FC">
        <w:t>vidence suggests that older adults experience greater life satisfaction</w:t>
      </w:r>
      <w:r w:rsidR="00B0299A" w:rsidRPr="003342FC">
        <w:t xml:space="preserve"> (a commonly used indicator of well-being)</w:t>
      </w:r>
      <w:r w:rsidR="0041266B" w:rsidRPr="003342FC">
        <w:t xml:space="preserve"> than their younger counterparts, although when examined across countries this effect appears to be restricted to high-income Engli</w:t>
      </w:r>
      <w:r w:rsidR="009715BB" w:rsidRPr="003342FC">
        <w:t xml:space="preserve">sh-speaking countries </w:t>
      </w:r>
      <w:r w:rsidR="004C4462" w:rsidRPr="003342FC">
        <w:t>(Steptoe, Deaton, &amp; Stone, 2015).  The</w:t>
      </w:r>
      <w:r w:rsidR="00D50458" w:rsidRPr="003342FC">
        <w:t xml:space="preserve"> effect is somewhat counterintuitive because </w:t>
      </w:r>
      <w:r w:rsidR="009715BB" w:rsidRPr="003342FC">
        <w:t xml:space="preserve">older age represents various challenges, not least the </w:t>
      </w:r>
      <w:r w:rsidR="00901521" w:rsidRPr="003342FC">
        <w:t xml:space="preserve">presence of </w:t>
      </w:r>
      <w:r w:rsidR="009715BB" w:rsidRPr="003342FC">
        <w:t>social, functional and physi</w:t>
      </w:r>
      <w:r w:rsidR="00901521" w:rsidRPr="003342FC">
        <w:t>cal losses</w:t>
      </w:r>
      <w:r w:rsidR="00D50458" w:rsidRPr="003342FC">
        <w:t xml:space="preserve">, which might be expected to reduce well-being. </w:t>
      </w:r>
    </w:p>
    <w:p w14:paraId="78F1510B" w14:textId="21B747EA" w:rsidR="008245BD" w:rsidRPr="003342FC" w:rsidRDefault="009715BB" w:rsidP="00EC2D3C">
      <w:pPr>
        <w:spacing w:line="480" w:lineRule="auto"/>
        <w:ind w:firstLine="720"/>
        <w:jc w:val="left"/>
      </w:pPr>
      <w:r w:rsidRPr="003342FC">
        <w:t xml:space="preserve">An additional puzzle for why older age does not lead to </w:t>
      </w:r>
      <w:r w:rsidR="003108C1" w:rsidRPr="003342FC">
        <w:t xml:space="preserve">a </w:t>
      </w:r>
      <w:r w:rsidRPr="003342FC">
        <w:t xml:space="preserve">decline in well-being relates to </w:t>
      </w:r>
      <w:r w:rsidR="009F5A9E" w:rsidRPr="003342FC">
        <w:t>a person’s subjective future life trajectory</w:t>
      </w:r>
      <w:r w:rsidR="00D50458" w:rsidRPr="003342FC">
        <w:t xml:space="preserve"> (MacLeod, 2017)</w:t>
      </w:r>
      <w:r w:rsidR="009F5A9E" w:rsidRPr="003342FC">
        <w:t xml:space="preserve">.  </w:t>
      </w:r>
      <w:r w:rsidR="008245BD" w:rsidRPr="003342FC">
        <w:t xml:space="preserve">There is a wealth of evidence </w:t>
      </w:r>
      <w:r w:rsidR="009F5A9E" w:rsidRPr="003342FC">
        <w:t xml:space="preserve">that the ability to think about the future, including </w:t>
      </w:r>
      <w:r w:rsidR="00901521" w:rsidRPr="003342FC">
        <w:t>having</w:t>
      </w:r>
      <w:r w:rsidR="008245BD" w:rsidRPr="003342FC">
        <w:t xml:space="preserve"> </w:t>
      </w:r>
      <w:r w:rsidR="00901521" w:rsidRPr="003342FC">
        <w:t>goals and plans and the presence of positive future expectancies</w:t>
      </w:r>
      <w:r w:rsidR="009F5A9E" w:rsidRPr="003342FC">
        <w:t>, is related to high levels of well-being and mental health</w:t>
      </w:r>
      <w:r w:rsidR="0083095F" w:rsidRPr="003342FC">
        <w:t xml:space="preserve"> (See MacLeod, 2017, for a review)</w:t>
      </w:r>
      <w:r w:rsidR="008245BD" w:rsidRPr="003342FC">
        <w:t>.  Aging would appear to pose</w:t>
      </w:r>
      <w:r w:rsidR="009F5A9E" w:rsidRPr="003342FC">
        <w:t xml:space="preserve"> a challenge to future-directed thinking </w:t>
      </w:r>
      <w:r w:rsidR="008245BD" w:rsidRPr="003342FC">
        <w:t xml:space="preserve">simply </w:t>
      </w:r>
      <w:r w:rsidR="009F5A9E" w:rsidRPr="003342FC">
        <w:t>becau</w:t>
      </w:r>
      <w:r w:rsidR="008245BD" w:rsidRPr="003342FC">
        <w:t>se as we age our future</w:t>
      </w:r>
      <w:r w:rsidR="00D50458" w:rsidRPr="003342FC">
        <w:t>s</w:t>
      </w:r>
      <w:r w:rsidR="008245BD" w:rsidRPr="003342FC">
        <w:t xml:space="preserve"> becomes shorter and therefore more restricted.   </w:t>
      </w:r>
      <w:r w:rsidR="00D50458" w:rsidRPr="003342FC">
        <w:t xml:space="preserve">For example, </w:t>
      </w:r>
      <w:r w:rsidR="004C4462" w:rsidRPr="003342FC">
        <w:t>Strough et al. (2016)</w:t>
      </w:r>
      <w:r w:rsidR="0083095F" w:rsidRPr="003342FC">
        <w:t xml:space="preserve"> </w:t>
      </w:r>
      <w:r w:rsidR="008245BD" w:rsidRPr="003342FC">
        <w:t>report that around age 60 there is a shift from a focus on having future opportunities to start</w:t>
      </w:r>
      <w:r w:rsidR="00F40895" w:rsidRPr="003342FC">
        <w:t>ing to perceive time as limited</w:t>
      </w:r>
      <w:r w:rsidR="00D50458" w:rsidRPr="003342FC">
        <w:t>,</w:t>
      </w:r>
      <w:r w:rsidR="00F40895" w:rsidRPr="003342FC">
        <w:t xml:space="preserve"> and as people age they make fewer plans for the future and are less optimistic (Kotter-Gruhn &amp; Smith, 2011).</w:t>
      </w:r>
    </w:p>
    <w:p w14:paraId="38760352" w14:textId="44B9A317" w:rsidR="00072999" w:rsidRPr="003342FC" w:rsidRDefault="009F5A9E" w:rsidP="00EC2D3C">
      <w:pPr>
        <w:spacing w:line="480" w:lineRule="auto"/>
        <w:ind w:firstLine="720"/>
        <w:jc w:val="left"/>
      </w:pPr>
      <w:r w:rsidRPr="003342FC">
        <w:t xml:space="preserve">Socio-emotional selectivity Theory </w:t>
      </w:r>
      <w:r w:rsidR="008245BD" w:rsidRPr="003342FC">
        <w:t>(</w:t>
      </w:r>
      <w:r w:rsidR="009140E4" w:rsidRPr="003342FC">
        <w:t>SST; Carstensen, Isaaco</w:t>
      </w:r>
      <w:r w:rsidR="00F40895" w:rsidRPr="003342FC">
        <w:t>witz &amp; Charles, 1999</w:t>
      </w:r>
      <w:r w:rsidR="008245BD" w:rsidRPr="003342FC">
        <w:t xml:space="preserve">) </w:t>
      </w:r>
      <w:r w:rsidRPr="003342FC">
        <w:t xml:space="preserve">potentially provides a way to understand how well-being is preserved despite a </w:t>
      </w:r>
      <w:r w:rsidR="00D50458" w:rsidRPr="003342FC">
        <w:t>more limited perceived future</w:t>
      </w:r>
      <w:r w:rsidRPr="003342FC">
        <w:t xml:space="preserve"> into which to project our exp</w:t>
      </w:r>
      <w:r w:rsidR="004F5440" w:rsidRPr="003342FC">
        <w:t>ectation, goals, and plans.  SST</w:t>
      </w:r>
      <w:r w:rsidRPr="003342FC">
        <w:t xml:space="preserve"> proposes that </w:t>
      </w:r>
      <w:r w:rsidR="00F40895" w:rsidRPr="003342FC">
        <w:t>when ti</w:t>
      </w:r>
      <w:r w:rsidR="003108C1" w:rsidRPr="003342FC">
        <w:t>me is perceived as largely open-</w:t>
      </w:r>
      <w:r w:rsidR="00F40895" w:rsidRPr="003342FC">
        <w:t>ended, indivi</w:t>
      </w:r>
      <w:r w:rsidR="00387886" w:rsidRPr="003342FC">
        <w:t xml:space="preserve">duals </w:t>
      </w:r>
      <w:r w:rsidR="00387886" w:rsidRPr="003342FC">
        <w:lastRenderedPageBreak/>
        <w:t>tend to select goals that</w:t>
      </w:r>
      <w:r w:rsidR="00F40895" w:rsidRPr="003342FC">
        <w:t xml:space="preserve"> will benefit them in the future, such as meeting new</w:t>
      </w:r>
      <w:r w:rsidR="00387886" w:rsidRPr="003342FC">
        <w:t xml:space="preserve"> people and acquiring knowledge</w:t>
      </w:r>
      <w:r w:rsidR="003B17DA" w:rsidRPr="003342FC">
        <w:t>, where activities might contribute to well-being in the long</w:t>
      </w:r>
      <w:r w:rsidR="003108C1" w:rsidRPr="003342FC">
        <w:t>er</w:t>
      </w:r>
      <w:r w:rsidR="003B17DA" w:rsidRPr="003342FC">
        <w:t xml:space="preserve"> term.</w:t>
      </w:r>
      <w:r w:rsidR="00D50458" w:rsidRPr="003342FC">
        <w:t xml:space="preserve">  In contrast</w:t>
      </w:r>
      <w:r w:rsidR="00F40895" w:rsidRPr="003342FC">
        <w:t xml:space="preserve">, when time is perceived as limited, individuals </w:t>
      </w:r>
      <w:r w:rsidR="00613649" w:rsidRPr="003342FC">
        <w:t xml:space="preserve">switch to </w:t>
      </w:r>
      <w:r w:rsidR="00D63F94" w:rsidRPr="003342FC">
        <w:t>m</w:t>
      </w:r>
      <w:r w:rsidR="00613649" w:rsidRPr="003342FC">
        <w:t xml:space="preserve">ore </w:t>
      </w:r>
      <w:r w:rsidR="00F40895" w:rsidRPr="003342FC">
        <w:t>emotionally meaningful go</w:t>
      </w:r>
      <w:r w:rsidR="004F5440" w:rsidRPr="003342FC">
        <w:t>als that</w:t>
      </w:r>
      <w:r w:rsidR="00F40895" w:rsidRPr="003342FC">
        <w:t xml:space="preserve"> </w:t>
      </w:r>
      <w:r w:rsidR="00FA6FA3" w:rsidRPr="003342FC">
        <w:t>are more linked to</w:t>
      </w:r>
      <w:r w:rsidR="00F40895" w:rsidRPr="003342FC">
        <w:t xml:space="preserve"> the present and contribute to their current</w:t>
      </w:r>
      <w:r w:rsidR="00FA6FA3" w:rsidRPr="003342FC">
        <w:t>, rather than future,</w:t>
      </w:r>
      <w:r w:rsidR="00F40895" w:rsidRPr="003342FC">
        <w:t xml:space="preserve"> levels of well-being.</w:t>
      </w:r>
      <w:r w:rsidR="00D50458" w:rsidRPr="003342FC">
        <w:t xml:space="preserve"> </w:t>
      </w:r>
      <w:r w:rsidR="003B17DA" w:rsidRPr="003342FC">
        <w:t xml:space="preserve"> </w:t>
      </w:r>
      <w:r w:rsidR="00F532DF" w:rsidRPr="003342FC">
        <w:t>As</w:t>
      </w:r>
      <w:r w:rsidR="00613649" w:rsidRPr="003342FC">
        <w:t xml:space="preserve"> people age</w:t>
      </w:r>
      <w:r w:rsidR="00F532DF" w:rsidRPr="003342FC">
        <w:t>, not surprisingly,</w:t>
      </w:r>
      <w:r w:rsidR="00613649" w:rsidRPr="003342FC">
        <w:t xml:space="preserve"> </w:t>
      </w:r>
      <w:r w:rsidR="00F532DF" w:rsidRPr="003342FC">
        <w:t xml:space="preserve">they do show </w:t>
      </w:r>
      <w:r w:rsidR="004C4462" w:rsidRPr="003342FC">
        <w:t xml:space="preserve">a </w:t>
      </w:r>
      <w:r w:rsidR="00F532DF" w:rsidRPr="003342FC">
        <w:t>reduced</w:t>
      </w:r>
      <w:r w:rsidR="00613649" w:rsidRPr="003342FC">
        <w:t xml:space="preserve"> temporal </w:t>
      </w:r>
      <w:r w:rsidR="009140E4" w:rsidRPr="003342FC">
        <w:t>perspective (</w:t>
      </w:r>
      <w:r w:rsidR="004C4462" w:rsidRPr="003342FC">
        <w:t>Lang &amp; Carstensen, 2002)</w:t>
      </w:r>
      <w:r w:rsidR="004F5440" w:rsidRPr="003342FC">
        <w:t xml:space="preserve">, </w:t>
      </w:r>
      <w:r w:rsidR="00387886" w:rsidRPr="003342FC">
        <w:t xml:space="preserve">but </w:t>
      </w:r>
      <w:r w:rsidR="00613649" w:rsidRPr="003342FC">
        <w:t>the evidence is less</w:t>
      </w:r>
      <w:r w:rsidR="00901521" w:rsidRPr="003342FC">
        <w:t xml:space="preserve"> clear </w:t>
      </w:r>
      <w:r w:rsidR="00FA6FA3" w:rsidRPr="003342FC">
        <w:t xml:space="preserve">about whether </w:t>
      </w:r>
      <w:r w:rsidR="00613649" w:rsidRPr="003342FC">
        <w:t>those changes are related to</w:t>
      </w:r>
      <w:r w:rsidR="00901521" w:rsidRPr="003342FC">
        <w:t xml:space="preserve"> </w:t>
      </w:r>
      <w:r w:rsidR="00613649" w:rsidRPr="003342FC">
        <w:t xml:space="preserve">enhanced </w:t>
      </w:r>
      <w:r w:rsidR="00FA6FA3" w:rsidRPr="003342FC">
        <w:t xml:space="preserve">current levels of </w:t>
      </w:r>
      <w:r w:rsidR="00613649" w:rsidRPr="003342FC">
        <w:t xml:space="preserve">well-being </w:t>
      </w:r>
      <w:r w:rsidR="0083095F" w:rsidRPr="003342FC">
        <w:t>(Grühn, Sharifian, &amp; Chu, 2016)</w:t>
      </w:r>
      <w:r w:rsidR="00387886" w:rsidRPr="003342FC">
        <w:t>.  I</w:t>
      </w:r>
      <w:r w:rsidR="00901521" w:rsidRPr="003342FC">
        <w:t>n fact</w:t>
      </w:r>
      <w:r w:rsidR="00387886" w:rsidRPr="003342FC">
        <w:t>,</w:t>
      </w:r>
      <w:r w:rsidR="00901521" w:rsidRPr="003342FC">
        <w:t xml:space="preserve"> </w:t>
      </w:r>
      <w:r w:rsidR="00387886" w:rsidRPr="003342FC">
        <w:t xml:space="preserve">there is evidence that </w:t>
      </w:r>
      <w:r w:rsidR="00901521" w:rsidRPr="003342FC">
        <w:t xml:space="preserve">reduced future time perspective tends to be associated with lower, rather than higher, well-being </w:t>
      </w:r>
      <w:r w:rsidR="0083095F" w:rsidRPr="003342FC">
        <w:t>(Grühn et al., 2016).</w:t>
      </w:r>
      <w:r w:rsidR="00613649" w:rsidRPr="003342FC">
        <w:t xml:space="preserve"> </w:t>
      </w:r>
      <w:r w:rsidR="00072999" w:rsidRPr="003342FC">
        <w:t xml:space="preserve">  </w:t>
      </w:r>
    </w:p>
    <w:p w14:paraId="6D710A29" w14:textId="7C9EF87A" w:rsidR="009F5A9E" w:rsidRPr="003342FC" w:rsidRDefault="00387886" w:rsidP="00EC2D3C">
      <w:pPr>
        <w:spacing w:line="480" w:lineRule="auto"/>
        <w:ind w:firstLine="720"/>
        <w:jc w:val="left"/>
      </w:pPr>
      <w:r w:rsidRPr="003342FC">
        <w:t>I</w:t>
      </w:r>
      <w:r w:rsidR="00072999" w:rsidRPr="003342FC">
        <w:t>mportant ques</w:t>
      </w:r>
      <w:r w:rsidR="00F532DF" w:rsidRPr="003342FC">
        <w:t xml:space="preserve">tions remain to be answered about </w:t>
      </w:r>
      <w:r w:rsidR="005132D6" w:rsidRPr="003342FC">
        <w:t>how aging changes the way individuals think about their futures</w:t>
      </w:r>
      <w:r w:rsidR="00F532DF" w:rsidRPr="003342FC">
        <w:t xml:space="preserve"> </w:t>
      </w:r>
      <w:r w:rsidR="005132D6" w:rsidRPr="003342FC">
        <w:t>and how such changes are linked to well-being.</w:t>
      </w:r>
      <w:r w:rsidR="00072999" w:rsidRPr="003342FC">
        <w:t xml:space="preserve">   </w:t>
      </w:r>
      <w:r w:rsidR="0083095F" w:rsidRPr="003342FC">
        <w:t>The Future-thinking Task (MacLeod &amp; Byrne, 1996)</w:t>
      </w:r>
      <w:r w:rsidR="005132D6" w:rsidRPr="003342FC">
        <w:t xml:space="preserve"> </w:t>
      </w:r>
      <w:r w:rsidR="00DD46E1" w:rsidRPr="003342FC">
        <w:t>offers a potentially</w:t>
      </w:r>
      <w:r w:rsidR="005132D6" w:rsidRPr="003342FC">
        <w:t xml:space="preserve"> useful contribution towards answering some of these questions.</w:t>
      </w:r>
      <w:r w:rsidR="00B84B37" w:rsidRPr="003342FC">
        <w:t xml:space="preserve">   </w:t>
      </w:r>
      <w:r w:rsidR="0083095F" w:rsidRPr="003342FC">
        <w:t xml:space="preserve">Adapted from verbal fluency measures, the task requires </w:t>
      </w:r>
      <w:r w:rsidR="000F724D" w:rsidRPr="003342FC">
        <w:t xml:space="preserve">people to spontaneously generate things they are looking forward to and not looking forward to for different future time periods (the next week, year, and 5-10 years).  </w:t>
      </w:r>
      <w:r w:rsidR="0083095F" w:rsidRPr="003342FC">
        <w:t>Participants</w:t>
      </w:r>
      <w:r w:rsidR="000F724D" w:rsidRPr="003342FC">
        <w:t xml:space="preserve"> give the</w:t>
      </w:r>
      <w:r w:rsidR="00B84B37" w:rsidRPr="003342FC">
        <w:t>ir own, particular idiographic, valued and disvalued events</w:t>
      </w:r>
      <w:r w:rsidR="00DD46E1" w:rsidRPr="003342FC">
        <w:t xml:space="preserve"> across different spans of future time</w:t>
      </w:r>
      <w:r w:rsidR="00B84B37" w:rsidRPr="003342FC">
        <w:t>.</w:t>
      </w:r>
      <w:r w:rsidR="00613649" w:rsidRPr="003342FC">
        <w:t xml:space="preserve">  </w:t>
      </w:r>
      <w:r w:rsidR="00DD46E1" w:rsidRPr="003342FC">
        <w:t xml:space="preserve">Not surprisingly, </w:t>
      </w:r>
      <w:r w:rsidR="00613649" w:rsidRPr="003342FC">
        <w:t>having more events to look forward to and fewer events not looked forwar</w:t>
      </w:r>
      <w:r w:rsidR="003108C1" w:rsidRPr="003342FC">
        <w:t>d to is associated with life satisfaction</w:t>
      </w:r>
      <w:r w:rsidR="0083095F" w:rsidRPr="003342FC">
        <w:t xml:space="preserve">, both in community samples and clinical samples (See MacLeod, 2017, for a review). </w:t>
      </w:r>
      <w:r w:rsidR="00DD46E1" w:rsidRPr="003342FC">
        <w:t xml:space="preserve">  Depression appears to be particularly related to</w:t>
      </w:r>
      <w:r w:rsidR="00C24C14" w:rsidRPr="003342FC">
        <w:t xml:space="preserve"> a</w:t>
      </w:r>
      <w:r w:rsidR="00DD46E1" w:rsidRPr="003342FC">
        <w:t xml:space="preserve"> lack of positive events, whereas anxiety is </w:t>
      </w:r>
      <w:r w:rsidR="0083095F" w:rsidRPr="003342FC">
        <w:t xml:space="preserve">more strongly </w:t>
      </w:r>
      <w:r w:rsidR="00DD46E1" w:rsidRPr="003342FC">
        <w:t>related to an excess of negative events</w:t>
      </w:r>
      <w:r w:rsidR="003108C1" w:rsidRPr="003342FC">
        <w:t xml:space="preserve"> </w:t>
      </w:r>
      <w:r w:rsidR="007E5F9E" w:rsidRPr="003342FC">
        <w:t xml:space="preserve">(MacLeod &amp; O’Connor, 2018). </w:t>
      </w:r>
      <w:r w:rsidR="00613649" w:rsidRPr="003342FC">
        <w:t xml:space="preserve"> Interestingly, in</w:t>
      </w:r>
      <w:r w:rsidR="00E05259" w:rsidRPr="003342FC">
        <w:t xml:space="preserve"> younger</w:t>
      </w:r>
      <w:r w:rsidR="00613649" w:rsidRPr="003342FC">
        <w:t xml:space="preserve"> samples, the different future time pe</w:t>
      </w:r>
      <w:r w:rsidR="00DD46E1" w:rsidRPr="003342FC">
        <w:t xml:space="preserve">riods </w:t>
      </w:r>
      <w:r w:rsidR="007E5F9E" w:rsidRPr="003342FC">
        <w:t xml:space="preserve">typically </w:t>
      </w:r>
      <w:r w:rsidR="00DD46E1" w:rsidRPr="003342FC">
        <w:t>show little variation</w:t>
      </w:r>
      <w:r w:rsidR="005132D6" w:rsidRPr="003342FC">
        <w:t xml:space="preserve"> in their effects.</w:t>
      </w:r>
      <w:r w:rsidR="00613649" w:rsidRPr="003342FC">
        <w:t xml:space="preserve">  However, </w:t>
      </w:r>
      <w:r w:rsidR="00995707" w:rsidRPr="003342FC">
        <w:t xml:space="preserve">specifically </w:t>
      </w:r>
      <w:r w:rsidR="00613649" w:rsidRPr="003342FC">
        <w:t xml:space="preserve">in older adults those time periods </w:t>
      </w:r>
      <w:r w:rsidR="007E5F9E" w:rsidRPr="003342FC">
        <w:t>might play a more</w:t>
      </w:r>
      <w:r w:rsidR="00B84B37" w:rsidRPr="003342FC">
        <w:t xml:space="preserve"> important </w:t>
      </w:r>
      <w:r w:rsidR="00B84B37" w:rsidRPr="003342FC">
        <w:lastRenderedPageBreak/>
        <w:t>role.</w:t>
      </w:r>
      <w:r w:rsidR="00D63F94" w:rsidRPr="003342FC">
        <w:t xml:space="preserve"> </w:t>
      </w:r>
      <w:r w:rsidR="00DD46E1" w:rsidRPr="003342FC">
        <w:t>For example, SST</w:t>
      </w:r>
      <w:r w:rsidR="005132D6" w:rsidRPr="003342FC">
        <w:t xml:space="preserve"> would predict older adults to show a greater focus on thoughts about the near future at the expense of the distant future</w:t>
      </w:r>
      <w:r w:rsidR="00DD46E1" w:rsidRPr="003342FC">
        <w:t xml:space="preserve"> and this </w:t>
      </w:r>
      <w:r w:rsidR="007E5F9E" w:rsidRPr="003342FC">
        <w:t xml:space="preserve">greater near-future focus </w:t>
      </w:r>
      <w:r w:rsidR="00DD46E1" w:rsidRPr="003342FC">
        <w:t>should be linked to well-being</w:t>
      </w:r>
      <w:r w:rsidR="005132D6" w:rsidRPr="003342FC">
        <w:t xml:space="preserve">.  </w:t>
      </w:r>
      <w:r w:rsidR="00DD46E1" w:rsidRPr="003342FC">
        <w:t>Because participants provide their own idiographic responses</w:t>
      </w:r>
      <w:r w:rsidR="00CD2491" w:rsidRPr="003342FC">
        <w:t>, the Future-thinking Task</w:t>
      </w:r>
      <w:r w:rsidR="00D63F94" w:rsidRPr="003342FC">
        <w:t xml:space="preserve"> also allows </w:t>
      </w:r>
      <w:r w:rsidR="00CD2491" w:rsidRPr="003342FC">
        <w:t xml:space="preserve">the </w:t>
      </w:r>
      <w:r w:rsidR="00D63F94" w:rsidRPr="003342FC">
        <w:t>possibility of looking at content of people’s thoughts in more detail.</w:t>
      </w:r>
    </w:p>
    <w:p w14:paraId="2A43E4A4" w14:textId="552B6D12" w:rsidR="008F3270" w:rsidRPr="003342FC" w:rsidRDefault="00902025" w:rsidP="00EC2D3C">
      <w:pPr>
        <w:spacing w:line="480" w:lineRule="auto"/>
        <w:ind w:firstLine="720"/>
        <w:jc w:val="left"/>
      </w:pPr>
      <w:r w:rsidRPr="003342FC">
        <w:t xml:space="preserve">The present study sought </w:t>
      </w:r>
      <w:r w:rsidR="00E61907" w:rsidRPr="003342FC">
        <w:t xml:space="preserve">to </w:t>
      </w:r>
      <w:r w:rsidRPr="003342FC">
        <w:t xml:space="preserve">(a) </w:t>
      </w:r>
      <w:r w:rsidR="00161873" w:rsidRPr="003342FC">
        <w:t xml:space="preserve">examine the presence of </w:t>
      </w:r>
      <w:r w:rsidR="00613649" w:rsidRPr="003342FC">
        <w:t xml:space="preserve">idiographic </w:t>
      </w:r>
      <w:r w:rsidR="00161873" w:rsidRPr="003342FC">
        <w:t xml:space="preserve">positive and negative </w:t>
      </w:r>
      <w:r w:rsidR="005132D6" w:rsidRPr="003342FC">
        <w:t>thoughts about the future</w:t>
      </w:r>
      <w:r w:rsidR="00161873" w:rsidRPr="003342FC">
        <w:t xml:space="preserve"> in older adults and younger adult</w:t>
      </w:r>
      <w:r w:rsidR="00887B57" w:rsidRPr="003342FC">
        <w:t>s</w:t>
      </w:r>
      <w:r w:rsidR="000F724D" w:rsidRPr="003342FC">
        <w:t xml:space="preserve"> for different time periods in the future</w:t>
      </w:r>
      <w:r w:rsidR="00E61907" w:rsidRPr="003342FC">
        <w:t>,</w:t>
      </w:r>
      <w:r w:rsidRPr="003342FC">
        <w:t xml:space="preserve"> (b)</w:t>
      </w:r>
      <w:r w:rsidR="00CD2491" w:rsidRPr="003342FC">
        <w:t xml:space="preserve"> relate the presence of these different facets of future-thinking to well-being and (c) </w:t>
      </w:r>
      <w:r w:rsidR="00E61907" w:rsidRPr="003342FC">
        <w:t>explore the c</w:t>
      </w:r>
      <w:r w:rsidR="00CD2491" w:rsidRPr="003342FC">
        <w:t>ontent of the thoughts.</w:t>
      </w:r>
      <w:r w:rsidR="00E61907" w:rsidRPr="003342FC">
        <w:t xml:space="preserve"> </w:t>
      </w:r>
      <w:r w:rsidR="00B84B37" w:rsidRPr="003342FC">
        <w:t xml:space="preserve">Older adults, relative to younger adults, were expected to show intact future-thinking for the next week, but </w:t>
      </w:r>
      <w:r w:rsidR="00FA7727" w:rsidRPr="003342FC">
        <w:t xml:space="preserve">possibly </w:t>
      </w:r>
      <w:r w:rsidR="00B84B37" w:rsidRPr="003342FC">
        <w:t xml:space="preserve">show reduced future-thinking for the next year </w:t>
      </w:r>
      <w:r w:rsidR="00866F4F" w:rsidRPr="003342FC">
        <w:t xml:space="preserve">and </w:t>
      </w:r>
      <w:r w:rsidR="00FA7727" w:rsidRPr="003342FC">
        <w:t>certainly for the next</w:t>
      </w:r>
      <w:r w:rsidR="00B84B37" w:rsidRPr="003342FC">
        <w:t xml:space="preserve"> 5-10 years.   In younger adults well-being was expected to relate to the presence of positive and absence of negative expectancies </w:t>
      </w:r>
      <w:r w:rsidR="00866F4F" w:rsidRPr="003342FC">
        <w:t xml:space="preserve">consistently </w:t>
      </w:r>
      <w:r w:rsidR="00B84B37" w:rsidRPr="003342FC">
        <w:t xml:space="preserve">across the different time periods.  For older adults, </w:t>
      </w:r>
      <w:r w:rsidR="00DD46E1" w:rsidRPr="003342FC">
        <w:t>following SST, well-being was expected to be related to the presence of near-future thoughts, but not to more distant future-thinking.</w:t>
      </w:r>
      <w:r w:rsidR="00CD2491" w:rsidRPr="003342FC">
        <w:t xml:space="preserve">  Examini</w:t>
      </w:r>
      <w:r w:rsidR="007E5F9E" w:rsidRPr="003342FC">
        <w:t>ng the content was exploratory so no clear predictions were made.</w:t>
      </w:r>
    </w:p>
    <w:p w14:paraId="042DB8D9" w14:textId="646369CF" w:rsidR="002F3949" w:rsidRPr="003342FC" w:rsidRDefault="002F3949" w:rsidP="003A5B87">
      <w:pPr>
        <w:pStyle w:val="Heading1"/>
      </w:pPr>
      <w:r w:rsidRPr="003342FC">
        <w:t>Method</w:t>
      </w:r>
    </w:p>
    <w:p w14:paraId="11FA2255" w14:textId="77777777" w:rsidR="002F3949" w:rsidRPr="003342FC" w:rsidRDefault="002F3949" w:rsidP="00EC2D3C">
      <w:pPr>
        <w:pStyle w:val="Heading3"/>
      </w:pPr>
      <w:r w:rsidRPr="003342FC">
        <w:t xml:space="preserve">Participants and Recruitment </w:t>
      </w:r>
    </w:p>
    <w:p w14:paraId="61628C20" w14:textId="5875A215" w:rsidR="002F3949" w:rsidRPr="003342FC" w:rsidRDefault="002F3949" w:rsidP="00EC2D3C">
      <w:pPr>
        <w:spacing w:line="480" w:lineRule="auto"/>
        <w:ind w:firstLine="720"/>
        <w:jc w:val="left"/>
      </w:pPr>
      <w:r w:rsidRPr="003342FC">
        <w:t>Thir</w:t>
      </w:r>
      <w:r w:rsidR="00421CBD" w:rsidRPr="003342FC">
        <w:t>ty nine older adults (</w:t>
      </w:r>
      <w:r w:rsidR="007E5F9E" w:rsidRPr="003342FC">
        <w:t xml:space="preserve">OA; </w:t>
      </w:r>
      <w:r w:rsidR="00421CBD" w:rsidRPr="003342FC">
        <w:rPr>
          <w:i/>
        </w:rPr>
        <w:t>M</w:t>
      </w:r>
      <w:r w:rsidR="00421CBD" w:rsidRPr="003342FC">
        <w:t xml:space="preserve"> = 72</w:t>
      </w:r>
      <w:r w:rsidR="00084FA2" w:rsidRPr="003342FC">
        <w:t>.3</w:t>
      </w:r>
      <w:r w:rsidR="00421CBD" w:rsidRPr="003342FC">
        <w:t xml:space="preserve"> years, </w:t>
      </w:r>
      <w:r w:rsidR="00421CBD" w:rsidRPr="003342FC">
        <w:rPr>
          <w:i/>
        </w:rPr>
        <w:t>SD</w:t>
      </w:r>
      <w:r w:rsidR="00421CBD" w:rsidRPr="003342FC">
        <w:t xml:space="preserve"> =7.3</w:t>
      </w:r>
      <w:r w:rsidR="00084FA2" w:rsidRPr="003342FC">
        <w:t>3</w:t>
      </w:r>
      <w:r w:rsidR="00421CBD" w:rsidRPr="003342FC">
        <w:t xml:space="preserve"> years, range</w:t>
      </w:r>
      <w:r w:rsidR="004E15E6" w:rsidRPr="003342FC">
        <w:t xml:space="preserve"> 62-89</w:t>
      </w:r>
      <w:r w:rsidR="00421CBD" w:rsidRPr="003342FC">
        <w:t xml:space="preserve"> years</w:t>
      </w:r>
      <w:r w:rsidR="004E15E6" w:rsidRPr="003342FC">
        <w:t>;</w:t>
      </w:r>
      <w:r w:rsidRPr="003342FC">
        <w:t xml:space="preserve"> 29 female) were recruited from relevant </w:t>
      </w:r>
      <w:r w:rsidR="004E06FD" w:rsidRPr="003342FC">
        <w:t>voluntary and community groups for older adults</w:t>
      </w:r>
      <w:r w:rsidRPr="003342FC">
        <w:t xml:space="preserve"> in the London (UK) region. Recruitment posters were displayed in community activity centres for older adults and the researcher visited a number of community </w:t>
      </w:r>
      <w:r w:rsidR="004E15E6" w:rsidRPr="003342FC">
        <w:t xml:space="preserve">groups to advertise the study.   </w:t>
      </w:r>
      <w:r w:rsidRPr="003342FC">
        <w:t xml:space="preserve">A sample of </w:t>
      </w:r>
      <w:r w:rsidR="004E06FD" w:rsidRPr="003342FC">
        <w:t>39</w:t>
      </w:r>
      <w:r w:rsidRPr="003342FC">
        <w:t xml:space="preserve"> younger adults (</w:t>
      </w:r>
      <w:r w:rsidR="007E5F9E" w:rsidRPr="003342FC">
        <w:t xml:space="preserve">YA; </w:t>
      </w:r>
      <w:r w:rsidR="00421CBD" w:rsidRPr="003342FC">
        <w:rPr>
          <w:i/>
        </w:rPr>
        <w:t>M</w:t>
      </w:r>
      <w:r w:rsidR="00421CBD" w:rsidRPr="003342FC">
        <w:t xml:space="preserve"> = 28</w:t>
      </w:r>
      <w:r w:rsidR="00084FA2" w:rsidRPr="003342FC">
        <w:t>.1</w:t>
      </w:r>
      <w:r w:rsidR="00421CBD" w:rsidRPr="003342FC">
        <w:t xml:space="preserve"> years, </w:t>
      </w:r>
      <w:r w:rsidR="00421CBD" w:rsidRPr="003342FC">
        <w:rPr>
          <w:i/>
        </w:rPr>
        <w:t>SD</w:t>
      </w:r>
      <w:r w:rsidR="00421CBD" w:rsidRPr="003342FC">
        <w:t xml:space="preserve"> = 4.2</w:t>
      </w:r>
      <w:r w:rsidR="00084FA2" w:rsidRPr="003342FC">
        <w:t>9</w:t>
      </w:r>
      <w:r w:rsidR="00421CBD" w:rsidRPr="003342FC">
        <w:t xml:space="preserve"> years, range = </w:t>
      </w:r>
      <w:r w:rsidRPr="003342FC">
        <w:t>20-35</w:t>
      </w:r>
      <w:r w:rsidR="00421CBD" w:rsidRPr="003342FC">
        <w:t xml:space="preserve"> years;</w:t>
      </w:r>
      <w:r w:rsidRPr="003342FC">
        <w:t xml:space="preserve"> 20 female) were recruited using a convenience sample in the same geographical region</w:t>
      </w:r>
      <w:r w:rsidR="00421CBD" w:rsidRPr="003342FC">
        <w:t xml:space="preserve">, consisting of staff working </w:t>
      </w:r>
      <w:r w:rsidR="007E5F9E" w:rsidRPr="003342FC">
        <w:t xml:space="preserve">in </w:t>
      </w:r>
      <w:r w:rsidR="00421CBD" w:rsidRPr="003342FC">
        <w:lastRenderedPageBreak/>
        <w:t xml:space="preserve">the </w:t>
      </w:r>
      <w:r w:rsidR="007E5F9E" w:rsidRPr="003342FC">
        <w:t xml:space="preserve">same </w:t>
      </w:r>
      <w:r w:rsidR="00421CBD" w:rsidRPr="003342FC">
        <w:t>community activity centres</w:t>
      </w:r>
      <w:r w:rsidR="004E06FD" w:rsidRPr="003342FC">
        <w:t xml:space="preserve"> </w:t>
      </w:r>
      <w:r w:rsidRPr="003342FC">
        <w:t>from which the older adult sample were recruited were approached, alon</w:t>
      </w:r>
      <w:r w:rsidR="004E15E6" w:rsidRPr="003342FC">
        <w:t>g with those in the researchers’</w:t>
      </w:r>
      <w:r w:rsidRPr="003342FC">
        <w:t xml:space="preserve"> wider network</w:t>
      </w:r>
      <w:r w:rsidR="004E15E6" w:rsidRPr="003342FC">
        <w:t>s</w:t>
      </w:r>
      <w:r w:rsidRPr="003342FC">
        <w:t xml:space="preserve">. </w:t>
      </w:r>
    </w:p>
    <w:p w14:paraId="43D8DF67" w14:textId="1F87EF5D" w:rsidR="00A44E57" w:rsidRPr="003342FC" w:rsidRDefault="002F3949" w:rsidP="00EC2D3C">
      <w:pPr>
        <w:spacing w:line="480" w:lineRule="auto"/>
        <w:jc w:val="left"/>
        <w:rPr>
          <w:b/>
        </w:rPr>
      </w:pPr>
      <w:r w:rsidRPr="003342FC">
        <w:rPr>
          <w:b/>
        </w:rPr>
        <w:t>Measures</w:t>
      </w:r>
      <w:r w:rsidR="00160F14" w:rsidRPr="003342FC">
        <w:rPr>
          <w:b/>
        </w:rPr>
        <w:t xml:space="preserve"> and Procedure</w:t>
      </w:r>
    </w:p>
    <w:p w14:paraId="6C6C70D0" w14:textId="33D7EA8D" w:rsidR="00A44E57" w:rsidRPr="003342FC" w:rsidRDefault="00160F14" w:rsidP="00EC2D3C">
      <w:pPr>
        <w:spacing w:line="480" w:lineRule="auto"/>
        <w:ind w:firstLine="720"/>
        <w:jc w:val="left"/>
      </w:pPr>
      <w:r w:rsidRPr="003342FC">
        <w:rPr>
          <w:rStyle w:val="Heading3Char"/>
          <w:rFonts w:cs="Arial"/>
        </w:rPr>
        <w:t>Verbal fluency</w:t>
      </w:r>
      <w:r w:rsidR="0092285B" w:rsidRPr="003342FC">
        <w:rPr>
          <w:rStyle w:val="Heading3Char"/>
          <w:rFonts w:cs="Arial"/>
        </w:rPr>
        <w:t>.</w:t>
      </w:r>
      <w:r w:rsidR="0092285B" w:rsidRPr="003342FC">
        <w:t xml:space="preserve"> </w:t>
      </w:r>
      <w:r w:rsidR="000E665E" w:rsidRPr="003342FC">
        <w:t xml:space="preserve"> </w:t>
      </w:r>
      <w:r w:rsidR="003108C1" w:rsidRPr="003342FC">
        <w:t>The verbal fluency task</w:t>
      </w:r>
      <w:r w:rsidR="00A44E57" w:rsidRPr="003342FC">
        <w:t xml:space="preserve"> </w:t>
      </w:r>
      <w:r w:rsidR="007E5F9E" w:rsidRPr="003342FC">
        <w:t xml:space="preserve">is a </w:t>
      </w:r>
      <w:r w:rsidR="00A44E57" w:rsidRPr="003342FC">
        <w:t>widely-used test of phonemic verbal fluency (Lezak, Howieson, Bigler, &amp; Tranel, 2012).  Participant</w:t>
      </w:r>
      <w:r w:rsidR="002C20DE" w:rsidRPr="003342FC">
        <w:t>s are typically given one min</w:t>
      </w:r>
      <w:r w:rsidR="00D23E9B" w:rsidRPr="003342FC">
        <w:t>ute</w:t>
      </w:r>
      <w:r w:rsidR="00A44E57" w:rsidRPr="003342FC">
        <w:t xml:space="preserve"> to generate as many unique words as possible with the resultant score comprised of the number of correct words.  Letter fluency tasks have been shown to be more comparable</w:t>
      </w:r>
      <w:r w:rsidR="006E35E0" w:rsidRPr="003342FC">
        <w:t xml:space="preserve"> than</w:t>
      </w:r>
      <w:r w:rsidR="00A44E57" w:rsidRPr="003342FC">
        <w:t xml:space="preserve"> category fluency tasks </w:t>
      </w:r>
      <w:r w:rsidR="006E35E0" w:rsidRPr="003342FC">
        <w:t>across</w:t>
      </w:r>
      <w:r w:rsidR="00A44E57" w:rsidRPr="003342FC">
        <w:t xml:space="preserve"> older and younger adults than (Kozora &amp; Cullum, 1995). In the present study, participants were </w:t>
      </w:r>
      <w:r w:rsidR="002C20DE" w:rsidRPr="003342FC">
        <w:t>given one min</w:t>
      </w:r>
      <w:r w:rsidR="00D23E9B" w:rsidRPr="003342FC">
        <w:t>ute</w:t>
      </w:r>
      <w:r w:rsidR="006E35E0" w:rsidRPr="003342FC">
        <w:t xml:space="preserve"> in each case</w:t>
      </w:r>
      <w:r w:rsidR="00A44E57" w:rsidRPr="003342FC">
        <w:t xml:space="preserve"> to generate as many words as they could that began with the letters F, A and S</w:t>
      </w:r>
      <w:r w:rsidR="006E35E0" w:rsidRPr="003342FC">
        <w:t xml:space="preserve">, excluding </w:t>
      </w:r>
      <w:r w:rsidR="00A44E57" w:rsidRPr="003342FC">
        <w:t xml:space="preserve">names of people, places, numbers or sequences involving </w:t>
      </w:r>
      <w:r w:rsidR="00424F9E" w:rsidRPr="003342FC">
        <w:t>the same basic word. The task i</w:t>
      </w:r>
      <w:r w:rsidR="00A44E57" w:rsidRPr="003342FC">
        <w:t>s used to prime participants to get in the right frame of min</w:t>
      </w:r>
      <w:r w:rsidR="006E35E0" w:rsidRPr="003342FC">
        <w:t>d for completing the timed conditions</w:t>
      </w:r>
      <w:r w:rsidR="007E5F9E" w:rsidRPr="003342FC">
        <w:t xml:space="preserve"> on the Future-t</w:t>
      </w:r>
      <w:r w:rsidR="00A44E57" w:rsidRPr="003342FC">
        <w:t>hinking Task and also to control for possible eff</w:t>
      </w:r>
      <w:r w:rsidRPr="003342FC">
        <w:t>ects of general verbal fluency</w:t>
      </w:r>
      <w:r w:rsidR="00D23E9B" w:rsidRPr="003342FC">
        <w:t xml:space="preserve"> (e.g.</w:t>
      </w:r>
      <w:r w:rsidR="00995707" w:rsidRPr="003342FC">
        <w:t>,</w:t>
      </w:r>
      <w:r w:rsidR="00D23E9B" w:rsidRPr="003342FC">
        <w:t xml:space="preserve"> Macleod &amp; Conway, 2007)</w:t>
      </w:r>
      <w:r w:rsidRPr="003342FC">
        <w:t>.</w:t>
      </w:r>
    </w:p>
    <w:p w14:paraId="33CCB159" w14:textId="4929A940" w:rsidR="004E15E6" w:rsidRPr="003342FC" w:rsidRDefault="007E5F9E" w:rsidP="00EC2D3C">
      <w:pPr>
        <w:spacing w:line="480" w:lineRule="auto"/>
        <w:ind w:right="-46" w:firstLine="720"/>
        <w:jc w:val="left"/>
        <w:rPr>
          <w:rFonts w:ascii="Helvetica" w:eastAsia="Times New Roman" w:hAnsi="Helvetica" w:cs="Times New Roman"/>
          <w:szCs w:val="20"/>
          <w:lang w:eastAsia="en-GB"/>
        </w:rPr>
      </w:pPr>
      <w:r w:rsidRPr="003342FC">
        <w:rPr>
          <w:b/>
        </w:rPr>
        <w:t>The Future-t</w:t>
      </w:r>
      <w:r w:rsidR="002F3949" w:rsidRPr="003342FC">
        <w:rPr>
          <w:b/>
        </w:rPr>
        <w:t>hinking T</w:t>
      </w:r>
      <w:r w:rsidRPr="003342FC">
        <w:rPr>
          <w:b/>
        </w:rPr>
        <w:t xml:space="preserve">ask </w:t>
      </w:r>
      <w:r w:rsidR="001B1C2D" w:rsidRPr="003342FC">
        <w:rPr>
          <w:b/>
        </w:rPr>
        <w:t>(MacLeod, Rose &amp; Byrne,</w:t>
      </w:r>
      <w:r w:rsidR="00160F14" w:rsidRPr="003342FC">
        <w:rPr>
          <w:b/>
        </w:rPr>
        <w:t xml:space="preserve"> 1993).  </w:t>
      </w:r>
      <w:r w:rsidR="002E744B" w:rsidRPr="003342FC">
        <w:t>This task</w:t>
      </w:r>
      <w:r w:rsidR="006E35E0" w:rsidRPr="003342FC">
        <w:t xml:space="preserve"> is an adapted fluency task in which participants are asked to generate events that they anticipate will happen to them in the future in each of three different time periods: the next week, the next year, and the next 5-10 years. </w:t>
      </w:r>
      <w:r w:rsidR="0043348E" w:rsidRPr="003342FC">
        <w:t xml:space="preserve"> </w:t>
      </w:r>
      <w:r w:rsidR="00424F9E" w:rsidRPr="003342FC">
        <w:t xml:space="preserve">Following the completion of the verbal fluency measure participants are told: </w:t>
      </w:r>
      <w:r w:rsidR="00424F9E" w:rsidRPr="003342FC">
        <w:rPr>
          <w:rFonts w:ascii="Helvetica" w:eastAsia="Times New Roman" w:hAnsi="Helvetica" w:cs="Times New Roman"/>
          <w:szCs w:val="20"/>
          <w:lang w:eastAsia="en-GB"/>
        </w:rPr>
        <w:t xml:space="preserve">"Now I'd like to ask you to think about things that might happen to you in the future.  I will give you three different time periods in the future, one at a time, and I'd like you to try to think of things that might happen to you in those time periods.  Like before, I will give you a minute to try to think of as many things as you can.  It doesn't matter whether the things are trivial or important, just say what comes to mind.  But, they should be things that you think will </w:t>
      </w:r>
      <w:r w:rsidR="00424F9E" w:rsidRPr="003342FC">
        <w:rPr>
          <w:rFonts w:ascii="Helvetica" w:eastAsia="Times New Roman" w:hAnsi="Helvetica" w:cs="Times New Roman"/>
          <w:szCs w:val="20"/>
          <w:lang w:eastAsia="en-GB"/>
        </w:rPr>
        <w:lastRenderedPageBreak/>
        <w:t xml:space="preserve">definitely happen or are at least quite likely to happen.  If you can't think of anything or if you can't think of many things, that's fine, but just keep trying until the time limit is up”.  There is a positive condition, where participants are asked to provide things they are looking forward to </w:t>
      </w:r>
      <w:r w:rsidR="00C24C14" w:rsidRPr="003342FC">
        <w:rPr>
          <w:rFonts w:ascii="Helvetica" w:eastAsia="Times New Roman" w:hAnsi="Helvetica" w:cs="Times New Roman"/>
          <w:szCs w:val="20"/>
          <w:lang w:eastAsia="en-GB"/>
        </w:rPr>
        <w:t xml:space="preserve">(positive future events) </w:t>
      </w:r>
      <w:r w:rsidR="00424F9E" w:rsidRPr="003342FC">
        <w:rPr>
          <w:rFonts w:ascii="Helvetica" w:eastAsia="Times New Roman" w:hAnsi="Helvetica" w:cs="Times New Roman"/>
          <w:szCs w:val="20"/>
          <w:lang w:eastAsia="en-GB"/>
        </w:rPr>
        <w:t>and a negative condition, where they are asked to provide things they are not looking forward to</w:t>
      </w:r>
      <w:r w:rsidR="00C24C14" w:rsidRPr="003342FC">
        <w:rPr>
          <w:rFonts w:ascii="Helvetica" w:eastAsia="Times New Roman" w:hAnsi="Helvetica" w:cs="Times New Roman"/>
          <w:szCs w:val="20"/>
          <w:lang w:eastAsia="en-GB"/>
        </w:rPr>
        <w:t xml:space="preserve"> (negative future events)</w:t>
      </w:r>
      <w:r w:rsidR="00424F9E" w:rsidRPr="003342FC">
        <w:rPr>
          <w:rFonts w:ascii="Helvetica" w:eastAsia="Times New Roman" w:hAnsi="Helvetica" w:cs="Times New Roman"/>
          <w:szCs w:val="20"/>
          <w:lang w:eastAsia="en-GB"/>
        </w:rPr>
        <w:t xml:space="preserve">.  </w:t>
      </w:r>
      <w:r w:rsidR="00424F9E" w:rsidRPr="003342FC">
        <w:t xml:space="preserve">The positive and negative conditions are counterbalanced although the time periods are always presented in the same order, starting with </w:t>
      </w:r>
      <w:r w:rsidR="00424F9E" w:rsidRPr="003342FC">
        <w:rPr>
          <w:i/>
        </w:rPr>
        <w:t>the next week</w:t>
      </w:r>
      <w:r w:rsidR="00424F9E" w:rsidRPr="003342FC">
        <w:rPr>
          <w:rFonts w:ascii="Helvetica" w:eastAsia="Times New Roman" w:hAnsi="Helvetica" w:cs="Times New Roman"/>
          <w:szCs w:val="20"/>
          <w:lang w:eastAsia="en-GB"/>
        </w:rPr>
        <w:t xml:space="preserve">.  So, for example, a participant starting with the positive condition would be instructed: “First I'm going to ask you to think of positive things in the future.  So, I'd like you to try to think of things that you are looking forward to, in other words, things that you will enjoy.  So, I want you to give me as many things as you can that you're looking forward to over the next week including today".  </w:t>
      </w:r>
      <w:r w:rsidR="006E35E0" w:rsidRPr="003342FC">
        <w:t>For each of the six trials participants are given a full minute to generate events</w:t>
      </w:r>
      <w:r w:rsidR="00424F9E" w:rsidRPr="003342FC">
        <w:t xml:space="preserve">, which are written down </w:t>
      </w:r>
      <w:r w:rsidR="001937CE" w:rsidRPr="003342FC">
        <w:t>by the researcher as they are presented</w:t>
      </w:r>
      <w:r w:rsidR="006E35E0" w:rsidRPr="003342FC">
        <w:t xml:space="preserve">.  The main measure is the number of events in each condition.  </w:t>
      </w:r>
    </w:p>
    <w:p w14:paraId="0DF83397" w14:textId="2AAB3351" w:rsidR="006E35E0" w:rsidRPr="003342FC" w:rsidRDefault="002F3949" w:rsidP="00EC2D3C">
      <w:pPr>
        <w:spacing w:line="480" w:lineRule="auto"/>
        <w:ind w:firstLine="720"/>
        <w:jc w:val="left"/>
      </w:pPr>
      <w:r w:rsidRPr="003342FC">
        <w:rPr>
          <w:rStyle w:val="Heading3Char"/>
        </w:rPr>
        <w:t xml:space="preserve">The Satisfaction with Life Scale (Diener, Emmons, Larsen &amp; Griffin, </w:t>
      </w:r>
      <w:r w:rsidR="00160F14" w:rsidRPr="003342FC">
        <w:rPr>
          <w:rStyle w:val="Heading3Char"/>
        </w:rPr>
        <w:t>1985).</w:t>
      </w:r>
      <w:r w:rsidR="00160F14" w:rsidRPr="003342FC">
        <w:t xml:space="preserve">  T</w:t>
      </w:r>
      <w:r w:rsidR="003108C1" w:rsidRPr="003342FC">
        <w:t>his scale</w:t>
      </w:r>
      <w:r w:rsidR="00160F14" w:rsidRPr="003342FC">
        <w:t xml:space="preserve"> (Diener et al., 1985)</w:t>
      </w:r>
      <w:r w:rsidR="006E35E0" w:rsidRPr="003342FC">
        <w:t xml:space="preserve"> </w:t>
      </w:r>
      <w:r w:rsidR="00160F14" w:rsidRPr="003342FC">
        <w:t>is a widely used measure of</w:t>
      </w:r>
      <w:r w:rsidR="006E35E0" w:rsidRPr="003342FC">
        <w:t xml:space="preserve"> </w:t>
      </w:r>
      <w:r w:rsidR="007E5F9E" w:rsidRPr="003342FC">
        <w:t xml:space="preserve">subjective </w:t>
      </w:r>
      <w:r w:rsidR="00160F14" w:rsidRPr="003342FC">
        <w:t xml:space="preserve">life satisfaction. </w:t>
      </w:r>
      <w:r w:rsidR="006E35E0" w:rsidRPr="003342FC">
        <w:t xml:space="preserve"> The </w:t>
      </w:r>
      <w:r w:rsidR="00160F14" w:rsidRPr="003342FC">
        <w:t xml:space="preserve">measure requires participants </w:t>
      </w:r>
      <w:r w:rsidR="006E35E0" w:rsidRPr="003342FC">
        <w:t xml:space="preserve">to </w:t>
      </w:r>
      <w:r w:rsidR="00160F14" w:rsidRPr="003342FC">
        <w:t>rate themselves</w:t>
      </w:r>
      <w:r w:rsidR="006E35E0" w:rsidRPr="003342FC">
        <w:t xml:space="preserve"> on five items </w:t>
      </w:r>
      <w:r w:rsidR="00160F14" w:rsidRPr="003342FC">
        <w:t>assessing life satisfaction</w:t>
      </w:r>
      <w:r w:rsidR="0043348E" w:rsidRPr="003342FC">
        <w:t xml:space="preserve"> (e.g., </w:t>
      </w:r>
      <w:r w:rsidR="002C20DE" w:rsidRPr="003342FC">
        <w:t>“</w:t>
      </w:r>
      <w:r w:rsidR="0043348E" w:rsidRPr="003342FC">
        <w:t>In most ways my life is close to my ideal</w:t>
      </w:r>
      <w:r w:rsidR="002C20DE" w:rsidRPr="003342FC">
        <w:t>”</w:t>
      </w:r>
      <w:r w:rsidR="0043348E" w:rsidRPr="003342FC">
        <w:t xml:space="preserve">; </w:t>
      </w:r>
      <w:r w:rsidR="002C20DE" w:rsidRPr="003342FC">
        <w:t>“</w:t>
      </w:r>
      <w:r w:rsidR="0043348E" w:rsidRPr="003342FC">
        <w:t>I am satisfied with my life</w:t>
      </w:r>
      <w:r w:rsidR="002C20DE" w:rsidRPr="003342FC">
        <w:t>”</w:t>
      </w:r>
      <w:r w:rsidR="0043348E" w:rsidRPr="003342FC">
        <w:t>)</w:t>
      </w:r>
      <w:r w:rsidR="00160F14" w:rsidRPr="003342FC">
        <w:t xml:space="preserve">, each of which is </w:t>
      </w:r>
      <w:r w:rsidR="0043348E" w:rsidRPr="003342FC">
        <w:t xml:space="preserve">rated </w:t>
      </w:r>
      <w:r w:rsidR="00160F14" w:rsidRPr="003342FC">
        <w:t>on a 7-point scale</w:t>
      </w:r>
      <w:r w:rsidR="0043348E" w:rsidRPr="003342FC">
        <w:t xml:space="preserve"> of agreement</w:t>
      </w:r>
      <w:r w:rsidR="00160F14" w:rsidRPr="003342FC">
        <w:t xml:space="preserve">.  </w:t>
      </w:r>
      <w:r w:rsidR="006E35E0" w:rsidRPr="003342FC">
        <w:t xml:space="preserve"> </w:t>
      </w:r>
      <w:r w:rsidR="00160F14" w:rsidRPr="003342FC">
        <w:t xml:space="preserve">The measure has </w:t>
      </w:r>
      <w:r w:rsidR="006E35E0" w:rsidRPr="003342FC">
        <w:t>shown high reliability</w:t>
      </w:r>
      <w:r w:rsidR="00160F14" w:rsidRPr="003342FC">
        <w:t xml:space="preserve">, </w:t>
      </w:r>
      <w:r w:rsidR="006E35E0" w:rsidRPr="003342FC">
        <w:t>correlates well with other measures of well</w:t>
      </w:r>
      <w:r w:rsidR="0043348E" w:rsidRPr="003342FC">
        <w:t>-</w:t>
      </w:r>
      <w:r w:rsidR="006E35E0" w:rsidRPr="003342FC">
        <w:t xml:space="preserve">being and life satisfaction (Pavot, Diener, Colvin &amp; Sandvik, 1991) and can be </w:t>
      </w:r>
      <w:r w:rsidR="00160F14" w:rsidRPr="003342FC">
        <w:t xml:space="preserve">used with different age groups </w:t>
      </w:r>
      <w:r w:rsidR="006E35E0" w:rsidRPr="003342FC">
        <w:t>(Diener et al., 1985).</w:t>
      </w:r>
    </w:p>
    <w:p w14:paraId="5EFE55D2" w14:textId="59B83862" w:rsidR="00CD2491" w:rsidRPr="003342FC" w:rsidRDefault="00CD2491" w:rsidP="00EC2D3C">
      <w:pPr>
        <w:pStyle w:val="Heading3"/>
        <w:spacing w:before="0"/>
        <w:ind w:firstLine="720"/>
      </w:pPr>
      <w:r w:rsidRPr="003342FC">
        <w:lastRenderedPageBreak/>
        <w:t xml:space="preserve">Coding of Content. </w:t>
      </w:r>
      <w:r w:rsidR="00EC2D3C" w:rsidRPr="003342FC">
        <w:t xml:space="preserve"> </w:t>
      </w:r>
      <w:r w:rsidR="007E5F9E" w:rsidRPr="003342FC">
        <w:rPr>
          <w:b w:val="0"/>
        </w:rPr>
        <w:t xml:space="preserve">Eight </w:t>
      </w:r>
      <w:r w:rsidRPr="003342FC">
        <w:rPr>
          <w:b w:val="0"/>
        </w:rPr>
        <w:t>themes were developed through an inductive content analysis by collapsing the themes which emerged from reading through responses and drawing out important aspects into overarching categories</w:t>
      </w:r>
      <w:r w:rsidR="00C7771A" w:rsidRPr="003342FC">
        <w:rPr>
          <w:b w:val="0"/>
        </w:rPr>
        <w:t xml:space="preserve"> (Table 1 in Appendix)</w:t>
      </w:r>
      <w:r w:rsidRPr="003342FC">
        <w:rPr>
          <w:b w:val="0"/>
        </w:rPr>
        <w:t>. For the positive conditions the context was often that certain aspects of these themes were present, for example having good health or social connection, whereas in the negative conditions they were mentioned negatively (e.g., absent or pr</w:t>
      </w:r>
      <w:r w:rsidR="003108C1" w:rsidRPr="003342FC">
        <w:rPr>
          <w:b w:val="0"/>
        </w:rPr>
        <w:t>oblematic). These themes were: Creating New S</w:t>
      </w:r>
      <w:r w:rsidRPr="003342FC">
        <w:rPr>
          <w:b w:val="0"/>
        </w:rPr>
        <w:t>ocial Connections</w:t>
      </w:r>
      <w:r w:rsidR="007520FD" w:rsidRPr="003342FC">
        <w:rPr>
          <w:b w:val="0"/>
        </w:rPr>
        <w:t>/ Relationships</w:t>
      </w:r>
      <w:r w:rsidRPr="003342FC">
        <w:rPr>
          <w:b w:val="0"/>
        </w:rPr>
        <w:t>; Maintaining</w:t>
      </w:r>
      <w:r w:rsidR="007520FD" w:rsidRPr="003342FC">
        <w:rPr>
          <w:b w:val="0"/>
        </w:rPr>
        <w:t>/ Attending to</w:t>
      </w:r>
      <w:r w:rsidRPr="003342FC">
        <w:rPr>
          <w:b w:val="0"/>
        </w:rPr>
        <w:t xml:space="preserve"> Existing Social Connections</w:t>
      </w:r>
      <w:r w:rsidR="007520FD" w:rsidRPr="003342FC">
        <w:rPr>
          <w:b w:val="0"/>
        </w:rPr>
        <w:t>/ Relationships</w:t>
      </w:r>
      <w:r w:rsidRPr="003342FC">
        <w:rPr>
          <w:b w:val="0"/>
        </w:rPr>
        <w:t>; Activit</w:t>
      </w:r>
      <w:r w:rsidR="007520FD" w:rsidRPr="003342FC">
        <w:rPr>
          <w:b w:val="0"/>
        </w:rPr>
        <w:t>y/ Occupation</w:t>
      </w:r>
      <w:r w:rsidRPr="003342FC">
        <w:rPr>
          <w:b w:val="0"/>
        </w:rPr>
        <w:t>; Work</w:t>
      </w:r>
      <w:r w:rsidR="00D95930" w:rsidRPr="003342FC">
        <w:rPr>
          <w:b w:val="0"/>
        </w:rPr>
        <w:t xml:space="preserve"> </w:t>
      </w:r>
      <w:r w:rsidRPr="003342FC">
        <w:rPr>
          <w:b w:val="0"/>
        </w:rPr>
        <w:t>/Employment</w:t>
      </w:r>
      <w:r w:rsidR="00D95930" w:rsidRPr="003342FC">
        <w:rPr>
          <w:b w:val="0"/>
        </w:rPr>
        <w:t>/ Education/ Qualification/ Learning new Skills</w:t>
      </w:r>
      <w:r w:rsidRPr="003342FC">
        <w:rPr>
          <w:b w:val="0"/>
        </w:rPr>
        <w:t xml:space="preserve">; Health and Welfare; </w:t>
      </w:r>
      <w:r w:rsidR="00D95930" w:rsidRPr="003342FC">
        <w:rPr>
          <w:b w:val="0"/>
        </w:rPr>
        <w:t>Aspects of</w:t>
      </w:r>
      <w:r w:rsidRPr="003342FC">
        <w:rPr>
          <w:b w:val="0"/>
        </w:rPr>
        <w:t xml:space="preserve"> Eudaimonic Well-being (e.g, purpose, achievement); Practical</w:t>
      </w:r>
      <w:r w:rsidR="00D95930" w:rsidRPr="003342FC">
        <w:rPr>
          <w:b w:val="0"/>
        </w:rPr>
        <w:t>/ Political</w:t>
      </w:r>
      <w:r w:rsidRPr="003342FC">
        <w:rPr>
          <w:b w:val="0"/>
        </w:rPr>
        <w:t xml:space="preserve"> issues; New</w:t>
      </w:r>
      <w:r w:rsidR="00D95930" w:rsidRPr="003342FC">
        <w:rPr>
          <w:b w:val="0"/>
        </w:rPr>
        <w:t>/ Different</w:t>
      </w:r>
      <w:r w:rsidRPr="003342FC">
        <w:rPr>
          <w:b w:val="0"/>
        </w:rPr>
        <w:t xml:space="preserve"> Experiences/</w:t>
      </w:r>
      <w:r w:rsidR="00D95930" w:rsidRPr="003342FC">
        <w:rPr>
          <w:b w:val="0"/>
        </w:rPr>
        <w:t xml:space="preserve"> </w:t>
      </w:r>
      <w:r w:rsidRPr="003342FC">
        <w:rPr>
          <w:b w:val="0"/>
        </w:rPr>
        <w:t>Change</w:t>
      </w:r>
      <w:r w:rsidR="00D95930" w:rsidRPr="003342FC">
        <w:rPr>
          <w:b w:val="0"/>
        </w:rPr>
        <w:t>/ New Things</w:t>
      </w:r>
      <w:r w:rsidRPr="003342FC">
        <w:rPr>
          <w:b w:val="0"/>
        </w:rPr>
        <w:t xml:space="preserve">.  </w:t>
      </w:r>
      <w:r w:rsidR="003108C1" w:rsidRPr="003342FC">
        <w:rPr>
          <w:b w:val="0"/>
        </w:rPr>
        <w:t>The first author (</w:t>
      </w:r>
      <w:r w:rsidRPr="003342FC">
        <w:rPr>
          <w:b w:val="0"/>
        </w:rPr>
        <w:t>HC</w:t>
      </w:r>
      <w:r w:rsidR="003108C1" w:rsidRPr="003342FC">
        <w:rPr>
          <w:b w:val="0"/>
        </w:rPr>
        <w:t>)</w:t>
      </w:r>
      <w:r w:rsidRPr="003342FC">
        <w:rPr>
          <w:b w:val="0"/>
        </w:rPr>
        <w:t xml:space="preserve"> coded all responses.  A random sample of 20% of responses (N= 307) rated blind by a second rater showed good </w:t>
      </w:r>
      <w:r w:rsidR="0043348E" w:rsidRPr="003342FC">
        <w:rPr>
          <w:b w:val="0"/>
        </w:rPr>
        <w:t xml:space="preserve">inter-rater </w:t>
      </w:r>
      <w:r w:rsidRPr="003342FC">
        <w:rPr>
          <w:b w:val="0"/>
        </w:rPr>
        <w:t>reliability (Kappa = .81).</w:t>
      </w:r>
    </w:p>
    <w:p w14:paraId="71F8B58A" w14:textId="03B9849E" w:rsidR="002F3949" w:rsidRPr="003342FC" w:rsidRDefault="007D0501" w:rsidP="00EC2D3C">
      <w:pPr>
        <w:spacing w:line="480" w:lineRule="auto"/>
        <w:ind w:firstLine="720"/>
        <w:jc w:val="left"/>
      </w:pPr>
      <w:r w:rsidRPr="003342FC">
        <w:t>Participants were</w:t>
      </w:r>
      <w:r w:rsidR="00160F14" w:rsidRPr="003342FC">
        <w:t xml:space="preserve"> tested individually,</w:t>
      </w:r>
      <w:r w:rsidR="002F3949" w:rsidRPr="003342FC">
        <w:t xml:space="preserve"> either at the activity centre from where they were recruited, at home, work or in a central London location. They </w:t>
      </w:r>
      <w:r w:rsidR="00160F14" w:rsidRPr="003342FC">
        <w:t>c</w:t>
      </w:r>
      <w:r w:rsidR="007E5F9E" w:rsidRPr="003342FC">
        <w:t xml:space="preserve">ompleted the verbal fluency measure, </w:t>
      </w:r>
      <w:r w:rsidR="00160F14" w:rsidRPr="003342FC">
        <w:t>the Future-thinking Task and the</w:t>
      </w:r>
      <w:r w:rsidR="002F3949" w:rsidRPr="003342FC">
        <w:t xml:space="preserve"> Satisfaction with Life Scale</w:t>
      </w:r>
      <w:r w:rsidR="00160F14" w:rsidRPr="003342FC">
        <w:t>, in that order.</w:t>
      </w:r>
      <w:r w:rsidR="00BA70C0" w:rsidRPr="003342FC">
        <w:t xml:space="preserve">  The study received institutional ethics approval.</w:t>
      </w:r>
    </w:p>
    <w:p w14:paraId="4EFAD491" w14:textId="32CA3742" w:rsidR="00080D29" w:rsidRPr="003342FC" w:rsidRDefault="00080D29" w:rsidP="003A5B87">
      <w:pPr>
        <w:pStyle w:val="Heading1"/>
      </w:pPr>
      <w:r w:rsidRPr="003342FC">
        <w:t>Results</w:t>
      </w:r>
    </w:p>
    <w:p w14:paraId="07B990BA" w14:textId="3D8B3645" w:rsidR="00CA2840" w:rsidRPr="003342FC" w:rsidRDefault="00160F14" w:rsidP="00EC2D3C">
      <w:pPr>
        <w:pStyle w:val="Heading2"/>
      </w:pPr>
      <w:r w:rsidRPr="003342FC">
        <w:t>Group D</w:t>
      </w:r>
      <w:r w:rsidR="00CA2840" w:rsidRPr="003342FC">
        <w:t>ifferences</w:t>
      </w:r>
      <w:r w:rsidR="00487F69" w:rsidRPr="003342FC">
        <w:t xml:space="preserve"> on number of future thoughts</w:t>
      </w:r>
    </w:p>
    <w:p w14:paraId="74F1DF12" w14:textId="157A6DEE" w:rsidR="006675B9" w:rsidRPr="003342FC" w:rsidRDefault="00080D29" w:rsidP="00EC2D3C">
      <w:pPr>
        <w:spacing w:line="480" w:lineRule="auto"/>
        <w:ind w:firstLine="720"/>
        <w:jc w:val="left"/>
      </w:pPr>
      <w:r w:rsidRPr="003342FC">
        <w:t xml:space="preserve">The </w:t>
      </w:r>
      <w:r w:rsidR="003108C1" w:rsidRPr="003342FC">
        <w:t>older adult and younger adult</w:t>
      </w:r>
      <w:r w:rsidRPr="003342FC">
        <w:t xml:space="preserve"> groups </w:t>
      </w:r>
      <w:r w:rsidR="002E395E" w:rsidRPr="003342FC">
        <w:t xml:space="preserve">did not differ on </w:t>
      </w:r>
      <w:r w:rsidR="00421CBD" w:rsidRPr="003342FC">
        <w:t>gender (</w:t>
      </w:r>
      <w:r w:rsidR="00421CBD" w:rsidRPr="003342FC">
        <w:rPr>
          <w:i/>
        </w:rPr>
        <w:t>p</w:t>
      </w:r>
      <w:r w:rsidR="00421CBD" w:rsidRPr="003342FC">
        <w:t xml:space="preserve"> = .</w:t>
      </w:r>
      <w:r w:rsidR="001F2D7A" w:rsidRPr="003342FC">
        <w:t xml:space="preserve">620) or </w:t>
      </w:r>
      <w:r w:rsidR="00A164FE" w:rsidRPr="003342FC">
        <w:t xml:space="preserve">on </w:t>
      </w:r>
      <w:r w:rsidR="001F2D7A" w:rsidRPr="003342FC">
        <w:t>ethnicity (</w:t>
      </w:r>
      <w:r w:rsidR="001F2D7A" w:rsidRPr="003342FC">
        <w:rPr>
          <w:i/>
        </w:rPr>
        <w:t>p</w:t>
      </w:r>
      <w:r w:rsidR="001F2D7A" w:rsidRPr="003342FC">
        <w:t xml:space="preserve"> =.</w:t>
      </w:r>
      <w:r w:rsidR="003108C1" w:rsidRPr="003342FC">
        <w:t xml:space="preserve"> 135)</w:t>
      </w:r>
      <w:r w:rsidR="007E5F9E" w:rsidRPr="003342FC">
        <w:t>,</w:t>
      </w:r>
      <w:r w:rsidR="003108C1" w:rsidRPr="003342FC">
        <w:t xml:space="preserve"> coded as White British versus O</w:t>
      </w:r>
      <w:r w:rsidR="00A164FE" w:rsidRPr="003342FC">
        <w:t xml:space="preserve">ther in order to cope with small numbers of distinct ethnic groups.  Neither verbal fluency (OA, </w:t>
      </w:r>
      <w:r w:rsidR="00A164FE" w:rsidRPr="003342FC">
        <w:rPr>
          <w:i/>
        </w:rPr>
        <w:t>M</w:t>
      </w:r>
      <w:r w:rsidR="00A164FE" w:rsidRPr="003342FC">
        <w:t xml:space="preserve"> = 13.56, </w:t>
      </w:r>
      <w:r w:rsidR="00A164FE" w:rsidRPr="003342FC">
        <w:rPr>
          <w:i/>
        </w:rPr>
        <w:t>SD</w:t>
      </w:r>
      <w:r w:rsidR="00A164FE" w:rsidRPr="003342FC">
        <w:t xml:space="preserve"> = 4.99; YA, </w:t>
      </w:r>
      <w:r w:rsidR="00A164FE" w:rsidRPr="003342FC">
        <w:rPr>
          <w:i/>
        </w:rPr>
        <w:t>M</w:t>
      </w:r>
      <w:r w:rsidR="00A164FE" w:rsidRPr="003342FC">
        <w:t xml:space="preserve"> = 13.76, </w:t>
      </w:r>
      <w:r w:rsidR="00A164FE" w:rsidRPr="003342FC">
        <w:rPr>
          <w:i/>
        </w:rPr>
        <w:t>SD</w:t>
      </w:r>
      <w:r w:rsidR="00A164FE" w:rsidRPr="003342FC">
        <w:t xml:space="preserve"> = 4.44, t &lt; 1) or </w:t>
      </w:r>
      <w:r w:rsidRPr="003342FC">
        <w:t xml:space="preserve">life satisfaction </w:t>
      </w:r>
      <w:r w:rsidR="00A164FE" w:rsidRPr="003342FC">
        <w:t xml:space="preserve">(OA, </w:t>
      </w:r>
      <w:r w:rsidR="00A164FE" w:rsidRPr="003342FC">
        <w:rPr>
          <w:i/>
        </w:rPr>
        <w:t>M</w:t>
      </w:r>
      <w:r w:rsidR="00A164FE" w:rsidRPr="003342FC">
        <w:t xml:space="preserve"> = 24.31, </w:t>
      </w:r>
      <w:r w:rsidR="00A164FE" w:rsidRPr="003342FC">
        <w:rPr>
          <w:i/>
        </w:rPr>
        <w:t>SD</w:t>
      </w:r>
      <w:r w:rsidR="00A164FE" w:rsidRPr="003342FC">
        <w:t xml:space="preserve"> = 6.40; YA, </w:t>
      </w:r>
      <w:r w:rsidR="00A164FE" w:rsidRPr="003342FC">
        <w:rPr>
          <w:i/>
        </w:rPr>
        <w:t>M</w:t>
      </w:r>
      <w:r w:rsidR="00A164FE" w:rsidRPr="003342FC">
        <w:t xml:space="preserve"> = 24.85, </w:t>
      </w:r>
      <w:r w:rsidR="00A164FE" w:rsidRPr="003342FC">
        <w:rPr>
          <w:i/>
        </w:rPr>
        <w:t>SD</w:t>
      </w:r>
      <w:r w:rsidR="00A164FE" w:rsidRPr="003342FC">
        <w:t xml:space="preserve"> = 6.46, t &lt; 1) differed between groups.  </w:t>
      </w:r>
    </w:p>
    <w:p w14:paraId="09BFC12B" w14:textId="309960F6" w:rsidR="00CA2840" w:rsidRPr="003342FC" w:rsidRDefault="003108C1" w:rsidP="00EC2D3C">
      <w:pPr>
        <w:spacing w:line="480" w:lineRule="auto"/>
        <w:ind w:firstLine="720"/>
        <w:jc w:val="left"/>
      </w:pPr>
      <w:r w:rsidRPr="003342FC">
        <w:lastRenderedPageBreak/>
        <w:t>A Group (</w:t>
      </w:r>
      <w:r w:rsidR="007E5F9E" w:rsidRPr="003342FC">
        <w:t>OA, YA</w:t>
      </w:r>
      <w:r w:rsidR="004F5BE8" w:rsidRPr="003342FC">
        <w:t xml:space="preserve">) x Valence (positive, negative) x Time period (week, year, 5-10 years) mixed model ANOVA was used to analyse </w:t>
      </w:r>
      <w:r w:rsidR="00A164FE" w:rsidRPr="003342FC">
        <w:t xml:space="preserve">the main question of </w:t>
      </w:r>
      <w:r w:rsidR="004F5BE8" w:rsidRPr="003342FC">
        <w:t>number of future thoughts generated</w:t>
      </w:r>
      <w:r w:rsidR="00EC2D3C" w:rsidRPr="003342FC">
        <w:t xml:space="preserve"> on the Future-thinking Task. </w:t>
      </w:r>
      <w:r w:rsidR="004F5BE8" w:rsidRPr="003342FC">
        <w:t>Means an</w:t>
      </w:r>
      <w:r w:rsidR="004D5B17" w:rsidRPr="003342FC">
        <w:t>d standard deviations are shown</w:t>
      </w:r>
      <w:r w:rsidR="004F5BE8" w:rsidRPr="003342FC">
        <w:t xml:space="preserve"> in Table 2.  </w:t>
      </w:r>
      <w:r w:rsidR="00DB736E" w:rsidRPr="003342FC">
        <w:t>There we</w:t>
      </w:r>
      <w:r w:rsidR="00D66DDD" w:rsidRPr="003342FC">
        <w:t>re significant main effects of g</w:t>
      </w:r>
      <w:r w:rsidR="00DB736E" w:rsidRPr="003342FC">
        <w:t xml:space="preserve">roup </w:t>
      </w:r>
      <w:r w:rsidR="007D08B3" w:rsidRPr="003342FC">
        <w:t>(</w:t>
      </w:r>
      <w:r w:rsidR="007D08B3" w:rsidRPr="003342FC">
        <w:rPr>
          <w:i/>
        </w:rPr>
        <w:t>F</w:t>
      </w:r>
      <w:r w:rsidR="007D08B3" w:rsidRPr="003342FC">
        <w:t xml:space="preserve">(1,76) = 9.60, </w:t>
      </w:r>
      <w:r w:rsidR="007D08B3" w:rsidRPr="003342FC">
        <w:rPr>
          <w:i/>
        </w:rPr>
        <w:t>p</w:t>
      </w:r>
      <w:r w:rsidR="007D08B3" w:rsidRPr="003342FC">
        <w:t xml:space="preserve"> =.003, </w:t>
      </w:r>
      <w:r w:rsidR="00D66DDD" w:rsidRPr="003342FC">
        <w:rPr>
          <w:rFonts w:eastAsia="MS Mincho"/>
          <w:i/>
          <w:lang w:val="en-US"/>
        </w:rPr>
        <w:t>η</w:t>
      </w:r>
      <w:r w:rsidR="00D66DDD" w:rsidRPr="003342FC">
        <w:rPr>
          <w:rFonts w:eastAsia="MS Mincho"/>
          <w:i/>
          <w:vertAlign w:val="subscript"/>
          <w:lang w:val="en-US"/>
        </w:rPr>
        <w:t>p</w:t>
      </w:r>
      <w:r w:rsidR="00D66DDD" w:rsidRPr="003342FC">
        <w:rPr>
          <w:rFonts w:eastAsia="MS Mincho"/>
          <w:i/>
          <w:iCs/>
          <w:vertAlign w:val="superscript"/>
          <w:lang w:val="en-US"/>
        </w:rPr>
        <w:t>2</w:t>
      </w:r>
      <w:r w:rsidR="00D66DDD" w:rsidRPr="003342FC">
        <w:rPr>
          <w:rFonts w:eastAsia="MS Mincho"/>
          <w:lang w:val="en-US"/>
        </w:rPr>
        <w:t xml:space="preserve"> </w:t>
      </w:r>
      <w:r w:rsidR="007D08B3" w:rsidRPr="003342FC">
        <w:t xml:space="preserve">= .112) </w:t>
      </w:r>
      <w:r w:rsidR="00D66DDD" w:rsidRPr="003342FC">
        <w:t>and time p</w:t>
      </w:r>
      <w:r w:rsidR="00DB736E" w:rsidRPr="003342FC">
        <w:t>eriod</w:t>
      </w:r>
      <w:r w:rsidR="00D66DDD" w:rsidRPr="003342FC">
        <w:t xml:space="preserve"> (</w:t>
      </w:r>
      <w:r w:rsidR="00D66DDD" w:rsidRPr="003342FC">
        <w:rPr>
          <w:i/>
        </w:rPr>
        <w:t>F</w:t>
      </w:r>
      <w:r w:rsidR="00D66DDD" w:rsidRPr="003342FC">
        <w:t xml:space="preserve">(2,152) = 30.41, </w:t>
      </w:r>
      <w:r w:rsidR="00D66DDD" w:rsidRPr="003342FC">
        <w:rPr>
          <w:i/>
        </w:rPr>
        <w:t>p</w:t>
      </w:r>
      <w:r w:rsidR="00D66DDD" w:rsidRPr="003342FC">
        <w:t xml:space="preserve"> &lt;.001, </w:t>
      </w:r>
      <w:r w:rsidR="00D66DDD" w:rsidRPr="003342FC">
        <w:rPr>
          <w:rFonts w:eastAsia="MS Mincho"/>
          <w:i/>
          <w:lang w:val="en-US"/>
        </w:rPr>
        <w:t>η</w:t>
      </w:r>
      <w:r w:rsidR="00D66DDD" w:rsidRPr="003342FC">
        <w:rPr>
          <w:rFonts w:eastAsia="MS Mincho"/>
          <w:i/>
          <w:vertAlign w:val="subscript"/>
          <w:lang w:val="en-US"/>
        </w:rPr>
        <w:t>p</w:t>
      </w:r>
      <w:r w:rsidR="00D66DDD" w:rsidRPr="003342FC">
        <w:rPr>
          <w:rFonts w:eastAsia="MS Mincho"/>
          <w:i/>
          <w:iCs/>
          <w:vertAlign w:val="superscript"/>
          <w:lang w:val="en-US"/>
        </w:rPr>
        <w:t>2</w:t>
      </w:r>
      <w:r w:rsidR="007D08B3" w:rsidRPr="003342FC">
        <w:rPr>
          <w:i/>
        </w:rPr>
        <w:t xml:space="preserve"> </w:t>
      </w:r>
      <w:r w:rsidR="00D66DDD" w:rsidRPr="003342FC">
        <w:t xml:space="preserve">= </w:t>
      </w:r>
      <w:r w:rsidR="007D08B3" w:rsidRPr="003342FC">
        <w:t>.286)</w:t>
      </w:r>
      <w:r w:rsidR="00DB736E" w:rsidRPr="003342FC">
        <w:t>, which were qualified by a significant Group x Time Period interaction (</w:t>
      </w:r>
      <w:r w:rsidR="00DB736E" w:rsidRPr="003342FC">
        <w:rPr>
          <w:i/>
        </w:rPr>
        <w:t>F</w:t>
      </w:r>
      <w:r w:rsidR="00DB736E" w:rsidRPr="003342FC">
        <w:t>(2,152) = 3.90,</w:t>
      </w:r>
      <w:r w:rsidR="00D66DDD" w:rsidRPr="003342FC">
        <w:t xml:space="preserve"> </w:t>
      </w:r>
      <w:r w:rsidR="00D66DDD" w:rsidRPr="003342FC">
        <w:rPr>
          <w:i/>
        </w:rPr>
        <w:t>p</w:t>
      </w:r>
      <w:r w:rsidR="00D66DDD" w:rsidRPr="003342FC">
        <w:t xml:space="preserve"> = .023, </w:t>
      </w:r>
      <w:r w:rsidR="00D66DDD" w:rsidRPr="003342FC">
        <w:rPr>
          <w:rFonts w:eastAsia="MS Mincho"/>
          <w:i/>
          <w:lang w:val="en-US"/>
        </w:rPr>
        <w:t>η</w:t>
      </w:r>
      <w:r w:rsidR="00D66DDD" w:rsidRPr="003342FC">
        <w:rPr>
          <w:rFonts w:eastAsia="MS Mincho"/>
          <w:i/>
          <w:vertAlign w:val="subscript"/>
          <w:lang w:val="en-US"/>
        </w:rPr>
        <w:t>p</w:t>
      </w:r>
      <w:r w:rsidR="00D66DDD" w:rsidRPr="003342FC">
        <w:rPr>
          <w:rFonts w:eastAsia="MS Mincho"/>
          <w:i/>
          <w:iCs/>
          <w:vertAlign w:val="superscript"/>
          <w:lang w:val="en-US"/>
        </w:rPr>
        <w:t>2</w:t>
      </w:r>
      <w:r w:rsidR="00D66DDD" w:rsidRPr="003342FC">
        <w:rPr>
          <w:rFonts w:eastAsia="MS Mincho"/>
          <w:lang w:val="en-US"/>
        </w:rPr>
        <w:t xml:space="preserve"> </w:t>
      </w:r>
      <w:r w:rsidR="007E5F9E" w:rsidRPr="003342FC">
        <w:t>= .048).  There was also a</w:t>
      </w:r>
      <w:r w:rsidR="00D66DDD" w:rsidRPr="003342FC">
        <w:t xml:space="preserve"> main effect of v</w:t>
      </w:r>
      <w:r w:rsidR="00DB736E" w:rsidRPr="003342FC">
        <w:t>alence (</w:t>
      </w:r>
      <w:r w:rsidR="00DB736E" w:rsidRPr="003342FC">
        <w:rPr>
          <w:i/>
        </w:rPr>
        <w:t>F</w:t>
      </w:r>
      <w:r w:rsidR="00DB736E" w:rsidRPr="003342FC">
        <w:t>(</w:t>
      </w:r>
      <w:r w:rsidR="00D66DDD" w:rsidRPr="003342FC">
        <w:t xml:space="preserve">1,152) = 60.72, </w:t>
      </w:r>
      <w:r w:rsidR="00D66DDD" w:rsidRPr="003342FC">
        <w:rPr>
          <w:i/>
        </w:rPr>
        <w:t>p</w:t>
      </w:r>
      <w:r w:rsidR="00D66DDD" w:rsidRPr="003342FC">
        <w:t xml:space="preserve"> &lt;.001, </w:t>
      </w:r>
      <w:r w:rsidR="00D66DDD" w:rsidRPr="003342FC">
        <w:rPr>
          <w:rFonts w:eastAsia="MS Mincho"/>
          <w:i/>
          <w:lang w:val="en-US"/>
        </w:rPr>
        <w:t>η</w:t>
      </w:r>
      <w:r w:rsidR="00D66DDD" w:rsidRPr="003342FC">
        <w:rPr>
          <w:rFonts w:eastAsia="MS Mincho"/>
          <w:i/>
          <w:vertAlign w:val="subscript"/>
          <w:lang w:val="en-US"/>
        </w:rPr>
        <w:t>p</w:t>
      </w:r>
      <w:r w:rsidR="00D66DDD" w:rsidRPr="003342FC">
        <w:rPr>
          <w:rFonts w:eastAsia="MS Mincho"/>
          <w:i/>
          <w:iCs/>
          <w:vertAlign w:val="superscript"/>
          <w:lang w:val="en-US"/>
        </w:rPr>
        <w:t>2</w:t>
      </w:r>
      <w:r w:rsidR="007D08B3" w:rsidRPr="003342FC">
        <w:t xml:space="preserve"> =.444)</w:t>
      </w:r>
      <w:r w:rsidR="00CA2840" w:rsidRPr="003342FC">
        <w:t>, with participants producing more positive than negative thoughts,</w:t>
      </w:r>
      <w:r w:rsidR="007D08B3" w:rsidRPr="003342FC">
        <w:t xml:space="preserve"> and a Valence x Time interaction (</w:t>
      </w:r>
      <w:r w:rsidR="007D08B3" w:rsidRPr="003342FC">
        <w:rPr>
          <w:i/>
        </w:rPr>
        <w:t>F</w:t>
      </w:r>
      <w:r w:rsidR="007D08B3" w:rsidRPr="003342FC">
        <w:t xml:space="preserve">(2,152) = 14.45, </w:t>
      </w:r>
      <w:r w:rsidR="007D08B3" w:rsidRPr="003342FC">
        <w:rPr>
          <w:i/>
        </w:rPr>
        <w:t>p</w:t>
      </w:r>
      <w:r w:rsidR="007D08B3" w:rsidRPr="003342FC">
        <w:t xml:space="preserve"> &lt;.001</w:t>
      </w:r>
      <w:r w:rsidR="007E5F9E" w:rsidRPr="003342FC">
        <w:t>,</w:t>
      </w:r>
      <w:r w:rsidR="00D66DDD" w:rsidRPr="003342FC">
        <w:t xml:space="preserve"> </w:t>
      </w:r>
      <w:r w:rsidR="00D66DDD" w:rsidRPr="003342FC">
        <w:rPr>
          <w:rFonts w:eastAsia="MS Mincho"/>
          <w:i/>
          <w:lang w:val="en-US"/>
        </w:rPr>
        <w:t>η</w:t>
      </w:r>
      <w:r w:rsidR="00D66DDD" w:rsidRPr="003342FC">
        <w:rPr>
          <w:rFonts w:eastAsia="MS Mincho"/>
          <w:i/>
          <w:vertAlign w:val="subscript"/>
          <w:lang w:val="en-US"/>
        </w:rPr>
        <w:t>p</w:t>
      </w:r>
      <w:r w:rsidR="00D66DDD" w:rsidRPr="003342FC">
        <w:rPr>
          <w:rFonts w:eastAsia="MS Mincho"/>
          <w:i/>
          <w:iCs/>
          <w:vertAlign w:val="superscript"/>
          <w:lang w:val="en-US"/>
        </w:rPr>
        <w:t>2</w:t>
      </w:r>
      <w:r w:rsidR="007E5F9E" w:rsidRPr="003342FC">
        <w:t xml:space="preserve"> </w:t>
      </w:r>
      <w:r w:rsidR="00D66DDD" w:rsidRPr="003342FC">
        <w:t xml:space="preserve">= </w:t>
      </w:r>
      <w:r w:rsidR="00A13D15" w:rsidRPr="003342FC">
        <w:t>.246</w:t>
      </w:r>
      <w:r w:rsidR="0002528A" w:rsidRPr="003342FC">
        <w:t>), which appeared</w:t>
      </w:r>
      <w:r w:rsidR="00CA2840" w:rsidRPr="003342FC">
        <w:t xml:space="preserve"> </w:t>
      </w:r>
      <w:r w:rsidR="00FA7727" w:rsidRPr="003342FC">
        <w:t xml:space="preserve">to be the result of the greater number of positive responses to negative responses declining over the time periods. </w:t>
      </w:r>
      <w:r w:rsidR="007D08B3" w:rsidRPr="003342FC">
        <w:t xml:space="preserve"> No other effects approached significance.  </w:t>
      </w:r>
    </w:p>
    <w:p w14:paraId="40530E18" w14:textId="691D9F2C" w:rsidR="00EC2D3C" w:rsidRPr="003342FC" w:rsidRDefault="00EC2D3C" w:rsidP="003A5B87">
      <w:pPr>
        <w:spacing w:line="480" w:lineRule="auto"/>
        <w:ind w:firstLine="720"/>
      </w:pPr>
      <w:r w:rsidRPr="003342FC">
        <w:t xml:space="preserve">INSERT TABLE </w:t>
      </w:r>
      <w:r w:rsidR="00C7771A" w:rsidRPr="003342FC">
        <w:t>2</w:t>
      </w:r>
      <w:r w:rsidRPr="003342FC">
        <w:t xml:space="preserve"> ABOUT HERE</w:t>
      </w:r>
    </w:p>
    <w:p w14:paraId="7EE69329" w14:textId="2D6622CC" w:rsidR="007077AB" w:rsidRPr="003342FC" w:rsidRDefault="007D08B3" w:rsidP="00EC2D3C">
      <w:pPr>
        <w:spacing w:line="480" w:lineRule="auto"/>
        <w:ind w:firstLine="720"/>
        <w:jc w:val="left"/>
      </w:pPr>
      <w:r w:rsidRPr="003342FC">
        <w:t>The Group x Time Period interaction arose because whereas the</w:t>
      </w:r>
      <w:r w:rsidR="00D84F72" w:rsidRPr="003342FC">
        <w:t xml:space="preserve"> older adults and young</w:t>
      </w:r>
      <w:r w:rsidR="0002528A" w:rsidRPr="003342FC">
        <w:t>er</w:t>
      </w:r>
      <w:r w:rsidR="00D84F72" w:rsidRPr="003342FC">
        <w:t xml:space="preserve"> adults</w:t>
      </w:r>
      <w:r w:rsidRPr="003342FC">
        <w:t xml:space="preserve"> did not differ on thoughts for the next week (</w:t>
      </w:r>
      <w:r w:rsidR="00D84F72" w:rsidRPr="003342FC">
        <w:rPr>
          <w:i/>
        </w:rPr>
        <w:t>M</w:t>
      </w:r>
      <w:r w:rsidR="00D84F72" w:rsidRPr="003342FC">
        <w:t xml:space="preserve"> = 5.14, </w:t>
      </w:r>
      <w:r w:rsidR="00D84F72" w:rsidRPr="003342FC">
        <w:rPr>
          <w:i/>
        </w:rPr>
        <w:t>SD</w:t>
      </w:r>
      <w:r w:rsidR="00D84F72" w:rsidRPr="003342FC">
        <w:t xml:space="preserve"> = 2.15 and </w:t>
      </w:r>
      <w:r w:rsidR="00D84F72" w:rsidRPr="003342FC">
        <w:rPr>
          <w:i/>
        </w:rPr>
        <w:t>M</w:t>
      </w:r>
      <w:r w:rsidR="00D84F72" w:rsidRPr="003342FC">
        <w:t xml:space="preserve"> = 5.65, </w:t>
      </w:r>
      <w:r w:rsidR="00D84F72" w:rsidRPr="003342FC">
        <w:rPr>
          <w:i/>
        </w:rPr>
        <w:t>SD</w:t>
      </w:r>
      <w:r w:rsidR="00D84F72" w:rsidRPr="003342FC">
        <w:t xml:space="preserve"> = 2.55, respectively; </w:t>
      </w:r>
      <w:r w:rsidR="00D84F72" w:rsidRPr="003342FC">
        <w:rPr>
          <w:i/>
        </w:rPr>
        <w:t>t</w:t>
      </w:r>
      <w:r w:rsidR="00D84F72" w:rsidRPr="003342FC">
        <w:t xml:space="preserve"> &lt; 1)</w:t>
      </w:r>
      <w:r w:rsidRPr="003342FC">
        <w:t>, the older adults had fewer thoughts for the next year (</w:t>
      </w:r>
      <w:r w:rsidR="00D84F72" w:rsidRPr="003342FC">
        <w:rPr>
          <w:i/>
        </w:rPr>
        <w:t>M</w:t>
      </w:r>
      <w:r w:rsidR="00D84F72" w:rsidRPr="003342FC">
        <w:t xml:space="preserve"> = 3.59, </w:t>
      </w:r>
      <w:r w:rsidR="00D84F72" w:rsidRPr="003342FC">
        <w:rPr>
          <w:i/>
        </w:rPr>
        <w:t>SD</w:t>
      </w:r>
      <w:r w:rsidR="00D84F72" w:rsidRPr="003342FC">
        <w:t xml:space="preserve"> = 1.08 and </w:t>
      </w:r>
      <w:r w:rsidR="00D84F72" w:rsidRPr="003342FC">
        <w:rPr>
          <w:i/>
        </w:rPr>
        <w:t>M</w:t>
      </w:r>
      <w:r w:rsidR="00D84F72" w:rsidRPr="003342FC">
        <w:t xml:space="preserve"> = 5.19, </w:t>
      </w:r>
      <w:r w:rsidR="00D84F72" w:rsidRPr="003342FC">
        <w:rPr>
          <w:i/>
        </w:rPr>
        <w:t>SD</w:t>
      </w:r>
      <w:r w:rsidR="00D84F72" w:rsidRPr="003342FC">
        <w:t xml:space="preserve"> = 1.8</w:t>
      </w:r>
      <w:r w:rsidR="004631E1" w:rsidRPr="003342FC">
        <w:t>4, respectively</w:t>
      </w:r>
      <w:r w:rsidR="0002528A" w:rsidRPr="003342FC">
        <w:t>;</w:t>
      </w:r>
      <w:r w:rsidR="004631E1" w:rsidRPr="003342FC">
        <w:t xml:space="preserve"> </w:t>
      </w:r>
      <w:r w:rsidR="004631E1" w:rsidRPr="003342FC">
        <w:rPr>
          <w:i/>
        </w:rPr>
        <w:t>t</w:t>
      </w:r>
      <w:r w:rsidR="004631E1" w:rsidRPr="003342FC">
        <w:t xml:space="preserve">(76) = 4.69, </w:t>
      </w:r>
      <w:r w:rsidR="004631E1" w:rsidRPr="003342FC">
        <w:rPr>
          <w:i/>
        </w:rPr>
        <w:t>p</w:t>
      </w:r>
      <w:r w:rsidR="00D84F72" w:rsidRPr="003342FC">
        <w:t xml:space="preserve"> &lt;.001, </w:t>
      </w:r>
      <w:r w:rsidR="00D84F72" w:rsidRPr="003342FC">
        <w:rPr>
          <w:i/>
        </w:rPr>
        <w:t>d</w:t>
      </w:r>
      <w:r w:rsidR="00D84F72" w:rsidRPr="003342FC">
        <w:t xml:space="preserve"> = 1.06</w:t>
      </w:r>
      <w:r w:rsidRPr="003342FC">
        <w:t>), and the next 5-10 years (</w:t>
      </w:r>
      <w:r w:rsidR="00D84F72" w:rsidRPr="003342FC">
        <w:rPr>
          <w:i/>
        </w:rPr>
        <w:t>M</w:t>
      </w:r>
      <w:r w:rsidR="00D84F72" w:rsidRPr="003342FC">
        <w:t xml:space="preserve"> = 3.29, </w:t>
      </w:r>
      <w:r w:rsidR="00D84F72" w:rsidRPr="003342FC">
        <w:rPr>
          <w:i/>
        </w:rPr>
        <w:t>SD</w:t>
      </w:r>
      <w:r w:rsidR="00D84F72" w:rsidRPr="003342FC">
        <w:t xml:space="preserve"> = 1.54 and </w:t>
      </w:r>
      <w:r w:rsidR="00D84F72" w:rsidRPr="003342FC">
        <w:rPr>
          <w:i/>
        </w:rPr>
        <w:t>M</w:t>
      </w:r>
      <w:r w:rsidR="00D84F72" w:rsidRPr="003342FC">
        <w:t xml:space="preserve"> = 4.47, </w:t>
      </w:r>
      <w:r w:rsidR="00D84F72" w:rsidRPr="003342FC">
        <w:rPr>
          <w:i/>
        </w:rPr>
        <w:t>SD</w:t>
      </w:r>
      <w:r w:rsidR="00D84F72" w:rsidRPr="003342FC">
        <w:t xml:space="preserve"> = 1.65, respectively; </w:t>
      </w:r>
      <w:r w:rsidR="00D84F72" w:rsidRPr="003342FC">
        <w:rPr>
          <w:i/>
        </w:rPr>
        <w:t>t</w:t>
      </w:r>
      <w:r w:rsidR="00D84F72" w:rsidRPr="003342FC">
        <w:t xml:space="preserve">(76) = 3.27, </w:t>
      </w:r>
      <w:r w:rsidR="00D84F72" w:rsidRPr="003342FC">
        <w:rPr>
          <w:i/>
        </w:rPr>
        <w:t>p</w:t>
      </w:r>
      <w:r w:rsidR="00D84F72" w:rsidRPr="003342FC">
        <w:t xml:space="preserve"> =.002, </w:t>
      </w:r>
      <w:r w:rsidR="00D84F72" w:rsidRPr="003342FC">
        <w:rPr>
          <w:i/>
        </w:rPr>
        <w:t>d</w:t>
      </w:r>
      <w:r w:rsidR="00D84F72" w:rsidRPr="003342FC">
        <w:t xml:space="preserve"> = .74 </w:t>
      </w:r>
      <w:r w:rsidRPr="003342FC">
        <w:t xml:space="preserve">).  </w:t>
      </w:r>
      <w:r w:rsidR="00A164FE" w:rsidRPr="003342FC">
        <w:t>The lack of a three-way interaction indicated that these differences were not qualified by the valence of the thoughts.</w:t>
      </w:r>
    </w:p>
    <w:p w14:paraId="5183DEBB" w14:textId="422856F3" w:rsidR="007077AB" w:rsidRPr="003342FC" w:rsidRDefault="00487F69" w:rsidP="00EC2D3C">
      <w:pPr>
        <w:pStyle w:val="Heading2"/>
      </w:pPr>
      <w:r w:rsidRPr="003342FC">
        <w:t>Relationship of future thoughts to life satisfaction</w:t>
      </w:r>
    </w:p>
    <w:p w14:paraId="35F83629" w14:textId="09EAA5F2" w:rsidR="008A152B" w:rsidRPr="003342FC" w:rsidRDefault="00FB5536" w:rsidP="00EC2D3C">
      <w:pPr>
        <w:spacing w:line="480" w:lineRule="auto"/>
        <w:ind w:firstLine="720"/>
        <w:jc w:val="left"/>
      </w:pPr>
      <w:r w:rsidRPr="003342FC">
        <w:t xml:space="preserve">Before examining the relationship of future thoughts to life satisfaction within each group, the older and younger adults were compared on levels of life satisfaction.  The groups did not differ significantly (t &lt; 1), indicating comparable </w:t>
      </w:r>
      <w:r w:rsidRPr="003342FC">
        <w:lastRenderedPageBreak/>
        <w:t xml:space="preserve">levels of life satisfaction in the older and younger adults in this sample.  </w:t>
      </w:r>
      <w:r w:rsidR="00093E7D" w:rsidRPr="003342FC">
        <w:t xml:space="preserve">Table 2 shows the correlations of life satisfaction with number of positive and negative responses participants gave for the three different time periods.  </w:t>
      </w:r>
      <w:r w:rsidR="00D70D35" w:rsidRPr="003342FC">
        <w:t>Scatterplots</w:t>
      </w:r>
      <w:r w:rsidR="000E7CD1" w:rsidRPr="003342FC">
        <w:t xml:space="preserve"> were </w:t>
      </w:r>
      <w:r w:rsidRPr="003342FC">
        <w:t xml:space="preserve">first </w:t>
      </w:r>
      <w:r w:rsidR="000E7CD1" w:rsidRPr="003342FC">
        <w:t xml:space="preserve">examined.  No obvious bivariate outliers or nonlinear relationships were observed.  </w:t>
      </w:r>
      <w:r w:rsidR="00CA2840" w:rsidRPr="003342FC">
        <w:t>Positive future thinking showed no relationship to life satisfaction, either for old</w:t>
      </w:r>
      <w:r w:rsidR="00EC2D3C" w:rsidRPr="003342FC">
        <w:t xml:space="preserve">er adults or younger adults.  </w:t>
      </w:r>
      <w:r w:rsidR="00CA2840" w:rsidRPr="003342FC">
        <w:t xml:space="preserve">For younger adults, negative future thinking also showed no </w:t>
      </w:r>
      <w:r w:rsidR="002C20DE" w:rsidRPr="003342FC">
        <w:t xml:space="preserve">significant </w:t>
      </w:r>
      <w:r w:rsidR="00CA2840" w:rsidRPr="003342FC">
        <w:t>relationship to life satisfaction but for older adul</w:t>
      </w:r>
      <w:r w:rsidR="00093E7D" w:rsidRPr="003342FC">
        <w:t>ts the pattern was different: a</w:t>
      </w:r>
      <w:r w:rsidR="00CA2840" w:rsidRPr="003342FC">
        <w:t>s the time periods stretche</w:t>
      </w:r>
      <w:r w:rsidR="00A253D2" w:rsidRPr="003342FC">
        <w:t>d further into the future</w:t>
      </w:r>
      <w:r w:rsidR="00093E7D" w:rsidRPr="003342FC">
        <w:t>,</w:t>
      </w:r>
      <w:r w:rsidR="00A253D2" w:rsidRPr="003342FC">
        <w:t xml:space="preserve"> lower</w:t>
      </w:r>
      <w:r w:rsidR="00CA2840" w:rsidRPr="003342FC">
        <w:t xml:space="preserve"> well-being was incr</w:t>
      </w:r>
      <w:r w:rsidR="00A253D2" w:rsidRPr="003342FC">
        <w:t>easingly related to having more</w:t>
      </w:r>
      <w:r w:rsidR="00CA2840" w:rsidRPr="003342FC">
        <w:t xml:space="preserve"> negative thoughts. </w:t>
      </w:r>
      <w:r w:rsidR="007C4ACF" w:rsidRPr="003342FC">
        <w:t xml:space="preserve"> So</w:t>
      </w:r>
      <w:r w:rsidR="00A253D2" w:rsidRPr="003342FC">
        <w:t xml:space="preserve">, </w:t>
      </w:r>
      <w:r w:rsidR="0081337D" w:rsidRPr="003342FC">
        <w:t xml:space="preserve">alongside the general </w:t>
      </w:r>
      <w:r w:rsidR="007C4ACF" w:rsidRPr="003342FC">
        <w:t>decline in</w:t>
      </w:r>
      <w:r w:rsidR="00A253D2" w:rsidRPr="003342FC">
        <w:t xml:space="preserve"> medium and longer term future</w:t>
      </w:r>
      <w:r w:rsidR="007C4ACF" w:rsidRPr="003342FC">
        <w:t xml:space="preserve"> thoughts</w:t>
      </w:r>
      <w:r w:rsidR="00414709" w:rsidRPr="003342FC">
        <w:t xml:space="preserve"> that is</w:t>
      </w:r>
      <w:r w:rsidR="007C4ACF" w:rsidRPr="003342FC">
        <w:t xml:space="preserve"> </w:t>
      </w:r>
      <w:r w:rsidR="00414709" w:rsidRPr="003342FC">
        <w:t>evident in older adults</w:t>
      </w:r>
      <w:r w:rsidR="008F3270" w:rsidRPr="003342FC">
        <w:t xml:space="preserve">, </w:t>
      </w:r>
      <w:r w:rsidR="006B6B9D" w:rsidRPr="003342FC">
        <w:t xml:space="preserve">the greater the presence </w:t>
      </w:r>
      <w:r w:rsidR="008F3270" w:rsidRPr="003342FC">
        <w:t>of negative thoughts for those medium and longer</w:t>
      </w:r>
      <w:r w:rsidR="00414709" w:rsidRPr="003342FC">
        <w:t xml:space="preserve"> time</w:t>
      </w:r>
      <w:r w:rsidR="008F3270" w:rsidRPr="003342FC">
        <w:t xml:space="preserve"> periods </w:t>
      </w:r>
      <w:r w:rsidR="00414709" w:rsidRPr="003342FC">
        <w:t>the lower the level of the person’s well-being.</w:t>
      </w:r>
      <w:r w:rsidR="007C4ACF" w:rsidRPr="003342FC">
        <w:t xml:space="preserve"> </w:t>
      </w:r>
    </w:p>
    <w:p w14:paraId="6E76B4B5" w14:textId="09ECFD00" w:rsidR="00EC2D3C" w:rsidRPr="003342FC" w:rsidRDefault="00EC2D3C" w:rsidP="003A5B87">
      <w:pPr>
        <w:spacing w:line="480" w:lineRule="auto"/>
        <w:ind w:firstLine="720"/>
      </w:pPr>
      <w:r w:rsidRPr="003342FC">
        <w:t xml:space="preserve">INSERT TABLE </w:t>
      </w:r>
      <w:r w:rsidR="00C7771A" w:rsidRPr="003342FC">
        <w:t>3</w:t>
      </w:r>
      <w:r w:rsidRPr="003342FC">
        <w:t xml:space="preserve"> ABOUT HERE</w:t>
      </w:r>
    </w:p>
    <w:p w14:paraId="170619E9" w14:textId="50466D90" w:rsidR="00E6373F" w:rsidRPr="003342FC" w:rsidRDefault="00E6373F" w:rsidP="00EC2D3C">
      <w:pPr>
        <w:spacing w:line="480" w:lineRule="auto"/>
        <w:ind w:firstLine="720"/>
        <w:jc w:val="left"/>
      </w:pPr>
      <w:r w:rsidRPr="003342FC">
        <w:t>T</w:t>
      </w:r>
      <w:r w:rsidR="00093E7D" w:rsidRPr="003342FC">
        <w:t>here was a wide age range in the older adult group.  T</w:t>
      </w:r>
      <w:r w:rsidRPr="003342FC">
        <w:t xml:space="preserve">o check whether the participants’ age </w:t>
      </w:r>
      <w:r w:rsidR="00D40C82" w:rsidRPr="003342FC">
        <w:t>within the OA group was a factor</w:t>
      </w:r>
      <w:r w:rsidRPr="003342FC">
        <w:t>, partial correlations were conducted for the significant relationships.  The correlation of life satisfaction with negative thoughts for the next year (</w:t>
      </w:r>
      <w:r w:rsidRPr="003342FC">
        <w:rPr>
          <w:i/>
        </w:rPr>
        <w:t>r</w:t>
      </w:r>
      <w:r w:rsidRPr="003342FC">
        <w:t xml:space="preserve">(36) = -.34, </w:t>
      </w:r>
      <w:r w:rsidRPr="003342FC">
        <w:rPr>
          <w:i/>
        </w:rPr>
        <w:t>p</w:t>
      </w:r>
      <w:r w:rsidRPr="003342FC">
        <w:t xml:space="preserve"> =.034) and with </w:t>
      </w:r>
      <w:r w:rsidR="00421CBD" w:rsidRPr="003342FC">
        <w:t>negative thoughts for the n</w:t>
      </w:r>
      <w:r w:rsidRPr="003342FC">
        <w:t>ext 5-10 years (</w:t>
      </w:r>
      <w:r w:rsidRPr="003342FC">
        <w:rPr>
          <w:i/>
        </w:rPr>
        <w:t>r</w:t>
      </w:r>
      <w:r w:rsidRPr="003342FC">
        <w:t xml:space="preserve">(36) -.49, </w:t>
      </w:r>
      <w:r w:rsidRPr="003342FC">
        <w:rPr>
          <w:i/>
        </w:rPr>
        <w:t>p</w:t>
      </w:r>
      <w:r w:rsidRPr="003342FC">
        <w:t xml:space="preserve"> =.002) remained significant after partialling out age.   Similarly, the correlations were not influenced by an</w:t>
      </w:r>
      <w:r w:rsidR="00421CBD" w:rsidRPr="003342FC">
        <w:t>y possible</w:t>
      </w:r>
      <w:r w:rsidRPr="003342FC">
        <w:t xml:space="preserve"> decline in verbal fluency that might have </w:t>
      </w:r>
      <w:r w:rsidR="00B1034D" w:rsidRPr="003342FC">
        <w:t xml:space="preserve">occurred </w:t>
      </w:r>
      <w:r w:rsidRPr="003342FC">
        <w:t xml:space="preserve">with age because after partialling out verbal fluency both correlations were </w:t>
      </w:r>
      <w:r w:rsidR="00FA7727" w:rsidRPr="003342FC">
        <w:t xml:space="preserve">also </w:t>
      </w:r>
      <w:r w:rsidR="00D40C82" w:rsidRPr="003342FC">
        <w:t>preserved</w:t>
      </w:r>
      <w:r w:rsidRPr="003342FC">
        <w:t xml:space="preserve"> (</w:t>
      </w:r>
      <w:r w:rsidRPr="003342FC">
        <w:rPr>
          <w:i/>
        </w:rPr>
        <w:t>r</w:t>
      </w:r>
      <w:r w:rsidRPr="003342FC">
        <w:t xml:space="preserve">(36) = -.37, </w:t>
      </w:r>
      <w:r w:rsidRPr="003342FC">
        <w:rPr>
          <w:i/>
        </w:rPr>
        <w:t>p</w:t>
      </w:r>
      <w:r w:rsidRPr="003342FC">
        <w:t xml:space="preserve"> = .024 and </w:t>
      </w:r>
      <w:r w:rsidRPr="003342FC">
        <w:rPr>
          <w:i/>
        </w:rPr>
        <w:t>r</w:t>
      </w:r>
      <w:r w:rsidRPr="003342FC">
        <w:t xml:space="preserve">(36) = -.53, </w:t>
      </w:r>
      <w:r w:rsidRPr="003342FC">
        <w:rPr>
          <w:i/>
        </w:rPr>
        <w:t>p</w:t>
      </w:r>
      <w:r w:rsidRPr="003342FC">
        <w:t xml:space="preserve"> =.001 for Next Year and Next 5-10 Years, respectively).</w:t>
      </w:r>
    </w:p>
    <w:p w14:paraId="2E3633CE" w14:textId="77777777" w:rsidR="00CD2491" w:rsidRPr="003342FC" w:rsidRDefault="00CD2491" w:rsidP="00EC2D3C">
      <w:pPr>
        <w:pStyle w:val="Heading2"/>
      </w:pPr>
      <w:r w:rsidRPr="003342FC">
        <w:t>Group differences on content of future thoughts</w:t>
      </w:r>
    </w:p>
    <w:p w14:paraId="44155C82" w14:textId="491370F2" w:rsidR="00C46652" w:rsidRPr="003342FC" w:rsidRDefault="00676544" w:rsidP="00EC2D3C">
      <w:pPr>
        <w:spacing w:line="480" w:lineRule="auto"/>
        <w:ind w:firstLine="720"/>
        <w:jc w:val="left"/>
      </w:pPr>
      <w:r w:rsidRPr="003342FC">
        <w:t xml:space="preserve">Some of the distributions of categories </w:t>
      </w:r>
      <w:r w:rsidR="001937CE" w:rsidRPr="003342FC">
        <w:t xml:space="preserve">(overarching themes) </w:t>
      </w:r>
      <w:r w:rsidRPr="003342FC">
        <w:t>were very non-normal so non-parametric comparisons</w:t>
      </w:r>
      <w:r w:rsidR="007520FD" w:rsidRPr="003342FC">
        <w:t xml:space="preserve"> </w:t>
      </w:r>
      <w:r w:rsidR="000C60BF" w:rsidRPr="003342FC">
        <w:t>(</w:t>
      </w:r>
      <w:r w:rsidR="008B5A7C" w:rsidRPr="003342FC">
        <w:t xml:space="preserve">Mann-Whitney u test) </w:t>
      </w:r>
      <w:r w:rsidRPr="003342FC">
        <w:t xml:space="preserve">were conducted </w:t>
      </w:r>
      <w:r w:rsidR="00D70D35" w:rsidRPr="003342FC">
        <w:lastRenderedPageBreak/>
        <w:t>between groups</w:t>
      </w:r>
      <w:r w:rsidR="001937CE" w:rsidRPr="003342FC">
        <w:t xml:space="preserve"> </w:t>
      </w:r>
      <w:r w:rsidR="00F141DF" w:rsidRPr="003342FC">
        <w:t xml:space="preserve">(older and younger adults) </w:t>
      </w:r>
      <w:r w:rsidRPr="003342FC">
        <w:t xml:space="preserve">on each category </w:t>
      </w:r>
      <w:r w:rsidR="008B5A7C" w:rsidRPr="003342FC">
        <w:t>i</w:t>
      </w:r>
      <w:r w:rsidRPr="003342FC">
        <w:t xml:space="preserve">n each condition.  There were many comparisons so an alpha of </w:t>
      </w:r>
      <w:r w:rsidRPr="003342FC">
        <w:rPr>
          <w:i/>
        </w:rPr>
        <w:t>p</w:t>
      </w:r>
      <w:r w:rsidRPr="003342FC">
        <w:t xml:space="preserve"> &lt;.01 was adopted, to try to minimise Type I errors at the same time as </w:t>
      </w:r>
      <w:r w:rsidR="00D40C82" w:rsidRPr="003342FC">
        <w:t>avoiding an excessive increase in</w:t>
      </w:r>
      <w:r w:rsidRPr="003342FC">
        <w:t xml:space="preserve"> the</w:t>
      </w:r>
      <w:r w:rsidR="00D40C82" w:rsidRPr="003342FC">
        <w:t xml:space="preserve"> risk of Type II error.  </w:t>
      </w:r>
      <w:r w:rsidR="00CD2491" w:rsidRPr="003342FC">
        <w:t>Some categories were very infrequent and/or showed no significant differences between groups on any of the six conditions, notably, Maintaining</w:t>
      </w:r>
      <w:r w:rsidR="00D95930" w:rsidRPr="003342FC">
        <w:t>/ Attending to</w:t>
      </w:r>
      <w:r w:rsidR="00CD2491" w:rsidRPr="003342FC">
        <w:t xml:space="preserve"> Existing Social </w:t>
      </w:r>
      <w:r w:rsidR="00D95930" w:rsidRPr="003342FC">
        <w:t xml:space="preserve">Connections/ </w:t>
      </w:r>
      <w:r w:rsidR="00CD2491" w:rsidRPr="003342FC">
        <w:t>Relationships, A</w:t>
      </w:r>
      <w:r w:rsidR="00D95930" w:rsidRPr="003342FC">
        <w:t>spects of Eudaimonic Well-being</w:t>
      </w:r>
      <w:r w:rsidR="00CD2491" w:rsidRPr="003342FC">
        <w:t>, Practical/</w:t>
      </w:r>
      <w:r w:rsidR="00D95930" w:rsidRPr="003342FC">
        <w:t xml:space="preserve"> </w:t>
      </w:r>
      <w:r w:rsidR="00CD2491" w:rsidRPr="003342FC">
        <w:t>Political Issues, and New</w:t>
      </w:r>
      <w:r w:rsidR="00D95930" w:rsidRPr="003342FC">
        <w:t xml:space="preserve">/ Different </w:t>
      </w:r>
      <w:r w:rsidR="00CD2491" w:rsidRPr="003342FC">
        <w:t>Experiences</w:t>
      </w:r>
      <w:r w:rsidR="00D95930" w:rsidRPr="003342FC">
        <w:t>/ Change/ New Things</w:t>
      </w:r>
      <w:r w:rsidR="00CD2491" w:rsidRPr="003342FC">
        <w:t>.  Not surprisingly, younger adults gave more responses related to Work/Education across all conditions (</w:t>
      </w:r>
      <w:r w:rsidR="002C20DE" w:rsidRPr="003342FC">
        <w:t xml:space="preserve">either </w:t>
      </w:r>
      <w:r w:rsidR="002C20DE" w:rsidRPr="003342FC">
        <w:rPr>
          <w:i/>
        </w:rPr>
        <w:t>p</w:t>
      </w:r>
      <w:r w:rsidR="002C20DE" w:rsidRPr="003342FC">
        <w:t xml:space="preserve"> = .001 or </w:t>
      </w:r>
      <w:r w:rsidR="002C20DE" w:rsidRPr="003342FC">
        <w:rPr>
          <w:i/>
        </w:rPr>
        <w:t>p</w:t>
      </w:r>
      <w:r w:rsidR="002C20DE" w:rsidRPr="003342FC">
        <w:t xml:space="preserve"> </w:t>
      </w:r>
      <w:r w:rsidR="00CD2491" w:rsidRPr="003342FC">
        <w:t xml:space="preserve">&lt;.001).  Consistent with SST, younger adults gave more responses connected to Creating New </w:t>
      </w:r>
      <w:r w:rsidR="003C0818" w:rsidRPr="003342FC">
        <w:t xml:space="preserve">Social </w:t>
      </w:r>
      <w:r w:rsidR="00D95930" w:rsidRPr="003342FC">
        <w:t xml:space="preserve">Connections/ </w:t>
      </w:r>
      <w:r w:rsidR="003C0818" w:rsidRPr="003342FC">
        <w:t>Relationships, for both positive and n</w:t>
      </w:r>
      <w:r w:rsidR="00CD2491" w:rsidRPr="003342FC">
        <w:t xml:space="preserve">egative conditions </w:t>
      </w:r>
      <w:r w:rsidR="003C0818" w:rsidRPr="003342FC">
        <w:t>for the next 5-10 y</w:t>
      </w:r>
      <w:r w:rsidR="00CD2491" w:rsidRPr="003342FC">
        <w:t xml:space="preserve">ears only (both </w:t>
      </w:r>
      <w:r w:rsidR="00CD2491" w:rsidRPr="003342FC">
        <w:rPr>
          <w:i/>
        </w:rPr>
        <w:t>p</w:t>
      </w:r>
      <w:r w:rsidR="00CD2491" w:rsidRPr="003342FC">
        <w:t xml:space="preserve"> &lt;.001).  Finally, and also consistent with SST, older adults gave more Activity</w:t>
      </w:r>
      <w:r w:rsidR="00D95930" w:rsidRPr="003342FC">
        <w:t>/ Occupation</w:t>
      </w:r>
      <w:r w:rsidR="00CD2491" w:rsidRPr="003342FC">
        <w:t xml:space="preserve"> res</w:t>
      </w:r>
      <w:r w:rsidR="003C0818" w:rsidRPr="003342FC">
        <w:t>ponses than younger adults for things looked forward to over the next week</w:t>
      </w:r>
      <w:r w:rsidR="00CD2491" w:rsidRPr="003342FC">
        <w:t xml:space="preserve"> (</w:t>
      </w:r>
      <w:r w:rsidR="00CD2491" w:rsidRPr="003342FC">
        <w:rPr>
          <w:i/>
        </w:rPr>
        <w:t>p</w:t>
      </w:r>
      <w:r w:rsidR="00CD2491" w:rsidRPr="003342FC">
        <w:t xml:space="preserve"> &lt;.001).  Older adults gave more responses related to </w:t>
      </w:r>
      <w:r w:rsidR="00D95930" w:rsidRPr="003342FC">
        <w:t>H</w:t>
      </w:r>
      <w:r w:rsidR="00CD2491" w:rsidRPr="003342FC">
        <w:t>ealth</w:t>
      </w:r>
      <w:r w:rsidR="00D95930" w:rsidRPr="003342FC">
        <w:t xml:space="preserve"> and Welfare</w:t>
      </w:r>
      <w:r w:rsidR="00CD2491" w:rsidRPr="003342FC">
        <w:t xml:space="preserve"> for all conditions, with the exception of </w:t>
      </w:r>
      <w:r w:rsidR="003C0818" w:rsidRPr="003342FC">
        <w:t>things looked forward to over the next week</w:t>
      </w:r>
      <w:r w:rsidR="00CD2491" w:rsidRPr="003342FC">
        <w:t xml:space="preserve"> (</w:t>
      </w:r>
      <w:r w:rsidR="003C0818" w:rsidRPr="003342FC">
        <w:rPr>
          <w:i/>
        </w:rPr>
        <w:t>p</w:t>
      </w:r>
      <w:r w:rsidR="003C0818" w:rsidRPr="003342FC">
        <w:t>’s ranged from .006 to &lt;.001).</w:t>
      </w:r>
    </w:p>
    <w:p w14:paraId="2170AB97" w14:textId="54D2ACEF" w:rsidR="00C50BD0" w:rsidRPr="003342FC" w:rsidRDefault="00C50BD0" w:rsidP="003A5B87">
      <w:pPr>
        <w:pStyle w:val="Heading1"/>
      </w:pPr>
      <w:r w:rsidRPr="003342FC">
        <w:t>Discussion</w:t>
      </w:r>
    </w:p>
    <w:p w14:paraId="23DDA58C" w14:textId="19D02769" w:rsidR="00CD2491" w:rsidRPr="003342FC" w:rsidRDefault="00CD2491" w:rsidP="00EC2D3C">
      <w:pPr>
        <w:spacing w:line="480" w:lineRule="auto"/>
        <w:ind w:firstLine="720"/>
        <w:jc w:val="left"/>
      </w:pPr>
      <w:r w:rsidRPr="003342FC">
        <w:t>The present study used</w:t>
      </w:r>
      <w:r w:rsidR="00685F75" w:rsidRPr="003342FC">
        <w:t>, for the first time,</w:t>
      </w:r>
      <w:r w:rsidRPr="003342FC">
        <w:t xml:space="preserve"> a measure of future-directed thinking to examine differences between older and younger adults in the amount and type of positive and negative thoughts they have for different future time periods.  The study also examined the relationship between life satisfaction and the presence of positive and negative thoughts for the different time periods</w:t>
      </w:r>
      <w:r w:rsidR="00676544" w:rsidRPr="003342FC">
        <w:t>, as well as the content of future thoughts</w:t>
      </w:r>
      <w:r w:rsidRPr="003342FC">
        <w:t>.</w:t>
      </w:r>
    </w:p>
    <w:p w14:paraId="146149FF" w14:textId="1492B352" w:rsidR="00F16464" w:rsidRPr="003342FC" w:rsidRDefault="00AC0DB9" w:rsidP="00EC2D3C">
      <w:pPr>
        <w:spacing w:line="480" w:lineRule="auto"/>
        <w:ind w:firstLine="720"/>
        <w:jc w:val="left"/>
      </w:pPr>
      <w:r w:rsidRPr="003342FC">
        <w:t>A key finding was</w:t>
      </w:r>
      <w:r w:rsidR="00895800" w:rsidRPr="003342FC">
        <w:t xml:space="preserve"> the generally reduced number of </w:t>
      </w:r>
      <w:r w:rsidRPr="003342FC">
        <w:t>thoughts about the future in older adults compared to younger adults</w:t>
      </w:r>
      <w:r w:rsidR="00895800" w:rsidRPr="003342FC">
        <w:t>,</w:t>
      </w:r>
      <w:r w:rsidR="00AE4036" w:rsidRPr="003342FC">
        <w:t xml:space="preserve"> with the exception of </w:t>
      </w:r>
      <w:r w:rsidR="00895800" w:rsidRPr="003342FC">
        <w:t>tho</w:t>
      </w:r>
      <w:r w:rsidR="00AE4036" w:rsidRPr="003342FC">
        <w:t xml:space="preserve">ughts about the </w:t>
      </w:r>
      <w:r w:rsidR="00AE4036" w:rsidRPr="003342FC">
        <w:lastRenderedPageBreak/>
        <w:t>next week.  This finding</w:t>
      </w:r>
      <w:r w:rsidRPr="003342FC">
        <w:t xml:space="preserve"> </w:t>
      </w:r>
      <w:r w:rsidR="00AE4036" w:rsidRPr="003342FC">
        <w:t>is</w:t>
      </w:r>
      <w:r w:rsidR="0079673E" w:rsidRPr="003342FC">
        <w:t xml:space="preserve"> </w:t>
      </w:r>
      <w:r w:rsidR="00895800" w:rsidRPr="003342FC">
        <w:t>consistent with SST</w:t>
      </w:r>
      <w:r w:rsidR="00AE4036" w:rsidRPr="003342FC">
        <w:t xml:space="preserve"> (Carstensen et al., 1999)</w:t>
      </w:r>
      <w:r w:rsidR="00895800" w:rsidRPr="003342FC">
        <w:t>.</w:t>
      </w:r>
      <w:r w:rsidR="0079673E" w:rsidRPr="003342FC">
        <w:t xml:space="preserve"> </w:t>
      </w:r>
      <w:r w:rsidR="002F1801" w:rsidRPr="003342FC">
        <w:t xml:space="preserve"> </w:t>
      </w:r>
      <w:r w:rsidR="0079673E" w:rsidRPr="003342FC">
        <w:t xml:space="preserve">SST emphasises the </w:t>
      </w:r>
      <w:r w:rsidRPr="003342FC">
        <w:t xml:space="preserve">relationship between aging and </w:t>
      </w:r>
      <w:r w:rsidR="00AE4036" w:rsidRPr="003342FC">
        <w:t xml:space="preserve">increased </w:t>
      </w:r>
      <w:r w:rsidR="0079673E" w:rsidRPr="003342FC">
        <w:t xml:space="preserve">focus on the present </w:t>
      </w:r>
      <w:r w:rsidRPr="003342FC">
        <w:t>rather than the fut</w:t>
      </w:r>
      <w:r w:rsidR="007C1B21" w:rsidRPr="003342FC">
        <w:t xml:space="preserve">ure, although in fact it may </w:t>
      </w:r>
      <w:r w:rsidRPr="003342FC">
        <w:t>be more accurate to c</w:t>
      </w:r>
      <w:r w:rsidR="001937CE" w:rsidRPr="003342FC">
        <w:t>onsider</w:t>
      </w:r>
      <w:r w:rsidRPr="003342FC">
        <w:t xml:space="preserve"> this a focus on what might be called the </w:t>
      </w:r>
      <w:r w:rsidRPr="003342FC">
        <w:rPr>
          <w:i/>
        </w:rPr>
        <w:t>present future</w:t>
      </w:r>
      <w:r w:rsidR="007C1B21" w:rsidRPr="003342FC">
        <w:t>.  P</w:t>
      </w:r>
      <w:r w:rsidRPr="003342FC">
        <w:t>resent future anticipations</w:t>
      </w:r>
      <w:r w:rsidR="002F1801" w:rsidRPr="003342FC">
        <w:t>, as well as being closer,</w:t>
      </w:r>
      <w:r w:rsidRPr="003342FC">
        <w:t xml:space="preserve"> </w:t>
      </w:r>
      <w:r w:rsidR="00711E99" w:rsidRPr="003342FC">
        <w:t>would be expected to be more</w:t>
      </w:r>
      <w:r w:rsidRPr="003342FC">
        <w:t xml:space="preserve"> specific, definite and typically smaller scale than anticipations for the more distant future</w:t>
      </w:r>
      <w:r w:rsidR="002F1801" w:rsidRPr="003342FC">
        <w:t xml:space="preserve"> </w:t>
      </w:r>
      <w:r w:rsidRPr="003342FC">
        <w:t>(</w:t>
      </w:r>
      <w:r w:rsidR="00084FA2" w:rsidRPr="003342FC">
        <w:t>e.g.</w:t>
      </w:r>
      <w:r w:rsidR="00C3033C" w:rsidRPr="003342FC">
        <w:t xml:space="preserve">, </w:t>
      </w:r>
      <w:r w:rsidRPr="003342FC">
        <w:t>Trope &amp; Liberman, 2010)</w:t>
      </w:r>
      <w:r w:rsidR="00F16464" w:rsidRPr="003342FC">
        <w:t xml:space="preserve">.  </w:t>
      </w:r>
      <w:r w:rsidR="00685F75" w:rsidRPr="003342FC">
        <w:t xml:space="preserve">Typical examples of these responses in </w:t>
      </w:r>
      <w:r w:rsidR="000D5D11" w:rsidRPr="003342FC">
        <w:t xml:space="preserve">the older adult group were ‘going to the cinema’, ‘going to </w:t>
      </w:r>
      <w:r w:rsidR="009140E4" w:rsidRPr="003342FC">
        <w:t>clubs’</w:t>
      </w:r>
      <w:r w:rsidR="000E59A7" w:rsidRPr="003342FC">
        <w:t xml:space="preserve"> and</w:t>
      </w:r>
      <w:r w:rsidR="002E744B" w:rsidRPr="003342FC">
        <w:t xml:space="preserve"> ‘playing tennis</w:t>
      </w:r>
      <w:r w:rsidR="000D5D11" w:rsidRPr="003342FC">
        <w:t>’.</w:t>
      </w:r>
      <w:r w:rsidR="008F5B1B" w:rsidRPr="003342FC">
        <w:t xml:space="preserve"> </w:t>
      </w:r>
      <w:r w:rsidR="00685F75" w:rsidRPr="003342FC">
        <w:t xml:space="preserve"> These responses illustrate another finding consistent with SST, in that older adults gave more positive responses in the next week that were related to leisure and activities, experiences that are more likely to be related to providing a source of immediate well-being.  In contrast, younger adults provided significantly more thoughts than older adul</w:t>
      </w:r>
      <w:r w:rsidR="000E59A7" w:rsidRPr="003342FC">
        <w:t xml:space="preserve">ts </w:t>
      </w:r>
      <w:r w:rsidR="00685F75" w:rsidRPr="003342FC">
        <w:t>related to creating new relationships</w:t>
      </w:r>
      <w:r w:rsidR="000E59A7" w:rsidRPr="003342FC">
        <w:t xml:space="preserve"> in the longer term</w:t>
      </w:r>
      <w:r w:rsidR="008F5B1B" w:rsidRPr="003342FC">
        <w:t xml:space="preserve">. </w:t>
      </w:r>
      <w:r w:rsidR="00685F75" w:rsidRPr="003342FC">
        <w:t xml:space="preserve"> The prevalence of thoughts related to work/education in the younger adult group is not surprising</w:t>
      </w:r>
      <w:r w:rsidR="000E59A7" w:rsidRPr="003342FC">
        <w:t>, given the different life stages and circumstances.  Similarly, o</w:t>
      </w:r>
      <w:r w:rsidR="00685F75" w:rsidRPr="003342FC">
        <w:t xml:space="preserve">lder adults giving more responses related to health for almost all </w:t>
      </w:r>
      <w:r w:rsidR="000E59A7" w:rsidRPr="003342FC">
        <w:t>the conditions</w:t>
      </w:r>
      <w:r w:rsidR="00685F75" w:rsidRPr="003342FC">
        <w:t xml:space="preserve"> illustrates the salience of thinking about their health, either positively or negatively, for the older adult group.</w:t>
      </w:r>
    </w:p>
    <w:p w14:paraId="081DA81B" w14:textId="405A4C7C" w:rsidR="00AC0DB9" w:rsidRPr="003342FC" w:rsidRDefault="00AC0DB9" w:rsidP="00EC2D3C">
      <w:pPr>
        <w:spacing w:line="480" w:lineRule="auto"/>
        <w:ind w:firstLine="720"/>
        <w:jc w:val="left"/>
      </w:pPr>
      <w:r w:rsidRPr="003342FC">
        <w:t xml:space="preserve">The </w:t>
      </w:r>
      <w:r w:rsidR="00685F75" w:rsidRPr="003342FC">
        <w:t xml:space="preserve">difference between groups in the amount of thoughts for the future </w:t>
      </w:r>
      <w:r w:rsidR="002C20DE" w:rsidRPr="003342FC">
        <w:t>emerged</w:t>
      </w:r>
      <w:r w:rsidR="00685F75" w:rsidRPr="003342FC">
        <w:t xml:space="preserve"> </w:t>
      </w:r>
      <w:r w:rsidR="008F5B1B" w:rsidRPr="003342FC">
        <w:t xml:space="preserve">between one week and one year. </w:t>
      </w:r>
      <w:r w:rsidR="00685F75" w:rsidRPr="003342FC">
        <w:t xml:space="preserve"> The jump between these two future time periods leaves</w:t>
      </w:r>
      <w:r w:rsidRPr="003342FC">
        <w:t xml:space="preserve"> unanswered the question of how far into the future this period of the present future extends, </w:t>
      </w:r>
      <w:r w:rsidR="00685F75" w:rsidRPr="003342FC">
        <w:t>how far into the future the</w:t>
      </w:r>
      <w:r w:rsidR="007C1B21" w:rsidRPr="003342FC">
        <w:t xml:space="preserve"> anticipation of older adults remains</w:t>
      </w:r>
      <w:r w:rsidRPr="003342FC">
        <w:t xml:space="preserve"> compara</w:t>
      </w:r>
      <w:r w:rsidR="008F5B1B" w:rsidRPr="003342FC">
        <w:t xml:space="preserve">ble to that of younger adults. </w:t>
      </w:r>
      <w:r w:rsidR="00AE4036" w:rsidRPr="003342FC">
        <w:t xml:space="preserve"> </w:t>
      </w:r>
      <w:r w:rsidRPr="003342FC">
        <w:t>Jumentier and Barsics (2018)</w:t>
      </w:r>
      <w:r w:rsidR="00AE4036" w:rsidRPr="003342FC">
        <w:t xml:space="preserve">, using a word-cuing methodology to elicit future thoughts, found older adults to be less specific than younger adults in their future representations, both when cued to think about events in the next year and the next five to ten years.  This study did not include </w:t>
      </w:r>
      <w:r w:rsidR="00AE4036" w:rsidRPr="003342FC">
        <w:lastRenderedPageBreak/>
        <w:t xml:space="preserve">future time frame shorter than one year.  It would therefore appear that differences between older and younger adults in their future-thinking </w:t>
      </w:r>
      <w:r w:rsidR="007C1B21" w:rsidRPr="003342FC">
        <w:t>are already established</w:t>
      </w:r>
      <w:r w:rsidR="00AE4036" w:rsidRPr="003342FC">
        <w:t xml:space="preserve"> at a projected distance of one year into the fu</w:t>
      </w:r>
      <w:r w:rsidR="00685F75" w:rsidRPr="003342FC">
        <w:t xml:space="preserve">ture, but it remains to establish </w:t>
      </w:r>
      <w:r w:rsidR="00AE4036" w:rsidRPr="003342FC">
        <w:t>when</w:t>
      </w:r>
      <w:r w:rsidR="00685F75" w:rsidRPr="003342FC">
        <w:t>,</w:t>
      </w:r>
      <w:r w:rsidR="00AE4036" w:rsidRPr="003342FC">
        <w:t xml:space="preserve"> over the co</w:t>
      </w:r>
      <w:r w:rsidR="00685F75" w:rsidRPr="003342FC">
        <w:t xml:space="preserve">urse of the next year, </w:t>
      </w:r>
      <w:r w:rsidR="00AE4036" w:rsidRPr="003342FC">
        <w:t>th</w:t>
      </w:r>
      <w:r w:rsidR="00685F75" w:rsidRPr="003342FC">
        <w:t>ese differences start to emerge; in other words how far does the present future extend?</w:t>
      </w:r>
      <w:r w:rsidR="00AF3EC5" w:rsidRPr="003342FC">
        <w:t xml:space="preserve"> </w:t>
      </w:r>
    </w:p>
    <w:p w14:paraId="60FEB71A" w14:textId="6A2BD095" w:rsidR="00895800" w:rsidRPr="003342FC" w:rsidRDefault="00CD4CE6" w:rsidP="00EC2D3C">
      <w:pPr>
        <w:spacing w:line="480" w:lineRule="auto"/>
        <w:ind w:firstLine="720"/>
        <w:jc w:val="left"/>
      </w:pPr>
      <w:r w:rsidRPr="003342FC">
        <w:t xml:space="preserve">The second main finding was that within the older adult group the presence of negative thoughts about the next year and the next 5-10 years, but not the next week, were implicated in (low) life satisfaction.  It is perhaps not surprising </w:t>
      </w:r>
      <w:r w:rsidR="00E30817" w:rsidRPr="003342FC">
        <w:t>that, especially as people age, thoughts about the presence of adversity and negative outcomes in the medium to longer</w:t>
      </w:r>
      <w:r w:rsidR="00685F75" w:rsidRPr="003342FC">
        <w:t>-term future are linked to a lower</w:t>
      </w:r>
      <w:r w:rsidR="00E30817" w:rsidRPr="003342FC">
        <w:t xml:space="preserve"> sense of well-being.  Interestingly, the correlation between life satisfaction and the presence of negative future thoughts was not a function of chronological age within the older adult group.  Perhaps as SST (Cars</w:t>
      </w:r>
      <w:r w:rsidR="00685F75" w:rsidRPr="003342FC">
        <w:t>tensen et al., 1999)</w:t>
      </w:r>
      <w:r w:rsidR="00D70D35" w:rsidRPr="003342FC">
        <w:t xml:space="preserve"> </w:t>
      </w:r>
      <w:r w:rsidR="00685F75" w:rsidRPr="003342FC">
        <w:t>would suggest</w:t>
      </w:r>
      <w:r w:rsidR="00E30817" w:rsidRPr="003342FC">
        <w:t xml:space="preserve">, it is the subjective sense of time being limited rather than chronological age </w:t>
      </w:r>
      <w:r w:rsidR="00E30817" w:rsidRPr="003342FC">
        <w:rPr>
          <w:i/>
        </w:rPr>
        <w:t>per se</w:t>
      </w:r>
      <w:r w:rsidR="00E30817" w:rsidRPr="003342FC">
        <w:t xml:space="preserve">, that might be important.  </w:t>
      </w:r>
      <w:r w:rsidR="00685F75" w:rsidRPr="003342FC">
        <w:t xml:space="preserve">Future research could certainly usefully include a measure of time perspective.  </w:t>
      </w:r>
      <w:r w:rsidRPr="003342FC">
        <w:t>It is not clear why positive thoughts were unrelated to well-being in either the older or younger adult groups, particularly as the presence of positive thoughts has previously been found to be</w:t>
      </w:r>
      <w:r w:rsidR="00E30817" w:rsidRPr="003342FC">
        <w:t xml:space="preserve"> related to life satisfaction in a sample that had a wide age range (MacLeod &amp; Conway, 2005).  Short term thinking, positive or negative, was unrelated to well-being, again somewhat surprisingly.  It may be that short term thinking is more linked to other</w:t>
      </w:r>
      <w:r w:rsidR="002C20DE" w:rsidRPr="003342FC">
        <w:t>, more labile</w:t>
      </w:r>
      <w:r w:rsidR="00E30817" w:rsidRPr="003342FC">
        <w:t xml:space="preserve"> aspects of well-being, for example, current affective states that might be more </w:t>
      </w:r>
      <w:r w:rsidR="002C20DE" w:rsidRPr="003342FC">
        <w:t>influenced by</w:t>
      </w:r>
      <w:r w:rsidR="00E30817" w:rsidRPr="003342FC">
        <w:t xml:space="preserve"> near-future anticipation.  </w:t>
      </w:r>
      <w:r w:rsidR="00E05B1C" w:rsidRPr="003342FC">
        <w:t xml:space="preserve">In fact, SST has tended to focus on more momentary positive and negative affect, the more hedonic aspects of subjective well-being (e.g., English &amp; Carstensen, 2014), as opposed to life satisfaction, which is seen as the more </w:t>
      </w:r>
      <w:r w:rsidR="00E05B1C" w:rsidRPr="003342FC">
        <w:lastRenderedPageBreak/>
        <w:t xml:space="preserve">cognitive evaluative component of subjective well-being (Diener et al., 1995).  </w:t>
      </w:r>
      <w:r w:rsidR="00E30817" w:rsidRPr="003342FC">
        <w:t xml:space="preserve">Such an explanation remains speculative but examining </w:t>
      </w:r>
      <w:r w:rsidR="00EF535F" w:rsidRPr="003342FC">
        <w:t>facets of well-being other than life satisfaction would be a useful aim for future research</w:t>
      </w:r>
      <w:r w:rsidR="00E05B1C" w:rsidRPr="003342FC">
        <w:t xml:space="preserve"> using the Future-thinking Task</w:t>
      </w:r>
      <w:r w:rsidR="00EF535F" w:rsidRPr="003342FC">
        <w:t>.</w:t>
      </w:r>
      <w:r w:rsidR="00AF3EC5" w:rsidRPr="003342FC">
        <w:t xml:space="preserve"> </w:t>
      </w:r>
      <w:r w:rsidR="00E05B1C" w:rsidRPr="003342FC">
        <w:t xml:space="preserve">  Another avenue for future research would be to examine the</w:t>
      </w:r>
      <w:r w:rsidR="00AF3EC5" w:rsidRPr="003342FC">
        <w:t xml:space="preserve"> magnitude</w:t>
      </w:r>
      <w:r w:rsidR="00536088" w:rsidRPr="003342FC">
        <w:t xml:space="preserve">, or personal importance, </w:t>
      </w:r>
      <w:r w:rsidR="00AF3EC5" w:rsidRPr="003342FC">
        <w:t>of events, beyond the number and type of events</w:t>
      </w:r>
      <w:r w:rsidR="00536088" w:rsidRPr="003342FC">
        <w:t>,</w:t>
      </w:r>
      <w:r w:rsidR="00E05B1C" w:rsidRPr="003342FC">
        <w:t xml:space="preserve"> as the present study was limited in only examining number </w:t>
      </w:r>
      <w:r w:rsidR="00536088" w:rsidRPr="003342FC">
        <w:t>and content.  Finally, it might also be useful to examine trait measures of future orientation</w:t>
      </w:r>
      <w:r w:rsidR="00E05259" w:rsidRPr="003342FC">
        <w:t>, such as the Temporal Orientation Scale (Shipp, Edwards &amp; Lambert, 2009)</w:t>
      </w:r>
      <w:r w:rsidR="00536088" w:rsidRPr="003342FC">
        <w:t xml:space="preserve">, given that in the moment future-thinking may vary over time. </w:t>
      </w:r>
    </w:p>
    <w:p w14:paraId="48770A88" w14:textId="5D90C73B" w:rsidR="00E05B1C" w:rsidRPr="003342FC" w:rsidRDefault="00B126C4" w:rsidP="00E05B1C">
      <w:pPr>
        <w:spacing w:line="480" w:lineRule="auto"/>
        <w:ind w:firstLine="720"/>
        <w:jc w:val="left"/>
      </w:pPr>
      <w:r w:rsidRPr="003342FC">
        <w:t>The use of more experimental methodologies such as the Future-thinking Task (MacLeod et al., 1993) or word cuing paradigms (e.g., Jumentier et al., 2018; Madore &amp; Schacter, 2014) can provide a usefu</w:t>
      </w:r>
      <w:r w:rsidR="002C20DE" w:rsidRPr="003342FC">
        <w:t>l supplement to existing,</w:t>
      </w:r>
      <w:r w:rsidRPr="003342FC">
        <w:t xml:space="preserve"> </w:t>
      </w:r>
      <w:r w:rsidR="00084FA2" w:rsidRPr="003342FC">
        <w:t>questionnaire-based</w:t>
      </w:r>
      <w:r w:rsidRPr="003342FC">
        <w:t xml:space="preserve"> methods for examining future-thinking in older adults.  </w:t>
      </w:r>
      <w:r w:rsidR="00084FA2" w:rsidRPr="003342FC">
        <w:t xml:space="preserve">Although such measures do rely on people providing their own subjective responses, they (a) allow people to report on their own idiographic thoughts, (b) enable an examination of the content of people’s thoughts about the future and (c) produce objective performance indicators such as latency to first response or number of response within a given time limit. </w:t>
      </w:r>
      <w:r w:rsidRPr="003342FC">
        <w:t>What is clear from the findings of the present study is that different time frames matter, both for describing how the future-thinking of older adults differs from that of younger adults and for examining how future-thinking is related to well-being</w:t>
      </w:r>
      <w:r w:rsidR="0054007A" w:rsidRPr="003342FC">
        <w:t xml:space="preserve"> and </w:t>
      </w:r>
      <w:r w:rsidR="002C20DE" w:rsidRPr="003342FC">
        <w:t xml:space="preserve">confirms previous findings </w:t>
      </w:r>
      <w:r w:rsidR="0054007A" w:rsidRPr="003342FC">
        <w:t xml:space="preserve">that positive and negative thoughts about the future are distinct </w:t>
      </w:r>
      <w:r w:rsidR="00123E48" w:rsidRPr="003342FC">
        <w:t xml:space="preserve">from each other, </w:t>
      </w:r>
      <w:r w:rsidR="002C20DE" w:rsidRPr="003342FC">
        <w:t xml:space="preserve">rather than simply </w:t>
      </w:r>
      <w:r w:rsidR="0054007A" w:rsidRPr="003342FC">
        <w:t>opposite</w:t>
      </w:r>
      <w:r w:rsidR="00123E48" w:rsidRPr="003342FC">
        <w:t xml:space="preserve"> ends of </w:t>
      </w:r>
      <w:r w:rsidR="00A97609" w:rsidRPr="003342FC">
        <w:t>a single dimension</w:t>
      </w:r>
      <w:r w:rsidRPr="003342FC">
        <w:t xml:space="preserve">. </w:t>
      </w:r>
      <w:r w:rsidR="00E05B1C" w:rsidRPr="003342FC">
        <w:t xml:space="preserve">The findings also suggest useful avenues for adapting formulation and intervention for adults as they age. For example, helping older adults to simultaneously focus less on medium to long term negative expectancies whilst </w:t>
      </w:r>
      <w:r w:rsidR="00E05B1C" w:rsidRPr="003342FC">
        <w:lastRenderedPageBreak/>
        <w:t xml:space="preserve">increasing positive expectancies in a ‘here and now’ </w:t>
      </w:r>
      <w:r w:rsidR="001304FB" w:rsidRPr="003342FC">
        <w:t>time frame could potentially contribute to helping people to age well.</w:t>
      </w:r>
    </w:p>
    <w:p w14:paraId="611EA6AA" w14:textId="227658FD" w:rsidR="00B126C4" w:rsidRPr="003342FC" w:rsidRDefault="00B126C4" w:rsidP="00EC2D3C">
      <w:pPr>
        <w:spacing w:line="480" w:lineRule="auto"/>
        <w:ind w:firstLine="720"/>
        <w:jc w:val="left"/>
      </w:pPr>
    </w:p>
    <w:p w14:paraId="666493B2" w14:textId="427B94B8" w:rsidR="00AF5F81" w:rsidRPr="003342FC" w:rsidRDefault="009445DE" w:rsidP="003A5B87">
      <w:pPr>
        <w:rPr>
          <w:b/>
        </w:rPr>
      </w:pPr>
      <w:r w:rsidRPr="003342FC">
        <w:br w:type="page"/>
      </w:r>
      <w:r w:rsidRPr="003342FC">
        <w:rPr>
          <w:b/>
        </w:rPr>
        <w:lastRenderedPageBreak/>
        <w:t>References</w:t>
      </w:r>
    </w:p>
    <w:p w14:paraId="1A0526B8" w14:textId="77777777" w:rsidR="0081516C" w:rsidRPr="003342FC" w:rsidRDefault="0081516C" w:rsidP="00EC2D3C">
      <w:pPr>
        <w:jc w:val="left"/>
      </w:pPr>
    </w:p>
    <w:p w14:paraId="71F1742E" w14:textId="0F204C26" w:rsidR="004F2F8E" w:rsidRPr="003342FC" w:rsidRDefault="004F2F8E" w:rsidP="00EC2D3C">
      <w:pPr>
        <w:spacing w:line="480" w:lineRule="auto"/>
        <w:jc w:val="left"/>
      </w:pPr>
      <w:r w:rsidRPr="003342FC">
        <w:t xml:space="preserve">Carstensen, L.L., Isaacowitz, D.M., &amp; Charles, S.T. (1999). Taking time seriously: A </w:t>
      </w:r>
      <w:r w:rsidRPr="003342FC">
        <w:tab/>
        <w:t xml:space="preserve">theory of Socioemotional Selectivity. </w:t>
      </w:r>
      <w:r w:rsidRPr="003342FC">
        <w:rPr>
          <w:i/>
        </w:rPr>
        <w:t>American Psychologist, 54</w:t>
      </w:r>
      <w:r w:rsidRPr="003342FC">
        <w:t>, 165-181.</w:t>
      </w:r>
      <w:r w:rsidR="001B1C2D" w:rsidRPr="003342FC">
        <w:tab/>
      </w:r>
      <w:r w:rsidR="001B1C2D" w:rsidRPr="003342FC">
        <w:tab/>
      </w:r>
      <w:r w:rsidRPr="003342FC">
        <w:t xml:space="preserve"> </w:t>
      </w:r>
      <w:hyperlink r:id="rId9" w:tgtFrame="_blank" w:history="1">
        <w:r w:rsidRPr="003342FC">
          <w:rPr>
            <w:shd w:val="clear" w:color="auto" w:fill="FFFFFF"/>
          </w:rPr>
          <w:t>http://dx.doi.org/10.1037/0003-066X.54.3.165</w:t>
        </w:r>
      </w:hyperlink>
    </w:p>
    <w:p w14:paraId="3C06C907" w14:textId="48DF4F82" w:rsidR="001B1C2D" w:rsidRPr="003342FC" w:rsidRDefault="001B1C2D" w:rsidP="00EC2D3C">
      <w:pPr>
        <w:spacing w:line="480" w:lineRule="auto"/>
        <w:jc w:val="left"/>
      </w:pPr>
      <w:r w:rsidRPr="003342FC">
        <w:t xml:space="preserve">Diener, E., Emmons, R.A., Larsen, R.., &amp; Griffin, S. (1985). The satisfaction with life </w:t>
      </w:r>
      <w:r w:rsidRPr="003342FC">
        <w:tab/>
        <w:t xml:space="preserve">scale. </w:t>
      </w:r>
      <w:r w:rsidRPr="003342FC">
        <w:rPr>
          <w:i/>
        </w:rPr>
        <w:t>Journal of Personality Assessment, 49,</w:t>
      </w:r>
      <w:r w:rsidRPr="003342FC">
        <w:t xml:space="preserve"> 71-75.</w:t>
      </w:r>
      <w:r w:rsidRPr="003342FC">
        <w:tab/>
      </w:r>
      <w:r w:rsidRPr="003342FC">
        <w:tab/>
      </w:r>
      <w:r w:rsidRPr="003342FC">
        <w:tab/>
      </w:r>
      <w:r w:rsidRPr="003342FC">
        <w:tab/>
      </w:r>
      <w:r w:rsidRPr="003342FC">
        <w:tab/>
        <w:t xml:space="preserve"> </w:t>
      </w:r>
      <w:hyperlink r:id="rId10" w:history="1">
        <w:r w:rsidRPr="003342FC">
          <w:rPr>
            <w:rStyle w:val="Hyperlink"/>
            <w:color w:val="auto"/>
            <w:u w:val="none"/>
          </w:rPr>
          <w:t>http://dx.doi.org/10.1207/s15327752jpa4901_13</w:t>
        </w:r>
      </w:hyperlink>
      <w:r w:rsidRPr="003342FC">
        <w:t xml:space="preserve">  </w:t>
      </w:r>
    </w:p>
    <w:p w14:paraId="31409B62" w14:textId="2464297C" w:rsidR="00854763" w:rsidRPr="003342FC" w:rsidRDefault="00854763" w:rsidP="00EC2D3C">
      <w:pPr>
        <w:spacing w:line="480" w:lineRule="auto"/>
        <w:jc w:val="left"/>
      </w:pPr>
      <w:r w:rsidRPr="003342FC">
        <w:t xml:space="preserve">English, T., &amp; Carstensen, L.L. (2014). Selective narrowing of social networks across </w:t>
      </w:r>
      <w:r w:rsidRPr="003342FC">
        <w:tab/>
        <w:t xml:space="preserve">adulthood is associated with improved emotional experience in daily life. </w:t>
      </w:r>
      <w:r w:rsidRPr="003342FC">
        <w:tab/>
      </w:r>
      <w:r w:rsidRPr="003342FC">
        <w:rPr>
          <w:i/>
        </w:rPr>
        <w:t>International Journal of Behavioural Development, 38</w:t>
      </w:r>
      <w:r w:rsidRPr="003342FC">
        <w:t>, 195-202.</w:t>
      </w:r>
    </w:p>
    <w:p w14:paraId="53FC83C8" w14:textId="0BA9CF61" w:rsidR="009445DE" w:rsidRPr="003342FC" w:rsidRDefault="009445DE" w:rsidP="00EC2D3C">
      <w:pPr>
        <w:pStyle w:val="Bibliography"/>
        <w:jc w:val="left"/>
      </w:pPr>
      <w:r w:rsidRPr="003342FC">
        <w:t xml:space="preserve">Grühn, D., Sharifian, N., &amp; Chu, Q. (2016). The limits of a limited future time perspective in explaining age differences in emotional functioning. </w:t>
      </w:r>
      <w:r w:rsidRPr="003342FC">
        <w:rPr>
          <w:i/>
          <w:iCs/>
        </w:rPr>
        <w:t>Psychology and Aging</w:t>
      </w:r>
      <w:r w:rsidRPr="003342FC">
        <w:t xml:space="preserve">, </w:t>
      </w:r>
      <w:r w:rsidRPr="003342FC">
        <w:rPr>
          <w:i/>
          <w:iCs/>
        </w:rPr>
        <w:t>31</w:t>
      </w:r>
      <w:r w:rsidRPr="003342FC">
        <w:t>(6), 583–593. https://doi.org/10.1037/pag0000060</w:t>
      </w:r>
    </w:p>
    <w:p w14:paraId="1958744A" w14:textId="2133D4DB" w:rsidR="009445DE" w:rsidRPr="003342FC" w:rsidRDefault="009445DE" w:rsidP="00EC2D3C">
      <w:pPr>
        <w:pStyle w:val="Bibliography"/>
        <w:jc w:val="left"/>
      </w:pPr>
      <w:r w:rsidRPr="003342FC">
        <w:t xml:space="preserve">Jumentier, S., Barsics, C., &amp; Van der Linden, M. (2018). Reduced specificity and enhanced subjective experience of future thinking in ageing: the influence of avoidance and emotion-regulation strategies. </w:t>
      </w:r>
      <w:r w:rsidRPr="003342FC">
        <w:rPr>
          <w:i/>
          <w:iCs/>
        </w:rPr>
        <w:t>Memory</w:t>
      </w:r>
      <w:r w:rsidRPr="003342FC">
        <w:t xml:space="preserve">, </w:t>
      </w:r>
      <w:r w:rsidRPr="003342FC">
        <w:rPr>
          <w:i/>
          <w:iCs/>
        </w:rPr>
        <w:t>26</w:t>
      </w:r>
      <w:r w:rsidRPr="003342FC">
        <w:t xml:space="preserve">(1), 59–73. </w:t>
      </w:r>
      <w:hyperlink r:id="rId11" w:history="1">
        <w:r w:rsidR="00A728D7" w:rsidRPr="003342FC">
          <w:rPr>
            <w:rStyle w:val="Hyperlink"/>
            <w:color w:val="auto"/>
            <w:u w:val="none"/>
          </w:rPr>
          <w:t>https://doi.org/10.1080/09658211.2017.1322108</w:t>
        </w:r>
      </w:hyperlink>
    </w:p>
    <w:p w14:paraId="5C7987FC" w14:textId="0FCDAB5E" w:rsidR="00A728D7" w:rsidRPr="003342FC" w:rsidRDefault="00A728D7" w:rsidP="00EC2D3C">
      <w:pPr>
        <w:spacing w:line="480" w:lineRule="auto"/>
        <w:jc w:val="left"/>
      </w:pPr>
      <w:r w:rsidRPr="003342FC">
        <w:t xml:space="preserve">Kotter-Gruhn, D., &amp; Smith, J. (2011). When time is running out: changes in positive </w:t>
      </w:r>
      <w:r w:rsidRPr="003342FC">
        <w:tab/>
        <w:t xml:space="preserve">future perception and their relationships to changes in well-being in old age. </w:t>
      </w:r>
      <w:r w:rsidRPr="003342FC">
        <w:tab/>
      </w:r>
      <w:r w:rsidRPr="003342FC">
        <w:rPr>
          <w:i/>
        </w:rPr>
        <w:t>Psychology and Aging, 26,</w:t>
      </w:r>
      <w:r w:rsidRPr="003342FC">
        <w:t xml:space="preserve"> 381-387.</w:t>
      </w:r>
      <w:r w:rsidR="004F2F8E" w:rsidRPr="003342FC">
        <w:t xml:space="preserve"> http://dx.doi.org/10.1037/a0022223</w:t>
      </w:r>
      <w:r w:rsidRPr="003342FC">
        <w:t xml:space="preserve"> </w:t>
      </w:r>
    </w:p>
    <w:p w14:paraId="7EF7D1C5" w14:textId="675E3A2C" w:rsidR="00BD2553" w:rsidRPr="003342FC" w:rsidRDefault="00BD2553" w:rsidP="00EC2D3C">
      <w:pPr>
        <w:spacing w:line="480" w:lineRule="auto"/>
        <w:jc w:val="left"/>
        <w:rPr>
          <w:rFonts w:eastAsia="Times New Roman"/>
          <w:color w:val="333333"/>
          <w:sz w:val="20"/>
          <w:szCs w:val="20"/>
          <w:lang w:eastAsia="en-GB"/>
        </w:rPr>
      </w:pPr>
      <w:r w:rsidRPr="003342FC">
        <w:t xml:space="preserve">Kozora, E., &amp; Cullum, C.M. (1995). Generative naming in normal aging: Total output </w:t>
      </w:r>
      <w:r w:rsidRPr="003342FC">
        <w:tab/>
        <w:t xml:space="preserve">and qualitative changes using phonemic and semantic restraints. </w:t>
      </w:r>
      <w:r w:rsidRPr="003342FC">
        <w:rPr>
          <w:i/>
        </w:rPr>
        <w:t xml:space="preserve">Clinical </w:t>
      </w:r>
      <w:r w:rsidRPr="003342FC">
        <w:rPr>
          <w:i/>
        </w:rPr>
        <w:tab/>
        <w:t>Neuropsychologist, 9,</w:t>
      </w:r>
      <w:r w:rsidRPr="003342FC">
        <w:t xml:space="preserve"> 323-320. </w:t>
      </w:r>
      <w:hyperlink r:id="rId12" w:history="1">
        <w:r w:rsidRPr="003342FC">
          <w:rPr>
            <w:rFonts w:eastAsia="Times New Roman"/>
            <w:lang w:eastAsia="en-GB"/>
          </w:rPr>
          <w:t>https://doi.org/10.1080/13854049508400495</w:t>
        </w:r>
      </w:hyperlink>
    </w:p>
    <w:p w14:paraId="7171EC2F" w14:textId="410D55FB" w:rsidR="009445DE" w:rsidRPr="003342FC" w:rsidRDefault="009445DE" w:rsidP="00EC2D3C">
      <w:pPr>
        <w:pStyle w:val="Bibliography"/>
        <w:ind w:left="0" w:firstLine="0"/>
        <w:jc w:val="left"/>
      </w:pPr>
      <w:r w:rsidRPr="003342FC">
        <w:lastRenderedPageBreak/>
        <w:t xml:space="preserve">Lang, F. R., &amp; Carstensen, L. L. (2002). Time counts: Future time perspective, goals, </w:t>
      </w:r>
      <w:r w:rsidR="00BD2553" w:rsidRPr="003342FC">
        <w:tab/>
      </w:r>
      <w:r w:rsidRPr="003342FC">
        <w:t xml:space="preserve">and social relationships. </w:t>
      </w:r>
      <w:r w:rsidRPr="003342FC">
        <w:rPr>
          <w:i/>
          <w:iCs/>
        </w:rPr>
        <w:t>Psychology and Aging</w:t>
      </w:r>
      <w:r w:rsidRPr="003342FC">
        <w:t xml:space="preserve">, </w:t>
      </w:r>
      <w:r w:rsidRPr="003342FC">
        <w:rPr>
          <w:i/>
          <w:iCs/>
        </w:rPr>
        <w:t>17</w:t>
      </w:r>
      <w:r w:rsidRPr="003342FC">
        <w:t xml:space="preserve">(1), 125–139. </w:t>
      </w:r>
      <w:r w:rsidR="00BD2553" w:rsidRPr="003342FC">
        <w:tab/>
      </w:r>
      <w:r w:rsidR="00BD2553" w:rsidRPr="003342FC">
        <w:tab/>
      </w:r>
      <w:hyperlink r:id="rId13" w:history="1">
        <w:r w:rsidR="00BD2553" w:rsidRPr="003342FC">
          <w:rPr>
            <w:rStyle w:val="Hyperlink"/>
            <w:color w:val="auto"/>
            <w:u w:val="none"/>
          </w:rPr>
          <w:t>https://doi.org/10.1037//0882-7974.17.1.125</w:t>
        </w:r>
      </w:hyperlink>
    </w:p>
    <w:p w14:paraId="71C356B1" w14:textId="37A85686" w:rsidR="00BD2553" w:rsidRPr="003342FC" w:rsidRDefault="00BD2553" w:rsidP="00EC2D3C">
      <w:pPr>
        <w:spacing w:line="480" w:lineRule="auto"/>
        <w:jc w:val="left"/>
      </w:pPr>
      <w:r w:rsidRPr="003342FC">
        <w:t xml:space="preserve">Lezak, M.D., Howieson, D.B., Bigler, E.D., &amp; Tranel, D. (2012). </w:t>
      </w:r>
      <w:r w:rsidRPr="003342FC">
        <w:rPr>
          <w:i/>
        </w:rPr>
        <w:t xml:space="preserve">Neuropsychological </w:t>
      </w:r>
      <w:r w:rsidRPr="003342FC">
        <w:rPr>
          <w:i/>
        </w:rPr>
        <w:tab/>
        <w:t>Assessment (5</w:t>
      </w:r>
      <w:r w:rsidRPr="003342FC">
        <w:rPr>
          <w:i/>
          <w:vertAlign w:val="superscript"/>
        </w:rPr>
        <w:t>th</w:t>
      </w:r>
      <w:r w:rsidRPr="003342FC">
        <w:rPr>
          <w:i/>
        </w:rPr>
        <w:t xml:space="preserve"> Ed). </w:t>
      </w:r>
      <w:r w:rsidRPr="003342FC">
        <w:t xml:space="preserve">New York, USA: Oxford University Press. </w:t>
      </w:r>
    </w:p>
    <w:p w14:paraId="3A7EB4D8" w14:textId="77777777" w:rsidR="009445DE" w:rsidRPr="003342FC" w:rsidRDefault="009445DE" w:rsidP="00EC2D3C">
      <w:pPr>
        <w:pStyle w:val="Bibliography"/>
        <w:jc w:val="left"/>
      </w:pPr>
      <w:r w:rsidRPr="003342FC">
        <w:t xml:space="preserve">MacLeod, A. K. (2017). </w:t>
      </w:r>
      <w:r w:rsidRPr="003342FC">
        <w:rPr>
          <w:i/>
          <w:iCs/>
        </w:rPr>
        <w:t>Prospection, well-being and mental health</w:t>
      </w:r>
      <w:r w:rsidRPr="003342FC">
        <w:t>. Oxford: Oxford University Press.</w:t>
      </w:r>
    </w:p>
    <w:p w14:paraId="29ECA05B" w14:textId="77777777" w:rsidR="009445DE" w:rsidRPr="003342FC" w:rsidRDefault="009445DE" w:rsidP="00EC2D3C">
      <w:pPr>
        <w:pStyle w:val="Bibliography"/>
        <w:jc w:val="left"/>
      </w:pPr>
      <w:r w:rsidRPr="003342FC">
        <w:t xml:space="preserve">MacLeod, A. K., &amp; Byrne, A. (1996). Anxiety, depression, and the anticipation of future positive and negative experiences. </w:t>
      </w:r>
      <w:r w:rsidRPr="003342FC">
        <w:rPr>
          <w:i/>
          <w:iCs/>
        </w:rPr>
        <w:t>Journal of Abnormal Psychology</w:t>
      </w:r>
      <w:r w:rsidRPr="003342FC">
        <w:t xml:space="preserve">, </w:t>
      </w:r>
      <w:r w:rsidRPr="003342FC">
        <w:rPr>
          <w:i/>
          <w:iCs/>
        </w:rPr>
        <w:t>105</w:t>
      </w:r>
      <w:r w:rsidRPr="003342FC">
        <w:t>(2), 286–289. https://doi.org/10.1037/0021-843X.105.2.286</w:t>
      </w:r>
    </w:p>
    <w:p w14:paraId="79CD1D3F" w14:textId="3B0AE652" w:rsidR="00D23E9B" w:rsidRPr="003342FC" w:rsidRDefault="009445DE">
      <w:pPr>
        <w:pStyle w:val="Bibliography"/>
        <w:jc w:val="left"/>
      </w:pPr>
      <w:r w:rsidRPr="003342FC">
        <w:t>MacLeod, A. K., &amp; Conway, C. (2005). Well</w:t>
      </w:r>
      <w:r w:rsidRPr="003342FC">
        <w:rPr>
          <w:rFonts w:ascii="Cambria Math" w:hAnsi="Cambria Math" w:cs="Cambria Math"/>
        </w:rPr>
        <w:t>‐</w:t>
      </w:r>
      <w:r w:rsidRPr="003342FC">
        <w:t xml:space="preserve">being and the anticipation of future positive experiences: The role of income, social networks, and planning ability. </w:t>
      </w:r>
      <w:r w:rsidRPr="003342FC">
        <w:rPr>
          <w:i/>
          <w:iCs/>
        </w:rPr>
        <w:t>Cognition &amp; Emotion</w:t>
      </w:r>
      <w:r w:rsidRPr="003342FC">
        <w:t xml:space="preserve">, </w:t>
      </w:r>
      <w:r w:rsidRPr="003342FC">
        <w:rPr>
          <w:i/>
          <w:iCs/>
        </w:rPr>
        <w:t>19</w:t>
      </w:r>
      <w:r w:rsidR="001B1C2D" w:rsidRPr="003342FC">
        <w:t xml:space="preserve">(3), 357–374. </w:t>
      </w:r>
      <w:r w:rsidR="00D23E9B" w:rsidRPr="003342FC">
        <w:t>https://doi.org/10.1080/02699930441000247</w:t>
      </w:r>
    </w:p>
    <w:p w14:paraId="5668EE7E" w14:textId="159FC49A" w:rsidR="00D23E9B" w:rsidRPr="003342FC" w:rsidRDefault="00D23E9B" w:rsidP="00854763">
      <w:pPr>
        <w:spacing w:line="480" w:lineRule="auto"/>
        <w:jc w:val="left"/>
      </w:pPr>
      <w:r w:rsidRPr="003342FC">
        <w:t xml:space="preserve">MacLeod, A.K., &amp; Conway, C. (2007). Well-being and positive future thinking for the </w:t>
      </w:r>
      <w:r w:rsidR="001937CE" w:rsidRPr="003342FC">
        <w:tab/>
      </w:r>
      <w:r w:rsidRPr="003342FC">
        <w:t xml:space="preserve">self versus others. </w:t>
      </w:r>
      <w:r w:rsidRPr="003342FC">
        <w:rPr>
          <w:i/>
        </w:rPr>
        <w:t>Cognition and Emotion, 21</w:t>
      </w:r>
      <w:r w:rsidRPr="003342FC">
        <w:t>, 1114-1124.</w:t>
      </w:r>
    </w:p>
    <w:p w14:paraId="5CCCEFFF" w14:textId="77777777" w:rsidR="009445DE" w:rsidRPr="003342FC" w:rsidRDefault="009445DE" w:rsidP="00EC2D3C">
      <w:pPr>
        <w:pStyle w:val="Bibliography"/>
        <w:jc w:val="left"/>
      </w:pPr>
      <w:r w:rsidRPr="003342FC">
        <w:t xml:space="preserve">MacLeod, A. K., &amp; O’Connor, R. C. (2018). Positive future-thinking, well-being and mental health. In </w:t>
      </w:r>
      <w:r w:rsidRPr="003342FC">
        <w:rPr>
          <w:i/>
          <w:iCs/>
        </w:rPr>
        <w:t>The psychology of thinking about the future</w:t>
      </w:r>
      <w:r w:rsidRPr="003342FC">
        <w:t>. Wiley-Blackwell.</w:t>
      </w:r>
    </w:p>
    <w:p w14:paraId="569BC71F" w14:textId="6879267C" w:rsidR="00BD2553" w:rsidRPr="003342FC" w:rsidRDefault="00BD2553" w:rsidP="003A5B87">
      <w:pPr>
        <w:spacing w:line="480" w:lineRule="auto"/>
        <w:jc w:val="both"/>
      </w:pPr>
      <w:r w:rsidRPr="003342FC">
        <w:t xml:space="preserve">MacLeod, A.K., Rose, G.S., &amp; Williams, J.M.G. (1993). Components of </w:t>
      </w:r>
      <w:r w:rsidR="00854763" w:rsidRPr="003342FC">
        <w:tab/>
        <w:t xml:space="preserve">hopelessness </w:t>
      </w:r>
      <w:r w:rsidRPr="003342FC">
        <w:t xml:space="preserve">about the future in parasuicide. </w:t>
      </w:r>
      <w:r w:rsidRPr="003342FC">
        <w:rPr>
          <w:i/>
        </w:rPr>
        <w:t xml:space="preserve">Cognitive Therapy and </w:t>
      </w:r>
      <w:r w:rsidR="00854763" w:rsidRPr="003342FC">
        <w:rPr>
          <w:i/>
        </w:rPr>
        <w:tab/>
      </w:r>
      <w:r w:rsidRPr="003342FC">
        <w:rPr>
          <w:i/>
        </w:rPr>
        <w:t>Research, 17</w:t>
      </w:r>
      <w:r w:rsidRPr="003342FC">
        <w:t>, 441-455.</w:t>
      </w:r>
      <w:r w:rsidR="00854763" w:rsidRPr="003342FC">
        <w:t xml:space="preserve"> </w:t>
      </w:r>
      <w:r w:rsidR="001B1C2D" w:rsidRPr="003342FC">
        <w:t>http://dx.doi.org/10.1007/BF01173056</w:t>
      </w:r>
      <w:r w:rsidRPr="003342FC">
        <w:t xml:space="preserve"> </w:t>
      </w:r>
      <w:r w:rsidR="001B1C2D" w:rsidRPr="003342FC">
        <w:tab/>
      </w:r>
      <w:r w:rsidRPr="003342FC">
        <w:t xml:space="preserve"> </w:t>
      </w:r>
    </w:p>
    <w:p w14:paraId="3D1FEC2B" w14:textId="572AB05E" w:rsidR="009445DE" w:rsidRPr="003342FC" w:rsidRDefault="009445DE" w:rsidP="00EC2D3C">
      <w:pPr>
        <w:pStyle w:val="Bibliography"/>
        <w:jc w:val="left"/>
      </w:pPr>
      <w:r w:rsidRPr="003342FC">
        <w:t xml:space="preserve">Madore, K. P., &amp; Schacter, D. L. (2014). An episodic specificity induction enhances means-end problem solving in young and older adults. </w:t>
      </w:r>
      <w:r w:rsidRPr="003342FC">
        <w:rPr>
          <w:i/>
          <w:iCs/>
        </w:rPr>
        <w:t>Psychology and Aging</w:t>
      </w:r>
      <w:r w:rsidRPr="003342FC">
        <w:t xml:space="preserve">, </w:t>
      </w:r>
      <w:r w:rsidRPr="003342FC">
        <w:rPr>
          <w:i/>
          <w:iCs/>
        </w:rPr>
        <w:t>29</w:t>
      </w:r>
      <w:r w:rsidRPr="003342FC">
        <w:t xml:space="preserve">(4), 913–924. </w:t>
      </w:r>
      <w:hyperlink r:id="rId14" w:history="1">
        <w:r w:rsidR="001B1C2D" w:rsidRPr="003342FC">
          <w:rPr>
            <w:rStyle w:val="Hyperlink"/>
            <w:color w:val="auto"/>
            <w:u w:val="none"/>
          </w:rPr>
          <w:t>https://doi.org/10.1037/a0038209</w:t>
        </w:r>
      </w:hyperlink>
    </w:p>
    <w:p w14:paraId="1BAA7EED" w14:textId="1B5B49C3" w:rsidR="001B1C2D" w:rsidRPr="003342FC" w:rsidRDefault="001B1C2D" w:rsidP="00EC2D3C">
      <w:pPr>
        <w:spacing w:line="480" w:lineRule="auto"/>
        <w:jc w:val="left"/>
        <w:rPr>
          <w:shd w:val="clear" w:color="auto" w:fill="FFFFFF"/>
        </w:rPr>
      </w:pPr>
      <w:r w:rsidRPr="003342FC">
        <w:lastRenderedPageBreak/>
        <w:t xml:space="preserve">Pavot, W.G., Diener, E., Colvin, C.R., &amp; Sandvik, E. (1991). Further validation of the </w:t>
      </w:r>
      <w:r w:rsidRPr="003342FC">
        <w:tab/>
        <w:t xml:space="preserve">satisfaction with life scale: Evidence for the cross-method convergence of </w:t>
      </w:r>
      <w:r w:rsidRPr="003342FC">
        <w:tab/>
        <w:t>well-being measures</w:t>
      </w:r>
      <w:r w:rsidRPr="003342FC">
        <w:rPr>
          <w:i/>
        </w:rPr>
        <w:t>. Journal of Personality Assessment, 57</w:t>
      </w:r>
      <w:r w:rsidRPr="003342FC">
        <w:t>, 149-161.</w:t>
      </w:r>
      <w:r w:rsidR="00415265" w:rsidRPr="003342FC">
        <w:rPr>
          <w:rFonts w:ascii="Times New Roman" w:hAnsi="Times New Roman" w:cs="Times New Roman"/>
        </w:rPr>
        <w:t xml:space="preserve"> </w:t>
      </w:r>
      <w:r w:rsidR="00415265" w:rsidRPr="003342FC">
        <w:rPr>
          <w:rFonts w:ascii="Times New Roman" w:hAnsi="Times New Roman" w:cs="Times New Roman"/>
        </w:rPr>
        <w:tab/>
      </w:r>
      <w:r w:rsidR="00415265" w:rsidRPr="003342FC">
        <w:t xml:space="preserve">http://dx.doi.org/ </w:t>
      </w:r>
      <w:hyperlink r:id="rId15" w:tgtFrame="_blank" w:history="1">
        <w:r w:rsidR="00415265" w:rsidRPr="003342FC">
          <w:rPr>
            <w:shd w:val="clear" w:color="auto" w:fill="FFFFFF"/>
          </w:rPr>
          <w:t>10.1207/s15327752jpa5701_17</w:t>
        </w:r>
      </w:hyperlink>
    </w:p>
    <w:p w14:paraId="3A9CD0E1" w14:textId="1A1953CC" w:rsidR="00854763" w:rsidRPr="003342FC" w:rsidRDefault="00854763" w:rsidP="00EC2D3C">
      <w:pPr>
        <w:spacing w:line="480" w:lineRule="auto"/>
        <w:jc w:val="left"/>
      </w:pPr>
      <w:r w:rsidRPr="003342FC">
        <w:rPr>
          <w:shd w:val="clear" w:color="auto" w:fill="FFFFFF"/>
        </w:rPr>
        <w:t xml:space="preserve">Shipp, A.J., Edwards, J. R., &amp; Lambert, L.S. (2009). Conceptualization and </w:t>
      </w:r>
      <w:r w:rsidRPr="003342FC">
        <w:rPr>
          <w:shd w:val="clear" w:color="auto" w:fill="FFFFFF"/>
        </w:rPr>
        <w:tab/>
        <w:t xml:space="preserve">measurement of temporal focus: The subjective experience of the past, </w:t>
      </w:r>
      <w:r w:rsidRPr="003342FC">
        <w:rPr>
          <w:shd w:val="clear" w:color="auto" w:fill="FFFFFF"/>
        </w:rPr>
        <w:tab/>
        <w:t xml:space="preserve">present, and future. </w:t>
      </w:r>
      <w:r w:rsidRPr="003342FC">
        <w:rPr>
          <w:i/>
          <w:shd w:val="clear" w:color="auto" w:fill="FFFFFF"/>
        </w:rPr>
        <w:t xml:space="preserve">Organizational Behaviour and Human Decision </w:t>
      </w:r>
      <w:r w:rsidRPr="003342FC">
        <w:rPr>
          <w:i/>
          <w:shd w:val="clear" w:color="auto" w:fill="FFFFFF"/>
        </w:rPr>
        <w:tab/>
        <w:t>Processes, 110</w:t>
      </w:r>
      <w:r w:rsidRPr="003342FC">
        <w:rPr>
          <w:shd w:val="clear" w:color="auto" w:fill="FFFFFF"/>
        </w:rPr>
        <w:t xml:space="preserve">, 1-22. </w:t>
      </w:r>
    </w:p>
    <w:p w14:paraId="0CB401FE" w14:textId="77777777" w:rsidR="009445DE" w:rsidRPr="003342FC" w:rsidRDefault="009445DE" w:rsidP="00EC2D3C">
      <w:pPr>
        <w:pStyle w:val="Bibliography"/>
        <w:jc w:val="left"/>
      </w:pPr>
      <w:r w:rsidRPr="003342FC">
        <w:t xml:space="preserve">Steptoe, A., Deaton, A., &amp; Stone, A. A. (2015). Subjective wellbeing, health, and ageing. </w:t>
      </w:r>
      <w:r w:rsidRPr="003342FC">
        <w:rPr>
          <w:i/>
          <w:iCs/>
        </w:rPr>
        <w:t>The Lancet</w:t>
      </w:r>
      <w:r w:rsidRPr="003342FC">
        <w:t xml:space="preserve">, </w:t>
      </w:r>
      <w:r w:rsidRPr="003342FC">
        <w:rPr>
          <w:i/>
          <w:iCs/>
        </w:rPr>
        <w:t>385</w:t>
      </w:r>
      <w:r w:rsidRPr="003342FC">
        <w:t>(9968), 640–648. https://doi.org/10.1016/S0140-6736(13)61489-0</w:t>
      </w:r>
    </w:p>
    <w:p w14:paraId="70BD34FA" w14:textId="77777777" w:rsidR="009445DE" w:rsidRPr="003342FC" w:rsidRDefault="009445DE" w:rsidP="00EC2D3C">
      <w:pPr>
        <w:pStyle w:val="Bibliography"/>
        <w:jc w:val="left"/>
      </w:pPr>
      <w:r w:rsidRPr="003342FC">
        <w:t xml:space="preserve">Strough, J., Bruine de Bruin, W., Parker, A. M., Lemaster, P., Pichayayothin, N., &amp; Delaney, R. (2016). Hour glass half full or half empty? Future time perspective and preoccupation with negative events across the life span. </w:t>
      </w:r>
      <w:r w:rsidRPr="003342FC">
        <w:rPr>
          <w:i/>
          <w:iCs/>
        </w:rPr>
        <w:t>Psychology and Aging</w:t>
      </w:r>
      <w:r w:rsidRPr="003342FC">
        <w:t xml:space="preserve">, </w:t>
      </w:r>
      <w:r w:rsidRPr="003342FC">
        <w:rPr>
          <w:i/>
          <w:iCs/>
        </w:rPr>
        <w:t>31</w:t>
      </w:r>
      <w:r w:rsidRPr="003342FC">
        <w:t>(6), 558–573. https://doi.org/10.1037/pag0000097</w:t>
      </w:r>
    </w:p>
    <w:p w14:paraId="25A65481" w14:textId="7E54E4E0" w:rsidR="009445DE" w:rsidRPr="003342FC" w:rsidRDefault="009445DE" w:rsidP="00EC2D3C">
      <w:pPr>
        <w:pStyle w:val="Bibliography"/>
        <w:jc w:val="left"/>
      </w:pPr>
      <w:r w:rsidRPr="003342FC">
        <w:t xml:space="preserve">Trope, Y., &amp; Liberman, N. (2010). Construal-level theory of psychological distance. </w:t>
      </w:r>
      <w:r w:rsidRPr="003342FC">
        <w:rPr>
          <w:i/>
          <w:iCs/>
        </w:rPr>
        <w:t>Psychological Review</w:t>
      </w:r>
      <w:r w:rsidRPr="003342FC">
        <w:t xml:space="preserve">, </w:t>
      </w:r>
      <w:r w:rsidRPr="003342FC">
        <w:rPr>
          <w:i/>
          <w:iCs/>
        </w:rPr>
        <w:t>117</w:t>
      </w:r>
      <w:r w:rsidRPr="003342FC">
        <w:t xml:space="preserve">(2), 440–463. </w:t>
      </w:r>
      <w:hyperlink r:id="rId16" w:history="1">
        <w:r w:rsidR="00A728D7" w:rsidRPr="003342FC">
          <w:rPr>
            <w:rStyle w:val="Hyperlink"/>
            <w:color w:val="auto"/>
            <w:u w:val="none"/>
          </w:rPr>
          <w:t>https://doi.org/10.1037/a0018963</w:t>
        </w:r>
      </w:hyperlink>
    </w:p>
    <w:p w14:paraId="6A0AC97D" w14:textId="4E0D59F2" w:rsidR="00A728D7" w:rsidRPr="003342FC" w:rsidRDefault="00A728D7" w:rsidP="00EC2D3C">
      <w:pPr>
        <w:spacing w:line="480" w:lineRule="auto"/>
        <w:jc w:val="left"/>
      </w:pPr>
      <w:r w:rsidRPr="003342FC">
        <w:t xml:space="preserve">World Health Organisation. (2015). </w:t>
      </w:r>
      <w:r w:rsidRPr="003342FC">
        <w:rPr>
          <w:i/>
        </w:rPr>
        <w:t>World report on ageing and health 2015</w:t>
      </w:r>
      <w:r w:rsidRPr="003342FC">
        <w:t xml:space="preserve">. </w:t>
      </w:r>
      <w:r w:rsidR="00BD2553" w:rsidRPr="003342FC">
        <w:tab/>
        <w:t>Geneva</w:t>
      </w:r>
      <w:r w:rsidR="004F2F8E" w:rsidRPr="003342FC">
        <w:t xml:space="preserve">: </w:t>
      </w:r>
      <w:r w:rsidR="00BD2553" w:rsidRPr="003342FC">
        <w:t>World Health Organisation</w:t>
      </w:r>
      <w:r w:rsidRPr="003342FC">
        <w:t xml:space="preserve"> </w:t>
      </w:r>
    </w:p>
    <w:p w14:paraId="644E5B88" w14:textId="77777777" w:rsidR="00A728D7" w:rsidRPr="003342FC" w:rsidRDefault="00A728D7" w:rsidP="00EC2D3C">
      <w:pPr>
        <w:jc w:val="left"/>
      </w:pPr>
    </w:p>
    <w:p w14:paraId="4AAC3175" w14:textId="69876E92" w:rsidR="009445DE" w:rsidRPr="003342FC" w:rsidRDefault="009445DE" w:rsidP="00EC2D3C">
      <w:pPr>
        <w:spacing w:line="480" w:lineRule="auto"/>
        <w:jc w:val="left"/>
      </w:pPr>
    </w:p>
    <w:p w14:paraId="6817E3B3" w14:textId="77777777" w:rsidR="00EF535F" w:rsidRPr="003342FC" w:rsidRDefault="00EF535F" w:rsidP="00EC2D3C">
      <w:pPr>
        <w:spacing w:line="480" w:lineRule="auto"/>
        <w:jc w:val="left"/>
      </w:pPr>
    </w:p>
    <w:p w14:paraId="568EFD8A" w14:textId="77777777" w:rsidR="00EF535F" w:rsidRPr="003342FC" w:rsidRDefault="00EF535F" w:rsidP="00EC2D3C">
      <w:pPr>
        <w:spacing w:line="480" w:lineRule="auto"/>
        <w:jc w:val="left"/>
      </w:pPr>
    </w:p>
    <w:p w14:paraId="56A0D336" w14:textId="77777777" w:rsidR="00F532DF" w:rsidRPr="003342FC" w:rsidRDefault="00F532DF" w:rsidP="00EC2D3C">
      <w:pPr>
        <w:spacing w:line="480" w:lineRule="auto"/>
        <w:jc w:val="left"/>
      </w:pPr>
    </w:p>
    <w:p w14:paraId="01C61185" w14:textId="0CFAB36A" w:rsidR="00544506" w:rsidRPr="003342FC" w:rsidRDefault="0054007A" w:rsidP="00EC2D3C">
      <w:pPr>
        <w:spacing w:line="480" w:lineRule="auto"/>
        <w:jc w:val="left"/>
        <w:rPr>
          <w:sz w:val="23"/>
          <w:szCs w:val="23"/>
        </w:rPr>
      </w:pPr>
      <w:r w:rsidRPr="003342FC">
        <w:rPr>
          <w:sz w:val="23"/>
          <w:szCs w:val="23"/>
        </w:rPr>
        <w:br w:type="page"/>
      </w:r>
    </w:p>
    <w:p w14:paraId="1ACCD138" w14:textId="4524E2FC" w:rsidR="00C7771A" w:rsidRPr="003342FC" w:rsidRDefault="00C7771A" w:rsidP="00EC2D3C">
      <w:pPr>
        <w:spacing w:line="480" w:lineRule="auto"/>
        <w:jc w:val="left"/>
        <w:rPr>
          <w:sz w:val="23"/>
          <w:szCs w:val="23"/>
        </w:rPr>
      </w:pPr>
      <w:r w:rsidRPr="003342FC">
        <w:rPr>
          <w:sz w:val="23"/>
          <w:szCs w:val="23"/>
        </w:rPr>
        <w:lastRenderedPageBreak/>
        <w:t>Appendix</w:t>
      </w:r>
    </w:p>
    <w:p w14:paraId="457C1B02" w14:textId="10549D26" w:rsidR="00C7771A" w:rsidRPr="003342FC" w:rsidRDefault="00C7771A" w:rsidP="00EC2D3C">
      <w:pPr>
        <w:spacing w:line="480" w:lineRule="auto"/>
        <w:jc w:val="left"/>
        <w:rPr>
          <w:sz w:val="23"/>
          <w:szCs w:val="23"/>
        </w:rPr>
      </w:pPr>
      <w:r w:rsidRPr="003342FC">
        <w:rPr>
          <w:sz w:val="23"/>
          <w:szCs w:val="23"/>
        </w:rPr>
        <w:t>Table 1</w:t>
      </w:r>
    </w:p>
    <w:p w14:paraId="4679EAB1" w14:textId="4D49B93B" w:rsidR="00607159" w:rsidRPr="003342FC" w:rsidRDefault="00607159" w:rsidP="00EC2D3C">
      <w:pPr>
        <w:spacing w:line="480" w:lineRule="auto"/>
        <w:jc w:val="left"/>
        <w:rPr>
          <w:i/>
          <w:sz w:val="23"/>
          <w:szCs w:val="23"/>
        </w:rPr>
      </w:pPr>
      <w:r w:rsidRPr="003342FC">
        <w:rPr>
          <w:i/>
          <w:sz w:val="23"/>
          <w:szCs w:val="23"/>
        </w:rPr>
        <w:t>Content themes and example responses generated from qualitative data</w:t>
      </w:r>
    </w:p>
    <w:tbl>
      <w:tblPr>
        <w:tblStyle w:val="TableGrid"/>
        <w:tblW w:w="0" w:type="auto"/>
        <w:tblCellSpacing w:w="20" w:type="dxa"/>
        <w:tblBorders>
          <w:left w:val="none" w:sz="0" w:space="0" w:color="auto"/>
          <w:bottom w:val="inset" w:sz="6" w:space="0" w:color="auto"/>
          <w:right w:val="none" w:sz="0" w:space="0" w:color="auto"/>
          <w:insideH w:val="inset" w:sz="6" w:space="0" w:color="auto"/>
          <w:insideV w:val="none" w:sz="0" w:space="0" w:color="auto"/>
        </w:tblBorders>
        <w:tblLook w:val="04A0" w:firstRow="1" w:lastRow="0" w:firstColumn="1" w:lastColumn="0" w:noHBand="0" w:noVBand="1"/>
      </w:tblPr>
      <w:tblGrid>
        <w:gridCol w:w="4513"/>
        <w:gridCol w:w="4513"/>
      </w:tblGrid>
      <w:tr w:rsidR="00C7771A" w:rsidRPr="003342FC" w14:paraId="0FEE7DF6" w14:textId="77777777" w:rsidTr="00854763">
        <w:trPr>
          <w:tblCellSpacing w:w="20" w:type="dxa"/>
        </w:trPr>
        <w:tc>
          <w:tcPr>
            <w:tcW w:w="4621" w:type="dxa"/>
            <w:tcBorders>
              <w:bottom w:val="single" w:sz="2" w:space="0" w:color="auto"/>
            </w:tcBorders>
          </w:tcPr>
          <w:p w14:paraId="1F78D93E" w14:textId="2053FA95" w:rsidR="00607159" w:rsidRPr="003342FC" w:rsidRDefault="00C7771A" w:rsidP="00550A6E">
            <w:pPr>
              <w:spacing w:line="480" w:lineRule="auto"/>
              <w:jc w:val="left"/>
              <w:rPr>
                <w:rFonts w:ascii="Arial" w:hAnsi="Arial" w:cs="Arial"/>
                <w:sz w:val="24"/>
                <w:szCs w:val="24"/>
              </w:rPr>
            </w:pPr>
            <w:r w:rsidRPr="003342FC">
              <w:rPr>
                <w:sz w:val="24"/>
                <w:szCs w:val="24"/>
              </w:rPr>
              <w:t>Content Theme</w:t>
            </w:r>
          </w:p>
        </w:tc>
        <w:tc>
          <w:tcPr>
            <w:tcW w:w="4621" w:type="dxa"/>
            <w:tcBorders>
              <w:bottom w:val="single" w:sz="2" w:space="0" w:color="auto"/>
            </w:tcBorders>
          </w:tcPr>
          <w:p w14:paraId="7A32F503" w14:textId="2EBDD789" w:rsidR="00C7771A" w:rsidRPr="003342FC" w:rsidRDefault="00C7771A" w:rsidP="00550A6E">
            <w:pPr>
              <w:spacing w:line="480" w:lineRule="auto"/>
              <w:jc w:val="left"/>
              <w:rPr>
                <w:rFonts w:ascii="Arial" w:hAnsi="Arial" w:cs="Arial"/>
                <w:sz w:val="24"/>
                <w:szCs w:val="24"/>
              </w:rPr>
            </w:pPr>
            <w:r w:rsidRPr="003342FC">
              <w:rPr>
                <w:sz w:val="24"/>
                <w:szCs w:val="24"/>
              </w:rPr>
              <w:t>Example Response</w:t>
            </w:r>
          </w:p>
        </w:tc>
      </w:tr>
      <w:tr w:rsidR="00C7771A" w:rsidRPr="003342FC" w14:paraId="77F58338" w14:textId="77777777" w:rsidTr="00854763">
        <w:trPr>
          <w:tblCellSpacing w:w="20" w:type="dxa"/>
        </w:trPr>
        <w:tc>
          <w:tcPr>
            <w:tcW w:w="4621" w:type="dxa"/>
          </w:tcPr>
          <w:p w14:paraId="4B63023C" w14:textId="38FE2655" w:rsidR="00550A6E" w:rsidRPr="003342FC" w:rsidRDefault="00C7771A" w:rsidP="00550A6E">
            <w:pPr>
              <w:spacing w:line="480" w:lineRule="auto"/>
              <w:jc w:val="left"/>
              <w:rPr>
                <w:rFonts w:ascii="Arial" w:hAnsi="Arial" w:cs="Arial"/>
                <w:sz w:val="24"/>
                <w:szCs w:val="24"/>
              </w:rPr>
            </w:pPr>
            <w:r w:rsidRPr="003342FC">
              <w:rPr>
                <w:sz w:val="24"/>
                <w:szCs w:val="24"/>
              </w:rPr>
              <w:t>Creating new social connections/ relationships</w:t>
            </w:r>
          </w:p>
        </w:tc>
        <w:tc>
          <w:tcPr>
            <w:tcW w:w="4621" w:type="dxa"/>
          </w:tcPr>
          <w:p w14:paraId="305996A8" w14:textId="5968416A" w:rsidR="00C7771A" w:rsidRPr="003342FC" w:rsidRDefault="00C7771A" w:rsidP="00550A6E">
            <w:pPr>
              <w:spacing w:line="480" w:lineRule="auto"/>
              <w:jc w:val="left"/>
              <w:rPr>
                <w:rFonts w:ascii="Arial" w:hAnsi="Arial" w:cs="Arial"/>
                <w:sz w:val="24"/>
                <w:szCs w:val="24"/>
              </w:rPr>
            </w:pPr>
            <w:r w:rsidRPr="003342FC">
              <w:rPr>
                <w:sz w:val="24"/>
                <w:szCs w:val="24"/>
              </w:rPr>
              <w:t>‘Meeting new people’</w:t>
            </w:r>
          </w:p>
        </w:tc>
      </w:tr>
      <w:tr w:rsidR="00C7771A" w:rsidRPr="003342FC" w14:paraId="2D05277F" w14:textId="77777777" w:rsidTr="00854763">
        <w:trPr>
          <w:tblCellSpacing w:w="20" w:type="dxa"/>
        </w:trPr>
        <w:tc>
          <w:tcPr>
            <w:tcW w:w="4621" w:type="dxa"/>
          </w:tcPr>
          <w:p w14:paraId="20B7F388" w14:textId="2AB24A09" w:rsidR="00607159" w:rsidRPr="003342FC" w:rsidRDefault="00C7771A" w:rsidP="00550A6E">
            <w:pPr>
              <w:spacing w:line="480" w:lineRule="auto"/>
              <w:jc w:val="left"/>
              <w:rPr>
                <w:rFonts w:ascii="Arial" w:hAnsi="Arial" w:cs="Arial"/>
                <w:sz w:val="24"/>
                <w:szCs w:val="24"/>
              </w:rPr>
            </w:pPr>
            <w:r w:rsidRPr="003342FC">
              <w:rPr>
                <w:sz w:val="24"/>
                <w:szCs w:val="24"/>
              </w:rPr>
              <w:t>Maintaining/ attending to existing social connections/ relationshi</w:t>
            </w:r>
            <w:r w:rsidR="00550A6E" w:rsidRPr="003342FC">
              <w:rPr>
                <w:rFonts w:ascii="Arial" w:hAnsi="Arial" w:cs="Arial"/>
                <w:sz w:val="24"/>
                <w:szCs w:val="24"/>
              </w:rPr>
              <w:t>ps</w:t>
            </w:r>
          </w:p>
        </w:tc>
        <w:tc>
          <w:tcPr>
            <w:tcW w:w="4621" w:type="dxa"/>
          </w:tcPr>
          <w:p w14:paraId="4C06695E" w14:textId="23CB2B40" w:rsidR="00C7771A" w:rsidRPr="003342FC" w:rsidRDefault="00C7771A" w:rsidP="00550A6E">
            <w:pPr>
              <w:spacing w:line="480" w:lineRule="auto"/>
              <w:jc w:val="left"/>
              <w:rPr>
                <w:rFonts w:ascii="Arial" w:hAnsi="Arial" w:cs="Arial"/>
                <w:sz w:val="24"/>
                <w:szCs w:val="24"/>
              </w:rPr>
            </w:pPr>
            <w:r w:rsidRPr="003342FC">
              <w:rPr>
                <w:sz w:val="24"/>
                <w:szCs w:val="24"/>
              </w:rPr>
              <w:t>‘Spending time with my partner’</w:t>
            </w:r>
          </w:p>
        </w:tc>
      </w:tr>
      <w:tr w:rsidR="00C7771A" w:rsidRPr="003342FC" w14:paraId="06D4AEA1" w14:textId="77777777" w:rsidTr="00854763">
        <w:trPr>
          <w:tblCellSpacing w:w="20" w:type="dxa"/>
        </w:trPr>
        <w:tc>
          <w:tcPr>
            <w:tcW w:w="4621" w:type="dxa"/>
          </w:tcPr>
          <w:p w14:paraId="39C8FFA4" w14:textId="40341FBC" w:rsidR="00607159" w:rsidRPr="003342FC" w:rsidRDefault="00B91623" w:rsidP="00550A6E">
            <w:pPr>
              <w:spacing w:line="480" w:lineRule="auto"/>
              <w:jc w:val="left"/>
              <w:rPr>
                <w:rFonts w:ascii="Arial" w:hAnsi="Arial" w:cs="Arial"/>
                <w:sz w:val="24"/>
                <w:szCs w:val="24"/>
              </w:rPr>
            </w:pPr>
            <w:r w:rsidRPr="003342FC">
              <w:rPr>
                <w:sz w:val="24"/>
                <w:szCs w:val="24"/>
              </w:rPr>
              <w:t>Activity/ occupation</w:t>
            </w:r>
          </w:p>
        </w:tc>
        <w:tc>
          <w:tcPr>
            <w:tcW w:w="4621" w:type="dxa"/>
          </w:tcPr>
          <w:p w14:paraId="6F03FB82" w14:textId="1C45B75A" w:rsidR="00C7771A" w:rsidRPr="003342FC" w:rsidRDefault="00B91623" w:rsidP="00550A6E">
            <w:pPr>
              <w:spacing w:line="480" w:lineRule="auto"/>
              <w:jc w:val="left"/>
              <w:rPr>
                <w:rFonts w:ascii="Arial" w:hAnsi="Arial" w:cs="Arial"/>
                <w:sz w:val="24"/>
                <w:szCs w:val="24"/>
              </w:rPr>
            </w:pPr>
            <w:r w:rsidRPr="003342FC">
              <w:rPr>
                <w:sz w:val="24"/>
                <w:szCs w:val="24"/>
              </w:rPr>
              <w:t>‘Reading’</w:t>
            </w:r>
          </w:p>
        </w:tc>
      </w:tr>
      <w:tr w:rsidR="00C7771A" w:rsidRPr="003342FC" w14:paraId="651C74FE" w14:textId="77777777" w:rsidTr="00854763">
        <w:trPr>
          <w:tblCellSpacing w:w="20" w:type="dxa"/>
        </w:trPr>
        <w:tc>
          <w:tcPr>
            <w:tcW w:w="4621" w:type="dxa"/>
          </w:tcPr>
          <w:p w14:paraId="283C0878" w14:textId="14CF13D6" w:rsidR="00607159" w:rsidRPr="003342FC" w:rsidRDefault="00B91623" w:rsidP="00550A6E">
            <w:pPr>
              <w:spacing w:line="480" w:lineRule="auto"/>
              <w:jc w:val="left"/>
              <w:rPr>
                <w:rFonts w:ascii="Arial" w:hAnsi="Arial" w:cs="Arial"/>
                <w:sz w:val="24"/>
                <w:szCs w:val="24"/>
              </w:rPr>
            </w:pPr>
            <w:r w:rsidRPr="003342FC">
              <w:rPr>
                <w:sz w:val="24"/>
                <w:szCs w:val="24"/>
              </w:rPr>
              <w:t>Work/ employment/ education/ qualification/ learning new skills</w:t>
            </w:r>
          </w:p>
        </w:tc>
        <w:tc>
          <w:tcPr>
            <w:tcW w:w="4621" w:type="dxa"/>
          </w:tcPr>
          <w:p w14:paraId="221D9CFE" w14:textId="1CFA193D" w:rsidR="00C7771A" w:rsidRPr="003342FC" w:rsidRDefault="00B91623" w:rsidP="00550A6E">
            <w:pPr>
              <w:spacing w:line="480" w:lineRule="auto"/>
              <w:jc w:val="left"/>
              <w:rPr>
                <w:rFonts w:ascii="Arial" w:hAnsi="Arial" w:cs="Arial"/>
                <w:sz w:val="24"/>
                <w:szCs w:val="24"/>
              </w:rPr>
            </w:pPr>
            <w:r w:rsidRPr="003342FC">
              <w:rPr>
                <w:sz w:val="24"/>
                <w:szCs w:val="24"/>
              </w:rPr>
              <w:t>‘I want to use my PhD and not work at a job because I have to’</w:t>
            </w:r>
          </w:p>
        </w:tc>
      </w:tr>
      <w:tr w:rsidR="00C7771A" w:rsidRPr="003342FC" w14:paraId="0927588C" w14:textId="77777777" w:rsidTr="00854763">
        <w:trPr>
          <w:tblCellSpacing w:w="20" w:type="dxa"/>
        </w:trPr>
        <w:tc>
          <w:tcPr>
            <w:tcW w:w="4621" w:type="dxa"/>
          </w:tcPr>
          <w:p w14:paraId="0FC1215F" w14:textId="6738C70A" w:rsidR="00607159" w:rsidRPr="003342FC" w:rsidRDefault="00B91623" w:rsidP="00550A6E">
            <w:pPr>
              <w:spacing w:line="480" w:lineRule="auto"/>
              <w:jc w:val="left"/>
              <w:rPr>
                <w:rFonts w:ascii="Arial" w:hAnsi="Arial" w:cs="Arial"/>
                <w:sz w:val="24"/>
                <w:szCs w:val="24"/>
              </w:rPr>
            </w:pPr>
            <w:r w:rsidRPr="003342FC">
              <w:rPr>
                <w:sz w:val="24"/>
                <w:szCs w:val="24"/>
              </w:rPr>
              <w:t>Health and welfare</w:t>
            </w:r>
          </w:p>
        </w:tc>
        <w:tc>
          <w:tcPr>
            <w:tcW w:w="4621" w:type="dxa"/>
          </w:tcPr>
          <w:p w14:paraId="7F29FEF7" w14:textId="4E72F08E" w:rsidR="00C7771A" w:rsidRPr="003342FC" w:rsidRDefault="00B91623" w:rsidP="00550A6E">
            <w:pPr>
              <w:spacing w:line="480" w:lineRule="auto"/>
              <w:jc w:val="left"/>
              <w:rPr>
                <w:rFonts w:ascii="Arial" w:hAnsi="Arial" w:cs="Arial"/>
                <w:sz w:val="24"/>
                <w:szCs w:val="24"/>
              </w:rPr>
            </w:pPr>
            <w:r w:rsidRPr="003342FC">
              <w:rPr>
                <w:sz w:val="24"/>
                <w:szCs w:val="24"/>
              </w:rPr>
              <w:t>‘My eyesight deteriorating’</w:t>
            </w:r>
          </w:p>
        </w:tc>
      </w:tr>
      <w:tr w:rsidR="00C7771A" w:rsidRPr="003342FC" w14:paraId="395F5097" w14:textId="77777777" w:rsidTr="00854763">
        <w:trPr>
          <w:tblCellSpacing w:w="20" w:type="dxa"/>
        </w:trPr>
        <w:tc>
          <w:tcPr>
            <w:tcW w:w="4621" w:type="dxa"/>
          </w:tcPr>
          <w:p w14:paraId="457CAE6D" w14:textId="0838C3B8" w:rsidR="00607159" w:rsidRPr="003342FC" w:rsidRDefault="00B91623" w:rsidP="00550A6E">
            <w:pPr>
              <w:spacing w:line="480" w:lineRule="auto"/>
              <w:jc w:val="left"/>
              <w:rPr>
                <w:rFonts w:ascii="Arial" w:hAnsi="Arial" w:cs="Arial"/>
                <w:sz w:val="24"/>
                <w:szCs w:val="24"/>
              </w:rPr>
            </w:pPr>
            <w:r w:rsidRPr="003342FC">
              <w:rPr>
                <w:sz w:val="24"/>
                <w:szCs w:val="24"/>
              </w:rPr>
              <w:t>Aspects of eudaimonic well-being</w:t>
            </w:r>
          </w:p>
        </w:tc>
        <w:tc>
          <w:tcPr>
            <w:tcW w:w="4621" w:type="dxa"/>
          </w:tcPr>
          <w:p w14:paraId="5B3C74F2" w14:textId="0272A6F5" w:rsidR="00C7771A" w:rsidRPr="003342FC" w:rsidRDefault="00B91623" w:rsidP="00550A6E">
            <w:pPr>
              <w:spacing w:line="480" w:lineRule="auto"/>
              <w:jc w:val="left"/>
              <w:rPr>
                <w:rFonts w:ascii="Arial" w:hAnsi="Arial" w:cs="Arial"/>
                <w:sz w:val="24"/>
                <w:szCs w:val="24"/>
              </w:rPr>
            </w:pPr>
            <w:r w:rsidRPr="003342FC">
              <w:rPr>
                <w:sz w:val="24"/>
                <w:szCs w:val="24"/>
              </w:rPr>
              <w:t>‘Having a sense of purpose’</w:t>
            </w:r>
          </w:p>
        </w:tc>
      </w:tr>
      <w:tr w:rsidR="00C7771A" w:rsidRPr="003342FC" w14:paraId="2B815485" w14:textId="77777777" w:rsidTr="00854763">
        <w:trPr>
          <w:tblCellSpacing w:w="20" w:type="dxa"/>
        </w:trPr>
        <w:tc>
          <w:tcPr>
            <w:tcW w:w="4621" w:type="dxa"/>
          </w:tcPr>
          <w:p w14:paraId="0B8D2F3C" w14:textId="77777777" w:rsidR="00C7771A" w:rsidRPr="003342FC" w:rsidRDefault="00B91623" w:rsidP="00550A6E">
            <w:pPr>
              <w:spacing w:line="480" w:lineRule="auto"/>
              <w:jc w:val="left"/>
              <w:rPr>
                <w:rFonts w:ascii="Arial" w:hAnsi="Arial" w:cs="Arial"/>
                <w:sz w:val="24"/>
                <w:szCs w:val="24"/>
              </w:rPr>
            </w:pPr>
            <w:r w:rsidRPr="003342FC">
              <w:rPr>
                <w:sz w:val="24"/>
                <w:szCs w:val="24"/>
              </w:rPr>
              <w:t>Practical/ political issues</w:t>
            </w:r>
          </w:p>
          <w:p w14:paraId="18A3812E" w14:textId="3A86CDB2" w:rsidR="00607159" w:rsidRPr="003342FC" w:rsidRDefault="00607159" w:rsidP="00550A6E">
            <w:pPr>
              <w:spacing w:line="480" w:lineRule="auto"/>
              <w:jc w:val="left"/>
              <w:rPr>
                <w:rFonts w:ascii="Arial" w:hAnsi="Arial" w:cs="Arial"/>
                <w:sz w:val="24"/>
                <w:szCs w:val="24"/>
              </w:rPr>
            </w:pPr>
          </w:p>
        </w:tc>
        <w:tc>
          <w:tcPr>
            <w:tcW w:w="4621" w:type="dxa"/>
          </w:tcPr>
          <w:p w14:paraId="539F90C2" w14:textId="25BDF373" w:rsidR="00C7771A" w:rsidRPr="003342FC" w:rsidRDefault="00B91623" w:rsidP="00550A6E">
            <w:pPr>
              <w:spacing w:line="480" w:lineRule="auto"/>
              <w:jc w:val="left"/>
              <w:rPr>
                <w:rFonts w:ascii="Arial" w:hAnsi="Arial" w:cs="Arial"/>
                <w:sz w:val="24"/>
                <w:szCs w:val="24"/>
              </w:rPr>
            </w:pPr>
            <w:r w:rsidRPr="003342FC">
              <w:rPr>
                <w:sz w:val="24"/>
                <w:szCs w:val="24"/>
              </w:rPr>
              <w:t>‘Current things in the country, terrorism and politics’</w:t>
            </w:r>
          </w:p>
        </w:tc>
      </w:tr>
      <w:tr w:rsidR="00C7771A" w:rsidRPr="003342FC" w14:paraId="52DEE2AD" w14:textId="77777777" w:rsidTr="00854763">
        <w:trPr>
          <w:tblCellSpacing w:w="20" w:type="dxa"/>
        </w:trPr>
        <w:tc>
          <w:tcPr>
            <w:tcW w:w="4621" w:type="dxa"/>
            <w:tcBorders>
              <w:bottom w:val="single" w:sz="2" w:space="0" w:color="auto"/>
            </w:tcBorders>
          </w:tcPr>
          <w:p w14:paraId="1B943754" w14:textId="14A46EA3" w:rsidR="00C7771A" w:rsidRPr="003342FC" w:rsidRDefault="00B91623" w:rsidP="00550A6E">
            <w:pPr>
              <w:spacing w:line="480" w:lineRule="auto"/>
              <w:jc w:val="left"/>
              <w:rPr>
                <w:rFonts w:ascii="Arial" w:hAnsi="Arial" w:cs="Arial"/>
                <w:sz w:val="24"/>
                <w:szCs w:val="24"/>
              </w:rPr>
            </w:pPr>
            <w:r w:rsidRPr="003342FC">
              <w:rPr>
                <w:sz w:val="24"/>
                <w:szCs w:val="24"/>
              </w:rPr>
              <w:t>New/ different experiences/ change/ new things</w:t>
            </w:r>
          </w:p>
        </w:tc>
        <w:tc>
          <w:tcPr>
            <w:tcW w:w="4621" w:type="dxa"/>
            <w:tcBorders>
              <w:bottom w:val="single" w:sz="2" w:space="0" w:color="auto"/>
            </w:tcBorders>
          </w:tcPr>
          <w:p w14:paraId="201B5028" w14:textId="0684E3EB" w:rsidR="00C7771A" w:rsidRPr="003342FC" w:rsidRDefault="00B91623" w:rsidP="00550A6E">
            <w:pPr>
              <w:spacing w:line="480" w:lineRule="auto"/>
              <w:jc w:val="left"/>
              <w:rPr>
                <w:rFonts w:ascii="Arial" w:hAnsi="Arial" w:cs="Arial"/>
                <w:sz w:val="24"/>
                <w:szCs w:val="24"/>
              </w:rPr>
            </w:pPr>
            <w:r w:rsidRPr="003342FC">
              <w:rPr>
                <w:sz w:val="24"/>
                <w:szCs w:val="24"/>
              </w:rPr>
              <w:t>‘A new challenge’</w:t>
            </w:r>
          </w:p>
        </w:tc>
      </w:tr>
    </w:tbl>
    <w:p w14:paraId="1974BF0D" w14:textId="77777777" w:rsidR="00607159" w:rsidRPr="003342FC" w:rsidRDefault="00607159" w:rsidP="00EC2D3C">
      <w:pPr>
        <w:spacing w:line="480" w:lineRule="auto"/>
        <w:jc w:val="left"/>
        <w:rPr>
          <w:sz w:val="23"/>
          <w:szCs w:val="23"/>
        </w:rPr>
      </w:pPr>
    </w:p>
    <w:p w14:paraId="58F4060C" w14:textId="77777777" w:rsidR="00550A6E" w:rsidRPr="003342FC" w:rsidRDefault="00550A6E" w:rsidP="00EC2D3C">
      <w:pPr>
        <w:spacing w:line="480" w:lineRule="auto"/>
        <w:jc w:val="left"/>
        <w:rPr>
          <w:sz w:val="23"/>
          <w:szCs w:val="23"/>
        </w:rPr>
      </w:pPr>
    </w:p>
    <w:p w14:paraId="2498D4F3" w14:textId="77777777" w:rsidR="00550A6E" w:rsidRPr="003342FC" w:rsidRDefault="00550A6E" w:rsidP="00EC2D3C">
      <w:pPr>
        <w:spacing w:line="480" w:lineRule="auto"/>
        <w:jc w:val="left"/>
        <w:rPr>
          <w:sz w:val="23"/>
          <w:szCs w:val="23"/>
        </w:rPr>
      </w:pPr>
    </w:p>
    <w:p w14:paraId="162E38E9" w14:textId="77777777" w:rsidR="00550A6E" w:rsidRPr="003342FC" w:rsidRDefault="00550A6E" w:rsidP="00EC2D3C">
      <w:pPr>
        <w:spacing w:line="480" w:lineRule="auto"/>
        <w:jc w:val="left"/>
        <w:rPr>
          <w:sz w:val="23"/>
          <w:szCs w:val="23"/>
        </w:rPr>
      </w:pPr>
    </w:p>
    <w:p w14:paraId="0649F2D4" w14:textId="77777777" w:rsidR="00550A6E" w:rsidRPr="003342FC" w:rsidRDefault="00550A6E" w:rsidP="00EC2D3C">
      <w:pPr>
        <w:spacing w:line="480" w:lineRule="auto"/>
        <w:jc w:val="left"/>
        <w:rPr>
          <w:sz w:val="23"/>
          <w:szCs w:val="23"/>
        </w:rPr>
      </w:pPr>
    </w:p>
    <w:p w14:paraId="5DF55A9F" w14:textId="77777777" w:rsidR="00550A6E" w:rsidRPr="003342FC" w:rsidRDefault="00550A6E" w:rsidP="00EC2D3C">
      <w:pPr>
        <w:spacing w:line="480" w:lineRule="auto"/>
        <w:jc w:val="left"/>
        <w:rPr>
          <w:sz w:val="23"/>
          <w:szCs w:val="23"/>
        </w:rPr>
      </w:pPr>
    </w:p>
    <w:p w14:paraId="28A27B07" w14:textId="77777777" w:rsidR="00550A6E" w:rsidRPr="003342FC" w:rsidRDefault="00550A6E" w:rsidP="00EC2D3C">
      <w:pPr>
        <w:spacing w:line="480" w:lineRule="auto"/>
        <w:jc w:val="left"/>
        <w:rPr>
          <w:sz w:val="23"/>
          <w:szCs w:val="23"/>
        </w:rPr>
      </w:pPr>
    </w:p>
    <w:p w14:paraId="269AC5E1" w14:textId="5F9E7D1E" w:rsidR="00544506" w:rsidRPr="003342FC" w:rsidRDefault="00544506" w:rsidP="00EC2D3C">
      <w:pPr>
        <w:spacing w:line="480" w:lineRule="auto"/>
        <w:jc w:val="left"/>
      </w:pPr>
      <w:r w:rsidRPr="003342FC">
        <w:lastRenderedPageBreak/>
        <w:t xml:space="preserve">Table </w:t>
      </w:r>
      <w:r w:rsidR="00C7771A" w:rsidRPr="003342FC">
        <w:t>2</w:t>
      </w:r>
    </w:p>
    <w:p w14:paraId="1AA602D0" w14:textId="52780754" w:rsidR="00544506" w:rsidRPr="003342FC" w:rsidRDefault="00544506" w:rsidP="00EC2D3C">
      <w:pPr>
        <w:spacing w:line="480" w:lineRule="auto"/>
        <w:jc w:val="left"/>
        <w:rPr>
          <w:i/>
        </w:rPr>
      </w:pPr>
      <w:r w:rsidRPr="003342FC">
        <w:rPr>
          <w:i/>
        </w:rPr>
        <w:t>Means and standard deviations, in brackets, of positive and negative future thoughts generated by older and younger adults</w:t>
      </w:r>
    </w:p>
    <w:p w14:paraId="61BE14FA" w14:textId="77777777" w:rsidR="004663DE" w:rsidRPr="003342FC" w:rsidRDefault="004663DE" w:rsidP="00EC2D3C">
      <w:pPr>
        <w:spacing w:line="480" w:lineRule="auto"/>
        <w:jc w:val="left"/>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1020"/>
        <w:gridCol w:w="1020"/>
        <w:gridCol w:w="1020"/>
        <w:gridCol w:w="236"/>
        <w:gridCol w:w="1020"/>
        <w:gridCol w:w="1020"/>
        <w:gridCol w:w="1021"/>
      </w:tblGrid>
      <w:tr w:rsidR="000A7A99" w:rsidRPr="003342FC" w14:paraId="307F8F66" w14:textId="77777777" w:rsidTr="003F2FCE">
        <w:tc>
          <w:tcPr>
            <w:tcW w:w="1134" w:type="dxa"/>
            <w:tcBorders>
              <w:top w:val="single" w:sz="4" w:space="0" w:color="auto"/>
            </w:tcBorders>
          </w:tcPr>
          <w:p w14:paraId="6DC6A746" w14:textId="3CE82B8C"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Group</w:t>
            </w:r>
          </w:p>
        </w:tc>
        <w:tc>
          <w:tcPr>
            <w:tcW w:w="3060" w:type="dxa"/>
            <w:gridSpan w:val="3"/>
            <w:tcBorders>
              <w:top w:val="single" w:sz="4" w:space="0" w:color="auto"/>
              <w:bottom w:val="single" w:sz="4" w:space="0" w:color="auto"/>
            </w:tcBorders>
          </w:tcPr>
          <w:p w14:paraId="790C0DBB"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Positive</w:t>
            </w:r>
          </w:p>
        </w:tc>
        <w:tc>
          <w:tcPr>
            <w:tcW w:w="236" w:type="dxa"/>
            <w:tcBorders>
              <w:top w:val="single" w:sz="4" w:space="0" w:color="auto"/>
            </w:tcBorders>
          </w:tcPr>
          <w:p w14:paraId="0CD61014" w14:textId="77777777" w:rsidR="000A7A99" w:rsidRPr="003342FC" w:rsidRDefault="000A7A99" w:rsidP="00EC2D3C">
            <w:pPr>
              <w:spacing w:line="480" w:lineRule="auto"/>
              <w:jc w:val="left"/>
            </w:pPr>
          </w:p>
        </w:tc>
        <w:tc>
          <w:tcPr>
            <w:tcW w:w="3061" w:type="dxa"/>
            <w:gridSpan w:val="3"/>
            <w:tcBorders>
              <w:top w:val="single" w:sz="4" w:space="0" w:color="auto"/>
              <w:bottom w:val="single" w:sz="4" w:space="0" w:color="auto"/>
            </w:tcBorders>
          </w:tcPr>
          <w:p w14:paraId="5E77AEF3" w14:textId="65230DD2"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Negative</w:t>
            </w:r>
          </w:p>
        </w:tc>
      </w:tr>
      <w:tr w:rsidR="000A7A99" w:rsidRPr="003342FC" w14:paraId="7749A3A7" w14:textId="77777777" w:rsidTr="003F2FCE">
        <w:trPr>
          <w:trHeight w:val="1132"/>
        </w:trPr>
        <w:tc>
          <w:tcPr>
            <w:tcW w:w="1134" w:type="dxa"/>
            <w:tcBorders>
              <w:bottom w:val="single" w:sz="4" w:space="0" w:color="auto"/>
            </w:tcBorders>
          </w:tcPr>
          <w:p w14:paraId="28ACFDD8" w14:textId="77777777" w:rsidR="000A7A99" w:rsidRPr="003342FC" w:rsidRDefault="000A7A99" w:rsidP="00EC2D3C">
            <w:pPr>
              <w:spacing w:line="480" w:lineRule="auto"/>
              <w:jc w:val="left"/>
              <w:rPr>
                <w:rFonts w:ascii="Arial" w:hAnsi="Arial" w:cs="Arial"/>
                <w:sz w:val="24"/>
                <w:szCs w:val="24"/>
              </w:rPr>
            </w:pPr>
          </w:p>
        </w:tc>
        <w:tc>
          <w:tcPr>
            <w:tcW w:w="1020" w:type="dxa"/>
            <w:tcBorders>
              <w:top w:val="single" w:sz="4" w:space="0" w:color="auto"/>
              <w:bottom w:val="single" w:sz="4" w:space="0" w:color="auto"/>
            </w:tcBorders>
          </w:tcPr>
          <w:p w14:paraId="0F930D61"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1 week</w:t>
            </w:r>
          </w:p>
        </w:tc>
        <w:tc>
          <w:tcPr>
            <w:tcW w:w="1020" w:type="dxa"/>
            <w:tcBorders>
              <w:top w:val="single" w:sz="4" w:space="0" w:color="auto"/>
              <w:bottom w:val="single" w:sz="4" w:space="0" w:color="auto"/>
            </w:tcBorders>
          </w:tcPr>
          <w:p w14:paraId="177507C6"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1 year</w:t>
            </w:r>
          </w:p>
        </w:tc>
        <w:tc>
          <w:tcPr>
            <w:tcW w:w="1020" w:type="dxa"/>
            <w:tcBorders>
              <w:top w:val="single" w:sz="4" w:space="0" w:color="auto"/>
              <w:bottom w:val="single" w:sz="4" w:space="0" w:color="auto"/>
            </w:tcBorders>
          </w:tcPr>
          <w:p w14:paraId="7FB7FFFB"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5-10 years</w:t>
            </w:r>
          </w:p>
        </w:tc>
        <w:tc>
          <w:tcPr>
            <w:tcW w:w="236" w:type="dxa"/>
            <w:tcBorders>
              <w:bottom w:val="single" w:sz="4" w:space="0" w:color="auto"/>
            </w:tcBorders>
          </w:tcPr>
          <w:p w14:paraId="50E0F391" w14:textId="77777777" w:rsidR="000A7A99" w:rsidRPr="003342FC" w:rsidRDefault="000A7A99" w:rsidP="00EC2D3C">
            <w:pPr>
              <w:spacing w:line="480" w:lineRule="auto"/>
              <w:jc w:val="left"/>
            </w:pPr>
          </w:p>
        </w:tc>
        <w:tc>
          <w:tcPr>
            <w:tcW w:w="1020" w:type="dxa"/>
            <w:tcBorders>
              <w:top w:val="single" w:sz="4" w:space="0" w:color="auto"/>
              <w:bottom w:val="single" w:sz="4" w:space="0" w:color="auto"/>
            </w:tcBorders>
          </w:tcPr>
          <w:p w14:paraId="50E44435" w14:textId="0B337A21"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1 week</w:t>
            </w:r>
          </w:p>
        </w:tc>
        <w:tc>
          <w:tcPr>
            <w:tcW w:w="1020" w:type="dxa"/>
            <w:tcBorders>
              <w:top w:val="single" w:sz="4" w:space="0" w:color="auto"/>
              <w:bottom w:val="single" w:sz="4" w:space="0" w:color="auto"/>
            </w:tcBorders>
          </w:tcPr>
          <w:p w14:paraId="60198130"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1 year</w:t>
            </w:r>
          </w:p>
        </w:tc>
        <w:tc>
          <w:tcPr>
            <w:tcW w:w="1021" w:type="dxa"/>
            <w:tcBorders>
              <w:top w:val="single" w:sz="4" w:space="0" w:color="auto"/>
              <w:bottom w:val="single" w:sz="4" w:space="0" w:color="auto"/>
            </w:tcBorders>
          </w:tcPr>
          <w:p w14:paraId="4D7E09C5"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5-10 years</w:t>
            </w:r>
          </w:p>
        </w:tc>
      </w:tr>
      <w:tr w:rsidR="000A7A99" w:rsidRPr="003342FC" w14:paraId="4D343612" w14:textId="77777777" w:rsidTr="003F2FCE">
        <w:trPr>
          <w:trHeight w:val="891"/>
        </w:trPr>
        <w:tc>
          <w:tcPr>
            <w:tcW w:w="1134" w:type="dxa"/>
            <w:tcBorders>
              <w:top w:val="single" w:sz="4" w:space="0" w:color="auto"/>
            </w:tcBorders>
          </w:tcPr>
          <w:p w14:paraId="5F183CBF"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 xml:space="preserve">YA </w:t>
            </w:r>
          </w:p>
          <w:p w14:paraId="3FDF47A0" w14:textId="77777777" w:rsidR="000A7A99" w:rsidRPr="003342FC" w:rsidRDefault="000A7A99" w:rsidP="00EC2D3C">
            <w:pPr>
              <w:spacing w:line="480" w:lineRule="auto"/>
              <w:jc w:val="left"/>
              <w:rPr>
                <w:rFonts w:ascii="Arial" w:hAnsi="Arial" w:cs="Arial"/>
                <w:sz w:val="24"/>
                <w:szCs w:val="24"/>
              </w:rPr>
            </w:pPr>
          </w:p>
        </w:tc>
        <w:tc>
          <w:tcPr>
            <w:tcW w:w="1020" w:type="dxa"/>
            <w:tcBorders>
              <w:top w:val="single" w:sz="4" w:space="0" w:color="auto"/>
            </w:tcBorders>
          </w:tcPr>
          <w:p w14:paraId="73CB8F9A" w14:textId="01CC404D"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6.82 (3.56)</w:t>
            </w:r>
          </w:p>
        </w:tc>
        <w:tc>
          <w:tcPr>
            <w:tcW w:w="1020" w:type="dxa"/>
            <w:tcBorders>
              <w:top w:val="single" w:sz="4" w:space="0" w:color="auto"/>
            </w:tcBorders>
          </w:tcPr>
          <w:p w14:paraId="6350F5EA" w14:textId="7B34A9C5"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6.18 (2.68)</w:t>
            </w:r>
          </w:p>
        </w:tc>
        <w:tc>
          <w:tcPr>
            <w:tcW w:w="1020" w:type="dxa"/>
            <w:tcBorders>
              <w:top w:val="single" w:sz="4" w:space="0" w:color="auto"/>
            </w:tcBorders>
          </w:tcPr>
          <w:p w14:paraId="33F6EC4C" w14:textId="7DD3C439"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4.95 (2.06)</w:t>
            </w:r>
          </w:p>
        </w:tc>
        <w:tc>
          <w:tcPr>
            <w:tcW w:w="236" w:type="dxa"/>
            <w:tcBorders>
              <w:top w:val="single" w:sz="4" w:space="0" w:color="auto"/>
            </w:tcBorders>
          </w:tcPr>
          <w:p w14:paraId="7BA531FD" w14:textId="77777777" w:rsidR="000A7A99" w:rsidRPr="003342FC" w:rsidRDefault="000A7A99" w:rsidP="00EC2D3C">
            <w:pPr>
              <w:spacing w:line="480" w:lineRule="auto"/>
              <w:jc w:val="left"/>
            </w:pPr>
          </w:p>
        </w:tc>
        <w:tc>
          <w:tcPr>
            <w:tcW w:w="1020" w:type="dxa"/>
            <w:tcBorders>
              <w:top w:val="single" w:sz="4" w:space="0" w:color="auto"/>
            </w:tcBorders>
          </w:tcPr>
          <w:p w14:paraId="22D3F4BB" w14:textId="34B1CBAF"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4.49 (2.28)</w:t>
            </w:r>
          </w:p>
        </w:tc>
        <w:tc>
          <w:tcPr>
            <w:tcW w:w="1020" w:type="dxa"/>
            <w:tcBorders>
              <w:top w:val="single" w:sz="4" w:space="0" w:color="auto"/>
            </w:tcBorders>
          </w:tcPr>
          <w:p w14:paraId="38606A99" w14:textId="7C9C0B93"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4.21 (1.66)</w:t>
            </w:r>
          </w:p>
        </w:tc>
        <w:tc>
          <w:tcPr>
            <w:tcW w:w="1021" w:type="dxa"/>
            <w:tcBorders>
              <w:top w:val="single" w:sz="4" w:space="0" w:color="auto"/>
            </w:tcBorders>
          </w:tcPr>
          <w:p w14:paraId="65E6400E" w14:textId="5D90B2D3"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4.00 (2.03)</w:t>
            </w:r>
          </w:p>
        </w:tc>
      </w:tr>
      <w:tr w:rsidR="000A7A99" w:rsidRPr="003342FC" w14:paraId="67D6765D" w14:textId="77777777" w:rsidTr="003F2FCE">
        <w:tc>
          <w:tcPr>
            <w:tcW w:w="1134" w:type="dxa"/>
            <w:tcBorders>
              <w:bottom w:val="single" w:sz="4" w:space="0" w:color="auto"/>
            </w:tcBorders>
          </w:tcPr>
          <w:p w14:paraId="670B3A56" w14:textId="77777777" w:rsidR="000A7A99" w:rsidRPr="003342FC" w:rsidRDefault="000A7A99" w:rsidP="00EC2D3C">
            <w:pPr>
              <w:spacing w:line="480" w:lineRule="auto"/>
              <w:jc w:val="left"/>
              <w:rPr>
                <w:rFonts w:ascii="Arial" w:hAnsi="Arial" w:cs="Arial"/>
                <w:sz w:val="24"/>
                <w:szCs w:val="24"/>
              </w:rPr>
            </w:pPr>
            <w:r w:rsidRPr="003342FC">
              <w:rPr>
                <w:rFonts w:ascii="Arial" w:hAnsi="Arial" w:cs="Arial"/>
                <w:sz w:val="24"/>
                <w:szCs w:val="24"/>
              </w:rPr>
              <w:t xml:space="preserve">OA </w:t>
            </w:r>
          </w:p>
          <w:p w14:paraId="34C9E15D" w14:textId="77777777" w:rsidR="000A7A99" w:rsidRPr="003342FC" w:rsidRDefault="000A7A99" w:rsidP="00EC2D3C">
            <w:pPr>
              <w:spacing w:line="480" w:lineRule="auto"/>
              <w:jc w:val="left"/>
              <w:rPr>
                <w:rFonts w:ascii="Arial" w:hAnsi="Arial" w:cs="Arial"/>
                <w:sz w:val="24"/>
                <w:szCs w:val="24"/>
              </w:rPr>
            </w:pPr>
          </w:p>
        </w:tc>
        <w:tc>
          <w:tcPr>
            <w:tcW w:w="1020" w:type="dxa"/>
            <w:tcBorders>
              <w:bottom w:val="single" w:sz="4" w:space="0" w:color="auto"/>
            </w:tcBorders>
          </w:tcPr>
          <w:p w14:paraId="3FD78ABF" w14:textId="39F36991"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6.72 (3.10)</w:t>
            </w:r>
          </w:p>
        </w:tc>
        <w:tc>
          <w:tcPr>
            <w:tcW w:w="1020" w:type="dxa"/>
            <w:tcBorders>
              <w:bottom w:val="single" w:sz="4" w:space="0" w:color="auto"/>
            </w:tcBorders>
          </w:tcPr>
          <w:p w14:paraId="4AF292AF" w14:textId="65DC4401"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4.44 (1.57)</w:t>
            </w:r>
          </w:p>
        </w:tc>
        <w:tc>
          <w:tcPr>
            <w:tcW w:w="1020" w:type="dxa"/>
            <w:tcBorders>
              <w:bottom w:val="single" w:sz="4" w:space="0" w:color="auto"/>
            </w:tcBorders>
          </w:tcPr>
          <w:p w14:paraId="56F2207C" w14:textId="7297B363"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3.49 (1.99)</w:t>
            </w:r>
          </w:p>
        </w:tc>
        <w:tc>
          <w:tcPr>
            <w:tcW w:w="236" w:type="dxa"/>
            <w:tcBorders>
              <w:bottom w:val="single" w:sz="4" w:space="0" w:color="auto"/>
            </w:tcBorders>
          </w:tcPr>
          <w:p w14:paraId="254378AA" w14:textId="77777777" w:rsidR="000A7A99" w:rsidRPr="003342FC" w:rsidRDefault="000A7A99" w:rsidP="00EC2D3C">
            <w:pPr>
              <w:spacing w:line="480" w:lineRule="auto"/>
              <w:jc w:val="left"/>
            </w:pPr>
          </w:p>
        </w:tc>
        <w:tc>
          <w:tcPr>
            <w:tcW w:w="1020" w:type="dxa"/>
            <w:tcBorders>
              <w:bottom w:val="single" w:sz="4" w:space="0" w:color="auto"/>
            </w:tcBorders>
          </w:tcPr>
          <w:p w14:paraId="21D517E1" w14:textId="2BABCF42"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3.56 (2.77)</w:t>
            </w:r>
          </w:p>
        </w:tc>
        <w:tc>
          <w:tcPr>
            <w:tcW w:w="1020" w:type="dxa"/>
            <w:tcBorders>
              <w:bottom w:val="single" w:sz="4" w:space="0" w:color="auto"/>
            </w:tcBorders>
          </w:tcPr>
          <w:p w14:paraId="0701DC9F" w14:textId="332E2CE8"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2.74 (1.46)</w:t>
            </w:r>
          </w:p>
        </w:tc>
        <w:tc>
          <w:tcPr>
            <w:tcW w:w="1021" w:type="dxa"/>
            <w:tcBorders>
              <w:bottom w:val="single" w:sz="4" w:space="0" w:color="auto"/>
            </w:tcBorders>
          </w:tcPr>
          <w:p w14:paraId="6D7976FB" w14:textId="52F1EC8F" w:rsidR="000A7A99" w:rsidRPr="003342FC" w:rsidRDefault="004D5E36" w:rsidP="00EC2D3C">
            <w:pPr>
              <w:spacing w:line="480" w:lineRule="auto"/>
              <w:jc w:val="left"/>
              <w:rPr>
                <w:rFonts w:ascii="Arial" w:hAnsi="Arial" w:cs="Arial"/>
                <w:sz w:val="24"/>
                <w:szCs w:val="24"/>
              </w:rPr>
            </w:pPr>
            <w:r w:rsidRPr="003342FC">
              <w:rPr>
                <w:rFonts w:ascii="Arial" w:hAnsi="Arial" w:cs="Arial"/>
                <w:sz w:val="24"/>
                <w:szCs w:val="24"/>
              </w:rPr>
              <w:t xml:space="preserve"> </w:t>
            </w:r>
            <w:r w:rsidR="000A7A99" w:rsidRPr="003342FC">
              <w:rPr>
                <w:rFonts w:ascii="Arial" w:hAnsi="Arial" w:cs="Arial"/>
                <w:sz w:val="24"/>
                <w:szCs w:val="24"/>
              </w:rPr>
              <w:t>3.10 (1.80)</w:t>
            </w:r>
          </w:p>
        </w:tc>
      </w:tr>
    </w:tbl>
    <w:p w14:paraId="2987BF4E" w14:textId="77777777" w:rsidR="00544506" w:rsidRPr="003342FC" w:rsidRDefault="00544506" w:rsidP="00EC2D3C">
      <w:pPr>
        <w:spacing w:line="480" w:lineRule="auto"/>
        <w:ind w:firstLine="720"/>
        <w:jc w:val="left"/>
      </w:pPr>
    </w:p>
    <w:p w14:paraId="57C2CDEE" w14:textId="006C5516" w:rsidR="00544506" w:rsidRPr="003342FC" w:rsidRDefault="00544506" w:rsidP="00EC2D3C">
      <w:pPr>
        <w:spacing w:line="480" w:lineRule="auto"/>
        <w:jc w:val="left"/>
        <w:rPr>
          <w:i/>
        </w:rPr>
      </w:pPr>
      <w:r w:rsidRPr="003342FC">
        <w:rPr>
          <w:i/>
        </w:rPr>
        <w:t>Note</w:t>
      </w:r>
      <w:r w:rsidR="00A13D15" w:rsidRPr="003342FC">
        <w:rPr>
          <w:i/>
        </w:rPr>
        <w:t xml:space="preserve">.  </w:t>
      </w:r>
      <w:r w:rsidR="004D5E36" w:rsidRPr="003342FC">
        <w:t>YA = younger adults,</w:t>
      </w:r>
      <w:r w:rsidRPr="003342FC">
        <w:t xml:space="preserve"> OA = older adults</w:t>
      </w:r>
      <w:r w:rsidR="00A13D15" w:rsidRPr="003342FC">
        <w:t>.</w:t>
      </w:r>
    </w:p>
    <w:p w14:paraId="6762FEF2" w14:textId="00A8D9C0" w:rsidR="00544506" w:rsidRPr="003342FC" w:rsidRDefault="00544506" w:rsidP="00EC2D3C">
      <w:pPr>
        <w:spacing w:line="480" w:lineRule="auto"/>
        <w:jc w:val="left"/>
      </w:pPr>
    </w:p>
    <w:p w14:paraId="68B643F5" w14:textId="15EC48EA" w:rsidR="00535E79" w:rsidRPr="003342FC" w:rsidRDefault="00535E79" w:rsidP="00EC2D3C">
      <w:pPr>
        <w:jc w:val="left"/>
      </w:pPr>
      <w:r w:rsidRPr="003342FC">
        <w:br w:type="page"/>
      </w:r>
    </w:p>
    <w:p w14:paraId="24B5FF11" w14:textId="77777777" w:rsidR="00C21D8B" w:rsidRPr="003342FC" w:rsidRDefault="00C21D8B" w:rsidP="00EC2D3C">
      <w:pPr>
        <w:spacing w:line="480" w:lineRule="auto"/>
        <w:jc w:val="left"/>
      </w:pPr>
    </w:p>
    <w:p w14:paraId="5BDB81CC" w14:textId="0B7E081B" w:rsidR="00544506" w:rsidRPr="003342FC" w:rsidRDefault="00544506" w:rsidP="00EC2D3C">
      <w:pPr>
        <w:spacing w:line="480" w:lineRule="auto"/>
        <w:jc w:val="left"/>
      </w:pPr>
      <w:r w:rsidRPr="003342FC">
        <w:t xml:space="preserve">Table </w:t>
      </w:r>
      <w:r w:rsidR="00C7771A" w:rsidRPr="003342FC">
        <w:t>3</w:t>
      </w:r>
    </w:p>
    <w:p w14:paraId="0F0F60EE" w14:textId="6D436115" w:rsidR="00544506" w:rsidRPr="003342FC" w:rsidRDefault="00544506" w:rsidP="00EC2D3C">
      <w:pPr>
        <w:spacing w:line="480" w:lineRule="auto"/>
        <w:jc w:val="left"/>
        <w:rPr>
          <w:i/>
        </w:rPr>
      </w:pPr>
      <w:r w:rsidRPr="003342FC">
        <w:rPr>
          <w:i/>
        </w:rPr>
        <w:t>Correlations between life satisfaction and future-directed thinking for OA and YA groups.</w:t>
      </w:r>
    </w:p>
    <w:p w14:paraId="5C063A90" w14:textId="0252C349" w:rsidR="00544506" w:rsidRPr="003342FC" w:rsidRDefault="00544506" w:rsidP="00EC2D3C">
      <w:pPr>
        <w:spacing w:line="480" w:lineRule="auto"/>
        <w:jc w:val="lef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2693"/>
        <w:gridCol w:w="425"/>
        <w:gridCol w:w="3119"/>
      </w:tblGrid>
      <w:tr w:rsidR="009333BE" w:rsidRPr="003342FC" w14:paraId="0C1BD1FF" w14:textId="77777777" w:rsidTr="000A7A99">
        <w:tc>
          <w:tcPr>
            <w:tcW w:w="1020" w:type="dxa"/>
          </w:tcPr>
          <w:p w14:paraId="02A4A008" w14:textId="71C22319" w:rsidR="009333BE" w:rsidRPr="003342FC" w:rsidRDefault="008326B5" w:rsidP="00EC2D3C">
            <w:pPr>
              <w:spacing w:line="480" w:lineRule="auto"/>
              <w:jc w:val="left"/>
            </w:pPr>
            <w:r w:rsidRPr="003342FC">
              <w:rPr>
                <w:rFonts w:ascii="Arial" w:hAnsi="Arial" w:cs="Arial"/>
                <w:sz w:val="24"/>
                <w:szCs w:val="24"/>
              </w:rPr>
              <w:t>Group</w:t>
            </w:r>
          </w:p>
        </w:tc>
        <w:tc>
          <w:tcPr>
            <w:tcW w:w="2693" w:type="dxa"/>
          </w:tcPr>
          <w:p w14:paraId="009BF77A" w14:textId="6D2D9412" w:rsidR="009333BE" w:rsidRPr="003342FC" w:rsidRDefault="00D7318D" w:rsidP="00EC2D3C">
            <w:pPr>
              <w:spacing w:line="480" w:lineRule="auto"/>
              <w:jc w:val="left"/>
              <w:rPr>
                <w:rFonts w:ascii="Arial" w:hAnsi="Arial" w:cs="Arial"/>
                <w:sz w:val="24"/>
                <w:szCs w:val="24"/>
              </w:rPr>
            </w:pPr>
            <w:r w:rsidRPr="003342FC">
              <w:rPr>
                <w:rFonts w:ascii="Arial" w:hAnsi="Arial" w:cs="Arial"/>
                <w:sz w:val="24"/>
                <w:szCs w:val="24"/>
              </w:rPr>
              <w:t>Positive</w:t>
            </w:r>
          </w:p>
        </w:tc>
        <w:tc>
          <w:tcPr>
            <w:tcW w:w="425" w:type="dxa"/>
          </w:tcPr>
          <w:p w14:paraId="7A71A902" w14:textId="77777777" w:rsidR="009333BE" w:rsidRPr="003342FC" w:rsidRDefault="009333BE" w:rsidP="00EC2D3C">
            <w:pPr>
              <w:spacing w:line="480" w:lineRule="auto"/>
              <w:jc w:val="left"/>
            </w:pPr>
          </w:p>
        </w:tc>
        <w:tc>
          <w:tcPr>
            <w:tcW w:w="3119" w:type="dxa"/>
          </w:tcPr>
          <w:p w14:paraId="756DB092" w14:textId="27D1A01E" w:rsidR="009333BE" w:rsidRPr="003342FC" w:rsidRDefault="00D7318D" w:rsidP="00EC2D3C">
            <w:pPr>
              <w:spacing w:line="480" w:lineRule="auto"/>
              <w:jc w:val="left"/>
              <w:rPr>
                <w:rFonts w:ascii="Arial" w:hAnsi="Arial" w:cs="Arial"/>
                <w:sz w:val="24"/>
                <w:szCs w:val="24"/>
              </w:rPr>
            </w:pPr>
            <w:r w:rsidRPr="003342FC">
              <w:rPr>
                <w:rFonts w:ascii="Arial" w:hAnsi="Arial" w:cs="Arial"/>
                <w:sz w:val="24"/>
                <w:szCs w:val="24"/>
              </w:rPr>
              <w:t>Negative</w:t>
            </w:r>
          </w:p>
        </w:tc>
      </w:tr>
    </w:tbl>
    <w:tbl>
      <w:tblPr>
        <w:tblStyle w:val="TableGrid"/>
        <w:tblpPr w:leftFromText="180" w:rightFromText="180" w:vertAnchor="text"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020"/>
        <w:gridCol w:w="907"/>
        <w:gridCol w:w="1020"/>
        <w:gridCol w:w="250"/>
        <w:gridCol w:w="1020"/>
        <w:gridCol w:w="1020"/>
        <w:gridCol w:w="1020"/>
      </w:tblGrid>
      <w:tr w:rsidR="009333BE" w:rsidRPr="003342FC" w14:paraId="1F150BB0" w14:textId="77777777" w:rsidTr="000A7A99">
        <w:tc>
          <w:tcPr>
            <w:tcW w:w="1020" w:type="dxa"/>
            <w:tcBorders>
              <w:top w:val="nil"/>
              <w:left w:val="nil"/>
              <w:bottom w:val="single" w:sz="4" w:space="0" w:color="auto"/>
              <w:right w:val="nil"/>
            </w:tcBorders>
          </w:tcPr>
          <w:p w14:paraId="73C5C966" w14:textId="143848F6" w:rsidR="009333BE" w:rsidRPr="003342FC" w:rsidRDefault="009333BE" w:rsidP="00EC2D3C">
            <w:pPr>
              <w:spacing w:line="480" w:lineRule="auto"/>
              <w:jc w:val="left"/>
              <w:rPr>
                <w:rFonts w:ascii="Arial" w:hAnsi="Arial" w:cs="Arial"/>
                <w:sz w:val="24"/>
                <w:szCs w:val="24"/>
              </w:rPr>
            </w:pPr>
          </w:p>
        </w:tc>
        <w:tc>
          <w:tcPr>
            <w:tcW w:w="1020" w:type="dxa"/>
            <w:tcBorders>
              <w:top w:val="single" w:sz="4" w:space="0" w:color="auto"/>
              <w:left w:val="nil"/>
              <w:bottom w:val="single" w:sz="4" w:space="0" w:color="auto"/>
            </w:tcBorders>
          </w:tcPr>
          <w:p w14:paraId="05CC4DBD" w14:textId="77777777"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1 week</w:t>
            </w:r>
          </w:p>
        </w:tc>
        <w:tc>
          <w:tcPr>
            <w:tcW w:w="907" w:type="dxa"/>
            <w:tcBorders>
              <w:top w:val="single" w:sz="4" w:space="0" w:color="auto"/>
              <w:bottom w:val="single" w:sz="4" w:space="0" w:color="auto"/>
            </w:tcBorders>
          </w:tcPr>
          <w:p w14:paraId="09CEEC8F" w14:textId="77777777"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1 year</w:t>
            </w:r>
          </w:p>
        </w:tc>
        <w:tc>
          <w:tcPr>
            <w:tcW w:w="1020" w:type="dxa"/>
            <w:tcBorders>
              <w:top w:val="single" w:sz="4" w:space="0" w:color="auto"/>
              <w:bottom w:val="single" w:sz="4" w:space="0" w:color="auto"/>
            </w:tcBorders>
          </w:tcPr>
          <w:p w14:paraId="6255D375" w14:textId="77777777"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5-10 years</w:t>
            </w:r>
          </w:p>
        </w:tc>
        <w:tc>
          <w:tcPr>
            <w:tcW w:w="250" w:type="dxa"/>
            <w:tcBorders>
              <w:top w:val="nil"/>
              <w:bottom w:val="single" w:sz="4" w:space="0" w:color="auto"/>
            </w:tcBorders>
          </w:tcPr>
          <w:p w14:paraId="1EFEEBC0" w14:textId="1139A8FD" w:rsidR="009333BE" w:rsidRPr="003342FC" w:rsidRDefault="009333BE" w:rsidP="00EC2D3C">
            <w:pPr>
              <w:spacing w:line="480" w:lineRule="auto"/>
              <w:jc w:val="left"/>
            </w:pPr>
          </w:p>
        </w:tc>
        <w:tc>
          <w:tcPr>
            <w:tcW w:w="1020" w:type="dxa"/>
            <w:tcBorders>
              <w:top w:val="single" w:sz="4" w:space="0" w:color="auto"/>
              <w:bottom w:val="single" w:sz="4" w:space="0" w:color="auto"/>
            </w:tcBorders>
          </w:tcPr>
          <w:p w14:paraId="119E2179" w14:textId="3325311B"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1 week</w:t>
            </w:r>
          </w:p>
        </w:tc>
        <w:tc>
          <w:tcPr>
            <w:tcW w:w="1020" w:type="dxa"/>
            <w:tcBorders>
              <w:top w:val="single" w:sz="4" w:space="0" w:color="auto"/>
              <w:bottom w:val="single" w:sz="4" w:space="0" w:color="auto"/>
            </w:tcBorders>
          </w:tcPr>
          <w:p w14:paraId="7A76DCFF" w14:textId="77777777"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1 year</w:t>
            </w:r>
          </w:p>
        </w:tc>
        <w:tc>
          <w:tcPr>
            <w:tcW w:w="1020" w:type="dxa"/>
            <w:tcBorders>
              <w:top w:val="single" w:sz="4" w:space="0" w:color="auto"/>
              <w:bottom w:val="single" w:sz="4" w:space="0" w:color="auto"/>
            </w:tcBorders>
          </w:tcPr>
          <w:p w14:paraId="3D090BC3" w14:textId="77777777"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5-10 years</w:t>
            </w:r>
          </w:p>
        </w:tc>
      </w:tr>
      <w:tr w:rsidR="009333BE" w:rsidRPr="003342FC" w14:paraId="5BABE307" w14:textId="77777777" w:rsidTr="000A7A99">
        <w:tc>
          <w:tcPr>
            <w:tcW w:w="1020" w:type="dxa"/>
            <w:tcBorders>
              <w:top w:val="single" w:sz="4" w:space="0" w:color="auto"/>
              <w:left w:val="nil"/>
              <w:bottom w:val="nil"/>
              <w:right w:val="nil"/>
            </w:tcBorders>
          </w:tcPr>
          <w:p w14:paraId="056E1C3C" w14:textId="77777777"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 xml:space="preserve">YA </w:t>
            </w:r>
          </w:p>
        </w:tc>
        <w:tc>
          <w:tcPr>
            <w:tcW w:w="1020" w:type="dxa"/>
            <w:tcBorders>
              <w:top w:val="single" w:sz="4" w:space="0" w:color="auto"/>
              <w:left w:val="nil"/>
              <w:bottom w:val="nil"/>
            </w:tcBorders>
          </w:tcPr>
          <w:p w14:paraId="6C3DCD3C" w14:textId="76750F59"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-.04</w:t>
            </w:r>
          </w:p>
        </w:tc>
        <w:tc>
          <w:tcPr>
            <w:tcW w:w="907" w:type="dxa"/>
            <w:tcBorders>
              <w:top w:val="single" w:sz="4" w:space="0" w:color="auto"/>
              <w:bottom w:val="nil"/>
            </w:tcBorders>
          </w:tcPr>
          <w:p w14:paraId="19F773C8" w14:textId="6E2A3CE6"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-.03</w:t>
            </w:r>
          </w:p>
        </w:tc>
        <w:tc>
          <w:tcPr>
            <w:tcW w:w="1020" w:type="dxa"/>
            <w:tcBorders>
              <w:top w:val="single" w:sz="4" w:space="0" w:color="auto"/>
              <w:bottom w:val="nil"/>
            </w:tcBorders>
          </w:tcPr>
          <w:p w14:paraId="4521723C" w14:textId="1A94E920"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-.19</w:t>
            </w:r>
          </w:p>
        </w:tc>
        <w:tc>
          <w:tcPr>
            <w:tcW w:w="250" w:type="dxa"/>
            <w:tcBorders>
              <w:top w:val="single" w:sz="4" w:space="0" w:color="auto"/>
              <w:bottom w:val="nil"/>
            </w:tcBorders>
          </w:tcPr>
          <w:p w14:paraId="009C70EB" w14:textId="6E56216E" w:rsidR="009333BE" w:rsidRPr="003342FC" w:rsidRDefault="009333BE" w:rsidP="00EC2D3C">
            <w:pPr>
              <w:spacing w:line="480" w:lineRule="auto"/>
              <w:jc w:val="left"/>
            </w:pPr>
          </w:p>
        </w:tc>
        <w:tc>
          <w:tcPr>
            <w:tcW w:w="1020" w:type="dxa"/>
            <w:tcBorders>
              <w:top w:val="single" w:sz="4" w:space="0" w:color="auto"/>
              <w:bottom w:val="nil"/>
            </w:tcBorders>
          </w:tcPr>
          <w:p w14:paraId="2F283294" w14:textId="6655271A"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-.05</w:t>
            </w:r>
          </w:p>
        </w:tc>
        <w:tc>
          <w:tcPr>
            <w:tcW w:w="1020" w:type="dxa"/>
            <w:tcBorders>
              <w:top w:val="single" w:sz="4" w:space="0" w:color="auto"/>
              <w:bottom w:val="nil"/>
            </w:tcBorders>
          </w:tcPr>
          <w:p w14:paraId="342915E2" w14:textId="1E58DC60"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-.16</w:t>
            </w:r>
          </w:p>
        </w:tc>
        <w:tc>
          <w:tcPr>
            <w:tcW w:w="1020" w:type="dxa"/>
            <w:tcBorders>
              <w:top w:val="single" w:sz="4" w:space="0" w:color="auto"/>
              <w:bottom w:val="nil"/>
            </w:tcBorders>
          </w:tcPr>
          <w:p w14:paraId="273948D5" w14:textId="56BCEE85"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-.27</w:t>
            </w:r>
          </w:p>
        </w:tc>
      </w:tr>
      <w:tr w:rsidR="009333BE" w:rsidRPr="003342FC" w14:paraId="3CD6630C" w14:textId="77777777" w:rsidTr="000A7A99">
        <w:tc>
          <w:tcPr>
            <w:tcW w:w="1020" w:type="dxa"/>
            <w:tcBorders>
              <w:top w:val="nil"/>
              <w:left w:val="nil"/>
              <w:bottom w:val="single" w:sz="4" w:space="0" w:color="auto"/>
              <w:right w:val="nil"/>
            </w:tcBorders>
          </w:tcPr>
          <w:p w14:paraId="6C31609A" w14:textId="77777777" w:rsidR="009333BE" w:rsidRPr="003342FC" w:rsidRDefault="009333BE" w:rsidP="00EC2D3C">
            <w:pPr>
              <w:spacing w:line="480" w:lineRule="auto"/>
              <w:jc w:val="left"/>
              <w:rPr>
                <w:rFonts w:ascii="Arial" w:hAnsi="Arial" w:cs="Arial"/>
                <w:sz w:val="24"/>
                <w:szCs w:val="24"/>
              </w:rPr>
            </w:pPr>
            <w:r w:rsidRPr="003342FC">
              <w:rPr>
                <w:rFonts w:ascii="Arial" w:hAnsi="Arial" w:cs="Arial"/>
                <w:sz w:val="24"/>
                <w:szCs w:val="24"/>
              </w:rPr>
              <w:t>OA</w:t>
            </w:r>
          </w:p>
        </w:tc>
        <w:tc>
          <w:tcPr>
            <w:tcW w:w="1020" w:type="dxa"/>
            <w:tcBorders>
              <w:top w:val="nil"/>
              <w:left w:val="nil"/>
            </w:tcBorders>
          </w:tcPr>
          <w:p w14:paraId="3D53E4B6" w14:textId="0C11E1BD"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-.27</w:t>
            </w:r>
          </w:p>
        </w:tc>
        <w:tc>
          <w:tcPr>
            <w:tcW w:w="907" w:type="dxa"/>
            <w:tcBorders>
              <w:top w:val="nil"/>
            </w:tcBorders>
          </w:tcPr>
          <w:p w14:paraId="567A0231" w14:textId="61656841"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.04</w:t>
            </w:r>
          </w:p>
        </w:tc>
        <w:tc>
          <w:tcPr>
            <w:tcW w:w="1020" w:type="dxa"/>
            <w:tcBorders>
              <w:top w:val="nil"/>
            </w:tcBorders>
          </w:tcPr>
          <w:p w14:paraId="21B2F71B" w14:textId="17343B8B"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.04</w:t>
            </w:r>
          </w:p>
        </w:tc>
        <w:tc>
          <w:tcPr>
            <w:tcW w:w="250" w:type="dxa"/>
            <w:tcBorders>
              <w:top w:val="nil"/>
            </w:tcBorders>
          </w:tcPr>
          <w:p w14:paraId="20D29426" w14:textId="28234090" w:rsidR="009333BE" w:rsidRPr="003342FC" w:rsidRDefault="009333BE" w:rsidP="00EC2D3C">
            <w:pPr>
              <w:spacing w:line="480" w:lineRule="auto"/>
              <w:jc w:val="left"/>
            </w:pPr>
          </w:p>
        </w:tc>
        <w:tc>
          <w:tcPr>
            <w:tcW w:w="1020" w:type="dxa"/>
            <w:tcBorders>
              <w:top w:val="nil"/>
            </w:tcBorders>
          </w:tcPr>
          <w:p w14:paraId="69BE9076" w14:textId="170B1BD1"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-.15</w:t>
            </w:r>
          </w:p>
        </w:tc>
        <w:tc>
          <w:tcPr>
            <w:tcW w:w="1020" w:type="dxa"/>
            <w:tcBorders>
              <w:top w:val="nil"/>
            </w:tcBorders>
          </w:tcPr>
          <w:p w14:paraId="4EB8EDE9" w14:textId="03E0D2BB"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-.36*</w:t>
            </w:r>
          </w:p>
        </w:tc>
        <w:tc>
          <w:tcPr>
            <w:tcW w:w="1020" w:type="dxa"/>
            <w:tcBorders>
              <w:top w:val="nil"/>
            </w:tcBorders>
          </w:tcPr>
          <w:p w14:paraId="278BE4D4" w14:textId="3F8D6905" w:rsidR="009333BE" w:rsidRPr="003342FC" w:rsidRDefault="008326B5" w:rsidP="00EC2D3C">
            <w:pPr>
              <w:spacing w:line="480" w:lineRule="auto"/>
              <w:jc w:val="left"/>
              <w:rPr>
                <w:rFonts w:ascii="Arial" w:hAnsi="Arial" w:cs="Arial"/>
                <w:sz w:val="24"/>
                <w:szCs w:val="24"/>
              </w:rPr>
            </w:pPr>
            <w:r w:rsidRPr="003342FC">
              <w:rPr>
                <w:rFonts w:ascii="Arial" w:hAnsi="Arial" w:cs="Arial"/>
                <w:sz w:val="24"/>
                <w:szCs w:val="24"/>
              </w:rPr>
              <w:t xml:space="preserve">  </w:t>
            </w:r>
            <w:r w:rsidR="009333BE" w:rsidRPr="003342FC">
              <w:rPr>
                <w:rFonts w:ascii="Arial" w:hAnsi="Arial" w:cs="Arial"/>
                <w:sz w:val="24"/>
                <w:szCs w:val="24"/>
              </w:rPr>
              <w:t>-.52**</w:t>
            </w:r>
          </w:p>
        </w:tc>
      </w:tr>
    </w:tbl>
    <w:p w14:paraId="69DA3C0B" w14:textId="77777777" w:rsidR="008326B5" w:rsidRPr="003342FC" w:rsidRDefault="00544506" w:rsidP="00EC2D3C">
      <w:pPr>
        <w:spacing w:line="480" w:lineRule="auto"/>
        <w:jc w:val="left"/>
        <w:rPr>
          <w:i/>
        </w:rPr>
      </w:pPr>
      <w:r w:rsidRPr="003342FC">
        <w:br w:type="textWrapping" w:clear="all"/>
      </w:r>
    </w:p>
    <w:p w14:paraId="46B37718" w14:textId="33F4CD18" w:rsidR="00544506" w:rsidRPr="003342FC" w:rsidRDefault="00544506" w:rsidP="00EC2D3C">
      <w:pPr>
        <w:spacing w:line="480" w:lineRule="auto"/>
        <w:jc w:val="left"/>
        <w:rPr>
          <w:i/>
        </w:rPr>
      </w:pPr>
      <w:r w:rsidRPr="003342FC">
        <w:rPr>
          <w:i/>
        </w:rPr>
        <w:t>Note</w:t>
      </w:r>
      <w:r w:rsidR="00A13D15" w:rsidRPr="003342FC">
        <w:rPr>
          <w:i/>
        </w:rPr>
        <w:t xml:space="preserve">. </w:t>
      </w:r>
      <w:r w:rsidR="004D5E36" w:rsidRPr="003342FC">
        <w:t>YA = younger adults,</w:t>
      </w:r>
      <w:r w:rsidRPr="003342FC">
        <w:t xml:space="preserve"> OA = older adults</w:t>
      </w:r>
      <w:r w:rsidR="00A13D15" w:rsidRPr="003342FC">
        <w:t>.</w:t>
      </w:r>
    </w:p>
    <w:p w14:paraId="2937C07A" w14:textId="6AB70E1B" w:rsidR="00A13D15" w:rsidRPr="00160F14" w:rsidRDefault="00A13D15" w:rsidP="00EC2D3C">
      <w:pPr>
        <w:spacing w:line="480" w:lineRule="auto"/>
        <w:jc w:val="left"/>
      </w:pPr>
      <w:r w:rsidRPr="003342FC">
        <w:t>*</w:t>
      </w:r>
      <w:r w:rsidRPr="003342FC">
        <w:rPr>
          <w:i/>
        </w:rPr>
        <w:t>p</w:t>
      </w:r>
      <w:r w:rsidRPr="003342FC">
        <w:t xml:space="preserve"> =.023</w:t>
      </w:r>
      <w:r w:rsidR="003F2FCE" w:rsidRPr="003342FC">
        <w:t xml:space="preserve">; </w:t>
      </w:r>
      <w:r w:rsidRPr="003342FC">
        <w:t>**</w:t>
      </w:r>
      <w:r w:rsidRPr="003342FC">
        <w:rPr>
          <w:i/>
        </w:rPr>
        <w:t>p</w:t>
      </w:r>
      <w:r w:rsidRPr="003342FC">
        <w:t xml:space="preserve"> =.001.</w:t>
      </w:r>
    </w:p>
    <w:p w14:paraId="42097F1D" w14:textId="77777777" w:rsidR="00A13D15" w:rsidRPr="00160F14" w:rsidRDefault="00A13D15" w:rsidP="00EC2D3C">
      <w:pPr>
        <w:spacing w:line="480" w:lineRule="auto"/>
        <w:jc w:val="left"/>
      </w:pPr>
    </w:p>
    <w:p w14:paraId="6DECADA2" w14:textId="77777777" w:rsidR="00544506" w:rsidRDefault="00544506" w:rsidP="00EC2D3C">
      <w:pPr>
        <w:spacing w:line="480" w:lineRule="auto"/>
        <w:jc w:val="left"/>
      </w:pPr>
    </w:p>
    <w:p w14:paraId="7A5CB9A5" w14:textId="25B36DEC" w:rsidR="00CA2840" w:rsidRPr="00160F14" w:rsidRDefault="00CA2840" w:rsidP="00EC2D3C">
      <w:pPr>
        <w:spacing w:line="480" w:lineRule="auto"/>
        <w:jc w:val="left"/>
      </w:pPr>
    </w:p>
    <w:sectPr w:rsidR="00CA2840" w:rsidRPr="00160F14" w:rsidSect="00C313E1">
      <w:headerReference w:type="default" r:id="rId17"/>
      <w:footerReference w:type="default" r:id="rId18"/>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2742BA" w14:textId="77777777" w:rsidR="00AA66AD" w:rsidRDefault="00AA66AD" w:rsidP="00937D07">
      <w:r>
        <w:separator/>
      </w:r>
    </w:p>
  </w:endnote>
  <w:endnote w:type="continuationSeparator" w:id="0">
    <w:p w14:paraId="1B27F72A" w14:textId="77777777" w:rsidR="00AA66AD" w:rsidRDefault="00AA66AD" w:rsidP="0093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210631"/>
      <w:docPartObj>
        <w:docPartGallery w:val="Page Numbers (Bottom of Page)"/>
        <w:docPartUnique/>
      </w:docPartObj>
    </w:sdtPr>
    <w:sdtEndPr>
      <w:rPr>
        <w:noProof/>
      </w:rPr>
    </w:sdtEndPr>
    <w:sdtContent>
      <w:p w14:paraId="6D602D64" w14:textId="2F71E072" w:rsidR="00937D07" w:rsidRDefault="00937D07">
        <w:pPr>
          <w:pStyle w:val="Footer"/>
          <w:jc w:val="right"/>
        </w:pPr>
        <w:r>
          <w:fldChar w:fldCharType="begin"/>
        </w:r>
        <w:r>
          <w:instrText xml:space="preserve"> PAGE   \* MERGEFORMAT </w:instrText>
        </w:r>
        <w:r>
          <w:fldChar w:fldCharType="separate"/>
        </w:r>
        <w:r w:rsidR="009419EA">
          <w:rPr>
            <w:noProof/>
          </w:rPr>
          <w:t>3</w:t>
        </w:r>
        <w:r>
          <w:rPr>
            <w:noProof/>
          </w:rPr>
          <w:fldChar w:fldCharType="end"/>
        </w:r>
      </w:p>
    </w:sdtContent>
  </w:sdt>
  <w:p w14:paraId="11102D52" w14:textId="77777777" w:rsidR="00937D07" w:rsidRDefault="00937D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5CC53" w14:textId="77777777" w:rsidR="00AA66AD" w:rsidRDefault="00AA66AD" w:rsidP="00937D07">
      <w:r>
        <w:separator/>
      </w:r>
    </w:p>
  </w:footnote>
  <w:footnote w:type="continuationSeparator" w:id="0">
    <w:p w14:paraId="17A918B2" w14:textId="77777777" w:rsidR="00AA66AD" w:rsidRDefault="00AA66AD" w:rsidP="00937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29E4B" w14:textId="0EAAEE9E" w:rsidR="00C313E1" w:rsidRDefault="00C313E1" w:rsidP="00C313E1">
    <w:pPr>
      <w:pStyle w:val="Header"/>
      <w:jc w:val="left"/>
    </w:pPr>
    <w:r>
      <w:t>FUTURE-DIRECTED THINKING IN OLDER ADULTS</w:t>
    </w:r>
  </w:p>
  <w:p w14:paraId="7BED6045" w14:textId="77777777" w:rsidR="00C313E1" w:rsidRDefault="00C313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850D1"/>
    <w:multiLevelType w:val="multilevel"/>
    <w:tmpl w:val="61C8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29"/>
    <w:rsid w:val="0002528A"/>
    <w:rsid w:val="000435AD"/>
    <w:rsid w:val="000520B2"/>
    <w:rsid w:val="00063BDA"/>
    <w:rsid w:val="00072999"/>
    <w:rsid w:val="00080D29"/>
    <w:rsid w:val="00084FA2"/>
    <w:rsid w:val="00087CAE"/>
    <w:rsid w:val="000908B2"/>
    <w:rsid w:val="00093E7D"/>
    <w:rsid w:val="000A7A99"/>
    <w:rsid w:val="000C60BF"/>
    <w:rsid w:val="000D5D11"/>
    <w:rsid w:val="000E317F"/>
    <w:rsid w:val="000E59A7"/>
    <w:rsid w:val="000E665E"/>
    <w:rsid w:val="000E7CD1"/>
    <w:rsid w:val="000F6B3E"/>
    <w:rsid w:val="000F724D"/>
    <w:rsid w:val="00123E48"/>
    <w:rsid w:val="001304FB"/>
    <w:rsid w:val="0014185B"/>
    <w:rsid w:val="00144E49"/>
    <w:rsid w:val="00160F14"/>
    <w:rsid w:val="00161873"/>
    <w:rsid w:val="001937CE"/>
    <w:rsid w:val="0019652F"/>
    <w:rsid w:val="001A533D"/>
    <w:rsid w:val="001B1C2D"/>
    <w:rsid w:val="001B36CB"/>
    <w:rsid w:val="001E14F4"/>
    <w:rsid w:val="001F105B"/>
    <w:rsid w:val="001F2D7A"/>
    <w:rsid w:val="00204012"/>
    <w:rsid w:val="002242EF"/>
    <w:rsid w:val="002517EE"/>
    <w:rsid w:val="002533BD"/>
    <w:rsid w:val="00272811"/>
    <w:rsid w:val="00275A68"/>
    <w:rsid w:val="00282D23"/>
    <w:rsid w:val="00285922"/>
    <w:rsid w:val="002C20DE"/>
    <w:rsid w:val="002E395E"/>
    <w:rsid w:val="002E744B"/>
    <w:rsid w:val="002F1801"/>
    <w:rsid w:val="002F3949"/>
    <w:rsid w:val="003108C1"/>
    <w:rsid w:val="00310A8E"/>
    <w:rsid w:val="00323ECC"/>
    <w:rsid w:val="003309E6"/>
    <w:rsid w:val="003342FC"/>
    <w:rsid w:val="00387886"/>
    <w:rsid w:val="003A5B87"/>
    <w:rsid w:val="003B17DA"/>
    <w:rsid w:val="003B7869"/>
    <w:rsid w:val="003C0818"/>
    <w:rsid w:val="003F2FCE"/>
    <w:rsid w:val="0040459A"/>
    <w:rsid w:val="0040750C"/>
    <w:rsid w:val="0041266B"/>
    <w:rsid w:val="00414709"/>
    <w:rsid w:val="00415265"/>
    <w:rsid w:val="00421CBD"/>
    <w:rsid w:val="00424F9E"/>
    <w:rsid w:val="0043348E"/>
    <w:rsid w:val="004631E1"/>
    <w:rsid w:val="004663DE"/>
    <w:rsid w:val="004819E9"/>
    <w:rsid w:val="00487F69"/>
    <w:rsid w:val="004B7092"/>
    <w:rsid w:val="004C4462"/>
    <w:rsid w:val="004D5B17"/>
    <w:rsid w:val="004D5E36"/>
    <w:rsid w:val="004E06FD"/>
    <w:rsid w:val="004E15E6"/>
    <w:rsid w:val="004F2F8E"/>
    <w:rsid w:val="004F5440"/>
    <w:rsid w:val="004F5BE8"/>
    <w:rsid w:val="005132D6"/>
    <w:rsid w:val="00535E79"/>
    <w:rsid w:val="00536088"/>
    <w:rsid w:val="0053634A"/>
    <w:rsid w:val="0054007A"/>
    <w:rsid w:val="00544506"/>
    <w:rsid w:val="00550A6E"/>
    <w:rsid w:val="00553BF6"/>
    <w:rsid w:val="00590355"/>
    <w:rsid w:val="00607159"/>
    <w:rsid w:val="00613649"/>
    <w:rsid w:val="00660BED"/>
    <w:rsid w:val="006675B9"/>
    <w:rsid w:val="00670CF2"/>
    <w:rsid w:val="00676544"/>
    <w:rsid w:val="00685F75"/>
    <w:rsid w:val="006B6B9D"/>
    <w:rsid w:val="006E35E0"/>
    <w:rsid w:val="007077AB"/>
    <w:rsid w:val="00711E99"/>
    <w:rsid w:val="007520FD"/>
    <w:rsid w:val="00780477"/>
    <w:rsid w:val="0079673E"/>
    <w:rsid w:val="00796AA8"/>
    <w:rsid w:val="007B0C2C"/>
    <w:rsid w:val="007C1B21"/>
    <w:rsid w:val="007C4ACF"/>
    <w:rsid w:val="007D0501"/>
    <w:rsid w:val="007D08B3"/>
    <w:rsid w:val="007E5F9E"/>
    <w:rsid w:val="007F0D08"/>
    <w:rsid w:val="0081337D"/>
    <w:rsid w:val="0081516C"/>
    <w:rsid w:val="008179A3"/>
    <w:rsid w:val="008245BD"/>
    <w:rsid w:val="0083095F"/>
    <w:rsid w:val="008326B5"/>
    <w:rsid w:val="008429D8"/>
    <w:rsid w:val="00845024"/>
    <w:rsid w:val="00847E2E"/>
    <w:rsid w:val="00854763"/>
    <w:rsid w:val="00866F4F"/>
    <w:rsid w:val="00887B57"/>
    <w:rsid w:val="00895800"/>
    <w:rsid w:val="008A152B"/>
    <w:rsid w:val="008B5A7C"/>
    <w:rsid w:val="008C6ECE"/>
    <w:rsid w:val="008F3270"/>
    <w:rsid w:val="008F5B1B"/>
    <w:rsid w:val="00901521"/>
    <w:rsid w:val="00902025"/>
    <w:rsid w:val="009140E4"/>
    <w:rsid w:val="0091516B"/>
    <w:rsid w:val="0092285B"/>
    <w:rsid w:val="009333BE"/>
    <w:rsid w:val="00937D07"/>
    <w:rsid w:val="009419EA"/>
    <w:rsid w:val="009445DE"/>
    <w:rsid w:val="009715BB"/>
    <w:rsid w:val="009806EA"/>
    <w:rsid w:val="00995707"/>
    <w:rsid w:val="009D33E3"/>
    <w:rsid w:val="009D51B9"/>
    <w:rsid w:val="009F5A9E"/>
    <w:rsid w:val="00A13D15"/>
    <w:rsid w:val="00A164FE"/>
    <w:rsid w:val="00A253D2"/>
    <w:rsid w:val="00A352F0"/>
    <w:rsid w:val="00A44E57"/>
    <w:rsid w:val="00A728D7"/>
    <w:rsid w:val="00A97609"/>
    <w:rsid w:val="00AA66AD"/>
    <w:rsid w:val="00AC0DB9"/>
    <w:rsid w:val="00AE3821"/>
    <w:rsid w:val="00AE4036"/>
    <w:rsid w:val="00AE5FDA"/>
    <w:rsid w:val="00AF3EC5"/>
    <w:rsid w:val="00AF5F81"/>
    <w:rsid w:val="00B001B7"/>
    <w:rsid w:val="00B0299A"/>
    <w:rsid w:val="00B1034D"/>
    <w:rsid w:val="00B126C4"/>
    <w:rsid w:val="00B52698"/>
    <w:rsid w:val="00B84AD1"/>
    <w:rsid w:val="00B84B37"/>
    <w:rsid w:val="00B91623"/>
    <w:rsid w:val="00BA70C0"/>
    <w:rsid w:val="00BB6FAD"/>
    <w:rsid w:val="00BD2553"/>
    <w:rsid w:val="00BF531A"/>
    <w:rsid w:val="00C21D8B"/>
    <w:rsid w:val="00C24C14"/>
    <w:rsid w:val="00C3033C"/>
    <w:rsid w:val="00C313E1"/>
    <w:rsid w:val="00C46652"/>
    <w:rsid w:val="00C50BD0"/>
    <w:rsid w:val="00C6212F"/>
    <w:rsid w:val="00C7771A"/>
    <w:rsid w:val="00CA2840"/>
    <w:rsid w:val="00CD2491"/>
    <w:rsid w:val="00CD4CE6"/>
    <w:rsid w:val="00D23E9B"/>
    <w:rsid w:val="00D40C82"/>
    <w:rsid w:val="00D50458"/>
    <w:rsid w:val="00D63F94"/>
    <w:rsid w:val="00D66DDD"/>
    <w:rsid w:val="00D70D35"/>
    <w:rsid w:val="00D7318D"/>
    <w:rsid w:val="00D80CAD"/>
    <w:rsid w:val="00D84F72"/>
    <w:rsid w:val="00D95930"/>
    <w:rsid w:val="00DB736E"/>
    <w:rsid w:val="00DD46E1"/>
    <w:rsid w:val="00DE348B"/>
    <w:rsid w:val="00E03E34"/>
    <w:rsid w:val="00E05259"/>
    <w:rsid w:val="00E05B1C"/>
    <w:rsid w:val="00E236FF"/>
    <w:rsid w:val="00E30817"/>
    <w:rsid w:val="00E32F89"/>
    <w:rsid w:val="00E34ABE"/>
    <w:rsid w:val="00E434E0"/>
    <w:rsid w:val="00E61907"/>
    <w:rsid w:val="00E6373F"/>
    <w:rsid w:val="00E74B2B"/>
    <w:rsid w:val="00E9131D"/>
    <w:rsid w:val="00EA14F6"/>
    <w:rsid w:val="00EA544B"/>
    <w:rsid w:val="00EB56F6"/>
    <w:rsid w:val="00EC2D3C"/>
    <w:rsid w:val="00EF535F"/>
    <w:rsid w:val="00F07F5D"/>
    <w:rsid w:val="00F141DF"/>
    <w:rsid w:val="00F16464"/>
    <w:rsid w:val="00F40895"/>
    <w:rsid w:val="00F532DF"/>
    <w:rsid w:val="00F56FDB"/>
    <w:rsid w:val="00F671D7"/>
    <w:rsid w:val="00F964BE"/>
    <w:rsid w:val="00FA6FA3"/>
    <w:rsid w:val="00FA7727"/>
    <w:rsid w:val="00FB34D7"/>
    <w:rsid w:val="00FB5536"/>
    <w:rsid w:val="00FC2415"/>
    <w:rsid w:val="00FC4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300C"/>
  <w15:docId w15:val="{14E4A739-7623-43BA-BB6B-9B24FCBB5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2D3C"/>
    <w:pPr>
      <w:keepNext/>
      <w:keepLines/>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077AB"/>
    <w:pPr>
      <w:keepNext/>
      <w:keepLines/>
      <w:spacing w:before="40" w:line="480" w:lineRule="auto"/>
      <w:jc w:val="left"/>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B6FAD"/>
    <w:pPr>
      <w:keepNext/>
      <w:keepLines/>
      <w:spacing w:before="40" w:line="480" w:lineRule="auto"/>
      <w:jc w:val="left"/>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06EA"/>
    <w:rPr>
      <w:rFonts w:asciiTheme="minorHAnsi" w:eastAsiaTheme="minorEastAsia" w:hAnsiTheme="minorHAnsi" w:cstheme="minorBidi"/>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C2D3C"/>
    <w:rPr>
      <w:rFonts w:eastAsiaTheme="majorEastAsia" w:cstheme="majorBidi"/>
      <w:b/>
      <w:szCs w:val="32"/>
    </w:rPr>
  </w:style>
  <w:style w:type="character" w:styleId="CommentReference">
    <w:name w:val="annotation reference"/>
    <w:basedOn w:val="DefaultParagraphFont"/>
    <w:uiPriority w:val="99"/>
    <w:semiHidden/>
    <w:unhideWhenUsed/>
    <w:rsid w:val="001A533D"/>
    <w:rPr>
      <w:sz w:val="16"/>
      <w:szCs w:val="16"/>
    </w:rPr>
  </w:style>
  <w:style w:type="paragraph" w:styleId="CommentText">
    <w:name w:val="annotation text"/>
    <w:basedOn w:val="Normal"/>
    <w:link w:val="CommentTextChar"/>
    <w:uiPriority w:val="99"/>
    <w:semiHidden/>
    <w:unhideWhenUsed/>
    <w:rsid w:val="001A533D"/>
    <w:rPr>
      <w:sz w:val="20"/>
      <w:szCs w:val="20"/>
    </w:rPr>
  </w:style>
  <w:style w:type="character" w:customStyle="1" w:styleId="CommentTextChar">
    <w:name w:val="Comment Text Char"/>
    <w:basedOn w:val="DefaultParagraphFont"/>
    <w:link w:val="CommentText"/>
    <w:uiPriority w:val="99"/>
    <w:semiHidden/>
    <w:rsid w:val="001A533D"/>
    <w:rPr>
      <w:sz w:val="20"/>
      <w:szCs w:val="20"/>
    </w:rPr>
  </w:style>
  <w:style w:type="paragraph" w:styleId="CommentSubject">
    <w:name w:val="annotation subject"/>
    <w:basedOn w:val="CommentText"/>
    <w:next w:val="CommentText"/>
    <w:link w:val="CommentSubjectChar"/>
    <w:uiPriority w:val="99"/>
    <w:semiHidden/>
    <w:unhideWhenUsed/>
    <w:rsid w:val="001A533D"/>
    <w:rPr>
      <w:b/>
      <w:bCs/>
    </w:rPr>
  </w:style>
  <w:style w:type="character" w:customStyle="1" w:styleId="CommentSubjectChar">
    <w:name w:val="Comment Subject Char"/>
    <w:basedOn w:val="CommentTextChar"/>
    <w:link w:val="CommentSubject"/>
    <w:uiPriority w:val="99"/>
    <w:semiHidden/>
    <w:rsid w:val="001A533D"/>
    <w:rPr>
      <w:b/>
      <w:bCs/>
      <w:sz w:val="20"/>
      <w:szCs w:val="20"/>
    </w:rPr>
  </w:style>
  <w:style w:type="paragraph" w:styleId="BalloonText">
    <w:name w:val="Balloon Text"/>
    <w:basedOn w:val="Normal"/>
    <w:link w:val="BalloonTextChar"/>
    <w:uiPriority w:val="99"/>
    <w:semiHidden/>
    <w:unhideWhenUsed/>
    <w:rsid w:val="001A53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33D"/>
    <w:rPr>
      <w:rFonts w:ascii="Segoe UI" w:hAnsi="Segoe UI" w:cs="Segoe UI"/>
      <w:sz w:val="18"/>
      <w:szCs w:val="18"/>
    </w:rPr>
  </w:style>
  <w:style w:type="character" w:customStyle="1" w:styleId="Heading2Char">
    <w:name w:val="Heading 2 Char"/>
    <w:basedOn w:val="DefaultParagraphFont"/>
    <w:link w:val="Heading2"/>
    <w:uiPriority w:val="9"/>
    <w:rsid w:val="007077AB"/>
    <w:rPr>
      <w:rFonts w:eastAsiaTheme="majorEastAsia" w:cstheme="majorBidi"/>
      <w:b/>
      <w:szCs w:val="26"/>
    </w:rPr>
  </w:style>
  <w:style w:type="character" w:customStyle="1" w:styleId="Heading3Char">
    <w:name w:val="Heading 3 Char"/>
    <w:basedOn w:val="DefaultParagraphFont"/>
    <w:link w:val="Heading3"/>
    <w:uiPriority w:val="9"/>
    <w:rsid w:val="00BB6FAD"/>
    <w:rPr>
      <w:rFonts w:eastAsiaTheme="majorEastAsia" w:cstheme="majorBidi"/>
      <w:b/>
      <w:color w:val="000000" w:themeColor="text1"/>
    </w:rPr>
  </w:style>
  <w:style w:type="paragraph" w:styleId="Header">
    <w:name w:val="header"/>
    <w:basedOn w:val="Normal"/>
    <w:link w:val="HeaderChar"/>
    <w:uiPriority w:val="99"/>
    <w:unhideWhenUsed/>
    <w:rsid w:val="00937D07"/>
    <w:pPr>
      <w:tabs>
        <w:tab w:val="center" w:pos="4513"/>
        <w:tab w:val="right" w:pos="9026"/>
      </w:tabs>
    </w:pPr>
  </w:style>
  <w:style w:type="character" w:customStyle="1" w:styleId="HeaderChar">
    <w:name w:val="Header Char"/>
    <w:basedOn w:val="DefaultParagraphFont"/>
    <w:link w:val="Header"/>
    <w:uiPriority w:val="99"/>
    <w:rsid w:val="00937D07"/>
  </w:style>
  <w:style w:type="paragraph" w:styleId="Footer">
    <w:name w:val="footer"/>
    <w:basedOn w:val="Normal"/>
    <w:link w:val="FooterChar"/>
    <w:uiPriority w:val="99"/>
    <w:unhideWhenUsed/>
    <w:rsid w:val="00937D07"/>
    <w:pPr>
      <w:tabs>
        <w:tab w:val="center" w:pos="4513"/>
        <w:tab w:val="right" w:pos="9026"/>
      </w:tabs>
    </w:pPr>
  </w:style>
  <w:style w:type="character" w:customStyle="1" w:styleId="FooterChar">
    <w:name w:val="Footer Char"/>
    <w:basedOn w:val="DefaultParagraphFont"/>
    <w:link w:val="Footer"/>
    <w:uiPriority w:val="99"/>
    <w:rsid w:val="00937D07"/>
  </w:style>
  <w:style w:type="character" w:styleId="Hyperlink">
    <w:name w:val="Hyperlink"/>
    <w:basedOn w:val="DefaultParagraphFont"/>
    <w:uiPriority w:val="99"/>
    <w:unhideWhenUsed/>
    <w:rsid w:val="003C0818"/>
    <w:rPr>
      <w:color w:val="0563C1" w:themeColor="hyperlink"/>
      <w:u w:val="single"/>
    </w:rPr>
  </w:style>
  <w:style w:type="paragraph" w:styleId="Bibliography">
    <w:name w:val="Bibliography"/>
    <w:basedOn w:val="Normal"/>
    <w:next w:val="Normal"/>
    <w:uiPriority w:val="37"/>
    <w:unhideWhenUsed/>
    <w:rsid w:val="009445DE"/>
    <w:pPr>
      <w:spacing w:line="480" w:lineRule="auto"/>
      <w:ind w:left="720" w:hanging="720"/>
    </w:pPr>
  </w:style>
  <w:style w:type="character" w:styleId="FollowedHyperlink">
    <w:name w:val="FollowedHyperlink"/>
    <w:basedOn w:val="DefaultParagraphFont"/>
    <w:uiPriority w:val="99"/>
    <w:semiHidden/>
    <w:unhideWhenUsed/>
    <w:rsid w:val="004F2F8E"/>
    <w:rPr>
      <w:color w:val="954F72" w:themeColor="followedHyperlink"/>
      <w:u w:val="single"/>
    </w:rPr>
  </w:style>
  <w:style w:type="paragraph" w:styleId="Revision">
    <w:name w:val="Revision"/>
    <w:hidden/>
    <w:uiPriority w:val="99"/>
    <w:semiHidden/>
    <w:rsid w:val="00854763"/>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34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leod@rhul.ac.uk" TargetMode="External"/><Relationship Id="rId13" Type="http://schemas.openxmlformats.org/officeDocument/2006/relationships/hyperlink" Target="https://doi.org/10.1037//0882-7974.17.1.12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385404950840049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037/a00189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9658211.2017.1322108" TargetMode="External"/><Relationship Id="rId5" Type="http://schemas.openxmlformats.org/officeDocument/2006/relationships/webSettings" Target="webSettings.xml"/><Relationship Id="rId15" Type="http://schemas.openxmlformats.org/officeDocument/2006/relationships/hyperlink" Target="https://doi.org/10.1207/s15327752jpa5701_17" TargetMode="External"/><Relationship Id="rId10" Type="http://schemas.openxmlformats.org/officeDocument/2006/relationships/hyperlink" Target="http://dx.doi.org/10.1207/s15327752jpa4901_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ycnet.apa.org/doi/10.1037/0003-066X.54.3.165" TargetMode="External"/><Relationship Id="rId14" Type="http://schemas.openxmlformats.org/officeDocument/2006/relationships/hyperlink" Target="https://doi.org/10.1037/a0038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48250-1BB4-48FE-9A16-FD9CB8B65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4655</Words>
  <Characters>26535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Barts Health</Company>
  <LinksUpToDate>false</LinksUpToDate>
  <CharactersWithSpaces>31128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Revan, Jade</cp:lastModifiedBy>
  <cp:revision>2</cp:revision>
  <cp:lastPrinted>2019-10-22T12:55:00Z</cp:lastPrinted>
  <dcterms:created xsi:type="dcterms:W3CDTF">2020-01-20T11:38:00Z</dcterms:created>
  <dcterms:modified xsi:type="dcterms:W3CDTF">2020-01-20T11:38:00Z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zotero-version="5.0.48"&gt;&lt;session id="GoJTZMZc"/&gt;&lt;style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WinDIP File ID">
    <vt:lpwstr>a2c8d653-1479-4c8f-9c3c-aa0fe5119729</vt:lpwstr>
  </property>
</Properties>
</file>